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63B31">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6935D28">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8F19B3B">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rPr>
      </w:pPr>
    </w:p>
    <w:p w14:paraId="7AD51EF1">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52"/>
          <w:szCs w:val="52"/>
          <w:highlight w:val="none"/>
          <w:lang w:val="en-US"/>
        </w:rPr>
      </w:pPr>
      <w:r>
        <w:rPr>
          <w:rFonts w:hint="eastAsia" w:ascii="宋体" w:hAnsi="宋体" w:eastAsia="宋体" w:cs="宋体"/>
          <w:b/>
          <w:bCs/>
          <w:color w:val="auto"/>
          <w:sz w:val="52"/>
          <w:szCs w:val="52"/>
          <w:highlight w:val="none"/>
          <w:lang w:eastAsia="zh-CN"/>
        </w:rPr>
        <w:t>滁州市综治中心深化设计及造价编制服务项目（二次）</w:t>
      </w:r>
      <w:r>
        <w:rPr>
          <w:rFonts w:hint="eastAsia" w:ascii="宋体" w:hAnsi="宋体" w:eastAsia="宋体" w:cs="宋体"/>
          <w:b/>
          <w:bCs/>
          <w:color w:val="auto"/>
          <w:sz w:val="52"/>
          <w:szCs w:val="52"/>
          <w:highlight w:val="none"/>
          <w:lang w:val="en-US" w:eastAsia="zh-CN"/>
        </w:rPr>
        <w:t>招标文件</w:t>
      </w:r>
    </w:p>
    <w:p w14:paraId="4377BA2B">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5A089435">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7BB64055">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0C1FA7AA">
      <w:pPr>
        <w:rPr>
          <w:rFonts w:hint="eastAsia" w:ascii="宋体" w:hAnsi="宋体" w:eastAsia="宋体" w:cs="宋体"/>
          <w:color w:val="auto"/>
          <w:highlight w:val="none"/>
        </w:rPr>
      </w:pPr>
    </w:p>
    <w:p w14:paraId="2390E8F8">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22464320">
      <w:pPr>
        <w:tabs>
          <w:tab w:val="left" w:pos="315"/>
          <w:tab w:val="left" w:pos="8820"/>
        </w:tabs>
        <w:spacing w:beforeLines="100" w:afterLines="50" w:line="500" w:lineRule="exact"/>
        <w:ind w:right="267" w:rightChars="127"/>
        <w:jc w:val="center"/>
        <w:rPr>
          <w:rFonts w:hint="eastAsia" w:ascii="宋体" w:hAnsi="宋体" w:eastAsia="宋体" w:cs="宋体"/>
          <w:b/>
          <w:bCs/>
          <w:color w:val="auto"/>
          <w:sz w:val="44"/>
          <w:szCs w:val="44"/>
          <w:highlight w:val="none"/>
        </w:rPr>
      </w:pPr>
    </w:p>
    <w:p w14:paraId="256204A7">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left="2244" w:leftChars="304" w:hanging="1606" w:hangingChars="5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eastAsia="宋体" w:cs="宋体"/>
          <w:b/>
          <w:color w:val="auto"/>
          <w:kern w:val="0"/>
          <w:sz w:val="32"/>
          <w:szCs w:val="32"/>
          <w:highlight w:val="none"/>
          <w:u w:val="single"/>
          <w:lang w:eastAsia="zh-CN"/>
        </w:rPr>
        <w:t>滁州市综治中心深化设计及造价编制服务项目（二次）</w:t>
      </w:r>
    </w:p>
    <w:p w14:paraId="47E68678">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firstLine="643" w:firstLineChars="200"/>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采 购 人：</w:t>
      </w:r>
      <w:r>
        <w:rPr>
          <w:rFonts w:hint="eastAsia" w:ascii="宋体" w:hAnsi="宋体" w:eastAsia="宋体" w:cs="宋体"/>
          <w:b/>
          <w:color w:val="auto"/>
          <w:spacing w:val="-6"/>
          <w:kern w:val="0"/>
          <w:sz w:val="32"/>
          <w:szCs w:val="32"/>
          <w:highlight w:val="none"/>
          <w:u w:val="single"/>
          <w:lang w:eastAsia="zh-CN"/>
        </w:rPr>
        <w:t xml:space="preserve">  中共滁州市委政法委员会</w:t>
      </w:r>
      <w:r>
        <w:rPr>
          <w:rFonts w:hint="eastAsia" w:ascii="宋体" w:hAnsi="宋体" w:eastAsia="宋体" w:cs="宋体"/>
          <w:b/>
          <w:color w:val="auto"/>
          <w:spacing w:val="-6"/>
          <w:kern w:val="0"/>
          <w:sz w:val="32"/>
          <w:szCs w:val="32"/>
          <w:highlight w:val="none"/>
          <w:u w:val="single"/>
          <w:lang w:val="en-US" w:eastAsia="zh-CN"/>
        </w:rPr>
        <w:t xml:space="preserve">  </w:t>
      </w:r>
    </w:p>
    <w:p w14:paraId="60069D87">
      <w:pPr>
        <w:keepNext w:val="0"/>
        <w:keepLines w:val="0"/>
        <w:pageBreakBefore w:val="0"/>
        <w:tabs>
          <w:tab w:val="left" w:pos="2410"/>
        </w:tabs>
        <w:kinsoku/>
        <w:wordWrap w:val="0"/>
        <w:overflowPunct/>
        <w:topLinePunct w:val="0"/>
        <w:autoSpaceDE w:val="0"/>
        <w:autoSpaceDN w:val="0"/>
        <w:bidi w:val="0"/>
        <w:adjustRightInd w:val="0"/>
        <w:snapToGrid w:val="0"/>
        <w:spacing w:line="360" w:lineRule="auto"/>
        <w:ind w:firstLine="643" w:firstLineChars="2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采购代理机构：</w:t>
      </w:r>
      <w:r>
        <w:rPr>
          <w:rFonts w:hint="eastAsia" w:ascii="宋体" w:hAnsi="宋体" w:eastAsia="宋体" w:cs="宋体"/>
          <w:b/>
          <w:color w:val="auto"/>
          <w:kern w:val="0"/>
          <w:sz w:val="32"/>
          <w:szCs w:val="32"/>
          <w:highlight w:val="none"/>
          <w:u w:val="single"/>
        </w:rPr>
        <w:t>滁州市城投工程咨询管理有限公司</w:t>
      </w:r>
    </w:p>
    <w:p w14:paraId="46D02E67">
      <w:pPr>
        <w:pStyle w:val="10"/>
        <w:rPr>
          <w:rFonts w:hint="eastAsia" w:ascii="宋体" w:hAnsi="宋体" w:eastAsia="宋体" w:cs="宋体"/>
          <w:color w:val="auto"/>
          <w:highlight w:val="none"/>
        </w:rPr>
      </w:pPr>
    </w:p>
    <w:p w14:paraId="5420D692">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rPr>
        <w:t>202</w:t>
      </w:r>
      <w:r>
        <w:rPr>
          <w:rFonts w:hint="eastAsia" w:ascii="宋体" w:hAnsi="宋体" w:eastAsia="宋体" w:cs="宋体"/>
          <w:b/>
          <w:color w:val="auto"/>
          <w:sz w:val="36"/>
          <w:highlight w:val="none"/>
          <w:u w:val="single"/>
          <w:lang w:val="en-US" w:eastAsia="zh-CN"/>
        </w:rPr>
        <w:t>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8</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7890D8C7">
      <w:pPr>
        <w:rPr>
          <w:rFonts w:hint="eastAsia" w:ascii="宋体" w:hAnsi="宋体" w:eastAsia="宋体" w:cs="宋体"/>
          <w:b/>
          <w:color w:val="auto"/>
          <w:sz w:val="28"/>
          <w:highlight w:val="none"/>
        </w:rPr>
      </w:pPr>
    </w:p>
    <w:p w14:paraId="1CC50998">
      <w:pPr>
        <w:tabs>
          <w:tab w:val="left" w:pos="2410"/>
        </w:tabs>
        <w:autoSpaceDE w:val="0"/>
        <w:autoSpaceDN w:val="0"/>
        <w:adjustRightInd w:val="0"/>
        <w:snapToGrid w:val="0"/>
        <w:spacing w:line="6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79337BDE">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投标邀请</w:t>
      </w:r>
      <w:r>
        <w:rPr>
          <w:rFonts w:hint="eastAsia" w:ascii="宋体" w:hAnsi="宋体" w:eastAsia="宋体" w:cs="宋体"/>
          <w:color w:val="auto"/>
          <w:highlight w:val="none"/>
        </w:rPr>
        <w:tab/>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p>
    <w:p w14:paraId="797666D3">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p>
    <w:p w14:paraId="60B69CC2">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619CFF">
      <w:pPr>
        <w:pStyle w:val="20"/>
        <w:tabs>
          <w:tab w:val="right" w:leader="dot" w:pos="8306"/>
        </w:tabs>
        <w:spacing w:line="6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评标方法和标准（综合评分法）</w:t>
      </w:r>
      <w:r>
        <w:rPr>
          <w:rFonts w:hint="eastAsia" w:ascii="宋体" w:hAnsi="宋体" w:eastAsia="宋体" w:cs="宋体"/>
          <w:color w:val="auto"/>
          <w:highlight w:val="none"/>
        </w:rPr>
        <w:tab/>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3</w:t>
      </w:r>
    </w:p>
    <w:p w14:paraId="2F01D80E">
      <w:pPr>
        <w:pStyle w:val="20"/>
        <w:tabs>
          <w:tab w:val="right" w:leader="dot" w:pos="8306"/>
        </w:tabs>
        <w:spacing w:line="600" w:lineRule="exact"/>
        <w:jc w:val="center"/>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"_Toc20405"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7</w:t>
      </w:r>
    </w:p>
    <w:p w14:paraId="57A5F19F">
      <w:pPr>
        <w:pStyle w:val="20"/>
        <w:tabs>
          <w:tab w:val="right" w:leader="dot" w:pos="8306"/>
        </w:tabs>
        <w:spacing w:line="600" w:lineRule="exact"/>
        <w:jc w:val="center"/>
        <w:rPr>
          <w:rFonts w:hint="eastAsia" w:ascii="宋体" w:hAnsi="宋体" w:eastAsia="宋体" w:cs="宋体"/>
          <w:color w:val="auto"/>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6</w:t>
      </w:r>
    </w:p>
    <w:p w14:paraId="58B0C29E">
      <w:pPr>
        <w:pStyle w:val="20"/>
        <w:tabs>
          <w:tab w:val="right" w:leader="dot" w:pos="8306"/>
        </w:tabs>
        <w:spacing w:line="600" w:lineRule="exact"/>
        <w:jc w:val="center"/>
        <w:rPr>
          <w:rFonts w:hint="eastAsia" w:ascii="宋体" w:hAnsi="宋体" w:eastAsia="宋体" w:cs="宋体"/>
          <w:color w:val="auto"/>
          <w:highlight w:val="none"/>
        </w:rPr>
      </w:pPr>
    </w:p>
    <w:p w14:paraId="0BBE2428">
      <w:pPr>
        <w:spacing w:line="600" w:lineRule="exact"/>
        <w:jc w:val="center"/>
        <w:rPr>
          <w:rFonts w:hint="eastAsia" w:ascii="宋体" w:hAnsi="宋体" w:eastAsia="宋体" w:cs="宋体"/>
          <w:b/>
          <w:color w:val="auto"/>
          <w:sz w:val="32"/>
          <w:highlight w:val="none"/>
        </w:rPr>
      </w:pPr>
      <w:r>
        <w:rPr>
          <w:rFonts w:hint="eastAsia" w:ascii="宋体" w:hAnsi="宋体" w:eastAsia="宋体" w:cs="宋体"/>
          <w:color w:val="auto"/>
          <w:szCs w:val="24"/>
          <w:highlight w:val="none"/>
        </w:rPr>
        <w:fldChar w:fldCharType="end"/>
      </w:r>
    </w:p>
    <w:p w14:paraId="75548A14">
      <w:pPr>
        <w:spacing w:line="360" w:lineRule="auto"/>
        <w:rPr>
          <w:rFonts w:hint="eastAsia" w:ascii="宋体" w:hAnsi="宋体" w:eastAsia="宋体" w:cs="宋体"/>
          <w:b/>
          <w:color w:val="auto"/>
          <w:sz w:val="32"/>
          <w:highlight w:val="none"/>
        </w:rPr>
      </w:pPr>
    </w:p>
    <w:p w14:paraId="29ABF154">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40BA487B">
      <w:pPr>
        <w:spacing w:line="420" w:lineRule="exact"/>
        <w:jc w:val="center"/>
        <w:outlineLvl w:val="0"/>
        <w:rPr>
          <w:rFonts w:hint="eastAsia" w:ascii="宋体" w:hAnsi="宋体" w:eastAsia="宋体" w:cs="宋体"/>
          <w:b/>
          <w:color w:val="auto"/>
          <w:sz w:val="28"/>
          <w:highlight w:val="none"/>
        </w:rPr>
      </w:pPr>
      <w:bookmarkStart w:id="0" w:name="_Toc32331"/>
      <w:r>
        <w:rPr>
          <w:rFonts w:hint="eastAsia" w:ascii="宋体" w:hAnsi="宋体" w:eastAsia="宋体" w:cs="宋体"/>
          <w:b/>
          <w:color w:val="auto"/>
          <w:sz w:val="28"/>
          <w:highlight w:val="none"/>
        </w:rPr>
        <w:t>第一章  投标邀请</w:t>
      </w:r>
      <w:bookmarkEnd w:id="0"/>
    </w:p>
    <w:p w14:paraId="1550B421">
      <w:pPr>
        <w:spacing w:line="420" w:lineRule="exact"/>
        <w:ind w:firstLine="435"/>
        <w:rPr>
          <w:rFonts w:hint="eastAsia" w:ascii="宋体" w:hAnsi="宋体" w:eastAsia="宋体" w:cs="宋体"/>
          <w:color w:val="auto"/>
          <w:sz w:val="24"/>
          <w:highlight w:val="none"/>
        </w:rPr>
      </w:pPr>
      <w:bookmarkStart w:id="1" w:name="_Toc1381"/>
      <w:bookmarkStart w:id="2" w:name="_Toc31518"/>
      <w:r>
        <w:rPr>
          <w:rFonts w:hint="eastAsia" w:ascii="宋体" w:hAnsi="宋体" w:eastAsia="宋体" w:cs="宋体"/>
          <w:color w:val="auto"/>
          <w:sz w:val="24"/>
          <w:highlight w:val="none"/>
        </w:rPr>
        <w:t>项目概况</w:t>
      </w:r>
    </w:p>
    <w:p w14:paraId="3A87A749">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滁州市综治中心深化设计及造价编制服务项目（二次）</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lang w:eastAsia="zh-CN"/>
        </w:rPr>
        <w:t>滁州市城投工程咨询管理有限公司官网（https://www.czctgczx.com/）</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lang w:eastAsia="zh-CN"/>
        </w:rPr>
        <w:t>2025年</w:t>
      </w:r>
      <w:r>
        <w:rPr>
          <w:rFonts w:hint="eastAsia" w:ascii="宋体" w:hAnsi="宋体" w:eastAsia="宋体" w:cs="宋体"/>
          <w:color w:val="auto"/>
          <w:sz w:val="24"/>
          <w:highlight w:val="none"/>
          <w:lang w:val="en-US" w:eastAsia="zh-CN"/>
        </w:rPr>
        <w:t>8月29日</w:t>
      </w:r>
      <w:r>
        <w:rPr>
          <w:rFonts w:hint="eastAsia" w:ascii="宋体" w:hAnsi="宋体" w:eastAsia="宋体" w:cs="宋体"/>
          <w:color w:val="auto"/>
          <w:sz w:val="24"/>
          <w:highlight w:val="none"/>
          <w:lang w:eastAsia="zh-CN"/>
        </w:rPr>
        <w:t>15点00分</w:t>
      </w:r>
      <w:r>
        <w:rPr>
          <w:rFonts w:hint="eastAsia" w:ascii="宋体" w:hAnsi="宋体" w:eastAsia="宋体" w:cs="宋体"/>
          <w:color w:val="auto"/>
          <w:sz w:val="24"/>
          <w:highlight w:val="none"/>
        </w:rPr>
        <w:t>（北京时间）前递交投标文件。</w:t>
      </w:r>
    </w:p>
    <w:p w14:paraId="5057BFA5">
      <w:pPr>
        <w:spacing w:line="420" w:lineRule="exact"/>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一、</w:t>
      </w:r>
      <w:bookmarkEnd w:id="1"/>
      <w:r>
        <w:rPr>
          <w:rFonts w:hint="eastAsia" w:ascii="宋体" w:hAnsi="宋体" w:eastAsia="宋体" w:cs="宋体"/>
          <w:b/>
          <w:bCs/>
          <w:color w:val="auto"/>
          <w:sz w:val="24"/>
          <w:szCs w:val="18"/>
          <w:highlight w:val="none"/>
        </w:rPr>
        <w:t>项目基本情况</w:t>
      </w:r>
      <w:bookmarkEnd w:id="2"/>
    </w:p>
    <w:p w14:paraId="4FC91507">
      <w:pPr>
        <w:spacing w:line="420" w:lineRule="exact"/>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滁州市综治中心深化设计及造价编制服务项目（二次）</w:t>
      </w:r>
    </w:p>
    <w:p w14:paraId="3B8B83B9">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3.6万元</w:t>
      </w:r>
      <w:r>
        <w:rPr>
          <w:rFonts w:hint="eastAsia" w:ascii="宋体" w:hAnsi="宋体" w:eastAsia="宋体" w:cs="宋体"/>
          <w:color w:val="auto"/>
          <w:sz w:val="24"/>
          <w:highlight w:val="none"/>
        </w:rPr>
        <w:t>；</w:t>
      </w:r>
    </w:p>
    <w:p w14:paraId="26AF6235">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最高限价：最高限价</w:t>
      </w:r>
      <w:r>
        <w:rPr>
          <w:rFonts w:hint="eastAsia" w:ascii="宋体" w:hAnsi="宋体" w:eastAsia="宋体" w:cs="宋体"/>
          <w:color w:val="auto"/>
          <w:sz w:val="24"/>
          <w:highlight w:val="none"/>
          <w:lang w:val="en-US" w:eastAsia="zh-CN"/>
        </w:rPr>
        <w:t>3.6</w:t>
      </w:r>
      <w:r>
        <w:rPr>
          <w:rFonts w:hint="eastAsia" w:ascii="宋体" w:hAnsi="宋体" w:eastAsia="宋体" w:cs="宋体"/>
          <w:color w:val="auto"/>
          <w:sz w:val="24"/>
          <w:highlight w:val="none"/>
        </w:rPr>
        <w:t>万</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；投标报价不得高于最高限价，否则按无效投标处理。</w:t>
      </w:r>
    </w:p>
    <w:p w14:paraId="7C5575A5">
      <w:pPr>
        <w:spacing w:line="420" w:lineRule="exact"/>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采购需求：</w:t>
      </w:r>
      <w:r>
        <w:rPr>
          <w:rFonts w:hint="eastAsia" w:ascii="宋体" w:hAnsi="宋体" w:eastAsia="宋体" w:cs="宋体"/>
          <w:color w:val="auto"/>
          <w:sz w:val="24"/>
          <w:highlight w:val="none"/>
          <w:lang w:eastAsia="zh-CN"/>
        </w:rPr>
        <w:t>滁州市综治中心深化设计及造价编制服务项目</w:t>
      </w:r>
      <w:r>
        <w:rPr>
          <w:rFonts w:hint="eastAsia" w:ascii="宋体" w:hAnsi="宋体" w:eastAsia="宋体" w:cs="宋体"/>
          <w:color w:val="auto"/>
          <w:sz w:val="24"/>
          <w:highlight w:val="none"/>
        </w:rPr>
        <w:t>，具体详见采购需求</w:t>
      </w:r>
      <w:r>
        <w:rPr>
          <w:rFonts w:hint="eastAsia" w:ascii="宋体" w:hAnsi="宋体" w:eastAsia="宋体" w:cs="宋体"/>
          <w:color w:val="auto"/>
          <w:sz w:val="24"/>
          <w:highlight w:val="none"/>
          <w:lang w:eastAsia="zh-CN"/>
        </w:rPr>
        <w:t>。</w:t>
      </w:r>
    </w:p>
    <w:p w14:paraId="1C832895">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lang w:val="en-US" w:eastAsia="zh-CN"/>
        </w:rPr>
        <w:t>设计方案确定后10天完成施工图设计，施工图设计完成后7日内工程量清单及控制价编制并交付最终成果</w:t>
      </w:r>
      <w:r>
        <w:rPr>
          <w:rFonts w:hint="eastAsia" w:ascii="宋体" w:hAnsi="宋体" w:eastAsia="宋体" w:cs="宋体"/>
          <w:color w:val="auto"/>
          <w:sz w:val="24"/>
          <w:highlight w:val="none"/>
        </w:rPr>
        <w:t>。</w:t>
      </w:r>
    </w:p>
    <w:p w14:paraId="4650FBCA">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本项目不接受联合体投标。</w:t>
      </w:r>
    </w:p>
    <w:p w14:paraId="311E7047">
      <w:pPr>
        <w:spacing w:line="420" w:lineRule="exact"/>
        <w:ind w:firstLine="437"/>
        <w:outlineLvl w:val="1"/>
        <w:rPr>
          <w:rFonts w:hint="eastAsia" w:ascii="宋体" w:hAnsi="宋体" w:eastAsia="宋体" w:cs="宋体"/>
          <w:b/>
          <w:bCs/>
          <w:color w:val="auto"/>
          <w:sz w:val="24"/>
          <w:szCs w:val="18"/>
          <w:highlight w:val="none"/>
        </w:rPr>
      </w:pPr>
      <w:bookmarkStart w:id="3" w:name="_Toc13530"/>
      <w:bookmarkStart w:id="4" w:name="_Toc9204"/>
      <w:r>
        <w:rPr>
          <w:rFonts w:hint="eastAsia" w:ascii="宋体" w:hAnsi="宋体" w:eastAsia="宋体" w:cs="宋体"/>
          <w:b/>
          <w:bCs/>
          <w:color w:val="auto"/>
          <w:sz w:val="24"/>
          <w:szCs w:val="18"/>
          <w:highlight w:val="none"/>
        </w:rPr>
        <w:t>二、</w:t>
      </w:r>
      <w:bookmarkEnd w:id="3"/>
      <w:r>
        <w:rPr>
          <w:rFonts w:hint="eastAsia" w:ascii="宋体" w:hAnsi="宋体" w:eastAsia="宋体" w:cs="宋体"/>
          <w:b/>
          <w:bCs/>
          <w:color w:val="auto"/>
          <w:sz w:val="24"/>
          <w:szCs w:val="18"/>
          <w:highlight w:val="none"/>
        </w:rPr>
        <w:t>申请人的资格要求</w:t>
      </w:r>
      <w:bookmarkEnd w:id="4"/>
    </w:p>
    <w:p w14:paraId="310EB805">
      <w:pPr>
        <w:spacing w:line="420" w:lineRule="exact"/>
        <w:ind w:firstLine="435"/>
        <w:rPr>
          <w:rFonts w:hint="eastAsia" w:ascii="宋体" w:hAnsi="宋体" w:eastAsia="宋体" w:cs="宋体"/>
          <w:color w:val="auto"/>
          <w:sz w:val="24"/>
          <w:highlight w:val="none"/>
        </w:rPr>
      </w:pPr>
      <w:bookmarkStart w:id="5" w:name="_Toc30110"/>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具有独立承担民事责任的能力</w:t>
      </w:r>
      <w:r>
        <w:rPr>
          <w:rFonts w:hint="eastAsia" w:ascii="宋体" w:hAnsi="宋体" w:eastAsia="宋体" w:cs="宋体"/>
          <w:color w:val="auto"/>
          <w:sz w:val="24"/>
          <w:highlight w:val="none"/>
        </w:rPr>
        <w:t>；</w:t>
      </w:r>
    </w:p>
    <w:p w14:paraId="3F5BFBEA">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2.本项目的特定资格要求：具有建筑装饰工程设计专项乙级及以上或建筑行业（建筑工程）专业设计乙级及以上或建筑行业设计乙级及以上或工程综合设计资质。</w:t>
      </w:r>
    </w:p>
    <w:p w14:paraId="121A5FEF">
      <w:pPr>
        <w:spacing w:line="42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.信誉要求：投标人不得存在以下情形：</w:t>
      </w:r>
    </w:p>
    <w:p w14:paraId="0862CF12">
      <w:pPr>
        <w:spacing w:line="360" w:lineRule="auto"/>
        <w:ind w:firstLine="435"/>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①被列入“信用中国”网站“失信被执行人”的</w:t>
      </w:r>
      <w:r>
        <w:rPr>
          <w:rFonts w:hint="eastAsia" w:ascii="宋体" w:hAnsi="宋体" w:eastAsia="宋体" w:cs="宋体"/>
          <w:color w:val="auto"/>
          <w:sz w:val="24"/>
          <w:szCs w:val="24"/>
          <w:highlight w:val="none"/>
          <w:lang w:eastAsia="zh-CN" w:bidi="ar"/>
        </w:rPr>
        <w:t>；</w:t>
      </w:r>
    </w:p>
    <w:p w14:paraId="2AEC5A9C">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②被列入“信用中国”网站“重大税收违法失信主体”的；</w:t>
      </w:r>
    </w:p>
    <w:p w14:paraId="2A2ACF8C">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③被列入“信用中国”网站 “严重失信主体名单”的；</w:t>
      </w:r>
    </w:p>
    <w:p w14:paraId="75DF9776">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④在</w:t>
      </w:r>
      <w:bookmarkStart w:id="6" w:name="OLE_LINK127"/>
      <w:bookmarkStart w:id="7" w:name="OLE_LINK129"/>
      <w:bookmarkStart w:id="8" w:name="OLE_LINK128"/>
      <w:r>
        <w:rPr>
          <w:rFonts w:hint="eastAsia" w:ascii="宋体" w:hAnsi="宋体" w:eastAsia="宋体" w:cs="宋体"/>
          <w:color w:val="auto"/>
          <w:sz w:val="24"/>
          <w:szCs w:val="24"/>
          <w:highlight w:val="none"/>
          <w:lang w:bidi="ar"/>
        </w:rPr>
        <w:t>“信用中国”网站</w:t>
      </w:r>
      <w:bookmarkEnd w:id="6"/>
      <w:bookmarkEnd w:id="7"/>
      <w:bookmarkEnd w:id="8"/>
      <w:r>
        <w:rPr>
          <w:rFonts w:hint="eastAsia" w:ascii="宋体" w:hAnsi="宋体" w:eastAsia="宋体" w:cs="宋体"/>
          <w:color w:val="auto"/>
          <w:sz w:val="24"/>
          <w:szCs w:val="24"/>
          <w:highlight w:val="none"/>
          <w:lang w:bidi="ar"/>
        </w:rPr>
        <w:t>上披露的仍在公示期的严重失信行为(具体行为类别及判定依据见“信用中国”查询的严重失信行为类别及判定依据)的。</w:t>
      </w:r>
    </w:p>
    <w:p w14:paraId="00B08AF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⑤被列入国家企业信用信息公示系统网站“经营异常名录”或者“严重违法失信名单”的。</w:t>
      </w:r>
    </w:p>
    <w:p w14:paraId="5EC981C0">
      <w:pPr>
        <w:spacing w:line="360" w:lineRule="auto"/>
        <w:ind w:firstLine="435"/>
        <w:rPr>
          <w:rFonts w:hint="eastAsia" w:ascii="宋体" w:hAnsi="宋体" w:eastAsia="宋体" w:cs="宋体"/>
          <w:color w:val="auto"/>
          <w:sz w:val="24"/>
          <w:szCs w:val="24"/>
          <w:highlight w:val="none"/>
          <w:lang w:bidi="ar"/>
        </w:rPr>
      </w:pPr>
      <w:bookmarkStart w:id="9" w:name="OLE_LINK114"/>
      <w:bookmarkStart w:id="10" w:name="OLE_LINK113"/>
      <w:r>
        <w:rPr>
          <w:rFonts w:hint="eastAsia" w:ascii="宋体" w:hAnsi="宋体" w:eastAsia="宋体" w:cs="宋体"/>
          <w:color w:val="auto"/>
          <w:sz w:val="24"/>
          <w:szCs w:val="24"/>
          <w:highlight w:val="none"/>
          <w:lang w:bidi="ar"/>
        </w:rPr>
        <w:t>⑥</w:t>
      </w:r>
      <w:bookmarkEnd w:id="9"/>
      <w:bookmarkEnd w:id="10"/>
      <w:r>
        <w:rPr>
          <w:rFonts w:hint="eastAsia" w:ascii="宋体" w:hAnsi="宋体" w:eastAsia="宋体" w:cs="宋体"/>
          <w:color w:val="auto"/>
          <w:sz w:val="24"/>
          <w:szCs w:val="24"/>
          <w:highlight w:val="none"/>
          <w:lang w:bidi="ar"/>
        </w:rPr>
        <w:t>被列入中国政府采购网站“政府采购严重违法失信行为信息记录”的</w:t>
      </w:r>
      <w:r>
        <w:rPr>
          <w:rFonts w:hint="eastAsia" w:ascii="宋体" w:hAnsi="宋体" w:eastAsia="宋体" w:cs="宋体"/>
          <w:color w:val="auto"/>
          <w:sz w:val="24"/>
          <w:szCs w:val="24"/>
          <w:highlight w:val="none"/>
          <w:lang w:eastAsia="zh-CN" w:bidi="ar"/>
        </w:rPr>
        <w:t>。</w:t>
      </w:r>
    </w:p>
    <w:p w14:paraId="28C2B178">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⑦前三年有行贿犯罪行为的单位和个人</w:t>
      </w:r>
      <w:r>
        <w:rPr>
          <w:rFonts w:hint="eastAsia" w:ascii="宋体" w:hAnsi="宋体" w:eastAsia="宋体" w:cs="宋体"/>
          <w:color w:val="auto"/>
          <w:sz w:val="24"/>
          <w:szCs w:val="24"/>
          <w:highlight w:val="none"/>
          <w:lang w:eastAsia="zh-CN" w:bidi="ar"/>
        </w:rPr>
        <w:t>。</w:t>
      </w:r>
    </w:p>
    <w:p w14:paraId="3F7EB3E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.供应商所属分公司、办事处等分支机构存在第4条信誉要求①-⑦项情形之一的，接受供应商参加本项目；</w:t>
      </w:r>
    </w:p>
    <w:p w14:paraId="48A3F6C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bidi="ar"/>
        </w:rPr>
        <w:t>备注：第</w:t>
      </w:r>
      <w:r>
        <w:rPr>
          <w:rFonts w:hint="eastAsia" w:ascii="宋体" w:hAnsi="宋体" w:eastAsia="宋体" w:cs="宋体"/>
          <w:color w:val="auto"/>
          <w:sz w:val="24"/>
          <w:szCs w:val="24"/>
          <w:highlight w:val="none"/>
          <w:lang w:val="en-US" w:eastAsia="zh-CN" w:bidi="ar"/>
        </w:rPr>
        <w:t>3、4</w:t>
      </w:r>
      <w:r>
        <w:rPr>
          <w:rFonts w:hint="eastAsia" w:ascii="宋体" w:hAnsi="宋体" w:eastAsia="宋体" w:cs="宋体"/>
          <w:color w:val="auto"/>
          <w:sz w:val="24"/>
          <w:szCs w:val="24"/>
          <w:highlight w:val="none"/>
          <w:lang w:bidi="ar"/>
        </w:rPr>
        <w:t>条按照“关于联合惩戒失信行为加强信用查询管理的通知”查询或承诺</w:t>
      </w:r>
      <w:r>
        <w:rPr>
          <w:rFonts w:hint="eastAsia" w:ascii="宋体" w:hAnsi="宋体" w:eastAsia="宋体" w:cs="宋体"/>
          <w:color w:val="auto"/>
          <w:sz w:val="24"/>
          <w:highlight w:val="none"/>
        </w:rPr>
        <w:t>。</w:t>
      </w:r>
    </w:p>
    <w:p w14:paraId="5F5AFB1F">
      <w:pPr>
        <w:spacing w:line="420" w:lineRule="exact"/>
        <w:ind w:firstLine="437"/>
        <w:outlineLvl w:val="1"/>
        <w:rPr>
          <w:rFonts w:hint="eastAsia" w:ascii="宋体" w:hAnsi="宋体" w:eastAsia="宋体" w:cs="宋体"/>
          <w:b/>
          <w:bCs/>
          <w:color w:val="auto"/>
          <w:sz w:val="24"/>
          <w:szCs w:val="18"/>
          <w:highlight w:val="none"/>
        </w:rPr>
      </w:pPr>
      <w:bookmarkStart w:id="11" w:name="_Toc21681"/>
      <w:r>
        <w:rPr>
          <w:rFonts w:hint="eastAsia" w:ascii="宋体" w:hAnsi="宋体" w:eastAsia="宋体" w:cs="宋体"/>
          <w:b/>
          <w:bCs/>
          <w:color w:val="auto"/>
          <w:sz w:val="24"/>
          <w:szCs w:val="18"/>
          <w:highlight w:val="none"/>
        </w:rPr>
        <w:t>三、</w:t>
      </w:r>
      <w:bookmarkEnd w:id="5"/>
      <w:r>
        <w:rPr>
          <w:rFonts w:hint="eastAsia" w:ascii="宋体" w:hAnsi="宋体" w:eastAsia="宋体" w:cs="宋体"/>
          <w:b/>
          <w:bCs/>
          <w:color w:val="auto"/>
          <w:sz w:val="24"/>
          <w:szCs w:val="18"/>
          <w:highlight w:val="none"/>
        </w:rPr>
        <w:t>获取招标文件</w:t>
      </w:r>
      <w:bookmarkEnd w:id="11"/>
    </w:p>
    <w:p w14:paraId="7339B85E">
      <w:pPr>
        <w:spacing w:line="420" w:lineRule="exact"/>
        <w:ind w:firstLine="480" w:firstLineChars="200"/>
        <w:rPr>
          <w:rFonts w:hint="eastAsia" w:ascii="宋体" w:hAnsi="宋体" w:eastAsia="宋体" w:cs="宋体"/>
          <w:i/>
          <w:iCs/>
          <w:color w:val="auto"/>
          <w:sz w:val="24"/>
          <w:szCs w:val="24"/>
          <w:highlight w:val="none"/>
        </w:rPr>
      </w:pPr>
      <w:bookmarkStart w:id="12"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bidi="ar"/>
        </w:rPr>
        <w:t>202</w:t>
      </w:r>
      <w:r>
        <w:rPr>
          <w:rFonts w:hint="eastAsia" w:ascii="宋体" w:hAnsi="宋体" w:eastAsia="宋体" w:cs="宋体"/>
          <w:color w:val="auto"/>
          <w:sz w:val="24"/>
          <w:szCs w:val="24"/>
          <w:highlight w:val="none"/>
          <w:u w:val="singl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26</w:t>
      </w:r>
      <w:r>
        <w:rPr>
          <w:rFonts w:hint="eastAsia" w:ascii="宋体" w:hAnsi="宋体" w:eastAsia="宋体" w:cs="宋体"/>
          <w:color w:val="auto"/>
          <w:sz w:val="24"/>
          <w:szCs w:val="24"/>
          <w:highlight w:val="none"/>
          <w:lang w:bidi="ar"/>
        </w:rPr>
        <w:t>日至</w:t>
      </w:r>
      <w:r>
        <w:rPr>
          <w:rFonts w:hint="eastAsia" w:ascii="宋体" w:hAnsi="宋体" w:eastAsia="宋体" w:cs="宋体"/>
          <w:color w:val="auto"/>
          <w:sz w:val="24"/>
          <w:szCs w:val="24"/>
          <w:highlight w:val="none"/>
          <w:u w:val="single"/>
          <w:lang w:bidi="ar"/>
        </w:rPr>
        <w:t>20</w:t>
      </w:r>
      <w:r>
        <w:rPr>
          <w:rFonts w:hint="eastAsia" w:ascii="宋体" w:hAnsi="宋体" w:eastAsia="宋体" w:cs="宋体"/>
          <w:color w:val="auto"/>
          <w:sz w:val="24"/>
          <w:szCs w:val="24"/>
          <w:highlight w:val="none"/>
          <w:u w:val="single"/>
          <w:lang w:val="en-US" w:eastAsia="zh-CN" w:bidi="ar"/>
        </w:rPr>
        <w:t>25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29</w:t>
      </w:r>
      <w:r>
        <w:rPr>
          <w:rFonts w:hint="eastAsia" w:ascii="宋体" w:hAnsi="宋体" w:eastAsia="宋体" w:cs="宋体"/>
          <w:color w:val="auto"/>
          <w:sz w:val="24"/>
          <w:szCs w:val="24"/>
          <w:highlight w:val="none"/>
          <w:lang w:bidi="ar"/>
        </w:rPr>
        <w:t>日</w:t>
      </w:r>
    </w:p>
    <w:p w14:paraId="79D8A736">
      <w:pPr>
        <w:spacing w:line="420" w:lineRule="exact"/>
        <w:ind w:firstLine="480" w:firstLineChars="200"/>
        <w:rPr>
          <w:rFonts w:hint="eastAsia" w:ascii="宋体" w:hAnsi="宋体" w:eastAsia="宋体" w:cs="宋体"/>
          <w:color w:val="auto"/>
          <w:sz w:val="24"/>
          <w:szCs w:val="18"/>
          <w:highlight w:val="none"/>
          <w:u w:val="singl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18"/>
          <w:highlight w:val="none"/>
          <w:u w:val="single"/>
          <w:lang w:eastAsia="zh-CN"/>
        </w:rPr>
        <w:t>滁州市城投工程咨询管理有限公司（https://www.czctgczx.com/）</w:t>
      </w:r>
    </w:p>
    <w:p w14:paraId="03A25128">
      <w:pPr>
        <w:spacing w:line="420" w:lineRule="exact"/>
        <w:ind w:firstLine="480" w:firstLineChars="200"/>
        <w:rPr>
          <w:rFonts w:hint="eastAsia" w:ascii="宋体" w:hAnsi="宋体" w:eastAsia="宋体" w:cs="宋体"/>
          <w:color w:val="auto"/>
          <w:sz w:val="24"/>
          <w:szCs w:val="18"/>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18"/>
          <w:highlight w:val="none"/>
          <w:u w:val="single"/>
        </w:rPr>
        <w:t>网上下载</w:t>
      </w:r>
    </w:p>
    <w:p w14:paraId="6128B935">
      <w:pPr>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18"/>
          <w:highlight w:val="none"/>
        </w:rPr>
        <w:t>售价：</w:t>
      </w:r>
      <w:r>
        <w:rPr>
          <w:rFonts w:hint="eastAsia" w:ascii="宋体" w:hAnsi="宋体" w:eastAsia="宋体" w:cs="宋体"/>
          <w:color w:val="auto"/>
          <w:sz w:val="24"/>
          <w:szCs w:val="18"/>
          <w:highlight w:val="none"/>
          <w:u w:val="single"/>
        </w:rPr>
        <w:t>0元</w:t>
      </w:r>
    </w:p>
    <w:p w14:paraId="0F5418C6">
      <w:pPr>
        <w:spacing w:line="420" w:lineRule="exact"/>
        <w:ind w:firstLine="437"/>
        <w:outlineLvl w:val="1"/>
        <w:rPr>
          <w:rFonts w:hint="eastAsia" w:ascii="宋体" w:hAnsi="宋体" w:eastAsia="宋体" w:cs="宋体"/>
          <w:b/>
          <w:bCs/>
          <w:color w:val="auto"/>
          <w:sz w:val="24"/>
          <w:szCs w:val="18"/>
          <w:highlight w:val="none"/>
        </w:rPr>
      </w:pPr>
      <w:bookmarkStart w:id="13" w:name="_Toc25902"/>
      <w:r>
        <w:rPr>
          <w:rFonts w:hint="eastAsia" w:ascii="宋体" w:hAnsi="宋体" w:eastAsia="宋体" w:cs="宋体"/>
          <w:b/>
          <w:bCs/>
          <w:color w:val="auto"/>
          <w:sz w:val="24"/>
          <w:szCs w:val="18"/>
          <w:highlight w:val="none"/>
        </w:rPr>
        <w:t>四、</w:t>
      </w:r>
      <w:bookmarkEnd w:id="12"/>
      <w:r>
        <w:rPr>
          <w:rFonts w:hint="eastAsia" w:ascii="宋体" w:hAnsi="宋体" w:eastAsia="宋体" w:cs="宋体"/>
          <w:b/>
          <w:bCs/>
          <w:color w:val="auto"/>
          <w:sz w:val="24"/>
          <w:szCs w:val="18"/>
          <w:highlight w:val="none"/>
        </w:rPr>
        <w:t>提交投标文件截止时间、开标时间和地点</w:t>
      </w:r>
      <w:bookmarkEnd w:id="13"/>
    </w:p>
    <w:p w14:paraId="7B99C55B">
      <w:pPr>
        <w:spacing w:line="420" w:lineRule="exact"/>
        <w:ind w:firstLine="480" w:firstLineChars="200"/>
        <w:rPr>
          <w:rFonts w:hint="eastAsia" w:ascii="宋体" w:hAnsi="宋体" w:eastAsia="宋体" w:cs="宋体"/>
          <w:bCs/>
          <w:color w:val="auto"/>
          <w:sz w:val="24"/>
          <w:szCs w:val="24"/>
          <w:highlight w:val="none"/>
        </w:rPr>
      </w:pPr>
      <w:bookmarkStart w:id="14" w:name="_Toc5082"/>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bidi="ar"/>
        </w:rPr>
        <w:t xml:space="preserve"> 08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29 </w:t>
      </w:r>
      <w:r>
        <w:rPr>
          <w:rFonts w:hint="eastAsia" w:ascii="宋体" w:hAnsi="宋体" w:eastAsia="宋体" w:cs="宋体"/>
          <w:color w:val="auto"/>
          <w:sz w:val="24"/>
          <w:szCs w:val="24"/>
          <w:highlight w:val="none"/>
          <w:lang w:bidi="ar"/>
        </w:rPr>
        <w:t>日</w:t>
      </w:r>
      <w:r>
        <w:rPr>
          <w:rFonts w:hint="eastAsia" w:ascii="宋体" w:hAnsi="宋体" w:eastAsia="宋体" w:cs="宋体"/>
          <w:bCs/>
          <w:color w:val="auto"/>
          <w:sz w:val="24"/>
          <w:szCs w:val="24"/>
          <w:highlight w:val="none"/>
          <w:u w:val="single"/>
          <w:lang w:eastAsia="zh-CN"/>
        </w:rPr>
        <w:t>15点00分</w:t>
      </w:r>
      <w:r>
        <w:rPr>
          <w:rFonts w:hint="eastAsia" w:ascii="宋体" w:hAnsi="宋体" w:eastAsia="宋体" w:cs="宋体"/>
          <w:bCs/>
          <w:i/>
          <w:iCs/>
          <w:color w:val="auto"/>
          <w:sz w:val="24"/>
          <w:szCs w:val="24"/>
          <w:highlight w:val="none"/>
        </w:rPr>
        <w:t>（北京时间）</w:t>
      </w:r>
    </w:p>
    <w:p w14:paraId="680B2897">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bidi="ar"/>
        </w:rPr>
        <w:t>滁州市城投工程咨询有限公司开标室（滁州市龙蟠大道109号房产商务大厦6楼603会议室）</w:t>
      </w:r>
    </w:p>
    <w:p w14:paraId="48B4EC07">
      <w:pPr>
        <w:spacing w:line="420" w:lineRule="exact"/>
        <w:ind w:firstLine="437"/>
        <w:outlineLvl w:val="1"/>
        <w:rPr>
          <w:rFonts w:hint="eastAsia" w:ascii="宋体" w:hAnsi="宋体" w:eastAsia="宋体" w:cs="宋体"/>
          <w:b/>
          <w:bCs/>
          <w:color w:val="auto"/>
          <w:sz w:val="24"/>
          <w:szCs w:val="18"/>
          <w:highlight w:val="none"/>
        </w:rPr>
      </w:pPr>
      <w:bookmarkStart w:id="15" w:name="_Toc7753"/>
      <w:r>
        <w:rPr>
          <w:rFonts w:hint="eastAsia" w:ascii="宋体" w:hAnsi="宋体" w:eastAsia="宋体" w:cs="宋体"/>
          <w:b/>
          <w:bCs/>
          <w:color w:val="auto"/>
          <w:sz w:val="24"/>
          <w:szCs w:val="18"/>
          <w:highlight w:val="none"/>
        </w:rPr>
        <w:t>五、</w:t>
      </w:r>
      <w:bookmarkEnd w:id="14"/>
      <w:bookmarkEnd w:id="15"/>
      <w:bookmarkStart w:id="16" w:name="_Toc13296"/>
      <w:r>
        <w:rPr>
          <w:rFonts w:hint="eastAsia" w:ascii="宋体" w:hAnsi="宋体" w:eastAsia="宋体" w:cs="宋体"/>
          <w:b/>
          <w:bCs/>
          <w:color w:val="auto"/>
          <w:sz w:val="24"/>
          <w:szCs w:val="18"/>
          <w:highlight w:val="none"/>
        </w:rPr>
        <w:t>对本次招标提出询问，请按以下方式联系</w:t>
      </w:r>
      <w:bookmarkEnd w:id="16"/>
    </w:p>
    <w:p w14:paraId="02C38111">
      <w:pPr>
        <w:spacing w:line="420" w:lineRule="exact"/>
        <w:ind w:firstLine="437"/>
        <w:outlineLvl w:val="2"/>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1.采购人信息</w:t>
      </w:r>
    </w:p>
    <w:p w14:paraId="6945AB24">
      <w:pPr>
        <w:spacing w:line="420" w:lineRule="exact"/>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eastAsia="zh-CN"/>
        </w:rPr>
        <w:t>中共滁州市委政法委员会</w:t>
      </w:r>
    </w:p>
    <w:p w14:paraId="13A1A46C">
      <w:pPr>
        <w:spacing w:line="420" w:lineRule="exact"/>
        <w:ind w:firstLine="435"/>
        <w:rPr>
          <w:rFonts w:hint="eastAsia" w:ascii="宋体" w:hAnsi="宋体" w:eastAsia="宋体" w:cs="宋体"/>
          <w:color w:val="auto"/>
          <w:sz w:val="24"/>
          <w:szCs w:val="18"/>
          <w:highlight w:val="none"/>
          <w:u w:val="single"/>
          <w:lang w:val="en-US" w:eastAsia="zh-CN"/>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val="en-US" w:eastAsia="zh-CN"/>
        </w:rPr>
        <w:t xml:space="preserve"> 滁州市政务中心东9楼 </w:t>
      </w:r>
    </w:p>
    <w:p w14:paraId="222B0A19">
      <w:pPr>
        <w:spacing w:line="42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u w:val="single"/>
          <w:lang w:eastAsia="zh-CN"/>
        </w:rPr>
        <w:t xml:space="preserve"> 王敏 </w:t>
      </w:r>
      <w:r>
        <w:rPr>
          <w:rFonts w:hint="eastAsia" w:ascii="宋体" w:hAnsi="宋体" w:eastAsia="宋体" w:cs="宋体"/>
          <w:color w:val="auto"/>
          <w:sz w:val="24"/>
          <w:szCs w:val="18"/>
          <w:highlight w:val="none"/>
          <w:u w:val="single"/>
          <w:lang w:val="en-US" w:eastAsia="zh-CN"/>
        </w:rPr>
        <w:t xml:space="preserve"> </w:t>
      </w:r>
      <w:r>
        <w:rPr>
          <w:rFonts w:hint="eastAsia" w:ascii="宋体" w:hAnsi="宋体" w:eastAsia="宋体" w:cs="宋体"/>
          <w:color w:val="auto"/>
          <w:sz w:val="24"/>
          <w:szCs w:val="18"/>
          <w:highlight w:val="none"/>
        </w:rPr>
        <w:t xml:space="preserve"> </w:t>
      </w:r>
    </w:p>
    <w:p w14:paraId="0CD67FBF">
      <w:pPr>
        <w:spacing w:line="420" w:lineRule="exact"/>
        <w:ind w:firstLine="435"/>
        <w:rPr>
          <w:rFonts w:hint="eastAsia" w:ascii="宋体" w:hAnsi="宋体" w:eastAsia="宋体" w:cs="宋体"/>
          <w:color w:val="auto"/>
          <w:sz w:val="24"/>
          <w:szCs w:val="18"/>
          <w:highlight w:val="none"/>
          <w:u w:val="single"/>
          <w:lang w:val="en-US" w:eastAsia="zh-CN"/>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u w:val="single"/>
          <w:lang w:eastAsia="zh-CN"/>
        </w:rPr>
        <w:t xml:space="preserve"> 152 1218 9272</w:t>
      </w:r>
      <w:r>
        <w:rPr>
          <w:rFonts w:hint="eastAsia" w:ascii="宋体" w:hAnsi="宋体" w:eastAsia="宋体" w:cs="宋体"/>
          <w:color w:val="auto"/>
          <w:sz w:val="24"/>
          <w:szCs w:val="18"/>
          <w:highlight w:val="none"/>
          <w:u w:val="single"/>
          <w:lang w:val="en-US" w:eastAsia="zh-CN"/>
        </w:rPr>
        <w:t xml:space="preserve"> </w:t>
      </w:r>
    </w:p>
    <w:p w14:paraId="24408746">
      <w:pPr>
        <w:spacing w:line="420" w:lineRule="exact"/>
        <w:ind w:firstLine="437"/>
        <w:outlineLvl w:val="2"/>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2.采购代理机构信息</w:t>
      </w:r>
    </w:p>
    <w:p w14:paraId="57702E42">
      <w:pPr>
        <w:spacing w:line="420" w:lineRule="exact"/>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u w:val="single"/>
          <w:lang w:eastAsia="zh-CN"/>
        </w:rPr>
        <w:t xml:space="preserve"> 滁州市城投工程咨询管理有限公司</w:t>
      </w:r>
    </w:p>
    <w:p w14:paraId="42808993">
      <w:pPr>
        <w:spacing w:line="420" w:lineRule="exact"/>
        <w:ind w:firstLine="435"/>
        <w:rPr>
          <w:rFonts w:hint="eastAsia" w:ascii="宋体" w:hAnsi="宋体" w:eastAsia="宋体" w:cs="宋体"/>
          <w:color w:val="auto"/>
          <w:sz w:val="24"/>
          <w:szCs w:val="18"/>
          <w:highlight w:val="none"/>
          <w:u w:val="single"/>
          <w:lang w:eastAsia="zh-CN"/>
        </w:rPr>
      </w:pPr>
      <w:r>
        <w:rPr>
          <w:rFonts w:hint="eastAsia" w:ascii="宋体" w:hAnsi="宋体" w:eastAsia="宋体" w:cs="宋体"/>
          <w:color w:val="auto"/>
          <w:sz w:val="24"/>
          <w:szCs w:val="18"/>
          <w:highlight w:val="none"/>
        </w:rPr>
        <w:t>地  址：</w:t>
      </w:r>
      <w:r>
        <w:rPr>
          <w:rFonts w:hint="eastAsia" w:ascii="宋体" w:hAnsi="宋体" w:eastAsia="宋体" w:cs="宋体"/>
          <w:color w:val="auto"/>
          <w:sz w:val="24"/>
          <w:szCs w:val="18"/>
          <w:highlight w:val="none"/>
          <w:u w:val="single"/>
          <w:lang w:eastAsia="zh-CN"/>
        </w:rPr>
        <w:t>滁州市龙蟠大道109号房产大厦6楼</w:t>
      </w:r>
    </w:p>
    <w:p w14:paraId="574161D5">
      <w:pPr>
        <w:spacing w:line="420" w:lineRule="exact"/>
        <w:ind w:firstLine="435"/>
        <w:rPr>
          <w:rFonts w:hint="eastAsia" w:ascii="宋体" w:hAnsi="宋体" w:eastAsia="宋体" w:cs="宋体"/>
          <w:color w:val="auto"/>
          <w:highlight w:val="none"/>
        </w:rPr>
      </w:pPr>
      <w:r>
        <w:rPr>
          <w:rFonts w:hint="eastAsia" w:ascii="宋体" w:hAnsi="宋体" w:eastAsia="宋体" w:cs="宋体"/>
          <w:color w:val="auto"/>
          <w:sz w:val="24"/>
          <w:szCs w:val="18"/>
          <w:highlight w:val="none"/>
        </w:rPr>
        <w:t>联系人：</w:t>
      </w:r>
      <w:r>
        <w:rPr>
          <w:rFonts w:hint="eastAsia" w:ascii="宋体" w:hAnsi="宋体" w:eastAsia="宋体" w:cs="宋体"/>
          <w:color w:val="auto"/>
          <w:sz w:val="24"/>
          <w:szCs w:val="18"/>
          <w:highlight w:val="none"/>
          <w:u w:val="single"/>
        </w:rPr>
        <w:t xml:space="preserve">  毕玉</w:t>
      </w:r>
    </w:p>
    <w:p w14:paraId="4E2A40AE">
      <w:pPr>
        <w:spacing w:line="42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联系方式：</w:t>
      </w:r>
      <w:r>
        <w:rPr>
          <w:rFonts w:hint="eastAsia" w:ascii="宋体" w:hAnsi="宋体" w:eastAsia="宋体" w:cs="宋体"/>
          <w:color w:val="auto"/>
          <w:sz w:val="24"/>
          <w:szCs w:val="18"/>
          <w:highlight w:val="none"/>
          <w:u w:val="single"/>
        </w:rPr>
        <w:t>0550-3519598、15385506369</w:t>
      </w:r>
    </w:p>
    <w:p w14:paraId="3BEE2448">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0D629FCC">
      <w:pPr>
        <w:spacing w:line="360" w:lineRule="auto"/>
        <w:jc w:val="center"/>
        <w:outlineLvl w:val="0"/>
        <w:rPr>
          <w:rFonts w:hint="eastAsia" w:ascii="宋体" w:hAnsi="宋体" w:eastAsia="宋体" w:cs="宋体"/>
          <w:b/>
          <w:color w:val="auto"/>
          <w:sz w:val="28"/>
          <w:highlight w:val="none"/>
        </w:rPr>
      </w:pPr>
      <w:bookmarkStart w:id="17" w:name="_Toc8888"/>
      <w:r>
        <w:rPr>
          <w:rFonts w:hint="eastAsia" w:ascii="宋体" w:hAnsi="宋体" w:eastAsia="宋体" w:cs="宋体"/>
          <w:b/>
          <w:color w:val="auto"/>
          <w:sz w:val="28"/>
          <w:highlight w:val="none"/>
        </w:rPr>
        <w:t>第二章  投标人须知</w:t>
      </w:r>
      <w:bookmarkEnd w:id="17"/>
    </w:p>
    <w:p w14:paraId="45C0AE28">
      <w:pPr>
        <w:spacing w:line="360" w:lineRule="auto"/>
        <w:jc w:val="center"/>
        <w:outlineLvl w:val="1"/>
        <w:rPr>
          <w:rFonts w:hint="eastAsia" w:ascii="宋体" w:hAnsi="宋体" w:eastAsia="宋体" w:cs="宋体"/>
          <w:b/>
          <w:color w:val="auto"/>
          <w:sz w:val="24"/>
          <w:highlight w:val="none"/>
        </w:rPr>
      </w:pPr>
      <w:bookmarkStart w:id="18" w:name="_Toc13589"/>
      <w:bookmarkStart w:id="19" w:name="_Toc7178"/>
      <w:r>
        <w:rPr>
          <w:rFonts w:hint="eastAsia" w:ascii="宋体" w:hAnsi="宋体" w:eastAsia="宋体" w:cs="宋体"/>
          <w:b/>
          <w:color w:val="auto"/>
          <w:sz w:val="24"/>
          <w:highlight w:val="none"/>
        </w:rPr>
        <w:t>一、投标人须知前附表</w:t>
      </w:r>
      <w:bookmarkEnd w:id="18"/>
      <w:bookmarkEnd w:id="19"/>
    </w:p>
    <w:p w14:paraId="5AD351A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84"/>
        <w:gridCol w:w="1230"/>
        <w:gridCol w:w="4919"/>
      </w:tblGrid>
      <w:tr w14:paraId="793F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2" w:type="dxa"/>
            <w:vAlign w:val="center"/>
          </w:tcPr>
          <w:p w14:paraId="3CADB787">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2184" w:type="dxa"/>
            <w:vAlign w:val="center"/>
          </w:tcPr>
          <w:p w14:paraId="1F230CC8">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6149" w:type="dxa"/>
            <w:gridSpan w:val="2"/>
            <w:vAlign w:val="center"/>
          </w:tcPr>
          <w:p w14:paraId="60E58CA2">
            <w:pPr>
              <w:pStyle w:val="46"/>
              <w:widowControl w:val="0"/>
              <w:spacing w:before="0" w:beforeAutospacing="0" w:after="0" w:afterAutospacing="0" w:line="440" w:lineRule="exact"/>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5347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CF3778F">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5.2</w:t>
            </w:r>
          </w:p>
        </w:tc>
        <w:tc>
          <w:tcPr>
            <w:tcW w:w="2184" w:type="dxa"/>
            <w:vAlign w:val="center"/>
          </w:tcPr>
          <w:p w14:paraId="08A9A00E">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kern w:val="2"/>
                <w:sz w:val="24"/>
                <w:szCs w:val="22"/>
                <w:highlight w:val="none"/>
              </w:rPr>
              <w:t>现场考察或标前答疑会</w:t>
            </w:r>
          </w:p>
        </w:tc>
        <w:tc>
          <w:tcPr>
            <w:tcW w:w="6149" w:type="dxa"/>
            <w:gridSpan w:val="2"/>
            <w:vAlign w:val="center"/>
          </w:tcPr>
          <w:p w14:paraId="158FAD43">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p w14:paraId="5DF039E1">
            <w:pPr>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统一组织或统一召开</w:t>
            </w:r>
          </w:p>
          <w:p w14:paraId="292E9A19">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w:t>
            </w:r>
            <w:r>
              <w:rPr>
                <w:rFonts w:hint="eastAsia" w:ascii="宋体" w:hAnsi="宋体" w:eastAsia="宋体" w:cs="宋体"/>
                <w:bCs/>
                <w:color w:val="auto"/>
                <w:sz w:val="24"/>
                <w:highlight w:val="none"/>
              </w:rPr>
              <w:t>分</w:t>
            </w:r>
          </w:p>
          <w:p w14:paraId="05980DF5">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w:t>
            </w:r>
          </w:p>
          <w:p w14:paraId="3913E5B9">
            <w:pPr>
              <w:spacing w:line="440" w:lineRule="exact"/>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w:t>
            </w:r>
          </w:p>
          <w:p w14:paraId="55B2DFA7">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4E3F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109354A">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6.1</w:t>
            </w:r>
          </w:p>
        </w:tc>
        <w:tc>
          <w:tcPr>
            <w:tcW w:w="2184" w:type="dxa"/>
            <w:vAlign w:val="center"/>
          </w:tcPr>
          <w:p w14:paraId="58E9782C">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6149" w:type="dxa"/>
            <w:gridSpan w:val="2"/>
            <w:vAlign w:val="center"/>
          </w:tcPr>
          <w:p w14:paraId="3E5325AD">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202</w:t>
            </w:r>
            <w:r>
              <w:rPr>
                <w:rFonts w:hint="eastAsia" w:ascii="宋体" w:hAnsi="宋体" w:eastAsia="宋体" w:cs="宋体"/>
                <w:b w:val="0"/>
                <w:color w:val="auto"/>
                <w:sz w:val="24"/>
                <w:highlight w:val="none"/>
                <w:u w:val="single"/>
                <w:lang w:val="en-US" w:eastAsia="zh-CN"/>
              </w:rPr>
              <w:t>5</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 xml:space="preserve">08 </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 xml:space="preserve"> 28</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rPr>
              <w:t>30</w:t>
            </w:r>
            <w:r>
              <w:rPr>
                <w:rFonts w:hint="eastAsia" w:ascii="宋体" w:hAnsi="宋体" w:eastAsia="宋体" w:cs="宋体"/>
                <w:b w:val="0"/>
                <w:color w:val="auto"/>
                <w:sz w:val="24"/>
                <w:highlight w:val="none"/>
              </w:rPr>
              <w:t>分</w:t>
            </w:r>
          </w:p>
        </w:tc>
      </w:tr>
      <w:tr w14:paraId="1FA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AF0ABF4">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7.1</w:t>
            </w:r>
          </w:p>
        </w:tc>
        <w:tc>
          <w:tcPr>
            <w:tcW w:w="2184" w:type="dxa"/>
            <w:vAlign w:val="center"/>
          </w:tcPr>
          <w:p w14:paraId="63561BBF">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6149" w:type="dxa"/>
            <w:gridSpan w:val="2"/>
            <w:vAlign w:val="center"/>
          </w:tcPr>
          <w:p w14:paraId="7D524D2C">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highlight w:val="none"/>
              </w:rPr>
              <w:t>不分包     □分为</w:t>
            </w:r>
            <w:r>
              <w:rPr>
                <w:rFonts w:hint="eastAsia" w:ascii="宋体" w:hAnsi="宋体" w:eastAsia="宋体" w:cs="宋体"/>
                <w:b w:val="0"/>
                <w:color w:val="auto"/>
                <w:sz w:val="24"/>
                <w:highlight w:val="none"/>
                <w:u w:val="single"/>
              </w:rPr>
              <w:t>/</w:t>
            </w:r>
            <w:r>
              <w:rPr>
                <w:rFonts w:hint="eastAsia" w:ascii="宋体" w:hAnsi="宋体" w:eastAsia="宋体" w:cs="宋体"/>
                <w:b w:val="0"/>
                <w:color w:val="auto"/>
                <w:sz w:val="24"/>
                <w:highlight w:val="none"/>
              </w:rPr>
              <w:t>个包</w:t>
            </w:r>
          </w:p>
          <w:p w14:paraId="48E8A1D4">
            <w:pPr>
              <w:pStyle w:val="46"/>
              <w:widowControl w:val="0"/>
              <w:spacing w:before="0" w:beforeAutospacing="0" w:after="0" w:afterAutospacing="0" w:line="440" w:lineRule="exact"/>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color w:val="auto"/>
                <w:sz w:val="24"/>
                <w:highlight w:val="none"/>
                <w:u w:val="single"/>
              </w:rPr>
              <w:t>/</w:t>
            </w:r>
            <w:r>
              <w:rPr>
                <w:rFonts w:hint="eastAsia" w:ascii="宋体" w:hAnsi="宋体" w:eastAsia="宋体" w:cs="宋体"/>
                <w:b w:val="0"/>
                <w:bCs w:val="0"/>
                <w:color w:val="auto"/>
                <w:sz w:val="24"/>
                <w:szCs w:val="18"/>
                <w:highlight w:val="none"/>
                <w:u w:val="single"/>
              </w:rPr>
              <w:t xml:space="preserve"> </w:t>
            </w:r>
          </w:p>
        </w:tc>
      </w:tr>
      <w:tr w14:paraId="4DF0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4981F63">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10.1</w:t>
            </w:r>
          </w:p>
        </w:tc>
        <w:tc>
          <w:tcPr>
            <w:tcW w:w="2184" w:type="dxa"/>
            <w:vAlign w:val="center"/>
          </w:tcPr>
          <w:p w14:paraId="199861B1">
            <w:pPr>
              <w:pStyle w:val="46"/>
              <w:widowControl w:val="0"/>
              <w:spacing w:before="0" w:beforeAutospacing="0" w:after="0" w:afterAutospacing="0" w:line="440" w:lineRule="exact"/>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6149" w:type="dxa"/>
            <w:gridSpan w:val="2"/>
            <w:vAlign w:val="center"/>
          </w:tcPr>
          <w:p w14:paraId="6674926A">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不收取</w:t>
            </w:r>
          </w:p>
        </w:tc>
      </w:tr>
      <w:tr w14:paraId="5E6C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CE5F00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11.1</w:t>
            </w:r>
          </w:p>
        </w:tc>
        <w:tc>
          <w:tcPr>
            <w:tcW w:w="2184" w:type="dxa"/>
            <w:vAlign w:val="center"/>
          </w:tcPr>
          <w:p w14:paraId="2853A5DF">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6149" w:type="dxa"/>
            <w:gridSpan w:val="2"/>
            <w:vAlign w:val="center"/>
          </w:tcPr>
          <w:p w14:paraId="7591A089">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90</w:t>
            </w:r>
            <w:r>
              <w:rPr>
                <w:rFonts w:hint="eastAsia" w:ascii="宋体" w:hAnsi="宋体" w:eastAsia="宋体" w:cs="宋体"/>
                <w:b w:val="0"/>
                <w:color w:val="auto"/>
                <w:sz w:val="24"/>
                <w:highlight w:val="none"/>
              </w:rPr>
              <w:t>日历日</w:t>
            </w:r>
          </w:p>
        </w:tc>
      </w:tr>
      <w:tr w14:paraId="0CC1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1012" w:type="dxa"/>
            <w:vMerge w:val="restart"/>
            <w:vAlign w:val="center"/>
          </w:tcPr>
          <w:p w14:paraId="03149BB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12</w:t>
            </w:r>
          </w:p>
        </w:tc>
        <w:tc>
          <w:tcPr>
            <w:tcW w:w="2184" w:type="dxa"/>
            <w:vMerge w:val="restart"/>
            <w:vAlign w:val="center"/>
          </w:tcPr>
          <w:p w14:paraId="0FBA27A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投标文件的递交</w:t>
            </w:r>
          </w:p>
        </w:tc>
        <w:tc>
          <w:tcPr>
            <w:tcW w:w="1230" w:type="dxa"/>
            <w:vAlign w:val="center"/>
          </w:tcPr>
          <w:p w14:paraId="3375DDFA">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响应文件份数</w:t>
            </w:r>
          </w:p>
        </w:tc>
        <w:tc>
          <w:tcPr>
            <w:tcW w:w="4919" w:type="dxa"/>
            <w:vAlign w:val="center"/>
          </w:tcPr>
          <w:p w14:paraId="4923A11F">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份数：正本 1 份，副本2份；</w:t>
            </w:r>
            <w:r>
              <w:rPr>
                <w:rFonts w:hint="eastAsia" w:ascii="宋体" w:hAnsi="宋体" w:eastAsia="宋体" w:cs="宋体"/>
                <w:b/>
                <w:bCs w:val="0"/>
                <w:color w:val="auto"/>
                <w:kern w:val="0"/>
                <w:sz w:val="24"/>
                <w:szCs w:val="28"/>
                <w:highlight w:val="none"/>
                <w:lang w:val="en-US" w:eastAsia="zh-CN" w:bidi="ar-SA"/>
              </w:rPr>
              <w:t>正副本须分别密封</w:t>
            </w:r>
            <w:r>
              <w:rPr>
                <w:rFonts w:hint="eastAsia" w:ascii="宋体" w:hAnsi="宋体" w:eastAsia="宋体" w:cs="宋体"/>
                <w:b w:val="0"/>
                <w:bCs/>
                <w:color w:val="auto"/>
                <w:kern w:val="0"/>
                <w:sz w:val="24"/>
                <w:szCs w:val="28"/>
                <w:highlight w:val="none"/>
                <w:lang w:val="en-US" w:eastAsia="zh-CN" w:bidi="ar-SA"/>
              </w:rPr>
              <w:t>；</w:t>
            </w:r>
          </w:p>
          <w:p w14:paraId="0FAF46DB">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p>
          <w:p w14:paraId="2F76A0BF">
            <w:pP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包装袋上应载明的信息：</w:t>
            </w:r>
          </w:p>
          <w:p w14:paraId="05FA8F4D">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u w:val="single"/>
                <w:lang w:val="en-US" w:eastAsia="zh-CN" w:bidi="ar-SA"/>
              </w:rPr>
              <w:t xml:space="preserve">                         </w:t>
            </w:r>
            <w:r>
              <w:rPr>
                <w:rFonts w:hint="eastAsia" w:ascii="宋体" w:hAnsi="宋体" w:eastAsia="宋体" w:cs="宋体"/>
                <w:b w:val="0"/>
                <w:bCs/>
                <w:color w:val="auto"/>
                <w:kern w:val="0"/>
                <w:sz w:val="24"/>
                <w:szCs w:val="28"/>
                <w:highlight w:val="none"/>
                <w:lang w:val="en-US" w:eastAsia="zh-CN" w:bidi="ar-SA"/>
              </w:rPr>
              <w:t xml:space="preserve">（项目名称）响应文件                                                       </w:t>
            </w:r>
          </w:p>
          <w:p w14:paraId="4B62CF6E">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lang w:val="en-US" w:eastAsia="zh-CN" w:bidi="ar-SA"/>
              </w:rPr>
              <w:t>供应商地址：</w:t>
            </w:r>
            <w:r>
              <w:rPr>
                <w:rFonts w:hint="eastAsia" w:ascii="宋体" w:hAnsi="宋体" w:eastAsia="宋体" w:cs="宋体"/>
                <w:b w:val="0"/>
                <w:bCs/>
                <w:color w:val="auto"/>
                <w:kern w:val="0"/>
                <w:sz w:val="24"/>
                <w:szCs w:val="28"/>
                <w:highlight w:val="none"/>
                <w:u w:val="single"/>
                <w:lang w:val="en-US" w:eastAsia="zh-CN" w:bidi="ar-SA"/>
              </w:rPr>
              <w:t xml:space="preserve">                   </w:t>
            </w:r>
          </w:p>
          <w:p w14:paraId="359878DB">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kern w:val="0"/>
                <w:sz w:val="24"/>
                <w:szCs w:val="28"/>
                <w:highlight w:val="none"/>
                <w:u w:val="single"/>
                <w:lang w:val="en-US" w:eastAsia="zh-CN" w:bidi="ar-SA"/>
              </w:rPr>
            </w:pPr>
            <w:r>
              <w:rPr>
                <w:rFonts w:hint="eastAsia" w:ascii="宋体" w:hAnsi="宋体" w:eastAsia="宋体" w:cs="宋体"/>
                <w:b w:val="0"/>
                <w:bCs/>
                <w:color w:val="auto"/>
                <w:kern w:val="0"/>
                <w:sz w:val="24"/>
                <w:szCs w:val="28"/>
                <w:highlight w:val="none"/>
                <w:lang w:val="en-US" w:eastAsia="zh-CN" w:bidi="ar-SA"/>
              </w:rPr>
              <w:t>供应商名称：</w:t>
            </w:r>
            <w:r>
              <w:rPr>
                <w:rFonts w:hint="eastAsia" w:ascii="宋体" w:hAnsi="宋体" w:eastAsia="宋体" w:cs="宋体"/>
                <w:b w:val="0"/>
                <w:bCs/>
                <w:color w:val="auto"/>
                <w:kern w:val="0"/>
                <w:sz w:val="24"/>
                <w:szCs w:val="28"/>
                <w:highlight w:val="none"/>
                <w:u w:val="single"/>
                <w:lang w:val="en-US" w:eastAsia="zh-CN" w:bidi="ar-SA"/>
              </w:rPr>
              <w:t xml:space="preserve">                   </w:t>
            </w:r>
          </w:p>
          <w:p w14:paraId="44F9DE3E">
            <w:pPr>
              <w:pStyle w:val="16"/>
              <w:numPr>
                <w:ilvl w:val="1"/>
                <w:numId w:val="0"/>
              </w:numPr>
              <w:ind w:left="0" w:leftChars="0" w:firstLine="0" w:firstLineChars="0"/>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在2025年 月 日 时  分（开启时间）前不得开启</w:t>
            </w:r>
          </w:p>
        </w:tc>
      </w:tr>
      <w:tr w14:paraId="68F9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12" w:type="dxa"/>
            <w:vMerge w:val="continue"/>
            <w:vAlign w:val="center"/>
          </w:tcPr>
          <w:p w14:paraId="24AC5EE4">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p>
        </w:tc>
        <w:tc>
          <w:tcPr>
            <w:tcW w:w="2184" w:type="dxa"/>
            <w:vMerge w:val="continue"/>
            <w:vAlign w:val="center"/>
          </w:tcPr>
          <w:p w14:paraId="19EF3A5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p>
        </w:tc>
        <w:tc>
          <w:tcPr>
            <w:tcW w:w="1230" w:type="dxa"/>
            <w:vAlign w:val="center"/>
          </w:tcPr>
          <w:p w14:paraId="0542EECB">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开启时间及地点</w:t>
            </w:r>
          </w:p>
        </w:tc>
        <w:tc>
          <w:tcPr>
            <w:tcW w:w="4919" w:type="dxa"/>
            <w:vAlign w:val="center"/>
          </w:tcPr>
          <w:p w14:paraId="453D5DF2">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收件人：滁州市城投工程咨询管理有限公司</w:t>
            </w:r>
          </w:p>
          <w:p w14:paraId="3A53BBA6">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时  间：2025年08月29日15点00分</w:t>
            </w:r>
          </w:p>
          <w:p w14:paraId="409C6B84">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地  点：滁州市城投工程咨询管理有限公司（滁州市南谯区龙蟠大道109号6楼603会议室）</w:t>
            </w:r>
          </w:p>
        </w:tc>
      </w:tr>
      <w:tr w14:paraId="4C07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12" w:type="dxa"/>
            <w:vMerge w:val="continue"/>
            <w:vAlign w:val="center"/>
          </w:tcPr>
          <w:p w14:paraId="3265BD53">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p>
        </w:tc>
        <w:tc>
          <w:tcPr>
            <w:tcW w:w="2184" w:type="dxa"/>
            <w:vMerge w:val="continue"/>
            <w:vAlign w:val="center"/>
          </w:tcPr>
          <w:p w14:paraId="27C3B92D">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p>
        </w:tc>
        <w:tc>
          <w:tcPr>
            <w:tcW w:w="1230" w:type="dxa"/>
            <w:vAlign w:val="center"/>
          </w:tcPr>
          <w:p w14:paraId="411B7A4D">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开标程序</w:t>
            </w:r>
          </w:p>
        </w:tc>
        <w:tc>
          <w:tcPr>
            <w:tcW w:w="4919" w:type="dxa"/>
            <w:vAlign w:val="center"/>
          </w:tcPr>
          <w:p w14:paraId="55F38FB2">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响应文件密封情况检查：由供应商或其推选的代表检查响应文件的密封情况。</w:t>
            </w:r>
          </w:p>
          <w:p w14:paraId="76DAA93F">
            <w:pPr>
              <w:pageBreakBefore w:val="0"/>
              <w:kinsoku/>
              <w:wordWrap w:val="0"/>
              <w:topLinePunct w:val="0"/>
              <w:bidi w:val="0"/>
              <w:spacing w:line="500" w:lineRule="exact"/>
              <w:rPr>
                <w:rFonts w:hint="eastAsia" w:ascii="宋体" w:hAnsi="宋体" w:eastAsia="宋体" w:cs="宋体"/>
                <w:b w:val="0"/>
                <w:color w:val="auto"/>
                <w:sz w:val="24"/>
                <w:highlight w:val="none"/>
                <w:u w:val="single"/>
              </w:rPr>
            </w:pPr>
            <w:r>
              <w:rPr>
                <w:rFonts w:hint="eastAsia" w:ascii="宋体" w:hAnsi="宋体" w:eastAsia="宋体" w:cs="宋体"/>
                <w:b w:val="0"/>
                <w:bCs/>
                <w:color w:val="auto"/>
                <w:kern w:val="0"/>
                <w:sz w:val="24"/>
                <w:szCs w:val="28"/>
                <w:highlight w:val="none"/>
                <w:lang w:val="en-US" w:eastAsia="zh-CN" w:bidi="ar-SA"/>
              </w:rPr>
              <w:t>开标顺序：根据现场递交情况进行开唱标，并递交给评审小组评审。</w:t>
            </w:r>
          </w:p>
        </w:tc>
      </w:tr>
      <w:tr w14:paraId="1BC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424375D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14</w:t>
            </w:r>
          </w:p>
        </w:tc>
        <w:tc>
          <w:tcPr>
            <w:tcW w:w="2184" w:type="dxa"/>
            <w:vAlign w:val="center"/>
          </w:tcPr>
          <w:p w14:paraId="7EE5455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评标委员会组建</w:t>
            </w:r>
          </w:p>
        </w:tc>
        <w:tc>
          <w:tcPr>
            <w:tcW w:w="6149" w:type="dxa"/>
            <w:gridSpan w:val="2"/>
            <w:vAlign w:val="center"/>
          </w:tcPr>
          <w:p w14:paraId="411B2214">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评标委员会由采购人组建，人数：3人。</w:t>
            </w:r>
          </w:p>
        </w:tc>
      </w:tr>
      <w:tr w14:paraId="1D3F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shd w:val="clear" w:color="auto" w:fill="auto"/>
            <w:vAlign w:val="center"/>
          </w:tcPr>
          <w:p w14:paraId="56729708">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highlight w:val="none"/>
              </w:rPr>
              <w:t>17.2</w:t>
            </w:r>
          </w:p>
        </w:tc>
        <w:tc>
          <w:tcPr>
            <w:tcW w:w="2184" w:type="dxa"/>
            <w:shd w:val="clear" w:color="auto" w:fill="auto"/>
            <w:vAlign w:val="center"/>
          </w:tcPr>
          <w:p w14:paraId="4AEDDEFC">
            <w:pPr>
              <w:pStyle w:val="46"/>
              <w:widowControl w:val="0"/>
              <w:spacing w:before="0" w:beforeAutospacing="0" w:after="0" w:afterAutospacing="0" w:line="440" w:lineRule="exact"/>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评标方法</w:t>
            </w:r>
          </w:p>
        </w:tc>
        <w:tc>
          <w:tcPr>
            <w:tcW w:w="6149" w:type="dxa"/>
            <w:gridSpan w:val="2"/>
            <w:shd w:val="clear" w:color="auto" w:fill="auto"/>
            <w:vAlign w:val="center"/>
          </w:tcPr>
          <w:p w14:paraId="44B9FEB5">
            <w:pPr>
              <w:pStyle w:val="46"/>
              <w:widowControl w:val="0"/>
              <w:spacing w:before="0" w:beforeAutospacing="0" w:after="0" w:afterAutospacing="0" w:line="440" w:lineRule="exact"/>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rPr>
              <w:t>综合评分法</w:t>
            </w:r>
          </w:p>
        </w:tc>
      </w:tr>
      <w:tr w14:paraId="73B2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3CCE307D">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21.1</w:t>
            </w:r>
          </w:p>
        </w:tc>
        <w:tc>
          <w:tcPr>
            <w:tcW w:w="2184" w:type="dxa"/>
            <w:vAlign w:val="center"/>
          </w:tcPr>
          <w:p w14:paraId="190484CB">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6149" w:type="dxa"/>
            <w:gridSpan w:val="2"/>
            <w:vAlign w:val="center"/>
          </w:tcPr>
          <w:p w14:paraId="1EC15B19">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评标委员会推荐3名中标候选人。</w:t>
            </w:r>
          </w:p>
        </w:tc>
      </w:tr>
      <w:tr w14:paraId="4DDA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3133529">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21.2</w:t>
            </w:r>
          </w:p>
        </w:tc>
        <w:tc>
          <w:tcPr>
            <w:tcW w:w="2184" w:type="dxa"/>
            <w:vAlign w:val="center"/>
          </w:tcPr>
          <w:p w14:paraId="0D22D7A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6149" w:type="dxa"/>
            <w:gridSpan w:val="2"/>
            <w:vAlign w:val="center"/>
          </w:tcPr>
          <w:p w14:paraId="53539DF7">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516991CC">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1249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20BEDA25">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23.3</w:t>
            </w:r>
          </w:p>
        </w:tc>
        <w:tc>
          <w:tcPr>
            <w:tcW w:w="2184" w:type="dxa"/>
            <w:vAlign w:val="center"/>
          </w:tcPr>
          <w:p w14:paraId="48B19E7B">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随中标结果公告同时公告的内容</w:t>
            </w:r>
          </w:p>
        </w:tc>
        <w:tc>
          <w:tcPr>
            <w:tcW w:w="6149" w:type="dxa"/>
            <w:gridSpan w:val="2"/>
            <w:vAlign w:val="center"/>
          </w:tcPr>
          <w:p w14:paraId="639FC700">
            <w:pPr>
              <w:pStyle w:val="4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rPr>
              <w:t>中标（成交）供应商的评审总得分。</w:t>
            </w:r>
          </w:p>
        </w:tc>
      </w:tr>
      <w:tr w14:paraId="0488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8AE095E">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24.1</w:t>
            </w:r>
          </w:p>
        </w:tc>
        <w:tc>
          <w:tcPr>
            <w:tcW w:w="2184" w:type="dxa"/>
            <w:vAlign w:val="center"/>
          </w:tcPr>
          <w:p w14:paraId="774AE41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6149" w:type="dxa"/>
            <w:gridSpan w:val="2"/>
            <w:vAlign w:val="center"/>
          </w:tcPr>
          <w:p w14:paraId="1A7B676B">
            <w:pPr>
              <w:pStyle w:val="46"/>
              <w:widowControl w:val="0"/>
              <w:spacing w:before="0" w:beforeAutospacing="0" w:after="0" w:afterAutospacing="0" w:line="44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p>
        </w:tc>
      </w:tr>
      <w:tr w14:paraId="39E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F84D33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25.1</w:t>
            </w:r>
          </w:p>
        </w:tc>
        <w:tc>
          <w:tcPr>
            <w:tcW w:w="2184" w:type="dxa"/>
            <w:vAlign w:val="center"/>
          </w:tcPr>
          <w:p w14:paraId="74E0A38E">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6149" w:type="dxa"/>
            <w:gridSpan w:val="2"/>
            <w:vAlign w:val="center"/>
          </w:tcPr>
          <w:p w14:paraId="7AE56AF2">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在招标公告发布的网站公示</w:t>
            </w:r>
          </w:p>
        </w:tc>
      </w:tr>
      <w:tr w14:paraId="0B13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6884004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26.1</w:t>
            </w:r>
          </w:p>
        </w:tc>
        <w:tc>
          <w:tcPr>
            <w:tcW w:w="2184" w:type="dxa"/>
            <w:vAlign w:val="center"/>
          </w:tcPr>
          <w:p w14:paraId="4C5DB51F">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6149" w:type="dxa"/>
            <w:gridSpan w:val="2"/>
          </w:tcPr>
          <w:p w14:paraId="488A11D5">
            <w:pPr>
              <w:spacing w:line="440" w:lineRule="exact"/>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20FF88D7">
            <w:pPr>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8"/>
                <w:highlight w:val="none"/>
              </w:rPr>
              <w:t>☑免收</w:t>
            </w:r>
          </w:p>
        </w:tc>
      </w:tr>
      <w:tr w14:paraId="6CFD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D60F74A">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27.1</w:t>
            </w:r>
          </w:p>
        </w:tc>
        <w:tc>
          <w:tcPr>
            <w:tcW w:w="2184" w:type="dxa"/>
            <w:vAlign w:val="center"/>
          </w:tcPr>
          <w:p w14:paraId="4BE89ED5">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签订合同和合同公告时间</w:t>
            </w:r>
          </w:p>
        </w:tc>
        <w:tc>
          <w:tcPr>
            <w:tcW w:w="6149" w:type="dxa"/>
            <w:gridSpan w:val="2"/>
          </w:tcPr>
          <w:p w14:paraId="03E0297E">
            <w:pPr>
              <w:adjustRightInd w:val="0"/>
              <w:snapToGrid w:val="0"/>
              <w:spacing w:line="440" w:lineRule="exact"/>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rPr>
              <w:t>（1）采购人与中标人应当自发出中标通知书之日起7个工作日内签订合同</w:t>
            </w:r>
            <w:r>
              <w:rPr>
                <w:rFonts w:hint="eastAsia" w:ascii="宋体" w:hAnsi="宋体" w:eastAsia="宋体" w:cs="宋体"/>
                <w:color w:val="auto"/>
                <w:sz w:val="24"/>
                <w:szCs w:val="24"/>
                <w:highlight w:val="none"/>
                <w:lang w:eastAsia="zh-CN"/>
              </w:rPr>
              <w:t>。</w:t>
            </w:r>
          </w:p>
        </w:tc>
      </w:tr>
      <w:tr w14:paraId="42DA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5DB7D647">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28.1</w:t>
            </w:r>
          </w:p>
        </w:tc>
        <w:tc>
          <w:tcPr>
            <w:tcW w:w="2184" w:type="dxa"/>
            <w:vAlign w:val="center"/>
          </w:tcPr>
          <w:p w14:paraId="3CCF01E6">
            <w:pPr>
              <w:pStyle w:val="46"/>
              <w:widowControl w:val="0"/>
              <w:spacing w:before="0" w:beforeAutospacing="0" w:after="0" w:afterAutospacing="0" w:line="440" w:lineRule="exact"/>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代理费用</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lang w:val="en-US" w:eastAsia="zh-CN"/>
              </w:rPr>
              <w:t>评审费用</w:t>
            </w:r>
          </w:p>
        </w:tc>
        <w:tc>
          <w:tcPr>
            <w:tcW w:w="6149" w:type="dxa"/>
            <w:gridSpan w:val="2"/>
            <w:vAlign w:val="center"/>
          </w:tcPr>
          <w:p w14:paraId="7C6BCD05">
            <w:pPr>
              <w:spacing w:before="39" w:line="440" w:lineRule="exact"/>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中标人</w:t>
            </w:r>
          </w:p>
          <w:p w14:paraId="6D2F8551">
            <w:pPr>
              <w:keepNext w:val="0"/>
              <w:keepLines w:val="0"/>
              <w:pageBreakBefore w:val="0"/>
              <w:kinsoku/>
              <w:wordWrap w:val="0"/>
              <w:overflowPunct/>
              <w:topLinePunct w:val="0"/>
              <w:bidi w:val="0"/>
              <w:spacing w:before="24"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领取成交通知书时一次性支付给代理机构。</w:t>
            </w:r>
          </w:p>
          <w:p w14:paraId="362DEFEC">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u w:val="single"/>
                <w:lang w:val="en-US" w:eastAsia="zh-CN" w:bidi="ar"/>
              </w:rPr>
            </w:pPr>
            <w:r>
              <w:rPr>
                <w:rFonts w:hint="eastAsia" w:ascii="宋体" w:hAnsi="宋体" w:eastAsia="宋体" w:cs="宋体"/>
                <w:b w:val="0"/>
                <w:bCs w:val="0"/>
                <w:color w:val="auto"/>
                <w:sz w:val="24"/>
                <w:highlight w:val="none"/>
              </w:rPr>
              <w:t>（3）</w:t>
            </w:r>
            <w:r>
              <w:rPr>
                <w:rFonts w:hint="eastAsia" w:ascii="宋体" w:hAnsi="宋体" w:eastAsia="宋体" w:cs="宋体"/>
                <w:b w:val="0"/>
                <w:color w:val="auto"/>
                <w:sz w:val="24"/>
                <w:highlight w:val="none"/>
              </w:rPr>
              <w:t>收费标准：</w:t>
            </w:r>
            <w:r>
              <w:rPr>
                <w:rFonts w:hint="eastAsia" w:ascii="宋体" w:hAnsi="宋体" w:eastAsia="宋体" w:cs="宋体"/>
                <w:b w:val="0"/>
                <w:bCs w:val="0"/>
                <w:color w:val="auto"/>
                <w:kern w:val="2"/>
                <w:sz w:val="24"/>
                <w:szCs w:val="24"/>
                <w:highlight w:val="none"/>
                <w:u w:val="single"/>
                <w:lang w:val="en-US" w:eastAsia="zh-CN" w:bidi="ar"/>
              </w:rPr>
              <w:t>1000元；</w:t>
            </w:r>
          </w:p>
          <w:p w14:paraId="39FC8095">
            <w:pPr>
              <w:pStyle w:val="46"/>
              <w:widowControl w:val="0"/>
              <w:spacing w:before="0" w:beforeAutospacing="0" w:after="0" w:afterAutospacing="0" w:line="440" w:lineRule="exact"/>
              <w:jc w:val="both"/>
              <w:rPr>
                <w:rFonts w:hint="eastAsia" w:ascii="宋体" w:hAnsi="宋体" w:eastAsia="宋体" w:cs="宋体"/>
                <w:b w:val="0"/>
                <w:bCs w:val="0"/>
                <w:color w:val="auto"/>
                <w:kern w:val="2"/>
                <w:sz w:val="24"/>
                <w:szCs w:val="24"/>
                <w:highlight w:val="none"/>
                <w:u w:val="single"/>
                <w:lang w:val="en-US" w:eastAsia="zh-CN" w:bidi="ar"/>
              </w:rPr>
            </w:pPr>
            <w:r>
              <w:rPr>
                <w:rFonts w:hint="eastAsia" w:ascii="宋体" w:hAnsi="宋体" w:eastAsia="宋体" w:cs="宋体"/>
                <w:b w:val="0"/>
                <w:bCs w:val="0"/>
                <w:color w:val="auto"/>
                <w:kern w:val="2"/>
                <w:sz w:val="24"/>
                <w:szCs w:val="24"/>
                <w:highlight w:val="none"/>
                <w:u w:val="none"/>
                <w:lang w:val="en-US" w:eastAsia="zh-CN" w:bidi="ar"/>
              </w:rPr>
              <w:t>（4）评审费用：</w:t>
            </w:r>
            <w:r>
              <w:rPr>
                <w:rFonts w:hint="eastAsia" w:ascii="宋体" w:hAnsi="宋体" w:eastAsia="宋体" w:cs="宋体"/>
                <w:b w:val="0"/>
                <w:bCs w:val="0"/>
                <w:color w:val="auto"/>
                <w:kern w:val="2"/>
                <w:sz w:val="24"/>
                <w:szCs w:val="24"/>
                <w:highlight w:val="none"/>
                <w:u w:val="single"/>
                <w:lang w:val="en-US" w:eastAsia="zh-CN" w:bidi="ar"/>
              </w:rPr>
              <w:t>由中标人支付，按实支付。</w:t>
            </w:r>
          </w:p>
        </w:tc>
      </w:tr>
      <w:tr w14:paraId="6764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1FB2743B">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31.3</w:t>
            </w:r>
          </w:p>
        </w:tc>
        <w:tc>
          <w:tcPr>
            <w:tcW w:w="2184" w:type="dxa"/>
            <w:vAlign w:val="center"/>
          </w:tcPr>
          <w:p w14:paraId="111ED88A">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6149" w:type="dxa"/>
            <w:gridSpan w:val="2"/>
            <w:vAlign w:val="center"/>
          </w:tcPr>
          <w:p w14:paraId="588E5609">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质疑：如供应商对招标文件有疑问，请于2025年08月 27日17时30分前以电子邮件形式发送至</w:t>
            </w:r>
            <w:r>
              <w:rPr>
                <w:rFonts w:hint="eastAsia" w:ascii="宋体" w:hAnsi="宋体" w:eastAsia="宋体" w:cs="宋体"/>
                <w:b w:val="0"/>
                <w:bCs/>
                <w:color w:val="auto"/>
                <w:kern w:val="0"/>
                <w:sz w:val="24"/>
                <w:szCs w:val="28"/>
                <w:highlight w:val="none"/>
                <w:lang w:val="en-US" w:eastAsia="zh-CN" w:bidi="ar-SA"/>
              </w:rPr>
              <w:fldChar w:fldCharType="begin"/>
            </w:r>
            <w:r>
              <w:rPr>
                <w:rFonts w:hint="eastAsia" w:ascii="宋体" w:hAnsi="宋体" w:eastAsia="宋体" w:cs="宋体"/>
                <w:b w:val="0"/>
                <w:bCs/>
                <w:color w:val="auto"/>
                <w:kern w:val="0"/>
                <w:sz w:val="24"/>
                <w:szCs w:val="28"/>
                <w:highlight w:val="none"/>
                <w:lang w:val="en-US" w:eastAsia="zh-CN" w:bidi="ar-SA"/>
              </w:rPr>
              <w:instrText xml:space="preserve"> HYPERLINK "mailto:czsctgczx@163.com。" </w:instrText>
            </w:r>
            <w:r>
              <w:rPr>
                <w:rFonts w:hint="eastAsia" w:ascii="宋体" w:hAnsi="宋体" w:eastAsia="宋体" w:cs="宋体"/>
                <w:b w:val="0"/>
                <w:bCs/>
                <w:color w:val="auto"/>
                <w:kern w:val="0"/>
                <w:sz w:val="24"/>
                <w:szCs w:val="28"/>
                <w:highlight w:val="none"/>
                <w:lang w:val="en-US" w:eastAsia="zh-CN" w:bidi="ar-SA"/>
              </w:rPr>
              <w:fldChar w:fldCharType="separate"/>
            </w:r>
            <w:r>
              <w:rPr>
                <w:rFonts w:hint="eastAsia" w:ascii="宋体" w:hAnsi="宋体" w:eastAsia="宋体" w:cs="宋体"/>
                <w:b w:val="0"/>
                <w:bCs/>
                <w:color w:val="auto"/>
                <w:kern w:val="0"/>
                <w:sz w:val="24"/>
                <w:szCs w:val="28"/>
                <w:highlight w:val="none"/>
                <w:lang w:val="en-US" w:eastAsia="zh-CN" w:bidi="ar-SA"/>
              </w:rPr>
              <w:t>czsctgczx@163.com。</w:t>
            </w:r>
            <w:r>
              <w:rPr>
                <w:rFonts w:hint="eastAsia" w:ascii="宋体" w:hAnsi="宋体" w:eastAsia="宋体" w:cs="宋体"/>
                <w:b w:val="0"/>
                <w:bCs/>
                <w:color w:val="auto"/>
                <w:kern w:val="0"/>
                <w:sz w:val="24"/>
                <w:szCs w:val="28"/>
                <w:highlight w:val="none"/>
                <w:lang w:val="en-US" w:eastAsia="zh-CN" w:bidi="ar-SA"/>
              </w:rPr>
              <w:fldChar w:fldCharType="end"/>
            </w:r>
          </w:p>
          <w:p w14:paraId="3C530056">
            <w:pPr>
              <w:pageBreakBefore w:val="0"/>
              <w:kinsoku/>
              <w:wordWrap w:val="0"/>
              <w:topLinePunct w:val="0"/>
              <w:bidi w:val="0"/>
              <w:spacing w:line="500" w:lineRule="exact"/>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0"/>
                <w:sz w:val="24"/>
                <w:szCs w:val="28"/>
                <w:highlight w:val="none"/>
                <w:lang w:val="en-US" w:eastAsia="zh-CN" w:bidi="ar-SA"/>
              </w:rPr>
              <w:t>答疑：采购人将在2025年08月28日12时前以公告形式发布在滁州市城投工程咨询管理有限公司（https://www.czctgczx.com/）。请各位供应商注意查看有关澄清内容，如不及时查看造成后果由供应商自负。</w:t>
            </w:r>
          </w:p>
        </w:tc>
      </w:tr>
      <w:tr w14:paraId="13BC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vAlign w:val="center"/>
          </w:tcPr>
          <w:p w14:paraId="09175E6D">
            <w:pPr>
              <w:pStyle w:val="47"/>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33</w:t>
            </w:r>
          </w:p>
        </w:tc>
        <w:tc>
          <w:tcPr>
            <w:tcW w:w="2184" w:type="dxa"/>
            <w:vAlign w:val="center"/>
          </w:tcPr>
          <w:p w14:paraId="55E14DE5">
            <w:pPr>
              <w:pStyle w:val="46"/>
              <w:widowControl w:val="0"/>
              <w:spacing w:before="0" w:beforeAutospacing="0" w:after="0" w:afterAutospacing="0" w:line="440" w:lineRule="exact"/>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6149" w:type="dxa"/>
            <w:gridSpan w:val="2"/>
            <w:vAlign w:val="center"/>
          </w:tcPr>
          <w:p w14:paraId="0A077F85">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1.供应商若为外资企业或法定代表人为非中华人民共和国公民，成交后将供应商及其法定代表人进行网上公示，如有失信行为将取消成交候选人资格。</w:t>
            </w:r>
          </w:p>
          <w:p w14:paraId="77461DAA">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2.本招标文件前后条款若有不一致之处，在澄清答疑时又未作出明确时，各供应商的响应文件只要满足其中任一条款均视为对招标文件的响应。</w:t>
            </w:r>
          </w:p>
          <w:p w14:paraId="6EB7E4E5">
            <w:pPr>
              <w:pageBreakBefore w:val="0"/>
              <w:kinsoku/>
              <w:wordWrap w:val="0"/>
              <w:topLinePunct w:val="0"/>
              <w:bidi w:val="0"/>
              <w:spacing w:line="500" w:lineRule="exac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3.评标委员会只依靠供应商递交的响应文件及其按照招标文件要求提供的所有证明材料进行评审，而不依靠任何外来的证明材料。</w:t>
            </w:r>
          </w:p>
          <w:p w14:paraId="5F955A1A">
            <w:pPr>
              <w:pageBreakBefore w:val="0"/>
              <w:kinsoku/>
              <w:wordWrap w:val="0"/>
              <w:topLinePunct w:val="0"/>
              <w:bidi w:val="0"/>
              <w:spacing w:line="500" w:lineRule="exact"/>
              <w:rPr>
                <w:rFonts w:hint="eastAsia" w:ascii="宋体" w:hAnsi="宋体" w:eastAsia="宋体" w:cs="宋体"/>
                <w:b w:val="0"/>
                <w:color w:val="auto"/>
                <w:kern w:val="2"/>
                <w:sz w:val="24"/>
                <w:szCs w:val="24"/>
                <w:highlight w:val="none"/>
              </w:rPr>
            </w:pPr>
            <w:r>
              <w:rPr>
                <w:rFonts w:hint="eastAsia" w:ascii="宋体" w:hAnsi="宋体" w:eastAsia="宋体" w:cs="宋体"/>
                <w:b w:val="0"/>
                <w:bCs/>
                <w:color w:val="auto"/>
                <w:kern w:val="0"/>
                <w:sz w:val="24"/>
                <w:szCs w:val="28"/>
                <w:highlight w:val="none"/>
                <w:lang w:val="en-US" w:eastAsia="zh-CN" w:bidi="ar-SA"/>
              </w:rPr>
              <w:t xml:space="preserve">4.本文件的最终解释权归采购人、代理机构所有。 </w:t>
            </w:r>
          </w:p>
        </w:tc>
      </w:tr>
    </w:tbl>
    <w:p w14:paraId="0979DECB">
      <w:pPr>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0" w:name="_Toc24882"/>
      <w:bookmarkStart w:id="21" w:name="_Toc9427"/>
      <w:r>
        <w:rPr>
          <w:rFonts w:hint="eastAsia" w:ascii="宋体" w:hAnsi="宋体" w:eastAsia="宋体" w:cs="宋体"/>
          <w:b/>
          <w:color w:val="auto"/>
          <w:sz w:val="24"/>
          <w:highlight w:val="none"/>
        </w:rPr>
        <w:t>二、投标人须知正文</w:t>
      </w:r>
      <w:bookmarkEnd w:id="20"/>
      <w:bookmarkEnd w:id="21"/>
    </w:p>
    <w:p w14:paraId="4B39556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1BEB5ED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w:t>
      </w:r>
      <w:r>
        <w:rPr>
          <w:rFonts w:hint="eastAsia" w:ascii="宋体" w:hAnsi="宋体" w:eastAsia="宋体" w:cs="宋体"/>
          <w:color w:val="auto"/>
          <w:sz w:val="24"/>
          <w:highlight w:val="none"/>
          <w:lang w:eastAsia="zh-CN"/>
        </w:rPr>
        <w:t>中共滁州市委政法委员会</w:t>
      </w:r>
      <w:r>
        <w:rPr>
          <w:rFonts w:hint="eastAsia" w:ascii="宋体" w:hAnsi="宋体" w:eastAsia="宋体" w:cs="宋体"/>
          <w:color w:val="auto"/>
          <w:sz w:val="24"/>
          <w:highlight w:val="none"/>
        </w:rPr>
        <w:t>。</w:t>
      </w:r>
    </w:p>
    <w:p w14:paraId="4E0B549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F7ECC64">
      <w:pPr>
        <w:spacing w:line="440" w:lineRule="exact"/>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1.3监督管理部门：</w:t>
      </w:r>
      <w:r>
        <w:rPr>
          <w:rFonts w:hint="eastAsia" w:ascii="宋体" w:hAnsi="宋体" w:eastAsia="宋体" w:cs="宋体"/>
          <w:color w:val="auto"/>
          <w:sz w:val="24"/>
          <w:highlight w:val="none"/>
          <w:lang w:val="en-US" w:eastAsia="zh-CN"/>
        </w:rPr>
        <w:t>/</w:t>
      </w:r>
    </w:p>
    <w:p w14:paraId="4AC731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1.4投标人：是指向采购人提供货物、工程或者服务的法人、其他组织或者自然人。分支机构不得参加采购活动，但银行、保险、石油石化、电力、电信等特殊行业除外。本项目的投标人须满足以下条件：</w:t>
      </w:r>
    </w:p>
    <w:p w14:paraId="63D62D7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w:t>
      </w:r>
      <w:r>
        <w:rPr>
          <w:rFonts w:hint="eastAsia" w:ascii="宋体" w:hAnsi="宋体" w:eastAsia="宋体" w:cs="宋体"/>
          <w:color w:val="auto"/>
          <w:sz w:val="24"/>
          <w:highlight w:val="none"/>
          <w:lang w:val="en-US" w:eastAsia="zh-CN"/>
        </w:rPr>
        <w:t>独立承担民事责任的能力</w:t>
      </w:r>
      <w:r>
        <w:rPr>
          <w:rFonts w:hint="eastAsia" w:ascii="宋体" w:hAnsi="宋体" w:eastAsia="宋体" w:cs="宋体"/>
          <w:color w:val="auto"/>
          <w:sz w:val="24"/>
          <w:highlight w:val="none"/>
        </w:rPr>
        <w:t>。</w:t>
      </w:r>
    </w:p>
    <w:p w14:paraId="7A52C93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4E4B792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3E54920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34A43B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r>
        <w:rPr>
          <w:rFonts w:hint="eastAsia" w:ascii="宋体" w:hAnsi="宋体" w:eastAsia="宋体" w:cs="宋体"/>
          <w:b/>
          <w:bCs w:val="0"/>
          <w:color w:val="auto"/>
          <w:kern w:val="0"/>
          <w:sz w:val="24"/>
          <w:szCs w:val="28"/>
          <w:highlight w:val="none"/>
          <w:lang w:eastAsia="zh-CN"/>
        </w:rPr>
        <w:t>（</w:t>
      </w:r>
      <w:r>
        <w:rPr>
          <w:rFonts w:hint="eastAsia" w:ascii="宋体" w:hAnsi="宋体" w:eastAsia="宋体" w:cs="宋体"/>
          <w:b/>
          <w:bCs w:val="0"/>
          <w:color w:val="auto"/>
          <w:kern w:val="0"/>
          <w:sz w:val="24"/>
          <w:szCs w:val="28"/>
          <w:highlight w:val="none"/>
          <w:lang w:val="en-US" w:eastAsia="zh-CN"/>
        </w:rPr>
        <w:t>本项目不采用</w:t>
      </w:r>
      <w:r>
        <w:rPr>
          <w:rFonts w:hint="eastAsia" w:ascii="宋体" w:hAnsi="宋体" w:eastAsia="宋体" w:cs="宋体"/>
          <w:b/>
          <w:bCs w:val="0"/>
          <w:color w:val="auto"/>
          <w:kern w:val="0"/>
          <w:sz w:val="24"/>
          <w:szCs w:val="28"/>
          <w:highlight w:val="none"/>
          <w:lang w:eastAsia="zh-CN"/>
        </w:rPr>
        <w:t>）</w:t>
      </w:r>
      <w:r>
        <w:rPr>
          <w:rFonts w:hint="eastAsia" w:ascii="宋体" w:hAnsi="宋体" w:eastAsia="宋体" w:cs="宋体"/>
          <w:color w:val="auto"/>
          <w:sz w:val="24"/>
          <w:highlight w:val="none"/>
        </w:rPr>
        <w:t>。</w:t>
      </w:r>
    </w:p>
    <w:p w14:paraId="60CCBF9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0AA7D42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26B0213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22ACFFC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5E1BDD0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3564604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本项目采购人、采购代理机构、供应商、</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小组的相关行为</w:t>
      </w:r>
      <w:r>
        <w:rPr>
          <w:rFonts w:hint="eastAsia" w:ascii="宋体" w:hAnsi="宋体" w:eastAsia="宋体" w:cs="宋体"/>
          <w:color w:val="auto"/>
          <w:sz w:val="24"/>
          <w:highlight w:val="none"/>
          <w:lang w:val="en-US" w:eastAsia="zh-CN"/>
        </w:rPr>
        <w:t>均参照招投标</w:t>
      </w:r>
      <w:r>
        <w:rPr>
          <w:rFonts w:hint="eastAsia" w:ascii="宋体" w:hAnsi="宋体" w:eastAsia="宋体" w:cs="宋体"/>
          <w:color w:val="auto"/>
          <w:sz w:val="24"/>
          <w:highlight w:val="none"/>
        </w:rPr>
        <w:t>法律法规</w:t>
      </w:r>
      <w:r>
        <w:rPr>
          <w:rFonts w:hint="eastAsia" w:ascii="宋体" w:hAnsi="宋体" w:eastAsia="宋体" w:cs="宋体"/>
          <w:color w:val="auto"/>
          <w:sz w:val="24"/>
          <w:highlight w:val="none"/>
          <w:lang w:val="en-US" w:eastAsia="zh-CN"/>
        </w:rPr>
        <w:t>执行</w:t>
      </w:r>
      <w:r>
        <w:rPr>
          <w:rFonts w:hint="eastAsia" w:ascii="宋体" w:hAnsi="宋体" w:eastAsia="宋体" w:cs="宋体"/>
          <w:color w:val="auto"/>
          <w:sz w:val="24"/>
          <w:szCs w:val="22"/>
          <w:highlight w:val="none"/>
        </w:rPr>
        <w:t>。</w:t>
      </w:r>
    </w:p>
    <w:p w14:paraId="64DCBBF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2BD589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273DEA75">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11DDE83">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0A2030D8">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F694172">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1C235B67">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采购合同</w:t>
      </w:r>
    </w:p>
    <w:p w14:paraId="5D4E62D6">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796057BC">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询问函和质疑函范本</w:t>
      </w:r>
    </w:p>
    <w:p w14:paraId="6B90D5C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41D0C1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4EF90D9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06E94EB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0418373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6.2采购人可主动地或在答复供应商提出的询问时对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文件进行澄清与修改。采购代理机构将在</w:t>
      </w:r>
      <w:r>
        <w:rPr>
          <w:rFonts w:hint="eastAsia" w:ascii="宋体" w:hAnsi="宋体" w:eastAsia="宋体" w:cs="宋体"/>
          <w:color w:val="auto"/>
          <w:sz w:val="24"/>
          <w:szCs w:val="18"/>
          <w:highlight w:val="none"/>
          <w:lang w:eastAsia="zh-CN"/>
        </w:rPr>
        <w:t>滁州市城投工程咨询管理有限公司（https://www.czctgczx.com/）</w:t>
      </w:r>
      <w:r>
        <w:rPr>
          <w:rFonts w:hint="eastAsia" w:ascii="宋体" w:hAnsi="宋体" w:eastAsia="宋体" w:cs="宋体"/>
          <w:color w:val="auto"/>
          <w:sz w:val="24"/>
          <w:highlight w:val="none"/>
        </w:rPr>
        <w:t>以发布更正公告的方式澄清或者修改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，更正公告的内容作为</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的组成部分，对供应商起约束作用。供应商应主动上网查询。采购代理机构不承担供应商未及时关注相关信息引发的相关责任。</w:t>
      </w:r>
    </w:p>
    <w:p w14:paraId="0ECF33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EB1FB63">
      <w:pPr>
        <w:spacing w:line="440" w:lineRule="exact"/>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26E432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35BB15D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019528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63F37F1">
      <w:pPr>
        <w:spacing w:line="440" w:lineRule="exact"/>
        <w:ind w:firstLine="435"/>
        <w:rPr>
          <w:rFonts w:hint="eastAsia" w:ascii="宋体" w:hAnsi="宋体" w:eastAsia="宋体" w:cs="宋体"/>
          <w:color w:val="auto"/>
          <w:sz w:val="24"/>
          <w:highlight w:val="none"/>
        </w:rPr>
      </w:pPr>
      <w:bookmarkStart w:id="22"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22"/>
    <w:p w14:paraId="1FA6948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1482A79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4831108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089A66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68CAFE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23" w:name="_Hlk11703583"/>
      <w:r>
        <w:rPr>
          <w:rFonts w:hint="eastAsia" w:ascii="宋体" w:hAnsi="宋体" w:eastAsia="宋体" w:cs="宋体"/>
          <w:color w:val="auto"/>
          <w:sz w:val="24"/>
          <w:highlight w:val="none"/>
        </w:rPr>
        <w:t>等。</w:t>
      </w:r>
    </w:p>
    <w:bookmarkEnd w:id="23"/>
    <w:p w14:paraId="5E3CE35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4620FCE4">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65F63B3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9.1投标人的报价应当包括满足本次招标全部采购需求。除招标文件另有规定外，所有投标均应以人民币报价。投标人的投标报价应遵守《中华人民共和国价格法》。</w:t>
      </w:r>
    </w:p>
    <w:p w14:paraId="54C159E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3C8768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121AA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25552D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70E3582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37049AC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33C6FAA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5A0D8C8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D37C29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C04860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C4445F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1DFB658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12.1投标人应当在招标公告规定的投标截止时间前，将响应文件</w:t>
      </w:r>
      <w:r>
        <w:rPr>
          <w:rFonts w:hint="eastAsia" w:ascii="宋体" w:hAnsi="宋体" w:eastAsia="宋体" w:cs="宋体"/>
          <w:color w:val="auto"/>
          <w:sz w:val="24"/>
          <w:highlight w:val="none"/>
          <w:lang w:val="en-US" w:eastAsia="zh-CN"/>
        </w:rPr>
        <w:t>在开标地点递交</w:t>
      </w:r>
      <w:r>
        <w:rPr>
          <w:rFonts w:hint="eastAsia" w:ascii="宋体" w:hAnsi="宋体" w:eastAsia="宋体" w:cs="宋体"/>
          <w:color w:val="auto"/>
          <w:sz w:val="24"/>
          <w:highlight w:val="none"/>
        </w:rPr>
        <w:t>。</w:t>
      </w:r>
    </w:p>
    <w:p w14:paraId="57979B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12.2投标人应当在投标截止时间前完成投标文件的递交，并可以补充、修改或者撤回投标文件。投标截止时间前未完成投标文件</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的，视为撤回投标文件。未按规定</w:t>
      </w:r>
      <w:r>
        <w:rPr>
          <w:rFonts w:hint="eastAsia" w:ascii="宋体" w:hAnsi="宋体" w:eastAsia="宋体" w:cs="宋体"/>
          <w:color w:val="auto"/>
          <w:sz w:val="24"/>
          <w:highlight w:val="none"/>
          <w:lang w:val="en-US" w:eastAsia="zh-CN"/>
        </w:rPr>
        <w:t>在</w:t>
      </w:r>
      <w:r>
        <w:rPr>
          <w:rFonts w:hint="eastAsia" w:ascii="宋体" w:hAnsi="宋体" w:eastAsia="宋体" w:cs="宋体"/>
          <w:color w:val="auto"/>
          <w:sz w:val="24"/>
          <w:highlight w:val="none"/>
        </w:rPr>
        <w:t>响应文件提交截止时间后送达的响应文件，应当拒收。</w:t>
      </w:r>
    </w:p>
    <w:p w14:paraId="0054AA03">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1B987A8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规定的时间前</w:t>
      </w:r>
      <w:r>
        <w:rPr>
          <w:rFonts w:hint="eastAsia" w:ascii="宋体" w:hAnsi="宋体" w:eastAsia="宋体" w:cs="宋体"/>
          <w:color w:val="auto"/>
          <w:sz w:val="24"/>
          <w:highlight w:val="none"/>
          <w:lang w:val="en-US" w:eastAsia="zh-CN"/>
        </w:rPr>
        <w:t>递交</w:t>
      </w:r>
      <w:r>
        <w:rPr>
          <w:rFonts w:hint="eastAsia" w:ascii="宋体" w:hAnsi="宋体" w:eastAsia="宋体" w:cs="宋体"/>
          <w:color w:val="auto"/>
          <w:sz w:val="24"/>
          <w:highlight w:val="none"/>
        </w:rPr>
        <w:t>。</w:t>
      </w:r>
    </w:p>
    <w:p w14:paraId="741E10A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w:t>
      </w:r>
      <w:r>
        <w:rPr>
          <w:rFonts w:hint="eastAsia" w:ascii="宋体" w:hAnsi="宋体" w:eastAsia="宋体" w:cs="宋体"/>
          <w:color w:val="auto"/>
          <w:sz w:val="24"/>
          <w:highlight w:val="none"/>
          <w:lang w:val="en-US" w:eastAsia="zh-CN"/>
        </w:rPr>
        <w:t>现场</w:t>
      </w:r>
      <w:r>
        <w:rPr>
          <w:rFonts w:hint="eastAsia" w:ascii="宋体" w:hAnsi="宋体" w:eastAsia="宋体" w:cs="宋体"/>
          <w:color w:val="auto"/>
          <w:sz w:val="24"/>
          <w:highlight w:val="none"/>
        </w:rPr>
        <w:t>公布</w:t>
      </w:r>
      <w:r>
        <w:rPr>
          <w:rFonts w:hint="eastAsia" w:ascii="宋体" w:hAnsi="宋体" w:eastAsia="宋体" w:cs="宋体"/>
          <w:color w:val="auto"/>
          <w:sz w:val="24"/>
          <w:highlight w:val="none"/>
          <w:lang w:val="en-US" w:eastAsia="zh-CN"/>
        </w:rPr>
        <w:t>开标过程</w:t>
      </w:r>
      <w:r>
        <w:rPr>
          <w:rFonts w:hint="eastAsia" w:ascii="宋体" w:hAnsi="宋体" w:eastAsia="宋体" w:cs="宋体"/>
          <w:color w:val="auto"/>
          <w:sz w:val="24"/>
          <w:highlight w:val="none"/>
        </w:rPr>
        <w:t>，公布内容包括投标人名称、投标价格及招标文件规定的内容。</w:t>
      </w:r>
    </w:p>
    <w:p w14:paraId="0D5CF4D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14:paraId="37324E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14:paraId="4B45A4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（2）公布在投标截止时间前递交投标文件的投标人名称，并确认投标单位相关人员是否到场；</w:t>
      </w:r>
    </w:p>
    <w:p w14:paraId="485B54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（3）宣布开标人、唱标人、记录人等有关人员姓名；</w:t>
      </w:r>
    </w:p>
    <w:p w14:paraId="11318A6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14:paraId="51B2A02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14:paraId="5D66DB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（6）按照宣布的开标顺序当众开标，公布投标人名称；</w:t>
      </w:r>
    </w:p>
    <w:p w14:paraId="0CA4B74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（7）有关人员在开标记录上签字确认；</w:t>
      </w:r>
    </w:p>
    <w:p w14:paraId="4108701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）开标结束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进入评审阶段</w:t>
      </w:r>
      <w:r>
        <w:rPr>
          <w:rFonts w:hint="eastAsia" w:ascii="宋体" w:hAnsi="宋体" w:eastAsia="宋体" w:cs="宋体"/>
          <w:color w:val="auto"/>
          <w:sz w:val="24"/>
          <w:highlight w:val="none"/>
        </w:rPr>
        <w:t>。</w:t>
      </w:r>
    </w:p>
    <w:p w14:paraId="5ADE084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09C34264">
      <w:pPr>
        <w:spacing w:line="44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4A1FFCB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6B12BF5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z w:val="24"/>
          <w:highlight w:val="none"/>
          <w:lang w:val="en-US" w:eastAsia="zh-CN"/>
        </w:rPr>
        <w:t>评标小组</w:t>
      </w:r>
      <w:r>
        <w:rPr>
          <w:rFonts w:hint="eastAsia" w:ascii="宋体" w:hAnsi="宋体" w:eastAsia="宋体" w:cs="宋体"/>
          <w:color w:val="auto"/>
          <w:sz w:val="24"/>
          <w:highlight w:val="none"/>
        </w:rPr>
        <w:t>依据法律法规和招标文件中规定的内容，对投标人资格进行审查，未通过资格审查的投标人不进入评标。</w:t>
      </w:r>
    </w:p>
    <w:p w14:paraId="09129F13">
      <w:pPr>
        <w:spacing w:line="440" w:lineRule="exact"/>
        <w:ind w:firstLine="435"/>
        <w:rPr>
          <w:rFonts w:hint="eastAsia" w:ascii="宋体" w:hAnsi="宋体" w:eastAsia="宋体" w:cs="宋体"/>
          <w:color w:val="auto"/>
          <w:sz w:val="24"/>
          <w:szCs w:val="24"/>
          <w:highlight w:val="none"/>
        </w:rPr>
      </w:pPr>
      <w:bookmarkStart w:id="24"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2DF43CB">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7FD5CDD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4"/>
    <w:p w14:paraId="217FE18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6B7A6CA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17C6C5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0D18B83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157A28AB">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w:t>
      </w:r>
      <w:r>
        <w:rPr>
          <w:rFonts w:hint="eastAsia" w:ascii="宋体" w:hAnsi="宋体" w:eastAsia="宋体" w:cs="宋体"/>
          <w:color w:val="auto"/>
          <w:sz w:val="24"/>
          <w:highlight w:val="none"/>
          <w:lang w:val="en-US" w:eastAsia="zh-CN"/>
        </w:rPr>
        <w:t>在现场纸质</w:t>
      </w:r>
      <w:r>
        <w:rPr>
          <w:rFonts w:hint="eastAsia" w:ascii="宋体" w:hAnsi="宋体" w:eastAsia="宋体" w:cs="宋体"/>
          <w:color w:val="auto"/>
          <w:sz w:val="24"/>
          <w:highlight w:val="none"/>
        </w:rPr>
        <w:t>接受询标，也可凭本人有效身份证明参加询标。因投标人授权代表联系不上、没有</w:t>
      </w:r>
      <w:r>
        <w:rPr>
          <w:rFonts w:hint="eastAsia" w:ascii="宋体" w:hAnsi="宋体" w:eastAsia="宋体" w:cs="宋体"/>
          <w:color w:val="auto"/>
          <w:sz w:val="24"/>
          <w:highlight w:val="none"/>
          <w:lang w:val="en-US" w:eastAsia="zh-CN"/>
        </w:rPr>
        <w:t>在现场等待</w:t>
      </w:r>
      <w:r>
        <w:rPr>
          <w:rFonts w:hint="eastAsia" w:ascii="宋体" w:hAnsi="宋体" w:eastAsia="宋体" w:cs="宋体"/>
          <w:color w:val="auto"/>
          <w:sz w:val="24"/>
          <w:highlight w:val="none"/>
        </w:rPr>
        <w:t>等情形而无法接受评标委员会询标的，投标人自行承担相关风险。</w:t>
      </w:r>
    </w:p>
    <w:p w14:paraId="3240F17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0E4E2C9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5D751F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26C7015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5FD68F6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40B4D2A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5676569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7DD4D80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15.3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931E41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698A64C6">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2A62334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19C1AD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116BC0E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1EC2B4E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69C99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1743602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4A1DC50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5FA93D3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178286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4BDB3CC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65FB5FD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08AFE8D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3CE96A2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02FE5A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667C5DE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2EAC411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17EFA3D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5681B8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13DBA72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3935B9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4113CF78">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18.2投标截止后投标人不足3家或者通过资格审查或符合性审查的投标人不足3家的，除采购任务取消情形外，按照以下方式处理：</w:t>
      </w:r>
    </w:p>
    <w:p w14:paraId="6A2644CF">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（1）1.本项目为一次招标失败原则上进行</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次公开招标项目，投标截止时间结束后提交投标文件的投标人少于3家或者符合专业条件的投标人或对招标文件作出实质性响应的投标人不足3家的,招标人可采取从继续合格投标人中采用竞争性谈判或单一来源采购方式进行项目发包。</w:t>
      </w:r>
    </w:p>
    <w:p w14:paraId="31A43123">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参加竞争性谈判、单一来源采购的投标人必须符合下列条件：①、保证金按规定缴纳；（本项目不采用）②、投标资格符合招标文件要求；③、对招标文件作出实质性响应。</w:t>
      </w:r>
    </w:p>
    <w:p w14:paraId="606B26C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47589C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46CAA92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0F59321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384A571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14CDAC7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不对投标人的投标价格进行任何调整。评标结果按修正和扣除后的投标报价由低到高顺序排列。修正和扣除后的投标报价出现两家或两家以上相同者，采取评标委员会随机抽取的方式确定中标候选顺序。</w:t>
      </w:r>
    </w:p>
    <w:p w14:paraId="7881D23F">
      <w:pPr>
        <w:spacing w:line="440" w:lineRule="exact"/>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03F13B8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4BB75E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00AA41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C7B3F8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124ACCA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3CB50D1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0A9B55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35CDC57C">
      <w:pPr>
        <w:spacing w:line="44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2A4BD03">
      <w:pPr>
        <w:wordWrap w:val="0"/>
        <w:spacing w:line="44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w:t>
      </w:r>
      <w:r>
        <w:rPr>
          <w:rFonts w:hint="eastAsia" w:ascii="宋体" w:hAnsi="宋体" w:eastAsia="宋体" w:cs="宋体"/>
          <w:color w:val="auto"/>
          <w:sz w:val="24"/>
          <w:szCs w:val="18"/>
          <w:highlight w:val="none"/>
          <w:lang w:eastAsia="zh-CN"/>
        </w:rPr>
        <w:t>滁州市城投工程咨询管理有限公司（https://www.czctgczx.com/）</w:t>
      </w:r>
      <w:r>
        <w:rPr>
          <w:rFonts w:hint="eastAsia" w:ascii="宋体" w:hAnsi="宋体" w:eastAsia="宋体" w:cs="宋体"/>
          <w:color w:val="auto"/>
          <w:sz w:val="24"/>
          <w:highlight w:val="none"/>
        </w:rPr>
        <w:t>上</w:t>
      </w:r>
      <w:r>
        <w:rPr>
          <w:rFonts w:hint="eastAsia" w:ascii="宋体" w:hAnsi="宋体" w:eastAsia="宋体" w:cs="宋体"/>
          <w:color w:val="auto"/>
          <w:sz w:val="24"/>
          <w:szCs w:val="18"/>
          <w:highlight w:val="none"/>
        </w:rPr>
        <w:t>发布中标结果公告。</w:t>
      </w:r>
    </w:p>
    <w:p w14:paraId="296C69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6FB778E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43817E4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规定的形式向中标人发出中标通知书。中标通知书须加盖采购人、采购代理机构公章方可发出。</w:t>
      </w:r>
    </w:p>
    <w:p w14:paraId="64791F9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1EAABCE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343D5CB0">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4DB5652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071FDB44">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7F0E752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4E6806D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2FA8BEA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25F87B5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规定的时间内完成采购合同签订及合同公告。</w:t>
      </w:r>
    </w:p>
    <w:p w14:paraId="78565E7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701E2D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27.3中标人拒绝与采购人签订合同的，采购人可以按照评审报告推荐的中标候选人名单排序，确定下一中标候选人为中标人，也可以重新开展采购活动。</w:t>
      </w:r>
    </w:p>
    <w:p w14:paraId="2737A28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3F48AE0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363911C4">
      <w:pPr>
        <w:spacing w:line="440" w:lineRule="exact"/>
        <w:ind w:firstLine="437"/>
        <w:outlineLvl w:val="2"/>
        <w:rPr>
          <w:rFonts w:hint="eastAsia" w:ascii="宋体" w:hAnsi="宋体" w:eastAsia="宋体" w:cs="宋体"/>
          <w:b/>
          <w:color w:val="auto"/>
          <w:sz w:val="24"/>
          <w:highlight w:val="none"/>
        </w:rPr>
      </w:pPr>
      <w:bookmarkStart w:id="25" w:name="_Toc2583661"/>
      <w:bookmarkStart w:id="26" w:name="_Toc518923100"/>
      <w:r>
        <w:rPr>
          <w:rFonts w:hint="eastAsia" w:ascii="宋体" w:hAnsi="宋体" w:eastAsia="宋体" w:cs="宋体"/>
          <w:b/>
          <w:color w:val="auto"/>
          <w:sz w:val="24"/>
          <w:highlight w:val="none"/>
        </w:rPr>
        <w:t>29.廉洁自律规定</w:t>
      </w:r>
      <w:bookmarkEnd w:id="25"/>
      <w:bookmarkEnd w:id="26"/>
    </w:p>
    <w:p w14:paraId="5DD9E33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29.1采购代理机构工作人员不得以不正当手段获取代理业务，不得与采购人、供应商恶意串通。</w:t>
      </w:r>
    </w:p>
    <w:p w14:paraId="48BC4D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33EDAAF6">
      <w:pPr>
        <w:spacing w:line="440" w:lineRule="exact"/>
        <w:ind w:firstLine="437"/>
        <w:outlineLvl w:val="2"/>
        <w:rPr>
          <w:rFonts w:hint="eastAsia" w:ascii="宋体" w:hAnsi="宋体" w:eastAsia="宋体" w:cs="宋体"/>
          <w:b/>
          <w:color w:val="auto"/>
          <w:sz w:val="24"/>
          <w:highlight w:val="none"/>
        </w:rPr>
      </w:pPr>
      <w:bookmarkStart w:id="27" w:name="_Toc518923101"/>
      <w:bookmarkStart w:id="28" w:name="_Toc2583662"/>
      <w:r>
        <w:rPr>
          <w:rFonts w:hint="eastAsia" w:ascii="宋体" w:hAnsi="宋体" w:eastAsia="宋体" w:cs="宋体"/>
          <w:b/>
          <w:color w:val="auto"/>
          <w:sz w:val="24"/>
          <w:highlight w:val="none"/>
        </w:rPr>
        <w:t>30.人员回避</w:t>
      </w:r>
      <w:bookmarkEnd w:id="27"/>
      <w:bookmarkEnd w:id="28"/>
    </w:p>
    <w:p w14:paraId="7510C75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B685A7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1DFD7CA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002A6F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31.2质疑供应商应按照要求，在质疑期内以书面形式提出质疑，超出质疑期提交的质疑将被拒绝。针对同一采购程序环节的质疑应一次性提出。</w:t>
      </w:r>
    </w:p>
    <w:p w14:paraId="576076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67699E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32.</w:t>
      </w:r>
      <w:r>
        <w:rPr>
          <w:rFonts w:hint="eastAsia" w:ascii="宋体" w:hAnsi="宋体" w:eastAsia="宋体" w:cs="宋体"/>
          <w:b/>
          <w:color w:val="auto"/>
          <w:sz w:val="24"/>
          <w:highlight w:val="none"/>
        </w:rPr>
        <w:t>需要补充的其他内容</w:t>
      </w:r>
    </w:p>
    <w:p w14:paraId="052DF9A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7402C34">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7B2A555A">
      <w:pPr>
        <w:numPr>
          <w:ilvl w:val="0"/>
          <w:numId w:val="1"/>
        </w:num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bookmarkStart w:id="29" w:name="_Toc22605"/>
      <w:r>
        <w:rPr>
          <w:rFonts w:hint="eastAsia" w:ascii="宋体" w:hAnsi="宋体" w:eastAsia="宋体" w:cs="宋体"/>
          <w:b/>
          <w:color w:val="auto"/>
          <w:sz w:val="28"/>
          <w:highlight w:val="none"/>
        </w:rPr>
        <w:t>采购需求</w:t>
      </w:r>
      <w:bookmarkEnd w:id="29"/>
    </w:p>
    <w:p w14:paraId="2B4682F6">
      <w:pPr>
        <w:keepNext w:val="0"/>
        <w:keepLines w:val="0"/>
        <w:pageBreakBefore w:val="0"/>
        <w:kinsoku/>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4D197EB4">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小组评审认可。</w:t>
      </w:r>
    </w:p>
    <w:p w14:paraId="4E9783F6">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18"/>
          <w:highlight w:val="none"/>
        </w:rPr>
        <w:t>2.如采购人允许采用分包方式履行合同的，应当明确可以分包履行的相关内容：</w:t>
      </w:r>
      <w:r>
        <w:rPr>
          <w:rFonts w:hint="eastAsia" w:ascii="宋体" w:hAnsi="宋体" w:eastAsia="宋体" w:cs="宋体"/>
          <w:color w:val="auto"/>
          <w:sz w:val="24"/>
          <w:szCs w:val="18"/>
          <w:highlight w:val="none"/>
          <w:u w:val="single"/>
        </w:rPr>
        <w:t>本项目不允许分包</w:t>
      </w:r>
      <w:r>
        <w:rPr>
          <w:rFonts w:hint="eastAsia" w:ascii="宋体" w:hAnsi="宋体" w:eastAsia="宋体" w:cs="宋体"/>
          <w:color w:val="auto"/>
          <w:sz w:val="24"/>
          <w:szCs w:val="18"/>
          <w:highlight w:val="none"/>
        </w:rPr>
        <w:t>。</w:t>
      </w:r>
    </w:p>
    <w:p w14:paraId="16B3A2AC">
      <w:pPr>
        <w:keepNext w:val="0"/>
        <w:keepLines w:val="0"/>
        <w:pageBreakBefore w:val="0"/>
        <w:kinsoku/>
        <w:wordWrap w:val="0"/>
        <w:overflowPunct/>
        <w:topLinePunct w:val="0"/>
        <w:bidi w:val="0"/>
        <w:spacing w:line="360" w:lineRule="auto"/>
        <w:ind w:firstLine="4337" w:firstLineChars="1800"/>
        <w:outlineLvl w:val="1"/>
        <w:rPr>
          <w:rFonts w:hint="eastAsia" w:ascii="宋体" w:hAnsi="宋体" w:eastAsia="宋体" w:cs="宋体"/>
          <w:b/>
          <w:color w:val="auto"/>
          <w:sz w:val="24"/>
          <w:szCs w:val="18"/>
          <w:highlight w:val="none"/>
        </w:rPr>
      </w:pPr>
      <w:bookmarkStart w:id="30" w:name="_Toc26349"/>
      <w:bookmarkStart w:id="31" w:name="_Toc7699"/>
      <w:r>
        <w:rPr>
          <w:rFonts w:hint="eastAsia" w:ascii="宋体" w:hAnsi="宋体" w:eastAsia="宋体" w:cs="宋体"/>
          <w:b/>
          <w:color w:val="auto"/>
          <w:sz w:val="24"/>
          <w:szCs w:val="18"/>
          <w:highlight w:val="none"/>
        </w:rPr>
        <w:t>采购需求前附表</w:t>
      </w:r>
      <w:bookmarkEnd w:id="30"/>
      <w:bookmarkEnd w:id="31"/>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2660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1E9E231">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
                <w:color w:val="auto"/>
                <w:kern w:val="2"/>
                <w:highlight w:val="none"/>
              </w:rPr>
            </w:pPr>
            <w:bookmarkStart w:id="32" w:name="_Hlk16461016"/>
            <w:r>
              <w:rPr>
                <w:rFonts w:hint="eastAsia" w:ascii="宋体" w:hAnsi="宋体" w:eastAsia="宋体" w:cs="宋体"/>
                <w:b/>
                <w:color w:val="auto"/>
                <w:kern w:val="2"/>
                <w:highlight w:val="none"/>
              </w:rPr>
              <w:t>序号</w:t>
            </w:r>
          </w:p>
        </w:tc>
        <w:tc>
          <w:tcPr>
            <w:tcW w:w="2032" w:type="dxa"/>
            <w:vAlign w:val="center"/>
          </w:tcPr>
          <w:p w14:paraId="1610BF29">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484" w:type="dxa"/>
            <w:vAlign w:val="center"/>
          </w:tcPr>
          <w:p w14:paraId="44F68E08">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6BD4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00EDF01">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32" w:type="dxa"/>
            <w:vAlign w:val="center"/>
          </w:tcPr>
          <w:p w14:paraId="298068D6">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484" w:type="dxa"/>
            <w:vAlign w:val="center"/>
          </w:tcPr>
          <w:p w14:paraId="2CC7F81C">
            <w:pPr>
              <w:keepNext w:val="0"/>
              <w:keepLines w:val="0"/>
              <w:pageBreakBefore w:val="0"/>
              <w:widowControl w:val="0"/>
              <w:suppressLineNumbers w:val="0"/>
              <w:kinsoku/>
              <w:wordWrap w:val="0"/>
              <w:overflowPunct/>
              <w:topLinePunct w:val="0"/>
              <w:bidi w:val="0"/>
              <w:spacing w:before="0" w:beforeAutospacing="0" w:after="0" w:afterAutospacing="0"/>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u w:val="single"/>
                <w:shd w:val="clear"/>
                <w:lang w:val="en-US" w:eastAsia="zh-CN" w:bidi="ar"/>
              </w:rPr>
              <w:t>合同签订后，完成全部服务内容，一次性付清合同价款。</w:t>
            </w:r>
          </w:p>
        </w:tc>
      </w:tr>
      <w:tr w14:paraId="3A8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CCD37CC">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32" w:type="dxa"/>
            <w:vAlign w:val="center"/>
          </w:tcPr>
          <w:p w14:paraId="48DA11CC">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5484" w:type="dxa"/>
            <w:vAlign w:val="center"/>
          </w:tcPr>
          <w:p w14:paraId="16355369">
            <w:pPr>
              <w:pStyle w:val="46"/>
              <w:keepNext w:val="0"/>
              <w:keepLines w:val="0"/>
              <w:pageBreakBefore w:val="0"/>
              <w:widowControl w:val="0"/>
              <w:kinsoku/>
              <w:wordWrap w:val="0"/>
              <w:overflowPunct/>
              <w:topLinePunct w:val="0"/>
              <w:bidi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lang w:eastAsia="zh-CN"/>
              </w:rPr>
              <w:t xml:space="preserve"> 滁州市</w:t>
            </w:r>
            <w:r>
              <w:rPr>
                <w:rFonts w:hint="eastAsia" w:ascii="宋体" w:hAnsi="宋体" w:eastAsia="宋体" w:cs="宋体"/>
                <w:b w:val="0"/>
                <w:color w:val="auto"/>
                <w:sz w:val="24"/>
                <w:highlight w:val="none"/>
                <w:u w:val="none"/>
                <w:lang w:val="en-US" w:eastAsia="zh-CN"/>
              </w:rPr>
              <w:t>政务中心西侧</w:t>
            </w:r>
            <w:r>
              <w:rPr>
                <w:rFonts w:hint="eastAsia" w:ascii="宋体" w:hAnsi="宋体" w:eastAsia="宋体" w:cs="宋体"/>
                <w:b w:val="0"/>
                <w:color w:val="auto"/>
                <w:sz w:val="24"/>
                <w:highlight w:val="none"/>
                <w:u w:val="none"/>
              </w:rPr>
              <w:t xml:space="preserve">，采购人指定地点 </w:t>
            </w:r>
          </w:p>
        </w:tc>
      </w:tr>
      <w:tr w14:paraId="2F32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F527FF4">
            <w:pPr>
              <w:pStyle w:val="47"/>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32" w:type="dxa"/>
            <w:vAlign w:val="center"/>
          </w:tcPr>
          <w:p w14:paraId="7611BF2C">
            <w:pPr>
              <w:pStyle w:val="46"/>
              <w:keepNext w:val="0"/>
              <w:keepLines w:val="0"/>
              <w:pageBreakBefore w:val="0"/>
              <w:widowControl w:val="0"/>
              <w:kinsoku/>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5484" w:type="dxa"/>
            <w:vAlign w:val="center"/>
          </w:tcPr>
          <w:p w14:paraId="06939F27">
            <w:pPr>
              <w:keepNext w:val="0"/>
              <w:keepLines w:val="0"/>
              <w:pageBreakBefore w:val="0"/>
              <w:widowControl/>
              <w:suppressLineNumbers w:val="0"/>
              <w:kinsoku/>
              <w:wordWrap w:val="0"/>
              <w:overflowPunct/>
              <w:topLinePunct w:val="0"/>
              <w:bidi w:val="0"/>
              <w:jc w:val="left"/>
              <w:rPr>
                <w:rFonts w:hint="eastAsia" w:ascii="宋体" w:hAnsi="宋体" w:eastAsia="宋体" w:cs="宋体"/>
                <w:b w:val="0"/>
                <w:color w:val="auto"/>
                <w:sz w:val="24"/>
                <w:highlight w:val="none"/>
                <w:u w:val="none"/>
                <w:lang w:eastAsia="zh-CN"/>
              </w:rPr>
            </w:pPr>
            <w:r>
              <w:rPr>
                <w:rFonts w:hint="eastAsia" w:ascii="宋体" w:hAnsi="宋体" w:eastAsia="宋体" w:cs="宋体"/>
                <w:b w:val="0"/>
                <w:color w:val="auto"/>
                <w:sz w:val="24"/>
                <w:highlight w:val="none"/>
                <w:u w:val="none"/>
                <w:lang w:eastAsia="zh-CN"/>
              </w:rPr>
              <w:t>设计方案确定后10天完成施工图设计，施工图设计完成后7日内工程量清单及控制价编制并交付最终成果。</w:t>
            </w:r>
          </w:p>
        </w:tc>
      </w:tr>
      <w:bookmarkEnd w:id="32"/>
    </w:tbl>
    <w:p w14:paraId="07C27715">
      <w:pPr>
        <w:pStyle w:val="9"/>
        <w:widowControl/>
        <w:wordWrap w:val="0"/>
        <w:topLinePunct/>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4"/>
          <w:highlight w:val="none"/>
        </w:rPr>
        <w:t>项目背景</w:t>
      </w:r>
    </w:p>
    <w:p w14:paraId="6BA8ECC6">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1.建设地点</w:t>
      </w:r>
    </w:p>
    <w:p w14:paraId="15CBCB0B">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滁州市政务中心</w:t>
      </w:r>
      <w:r>
        <w:rPr>
          <w:rFonts w:hint="eastAsia" w:ascii="宋体" w:hAnsi="宋体" w:eastAsia="宋体" w:cs="宋体"/>
          <w:color w:val="auto"/>
          <w:sz w:val="21"/>
          <w:szCs w:val="21"/>
          <w:highlight w:val="none"/>
          <w:lang w:val="en-US" w:eastAsia="zh-CN"/>
        </w:rPr>
        <w:t>西侧，滁州市信访局一楼</w:t>
      </w:r>
    </w:p>
    <w:p w14:paraId="0B495CB1">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2.项目主要建设内容</w:t>
      </w:r>
    </w:p>
    <w:p w14:paraId="2B567382">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项目规定区域内，完成功能性改造及配套装饰装修设计，包括引导受理区、多元化解区、指挥调度区及过道及文化墙设计，电路设计、室内布局设计、业务区域布置设计等。相关区域之间过度自然，内容详实，根据提供的内容设计展示样式及具体内容，出具方案图纸与施工图，并配合后期施工过程，提供展示内容等，配合完成项目。根据出具的施工图纸及采购人要求，编制可用于施工招标的工程量清单及控制价。</w:t>
      </w:r>
    </w:p>
    <w:p w14:paraId="4C862710">
      <w:pPr>
        <w:pStyle w:val="9"/>
        <w:widowControl/>
        <w:wordWrap w:val="0"/>
        <w:topLinePunct/>
        <w:spacing w:line="5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、招标范围</w:t>
      </w:r>
    </w:p>
    <w:p w14:paraId="79E71360">
      <w:pPr>
        <w:keepNext w:val="0"/>
        <w:keepLines w:val="0"/>
        <w:pageBreakBefore w:val="0"/>
        <w:widowControl/>
        <w:tabs>
          <w:tab w:val="left" w:pos="567"/>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设计内容包括但不限于工程前期的工程测量、现场调查、收集资料及工程预算、施工图设计、后期图纸调整等国家规定规范内所有设计成果以及后期相应的设计技术交底，解决施工中的设计技术问题和竣工验收等服务。按照招标人要求提交图、表、文字、数据、光盘等全套设计成果文件。</w:t>
      </w:r>
    </w:p>
    <w:p w14:paraId="7DBF3DC5">
      <w:pPr>
        <w:keepNext w:val="0"/>
        <w:keepLines w:val="0"/>
        <w:pageBreakBefore w:val="0"/>
        <w:widowControl/>
        <w:tabs>
          <w:tab w:val="left" w:pos="567"/>
        </w:tabs>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2.出具可用于施工招标的工程量清单及控制价成果。</w:t>
      </w:r>
    </w:p>
    <w:p w14:paraId="4ACECF4E">
      <w:pPr>
        <w:pStyle w:val="9"/>
        <w:widowControl/>
        <w:wordWrap w:val="0"/>
        <w:topLinePunct/>
        <w:spacing w:line="5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、依据</w:t>
      </w:r>
      <w:r>
        <w:rPr>
          <w:rFonts w:hint="eastAsia" w:ascii="宋体" w:hAnsi="宋体" w:eastAsia="宋体" w:cs="宋体"/>
          <w:color w:val="auto"/>
          <w:sz w:val="21"/>
          <w:szCs w:val="21"/>
          <w:highlight w:val="none"/>
        </w:rPr>
        <w:t xml:space="preserve"> </w:t>
      </w:r>
    </w:p>
    <w:p w14:paraId="08DDB40D">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设计依据：</w:t>
      </w:r>
    </w:p>
    <w:p w14:paraId="432B18F6">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招标人相关要求</w:t>
      </w:r>
      <w:r>
        <w:rPr>
          <w:rFonts w:hint="eastAsia" w:ascii="宋体" w:hAnsi="宋体" w:eastAsia="宋体" w:cs="宋体"/>
          <w:color w:val="auto"/>
          <w:sz w:val="21"/>
          <w:szCs w:val="21"/>
          <w:highlight w:val="none"/>
        </w:rPr>
        <w:t>。</w:t>
      </w:r>
    </w:p>
    <w:p w14:paraId="0938E32E">
      <w:pPr>
        <w:pStyle w:val="9"/>
        <w:widowControl/>
        <w:wordWrap w:val="0"/>
        <w:topLinePunct/>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（2）现行国家设计规范、标准及法律法规。</w:t>
      </w:r>
    </w:p>
    <w:p w14:paraId="067F876F">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编制依据：</w:t>
      </w:r>
    </w:p>
    <w:p w14:paraId="1308ED5B">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（1）工程量清单的编制</w:t>
      </w:r>
    </w:p>
    <w:p w14:paraId="362444D5">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编制依据《建设工程工程量清单计价规范》（GB50500-2013）、《2018版安徽省建设工程计价依据修订内容》和相关工程的国家计量规范；国家或省级、行业建设主管部门颁发的计价定额和办法；建设工程设计文件及相关资料；与建设工程有关的标准、规范、技术资料；拟定的招标文件；施工现场情况、地勘水文资料、工程特点及常规施工方案；其他相关资料。经审查后的施工图设计文件和相关技术资料、省清单计价规范、施工场地条件和工程构造的具体特征等编制。</w:t>
      </w:r>
    </w:p>
    <w:p w14:paraId="7503669E">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（2）最高投标限价的编制依据</w:t>
      </w:r>
    </w:p>
    <w:p w14:paraId="7CDE4BE7">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最高投标限价应当依据《建设工程工程量清单计价规范》（GB50500-2013）、《2018版安徽省建设工程计价依据修订内容》；国家或省级、行业建设主管部门颁发的计价定额和办法；建设工程设计文件及相关资料；拟定的招标文件及工程量清单；与建设工程有关的标准、规范、技术资料；施工现场情况、工程特点及常规施工方案；工程造价管理机构发布的工程造价信息，当工程造价信息没有发布时，根据金额大小由发包人组织询价或招标；其他相关资料。工程量清单、招标文件有关要求、施工现场实际情况、合理的施工方法和2018版《安徽省建设工程工程量清单计价依据》以及工程造价管理机构发布的工程造价信息等进行编制。</w:t>
      </w:r>
    </w:p>
    <w:p w14:paraId="1C432E8B">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编制最高投标限价时，材料价格采用滁州市建设工程造价管理站发布的《滁州市工程造价信息》【编制最高投标限价时的当期信息价】中相对应的价格进行编制。滁州信息价没有的，依次采用合肥、南京、马鞍山、蚌埠、芜湖等周边城市信息价及广材网、慧讯网价格，上述价格也没有的，可参考近期滁州市同类项目的同清单中标价（不下浮），上述都无法确定的，由于本项目为装饰装修类项目，成品等价格认定，以材料单价结合工费认定，具体以发包人、监理单位、造价咨询单位认定为准；上述情况均无法确定的，根据金额大小由发包人及监理单位、控制价编制单位组织询价或招标。</w:t>
      </w:r>
    </w:p>
    <w:p w14:paraId="6A3A54F7">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5、计价依据：</w:t>
      </w:r>
    </w:p>
    <w:p w14:paraId="1E2637B8">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2018版《安徽省建设工程工程量清单计价办法》；</w:t>
      </w:r>
    </w:p>
    <w:p w14:paraId="4CCBD8F5">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2018版《安徽省建设工程施工机械台班费用编制规则》；</w:t>
      </w:r>
    </w:p>
    <w:p w14:paraId="2C08CF36">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2018版《安徽省建设工程计价定额(共用册）》；</w:t>
      </w:r>
    </w:p>
    <w:p w14:paraId="21789F6D">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2018版《安徽省建筑工程计价定额》；</w:t>
      </w:r>
    </w:p>
    <w:p w14:paraId="17CF36AE">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2018版《安徽省装饰装修工程计价定额》；</w:t>
      </w:r>
    </w:p>
    <w:p w14:paraId="6554FF21">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2018版《安徽省安装工程计价定额》；</w:t>
      </w:r>
    </w:p>
    <w:p w14:paraId="5A59490C">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 2018版《安徽省建设工程费用定额》；</w:t>
      </w:r>
    </w:p>
    <w:p w14:paraId="30C6B8C7">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（8）《2018版安徽省建设工程计价依据修订内容》；</w:t>
      </w:r>
    </w:p>
    <w:p w14:paraId="5A691DBE">
      <w:pPr>
        <w:pStyle w:val="9"/>
        <w:widowControl/>
        <w:wordWrap w:val="0"/>
        <w:topLinePunct/>
        <w:spacing w:line="500" w:lineRule="exact"/>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 省、市截止编制最高投标限价时的有关政策性文件。</w:t>
      </w:r>
    </w:p>
    <w:p w14:paraId="11234ED1">
      <w:pPr>
        <w:pStyle w:val="9"/>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四、服务及质量要求</w:t>
      </w:r>
    </w:p>
    <w:p w14:paraId="3BF1361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bidi="ar-SA"/>
        </w:rPr>
        <w:t>必须严格按照投标文件中提供的项目组负责人、专业负责人等组建设计机构，并满足项目单位对工期、质量的要求。未经项目单位许可，不得擅自更换项目组负责人和主要专业的负责人。</w:t>
      </w:r>
    </w:p>
    <w:p w14:paraId="79C67C8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、与设计相关的各阶段专家费用含在总报价中，</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需综合考虑。</w:t>
      </w:r>
    </w:p>
    <w:p w14:paraId="2E23A6F2">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3、满足现行相关工程建设标准、设计规范（规程）、相应设计文件编制深度要求。 </w:t>
      </w:r>
    </w:p>
    <w:p w14:paraId="020E877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4、工程量清单及控制价需二级及以上注册造价师人员进行编制，费用全部含在投标报价中，采购人不另行支付任何费用；工程造价咨询成果文件质量符合建设部现行建设工程工程量清单计价规范及安徽省建设工程工程量清单计价规范及相关配套消耗量定额等标准。</w:t>
      </w:r>
    </w:p>
    <w:p w14:paraId="3D3AAF00">
      <w:pPr>
        <w:pStyle w:val="9"/>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五、违约责任</w:t>
      </w:r>
    </w:p>
    <w:p w14:paraId="319240C1">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1、招标人有权定期考核中标人工作质量及服务水平，若中标人的服务质量和服务水平不能满足招标人需求或在合同期内中标人有重大工作失误的，招标人有权解除设计合同。</w:t>
      </w:r>
    </w:p>
    <w:p w14:paraId="75248F0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2、中标人违反相关规定擅自变更设计并组织实施的，由招标人责令限期整改，未按要求整改的，视情节轻重给予警告或者通报批评，项目资金暂停拨付。</w:t>
      </w:r>
    </w:p>
    <w:p w14:paraId="7E6DE4A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3、在服务期内，若中标人不配合招标人开展相关工作，视情节轻重，招标人予以警告，累计达三次，招标人有权解除设计服务协议。服务期内因中标人原因终止协议的，招标人将报请相关主管部门处理。</w:t>
      </w:r>
    </w:p>
    <w:p w14:paraId="3327CA2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4、项目中标后，因大建设计划调整影响设计范围增加或减少的，中标单位不得索赔；根据现场实际情况，设计范围相应发生调整的，中标单位做好对应衔接工作，不得索赔。</w:t>
      </w:r>
    </w:p>
    <w:p w14:paraId="01C9193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5、工程清单漏项或编制问题导致后期项目实施过程中出现较大变更的，扣除2000元/次违约金。</w:t>
      </w:r>
    </w:p>
    <w:p w14:paraId="444E534B">
      <w:pPr>
        <w:pStyle w:val="27"/>
        <w:numPr>
          <w:ilvl w:val="0"/>
          <w:numId w:val="0"/>
        </w:numPr>
        <w:rPr>
          <w:rFonts w:hint="eastAsia" w:ascii="宋体" w:hAnsi="宋体" w:eastAsia="宋体" w:cs="宋体"/>
          <w:color w:val="auto"/>
          <w:highlight w:val="none"/>
          <w:lang w:val="en-US" w:eastAsia="zh-CN"/>
        </w:rPr>
      </w:pPr>
    </w:p>
    <w:p w14:paraId="0748EB31">
      <w:pPr>
        <w:pStyle w:val="9"/>
        <w:keepNext w:val="0"/>
        <w:keepLines w:val="0"/>
        <w:pageBreakBefore w:val="0"/>
        <w:widowControl/>
        <w:kinsoku/>
        <w:wordWrap w:val="0"/>
        <w:overflowPunct/>
        <w:topLinePunct/>
        <w:autoSpaceDE/>
        <w:autoSpaceDN/>
        <w:bidi w:val="0"/>
        <w:adjustRightInd/>
        <w:snapToGrid/>
        <w:spacing w:line="500" w:lineRule="exact"/>
        <w:ind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六、各阶段的具体工作要求</w:t>
      </w:r>
    </w:p>
    <w:p w14:paraId="2FED0487">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（一）总的设计内容</w:t>
      </w:r>
    </w:p>
    <w:p w14:paraId="11CF4EF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w:t>
      </w:r>
      <w:r>
        <w:rPr>
          <w:rFonts w:hint="eastAsia" w:ascii="宋体" w:hAnsi="宋体" w:eastAsia="宋体" w:cs="宋体"/>
          <w:color w:val="auto"/>
          <w:highlight w:val="none"/>
        </w:rPr>
        <w:t>设计内容包括但不限于工程前期的工程测量、现场调查、收集资料、</w:t>
      </w:r>
      <w:r>
        <w:rPr>
          <w:rFonts w:hint="eastAsia" w:ascii="宋体" w:hAnsi="宋体" w:eastAsia="宋体" w:cs="宋体"/>
          <w:color w:val="auto"/>
          <w:highlight w:val="none"/>
          <w:lang w:eastAsia="zh-CN"/>
        </w:rPr>
        <w:t>工程预算</w:t>
      </w:r>
      <w:r>
        <w:rPr>
          <w:rFonts w:hint="eastAsia" w:ascii="宋体" w:hAnsi="宋体" w:eastAsia="宋体" w:cs="宋体"/>
          <w:color w:val="auto"/>
          <w:highlight w:val="none"/>
        </w:rPr>
        <w:t>、初步设计报批、施工图设计</w:t>
      </w:r>
      <w:r>
        <w:rPr>
          <w:rFonts w:hint="eastAsia" w:ascii="宋体" w:hAnsi="宋体" w:eastAsia="宋体" w:cs="宋体"/>
          <w:color w:val="auto"/>
          <w:highlight w:val="none"/>
          <w:lang w:val="en-US" w:eastAsia="zh-CN"/>
        </w:rPr>
        <w:t>、后期图纸调整等国家规定规范内所有设计成果以及后期相应的设计技术交底，解决施工中的设计技术问题和竣工验收等服务。按照招标人要求提交图、表、文字、数据、光盘等全套设计成果文件</w:t>
      </w:r>
      <w:r>
        <w:rPr>
          <w:rFonts w:hint="eastAsia" w:ascii="宋体" w:hAnsi="宋体" w:eastAsia="宋体" w:cs="宋体"/>
          <w:color w:val="auto"/>
          <w:szCs w:val="21"/>
          <w:highlight w:val="none"/>
        </w:rPr>
        <w:t>。</w:t>
      </w:r>
    </w:p>
    <w:p w14:paraId="02EA9A0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须对所有成果负总责，前期各阶段所有设计和各项成果及审查工作必须确保通过职能部门审查，</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负责承担完成本项目涉及所需的全部技术支撑。以上设计项目全部内容以及</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安排与本项目相关的工作内容等，</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中标后必须按照</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要求完成与其相关的所有设计内容。方案、初步设计（含概算） 及施工图设计必须以国家法律法规及地方有关标准、规范为依据，按</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、合同书内容和质量要求按</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要求时限提交成果。</w:t>
      </w:r>
    </w:p>
    <w:p w14:paraId="7929B70E">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）施工图设计要求</w:t>
      </w:r>
    </w:p>
    <w:p w14:paraId="332913C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1、结合考察内容及项目使用单位、</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需求整合方案</w:t>
      </w:r>
      <w:r>
        <w:rPr>
          <w:rFonts w:hint="eastAsia" w:ascii="宋体" w:hAnsi="宋体" w:eastAsia="宋体" w:cs="宋体"/>
          <w:color w:val="auto"/>
          <w:szCs w:val="21"/>
          <w:highlight w:val="none"/>
          <w:lang w:val="en-US" w:eastAsia="zh-CN"/>
        </w:rPr>
        <w:t>并经采购人认可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结合方案进行施工图设计，</w:t>
      </w:r>
      <w:r>
        <w:rPr>
          <w:rFonts w:hint="eastAsia" w:ascii="宋体" w:hAnsi="宋体" w:eastAsia="宋体" w:cs="宋体"/>
          <w:color w:val="auto"/>
          <w:szCs w:val="21"/>
          <w:highlight w:val="none"/>
        </w:rPr>
        <w:t>施工图设计需符合规范要求。</w:t>
      </w:r>
    </w:p>
    <w:p w14:paraId="0E71FF8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应认真进行施工图设计，确保施工图完整、详细，能很好地指导施工。</w:t>
      </w:r>
    </w:p>
    <w:p w14:paraId="64154B2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3、施工节点设计需出具节点大样图和具体做法，不可以直接简单套用图集。</w:t>
      </w:r>
    </w:p>
    <w:p w14:paraId="73CA67F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4、施工图设计除需满足规范要求外，还需要充分考虑方便施工、易于控制施工质量、便于采购施工材料和便于交付使用后的日常管理。</w:t>
      </w:r>
    </w:p>
    <w:p w14:paraId="28F2644A">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应在满足国家相关设计技术规范要求、</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使用需求、功能定位和不降低项目品质的前提下，根据批复的项目总概算控制施工图设计，尽可能优化设计方案，节约工程造价。</w:t>
      </w:r>
    </w:p>
    <w:p w14:paraId="78415B14">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造价编制阶段</w:t>
      </w:r>
    </w:p>
    <w:p w14:paraId="67357F28">
      <w:pPr>
        <w:keepNext w:val="0"/>
        <w:keepLines w:val="0"/>
        <w:pageBreakBefore w:val="0"/>
        <w:kinsoku/>
        <w:overflowPunct/>
        <w:autoSpaceDE/>
        <w:autoSpaceDN/>
        <w:bidi w:val="0"/>
        <w:adjustRightInd/>
        <w:snapToGrid/>
        <w:spacing w:before="93" w:beforeLines="30" w:after="93" w:afterLines="30"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1、按照设计要求</w:t>
      </w:r>
      <w:r>
        <w:rPr>
          <w:rFonts w:hint="eastAsia" w:ascii="宋体" w:hAnsi="宋体" w:eastAsia="宋体" w:cs="宋体"/>
          <w:color w:val="auto"/>
          <w:szCs w:val="21"/>
          <w:highlight w:val="none"/>
          <w:lang w:val="en-US" w:eastAsia="zh-CN"/>
        </w:rPr>
        <w:t>编制项目预算，可用于施工项目招标</w:t>
      </w:r>
      <w:r>
        <w:rPr>
          <w:rFonts w:hint="eastAsia" w:ascii="宋体" w:hAnsi="宋体" w:eastAsia="宋体" w:cs="宋体"/>
          <w:color w:val="auto"/>
          <w:szCs w:val="21"/>
          <w:highlight w:val="none"/>
        </w:rPr>
        <w:t>。</w:t>
      </w:r>
    </w:p>
    <w:p w14:paraId="7C1AA5A8">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）设计周期要求</w:t>
      </w:r>
    </w:p>
    <w:p w14:paraId="0B2051F7">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1、设计方案确定后10天完成施工图设计，施工图设计完成后7日内工程量清单及控制价编制并交付最终成果。</w:t>
      </w:r>
    </w:p>
    <w:p w14:paraId="63EB8F5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2、招标范围内其他服务内容的期限：根据前期工作进度要求，在规定时间内提供相应成果文件，并满足设计需求及工程建设服务。</w:t>
      </w:r>
    </w:p>
    <w:p w14:paraId="1DA03BB2">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单位在招标人规定的设计周期内，完成本项目的所有设计任务，提交相应的设计文件，后期提供相应后续服务工作。因中标人原因，导致设计进度（含节点进度）延误，每延期一天中标人需承担3000元的违约金。因中标人原因，导致</w:t>
      </w:r>
      <w:r>
        <w:rPr>
          <w:rFonts w:hint="eastAsia" w:ascii="宋体" w:hAnsi="宋体" w:eastAsia="宋体" w:cs="宋体"/>
          <w:color w:val="auto"/>
          <w:szCs w:val="21"/>
          <w:highlight w:val="none"/>
          <w:lang w:val="en-US" w:eastAsia="zh-CN"/>
        </w:rPr>
        <w:t>造价编制</w:t>
      </w:r>
      <w:r>
        <w:rPr>
          <w:rFonts w:hint="eastAsia" w:ascii="宋体" w:hAnsi="宋体" w:eastAsia="宋体" w:cs="宋体"/>
          <w:color w:val="auto"/>
          <w:szCs w:val="21"/>
          <w:highlight w:val="none"/>
          <w:lang w:eastAsia="zh-CN"/>
        </w:rPr>
        <w:t>延误，每延期一天中标人需承担</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000元的违约金。</w:t>
      </w:r>
    </w:p>
    <w:p w14:paraId="5D07E9B0">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）服务要求</w:t>
      </w:r>
    </w:p>
    <w:p w14:paraId="2C4CA3F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、在整个设计服务期内，须无条件参加</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组织的与本工程相关的考察、调研工作，费用自理。</w:t>
      </w:r>
    </w:p>
    <w:p w14:paraId="7DC1CCC5">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、在工程招标、开工准备阶段，</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要求，指派相应的设计组成员及时配合，要求24小时内到场，及时协调解决招标、开工准备阶段的设计问题、技术问题，提出经济合理的解决方案，并根据</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要求参与项目各项验收工作，所发生的交通等费用自理。</w:t>
      </w:r>
    </w:p>
    <w:p w14:paraId="2162B644">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、在施工阶段，</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要求，指派相应的设计组成员随时配合，一般问题电话联系后24小时内到场，紧急问题2小时内到场，及时解决施工中涉及的设计问题和现场的相关技术问题，提出经济合理的解决方案，并根据</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要求参与项目各项验收工作，所发生的交通等费用自理。</w:t>
      </w:r>
    </w:p>
    <w:p w14:paraId="3722DB78">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应积极主动地进行与工程有关的内、外协调工作，做好与</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、监理、承包商、设备和材料供应商、政府相关管理部门等单位的配合协调工作。</w:t>
      </w:r>
    </w:p>
    <w:p w14:paraId="68682F49">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需及时处理现场设计变更事项、补充设计缺陷或修改设计，及时向委托方提交经修改或补充的设计文件，以满足</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要求，每延误一次承担3000元的违约金。</w:t>
      </w:r>
    </w:p>
    <w:p w14:paraId="246DCC03">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、所有设计变更必须经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同意后方可进行，且设计变更单必须经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下发给施工、监理单位。未经</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同意，</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擅自进行变更的，或擅自将变更单发放给施工、监理单位的，每发现一次，</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承担10000元的违约金。</w:t>
      </w:r>
    </w:p>
    <w:p w14:paraId="153404BE">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7、造价编制过程应配合采购人进行推荐品牌选型、结合项目侧重点进行设计调整最终完成造价编制工作并出具符合要求的成果文件。</w:t>
      </w:r>
    </w:p>
    <w:p w14:paraId="5FFDC2B5">
      <w:pPr>
        <w:keepNext w:val="0"/>
        <w:keepLines w:val="0"/>
        <w:pageBreakBefore w:val="0"/>
        <w:kinsoku/>
        <w:overflowPunct/>
        <w:autoSpaceDE/>
        <w:autoSpaceDN/>
        <w:bidi w:val="0"/>
        <w:adjustRightInd/>
        <w:snapToGrid/>
        <w:spacing w:before="93" w:beforeLines="30" w:after="93" w:afterLines="30" w:line="440" w:lineRule="exact"/>
        <w:ind w:right="0" w:rightChars="0"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）提交的成果要求</w:t>
      </w:r>
    </w:p>
    <w:p w14:paraId="1578D626">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Cs w:val="21"/>
          <w:highlight w:val="none"/>
        </w:rPr>
        <w:t>在设计过程中提交的设计文件应包括文本、图件及计算机文件。计算机文件含所有成果文件，用PowerPoint、Word、Excel、Pdf、AutoCAD软件制作，提供备份光盘1份。</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有权无偿使用设计成果。</w:t>
      </w:r>
    </w:p>
    <w:p w14:paraId="3117228F">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2、成果数量要求（具体以</w:t>
      </w:r>
      <w:r>
        <w:rPr>
          <w:rFonts w:hint="eastAsia" w:ascii="宋体" w:hAnsi="宋体" w:eastAsia="宋体" w:cs="宋体"/>
          <w:color w:val="auto"/>
          <w:szCs w:val="21"/>
          <w:highlight w:val="none"/>
          <w:lang w:eastAsia="zh-CN"/>
        </w:rPr>
        <w:t>项目单位</w:t>
      </w:r>
      <w:r>
        <w:rPr>
          <w:rFonts w:hint="eastAsia" w:ascii="宋体" w:hAnsi="宋体" w:eastAsia="宋体" w:cs="宋体"/>
          <w:color w:val="auto"/>
          <w:szCs w:val="21"/>
          <w:highlight w:val="none"/>
        </w:rPr>
        <w:t>实际使用需求为准）</w:t>
      </w:r>
    </w:p>
    <w:p w14:paraId="5A75BC0E">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（1）施工图最终成果不少于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套， CAD、Pdf 电子文件各1份。</w:t>
      </w:r>
    </w:p>
    <w:p w14:paraId="432645FC">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）其它项目汇报 PPT版本文件、项目效果图等若干。</w:t>
      </w:r>
    </w:p>
    <w:p w14:paraId="70A28970">
      <w:pPr>
        <w:keepNext w:val="0"/>
        <w:keepLines w:val="0"/>
        <w:pageBreakBefore w:val="0"/>
        <w:kinsoku/>
        <w:overflowPunct/>
        <w:autoSpaceDE/>
        <w:autoSpaceDN/>
        <w:bidi w:val="0"/>
        <w:adjustRightInd/>
        <w:snapToGrid/>
        <w:spacing w:line="440" w:lineRule="exact"/>
        <w:ind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）各类咨询报告及评价结果满足</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报批及存档数量要求。</w:t>
      </w:r>
    </w:p>
    <w:p w14:paraId="385A45E6">
      <w:pPr>
        <w:topLinePunct/>
        <w:spacing w:line="240" w:lineRule="atLeast"/>
        <w:rPr>
          <w:rFonts w:hint="eastAsia" w:ascii="宋体" w:hAnsi="宋体" w:eastAsia="宋体" w:cs="宋体"/>
          <w:color w:val="auto"/>
          <w:highlight w:val="none"/>
        </w:rPr>
      </w:pPr>
    </w:p>
    <w:p w14:paraId="055E18AF">
      <w:pPr>
        <w:topLinePunct/>
        <w:spacing w:line="240" w:lineRule="atLeast"/>
        <w:rPr>
          <w:rFonts w:hint="eastAsia" w:ascii="宋体" w:hAnsi="宋体" w:eastAsia="宋体" w:cs="宋体"/>
          <w:color w:val="auto"/>
          <w:highlight w:val="none"/>
        </w:rPr>
        <w:sectPr>
          <w:footerReference r:id="rId5" w:type="default"/>
          <w:pgSz w:w="11910" w:h="16845"/>
          <w:pgMar w:top="1431" w:right="930" w:bottom="1157" w:left="765" w:header="0" w:footer="997" w:gutter="0"/>
          <w:pgNumType w:fmt="decimal" w:start="1"/>
          <w:cols w:space="720" w:num="1"/>
        </w:sectPr>
      </w:pPr>
    </w:p>
    <w:p w14:paraId="6178D4F2">
      <w:pPr>
        <w:spacing w:line="360" w:lineRule="auto"/>
        <w:jc w:val="center"/>
        <w:outlineLvl w:val="0"/>
        <w:rPr>
          <w:rFonts w:hint="eastAsia" w:ascii="宋体" w:hAnsi="宋体" w:eastAsia="宋体" w:cs="宋体"/>
          <w:b/>
          <w:color w:val="auto"/>
          <w:sz w:val="28"/>
          <w:highlight w:val="none"/>
        </w:rPr>
      </w:pPr>
      <w:bookmarkStart w:id="33" w:name="_Toc30824"/>
      <w:r>
        <w:rPr>
          <w:rFonts w:hint="eastAsia" w:ascii="宋体" w:hAnsi="宋体" w:eastAsia="宋体" w:cs="宋体"/>
          <w:b/>
          <w:color w:val="auto"/>
          <w:sz w:val="28"/>
          <w:highlight w:val="none"/>
        </w:rPr>
        <w:t>第四章  评标方法和标准（综合评分法）</w:t>
      </w:r>
      <w:bookmarkEnd w:id="33"/>
    </w:p>
    <w:p w14:paraId="33C95FAC">
      <w:pPr>
        <w:spacing w:line="440" w:lineRule="exact"/>
        <w:ind w:firstLine="437"/>
        <w:outlineLvl w:val="1"/>
        <w:rPr>
          <w:rFonts w:hint="eastAsia" w:ascii="宋体" w:hAnsi="宋体" w:eastAsia="宋体" w:cs="宋体"/>
          <w:b/>
          <w:color w:val="auto"/>
          <w:sz w:val="24"/>
          <w:highlight w:val="none"/>
        </w:rPr>
      </w:pPr>
      <w:bookmarkStart w:id="34" w:name="_Toc4705"/>
      <w:bookmarkStart w:id="35" w:name="_Toc11823"/>
      <w:r>
        <w:rPr>
          <w:rFonts w:hint="eastAsia" w:ascii="宋体" w:hAnsi="宋体" w:eastAsia="宋体" w:cs="宋体"/>
          <w:b/>
          <w:color w:val="auto"/>
          <w:sz w:val="24"/>
          <w:highlight w:val="none"/>
        </w:rPr>
        <w:t>一、总则</w:t>
      </w:r>
      <w:bookmarkEnd w:id="34"/>
      <w:bookmarkEnd w:id="35"/>
    </w:p>
    <w:p w14:paraId="5CC3AE7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6F494492">
      <w:pPr>
        <w:spacing w:line="440" w:lineRule="exact"/>
        <w:ind w:firstLine="437"/>
        <w:outlineLvl w:val="1"/>
        <w:rPr>
          <w:rFonts w:hint="eastAsia" w:ascii="宋体" w:hAnsi="宋体" w:eastAsia="宋体" w:cs="宋体"/>
          <w:b/>
          <w:color w:val="auto"/>
          <w:sz w:val="24"/>
          <w:highlight w:val="none"/>
        </w:rPr>
      </w:pPr>
      <w:bookmarkStart w:id="36" w:name="_Toc32410"/>
      <w:bookmarkStart w:id="37" w:name="_Toc31871"/>
      <w:r>
        <w:rPr>
          <w:rFonts w:hint="eastAsia" w:ascii="宋体" w:hAnsi="宋体" w:eastAsia="宋体" w:cs="宋体"/>
          <w:b/>
          <w:color w:val="auto"/>
          <w:sz w:val="24"/>
          <w:highlight w:val="none"/>
        </w:rPr>
        <w:t>二、评标方法</w:t>
      </w:r>
      <w:bookmarkEnd w:id="36"/>
      <w:bookmarkEnd w:id="37"/>
    </w:p>
    <w:p w14:paraId="6CE0617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651"/>
        <w:gridCol w:w="4556"/>
        <w:gridCol w:w="1899"/>
      </w:tblGrid>
      <w:tr w14:paraId="6831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1A4160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b/>
                <w:color w:val="auto"/>
                <w:sz w:val="24"/>
                <w:szCs w:val="22"/>
                <w:highlight w:val="none"/>
              </w:rPr>
              <w:t>资格审查表</w:t>
            </w:r>
          </w:p>
        </w:tc>
      </w:tr>
      <w:tr w14:paraId="372B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62542E1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42" w:type="pct"/>
            <w:tcBorders>
              <w:bottom w:val="single" w:color="auto" w:sz="4" w:space="0"/>
            </w:tcBorders>
            <w:vAlign w:val="center"/>
          </w:tcPr>
          <w:p w14:paraId="4F86997A">
            <w:pPr>
              <w:pStyle w:val="47"/>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审查因素</w:t>
            </w:r>
          </w:p>
        </w:tc>
        <w:tc>
          <w:tcPr>
            <w:tcW w:w="2600" w:type="pct"/>
            <w:tcBorders>
              <w:bottom w:val="single" w:color="auto" w:sz="4" w:space="0"/>
            </w:tcBorders>
            <w:vAlign w:val="center"/>
          </w:tcPr>
          <w:p w14:paraId="7EB14BE3">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1083" w:type="pct"/>
            <w:tcBorders>
              <w:bottom w:val="single" w:color="auto" w:sz="4" w:space="0"/>
            </w:tcBorders>
            <w:vAlign w:val="center"/>
          </w:tcPr>
          <w:p w14:paraId="44052512">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201F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4AD948A1">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42" w:type="pct"/>
            <w:tcBorders>
              <w:bottom w:val="single" w:color="auto" w:sz="4" w:space="0"/>
            </w:tcBorders>
            <w:vAlign w:val="center"/>
          </w:tcPr>
          <w:p w14:paraId="7145C0F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0" w:type="pct"/>
            <w:tcBorders>
              <w:bottom w:val="single" w:color="auto" w:sz="4" w:space="0"/>
            </w:tcBorders>
            <w:vAlign w:val="center"/>
          </w:tcPr>
          <w:p w14:paraId="61792732">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（1）投标人为企业（包括合伙企业）的，应提供有效的营业执照；</w:t>
            </w:r>
          </w:p>
          <w:p w14:paraId="0386FE6F">
            <w:pPr>
              <w:spacing w:after="50" w:line="44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（2）投标人为事业单位的，应提供有效的事业单位法人证书；</w:t>
            </w:r>
          </w:p>
          <w:p w14:paraId="4A055139">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（3）投标人是非企业机构的，应提供有效的执业许可证或登记证书等证明文件；</w:t>
            </w:r>
          </w:p>
        </w:tc>
        <w:tc>
          <w:tcPr>
            <w:tcW w:w="1083" w:type="pct"/>
            <w:vAlign w:val="center"/>
          </w:tcPr>
          <w:p w14:paraId="733AA464">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提供材料复印件，应完整的体现出材料的全部内容。</w:t>
            </w:r>
          </w:p>
        </w:tc>
      </w:tr>
      <w:tr w14:paraId="67CF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4B14A21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42" w:type="pct"/>
            <w:tcBorders>
              <w:bottom w:val="single" w:color="auto" w:sz="4" w:space="0"/>
            </w:tcBorders>
            <w:vAlign w:val="center"/>
          </w:tcPr>
          <w:p w14:paraId="406A2993">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18"/>
                <w:highlight w:val="none"/>
              </w:rPr>
              <w:t>投标人资格声明书</w:t>
            </w:r>
          </w:p>
        </w:tc>
        <w:tc>
          <w:tcPr>
            <w:tcW w:w="2600" w:type="pct"/>
            <w:tcBorders>
              <w:bottom w:val="single" w:color="auto" w:sz="4" w:space="0"/>
            </w:tcBorders>
            <w:vAlign w:val="center"/>
          </w:tcPr>
          <w:p w14:paraId="52375521">
            <w:pPr>
              <w:spacing w:after="50" w:line="440" w:lineRule="exact"/>
              <w:ind w:right="-1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提供符合招标文件要求的《投标人资格声明书》。</w:t>
            </w:r>
          </w:p>
        </w:tc>
        <w:tc>
          <w:tcPr>
            <w:tcW w:w="1083" w:type="pct"/>
            <w:vAlign w:val="center"/>
          </w:tcPr>
          <w:p w14:paraId="1B7CBF89">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详见第六章投标文件格式。</w:t>
            </w:r>
          </w:p>
        </w:tc>
      </w:tr>
      <w:tr w14:paraId="1A52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7F16EF90">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42" w:type="pct"/>
            <w:vAlign w:val="center"/>
          </w:tcPr>
          <w:p w14:paraId="088309AA">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vAlign w:val="center"/>
          </w:tcPr>
          <w:p w14:paraId="72A3DFA4">
            <w:pPr>
              <w:spacing w:after="50" w:line="440" w:lineRule="exact"/>
              <w:ind w:right="-1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83" w:type="pct"/>
            <w:vAlign w:val="center"/>
          </w:tcPr>
          <w:p w14:paraId="0C18A788">
            <w:pPr>
              <w:spacing w:line="440" w:lineRule="exact"/>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4DFB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0BE43B51">
            <w:pPr>
              <w:adjustRightInd w:val="0"/>
              <w:snapToGrid w:val="0"/>
              <w:spacing w:line="440" w:lineRule="exact"/>
              <w:ind w:right="-1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942" w:type="pct"/>
            <w:vAlign w:val="center"/>
          </w:tcPr>
          <w:p w14:paraId="19CF8B84">
            <w:pPr>
              <w:spacing w:after="50" w:line="440" w:lineRule="exact"/>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本项目特定要求</w:t>
            </w:r>
          </w:p>
        </w:tc>
        <w:tc>
          <w:tcPr>
            <w:tcW w:w="2600" w:type="pct"/>
            <w:vAlign w:val="center"/>
          </w:tcPr>
          <w:p w14:paraId="238E98FA">
            <w:pPr>
              <w:spacing w:after="50" w:line="440" w:lineRule="exact"/>
              <w:ind w:right="-1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满足招标公告要求</w:t>
            </w:r>
          </w:p>
        </w:tc>
        <w:tc>
          <w:tcPr>
            <w:tcW w:w="1083" w:type="pct"/>
            <w:vAlign w:val="center"/>
          </w:tcPr>
          <w:p w14:paraId="2D9A06D8">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提供证书复印件加盖公章</w:t>
            </w:r>
          </w:p>
        </w:tc>
      </w:tr>
    </w:tbl>
    <w:p w14:paraId="364BFD55">
      <w:pPr>
        <w:spacing w:line="440" w:lineRule="exact"/>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179A223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673B3C9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8"/>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116"/>
        <w:gridCol w:w="3294"/>
        <w:gridCol w:w="2519"/>
      </w:tblGrid>
      <w:tr w14:paraId="567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6BE16E6">
            <w:pPr>
              <w:adjustRightInd w:val="0"/>
              <w:snapToGrid w:val="0"/>
              <w:spacing w:line="440" w:lineRule="exact"/>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2BA7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39" w:type="pct"/>
            <w:tcBorders>
              <w:bottom w:val="single" w:color="auto" w:sz="4" w:space="0"/>
            </w:tcBorders>
            <w:vAlign w:val="center"/>
          </w:tcPr>
          <w:p w14:paraId="5393E7C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17" w:type="pct"/>
            <w:tcBorders>
              <w:bottom w:val="single" w:color="auto" w:sz="4" w:space="0"/>
            </w:tcBorders>
            <w:vAlign w:val="center"/>
          </w:tcPr>
          <w:p w14:paraId="59036331">
            <w:pPr>
              <w:pStyle w:val="47"/>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审查指标</w:t>
            </w:r>
          </w:p>
        </w:tc>
        <w:tc>
          <w:tcPr>
            <w:tcW w:w="1895" w:type="pct"/>
            <w:tcBorders>
              <w:bottom w:val="single" w:color="auto" w:sz="4" w:space="0"/>
            </w:tcBorders>
            <w:vAlign w:val="center"/>
          </w:tcPr>
          <w:p w14:paraId="766D1236">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审查标准</w:t>
            </w:r>
          </w:p>
        </w:tc>
        <w:tc>
          <w:tcPr>
            <w:tcW w:w="1447" w:type="pct"/>
            <w:tcBorders>
              <w:bottom w:val="single" w:color="auto" w:sz="4" w:space="0"/>
            </w:tcBorders>
            <w:vAlign w:val="center"/>
          </w:tcPr>
          <w:p w14:paraId="3AA96849">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85E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1AD483F">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17" w:type="pct"/>
            <w:vAlign w:val="center"/>
          </w:tcPr>
          <w:p w14:paraId="77AB0CAC">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95" w:type="pct"/>
            <w:vAlign w:val="center"/>
          </w:tcPr>
          <w:p w14:paraId="7A89AFFC">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3B4A4E9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2032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37D90AE8">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17" w:type="pct"/>
            <w:vAlign w:val="center"/>
          </w:tcPr>
          <w:p w14:paraId="4F50A270">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95" w:type="pct"/>
            <w:vAlign w:val="center"/>
          </w:tcPr>
          <w:p w14:paraId="09E7FA9F">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3B49983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36A9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4563FE1F">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17" w:type="pct"/>
            <w:vAlign w:val="center"/>
          </w:tcPr>
          <w:p w14:paraId="3C6A575E">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95" w:type="pct"/>
            <w:vAlign w:val="center"/>
          </w:tcPr>
          <w:p w14:paraId="7903EEE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格式、填写要求符合招标文件规定并加盖投标人章</w:t>
            </w:r>
          </w:p>
        </w:tc>
        <w:tc>
          <w:tcPr>
            <w:tcW w:w="1447" w:type="pct"/>
            <w:vAlign w:val="center"/>
          </w:tcPr>
          <w:p w14:paraId="1F3FC274">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法定代表人参加投标的无需此件，提供身份证明即可。详见第六章投标文件格式。</w:t>
            </w:r>
          </w:p>
        </w:tc>
      </w:tr>
      <w:tr w14:paraId="53F5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13CDE64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17" w:type="pct"/>
            <w:vAlign w:val="center"/>
          </w:tcPr>
          <w:p w14:paraId="005AAA73">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95" w:type="pct"/>
            <w:vAlign w:val="center"/>
          </w:tcPr>
          <w:p w14:paraId="278AFB02">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招标文件投标人须知正文第9条要求</w:t>
            </w:r>
          </w:p>
        </w:tc>
        <w:tc>
          <w:tcPr>
            <w:tcW w:w="1447" w:type="pct"/>
            <w:vAlign w:val="center"/>
          </w:tcPr>
          <w:p w14:paraId="062ADCB1">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04C4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A548E80">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17" w:type="pct"/>
            <w:vAlign w:val="center"/>
          </w:tcPr>
          <w:p w14:paraId="6B16A70F">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95" w:type="pct"/>
            <w:vAlign w:val="center"/>
          </w:tcPr>
          <w:p w14:paraId="707246B7">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符合招标文件采购需求中对付款方式、服务地点、服务期限等实质性要求</w:t>
            </w:r>
          </w:p>
        </w:tc>
        <w:tc>
          <w:tcPr>
            <w:tcW w:w="1447" w:type="pct"/>
            <w:vAlign w:val="center"/>
          </w:tcPr>
          <w:p w14:paraId="6AA36B07">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r w14:paraId="1D43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14:paraId="6AE0A575">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17" w:type="pct"/>
            <w:vAlign w:val="center"/>
          </w:tcPr>
          <w:p w14:paraId="2933E416">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95" w:type="pct"/>
            <w:vAlign w:val="center"/>
          </w:tcPr>
          <w:p w14:paraId="5AF798BB">
            <w:pPr>
              <w:spacing w:after="50" w:line="440" w:lineRule="exact"/>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符合法律、行政法规规定的其他条件或招标文件列明的其他实质性要求</w:t>
            </w:r>
          </w:p>
        </w:tc>
        <w:tc>
          <w:tcPr>
            <w:tcW w:w="1447" w:type="pct"/>
            <w:vAlign w:val="center"/>
          </w:tcPr>
          <w:p w14:paraId="2AB1A618">
            <w:pPr>
              <w:adjustRightInd w:val="0"/>
              <w:snapToGrid w:val="0"/>
              <w:spacing w:line="440" w:lineRule="exact"/>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p>
        </w:tc>
      </w:tr>
    </w:tbl>
    <w:p w14:paraId="179FECBE">
      <w:pPr>
        <w:spacing w:line="440" w:lineRule="exact"/>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28D08E00">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7647274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7D565DAE">
      <w:pPr>
        <w:keepNext w:val="0"/>
        <w:keepLines w:val="0"/>
        <w:pageBreakBefore w:val="0"/>
        <w:kinsoku/>
        <w:wordWrap w:val="0"/>
        <w:overflowPunct/>
        <w:topLinePunct w:val="0"/>
        <w:bidi w:val="0"/>
        <w:spacing w:line="360" w:lineRule="auto"/>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分值占总分值的权重为</w:t>
      </w:r>
      <w:r>
        <w:rPr>
          <w:rFonts w:hint="eastAsia" w:ascii="宋体" w:hAnsi="宋体" w:eastAsia="宋体" w:cs="宋体"/>
          <w:color w:val="auto"/>
          <w:sz w:val="24"/>
          <w:highlight w:val="none"/>
          <w:u w:val="single"/>
          <w:lang w:val="en-US" w:eastAsia="zh-CN"/>
        </w:rPr>
        <w:t>50</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%。具体评分细则如下：</w:t>
      </w:r>
    </w:p>
    <w:tbl>
      <w:tblPr>
        <w:tblStyle w:val="2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693"/>
        <w:gridCol w:w="4722"/>
        <w:gridCol w:w="942"/>
      </w:tblGrid>
      <w:tr w14:paraId="1640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14:paraId="7E0BCFAD">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693" w:type="dxa"/>
            <w:tcBorders>
              <w:top w:val="single" w:color="auto" w:sz="4" w:space="0"/>
              <w:left w:val="single" w:color="auto" w:sz="4" w:space="0"/>
              <w:bottom w:val="single" w:color="auto" w:sz="4" w:space="0"/>
              <w:right w:val="single" w:color="auto" w:sz="4" w:space="0"/>
            </w:tcBorders>
            <w:vAlign w:val="center"/>
          </w:tcPr>
          <w:p w14:paraId="2BEA7CA4">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评分内容</w:t>
            </w:r>
          </w:p>
        </w:tc>
        <w:tc>
          <w:tcPr>
            <w:tcW w:w="4722" w:type="dxa"/>
            <w:tcBorders>
              <w:top w:val="single" w:color="auto" w:sz="4" w:space="0"/>
              <w:left w:val="single" w:color="auto" w:sz="4" w:space="0"/>
              <w:bottom w:val="single" w:color="auto" w:sz="4" w:space="0"/>
              <w:right w:val="single" w:color="auto" w:sz="4" w:space="0"/>
            </w:tcBorders>
            <w:vAlign w:val="center"/>
          </w:tcPr>
          <w:p w14:paraId="7C61A3E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评分标准</w:t>
            </w:r>
          </w:p>
        </w:tc>
        <w:tc>
          <w:tcPr>
            <w:tcW w:w="942" w:type="dxa"/>
            <w:tcBorders>
              <w:top w:val="single" w:color="auto" w:sz="4" w:space="0"/>
              <w:left w:val="single" w:color="auto" w:sz="4" w:space="0"/>
              <w:bottom w:val="single" w:color="auto" w:sz="4" w:space="0"/>
              <w:right w:val="single" w:color="auto" w:sz="4" w:space="0"/>
            </w:tcBorders>
            <w:vAlign w:val="center"/>
          </w:tcPr>
          <w:p w14:paraId="2435EFD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分值范围</w:t>
            </w:r>
          </w:p>
        </w:tc>
      </w:tr>
      <w:tr w14:paraId="4A6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7" w:type="dxa"/>
            <w:tcBorders>
              <w:top w:val="single" w:color="auto" w:sz="4" w:space="0"/>
              <w:left w:val="single" w:color="auto" w:sz="4" w:space="0"/>
              <w:bottom w:val="single" w:color="auto" w:sz="4" w:space="0"/>
              <w:right w:val="single" w:color="auto" w:sz="4" w:space="0"/>
            </w:tcBorders>
            <w:vAlign w:val="center"/>
          </w:tcPr>
          <w:p w14:paraId="66414505">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p>
        </w:tc>
        <w:tc>
          <w:tcPr>
            <w:tcW w:w="7357" w:type="dxa"/>
            <w:gridSpan w:val="3"/>
            <w:tcBorders>
              <w:top w:val="single" w:color="auto" w:sz="4" w:space="0"/>
              <w:left w:val="single" w:color="auto" w:sz="4" w:space="0"/>
              <w:bottom w:val="single" w:color="auto" w:sz="4" w:space="0"/>
              <w:right w:val="single" w:color="auto" w:sz="4" w:space="0"/>
            </w:tcBorders>
            <w:vAlign w:val="center"/>
          </w:tcPr>
          <w:p w14:paraId="5399E38E">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技术部分</w:t>
            </w:r>
          </w:p>
        </w:tc>
      </w:tr>
      <w:tr w14:paraId="2C4F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67" w:type="dxa"/>
            <w:vMerge w:val="restart"/>
            <w:tcBorders>
              <w:top w:val="single" w:color="auto" w:sz="4" w:space="0"/>
              <w:left w:val="single" w:color="auto" w:sz="4" w:space="0"/>
              <w:right w:val="single" w:color="auto" w:sz="4" w:space="0"/>
            </w:tcBorders>
            <w:vAlign w:val="center"/>
          </w:tcPr>
          <w:p w14:paraId="561CBE2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p>
          <w:p w14:paraId="160FE268">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资信分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lang w:val="en-US" w:eastAsia="zh-CN"/>
              </w:rPr>
              <w:t>20</w:t>
            </w:r>
            <w:r>
              <w:rPr>
                <w:rFonts w:hint="eastAsia" w:ascii="宋体" w:hAnsi="宋体" w:eastAsia="宋体" w:cs="宋体"/>
                <w:color w:val="auto"/>
                <w:sz w:val="24"/>
                <w:highlight w:val="none"/>
              </w:rPr>
              <w:t>分）</w:t>
            </w:r>
          </w:p>
        </w:tc>
        <w:tc>
          <w:tcPr>
            <w:tcW w:w="1693" w:type="dxa"/>
            <w:tcBorders>
              <w:top w:val="single" w:color="auto" w:sz="4" w:space="0"/>
              <w:left w:val="single" w:color="auto" w:sz="4" w:space="0"/>
              <w:right w:val="single" w:color="auto" w:sz="4" w:space="0"/>
            </w:tcBorders>
            <w:vAlign w:val="center"/>
          </w:tcPr>
          <w:p w14:paraId="4292187F">
            <w:pPr>
              <w:keepLines w:val="0"/>
              <w:pageBreakBefore w:val="0"/>
              <w:kinsoku/>
              <w:wordWrap w:val="0"/>
              <w:overflowPunct w:val="0"/>
              <w:topLinePunct w:val="0"/>
              <w:bidi w:val="0"/>
              <w:spacing w:line="40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业绩</w:t>
            </w:r>
          </w:p>
        </w:tc>
        <w:tc>
          <w:tcPr>
            <w:tcW w:w="4722" w:type="dxa"/>
            <w:tcBorders>
              <w:top w:val="single" w:color="auto" w:sz="4" w:space="0"/>
              <w:left w:val="single" w:color="auto" w:sz="4" w:space="0"/>
              <w:bottom w:val="single" w:color="auto" w:sz="4" w:space="0"/>
              <w:right w:val="single" w:color="auto" w:sz="4" w:space="0"/>
            </w:tcBorders>
            <w:vAlign w:val="center"/>
          </w:tcPr>
          <w:p w14:paraId="3226EDDF">
            <w:pPr>
              <w:pStyle w:val="10"/>
              <w:keepLines w:val="0"/>
              <w:pageBreakBefore w:val="0"/>
              <w:shd w:val="clear" w:color="auto" w:fill="auto"/>
              <w:kinsoku/>
              <w:wordWrap w:val="0"/>
              <w:overflowPunct w:val="0"/>
              <w:topLinePunct w:val="0"/>
              <w:bidi w:val="0"/>
              <w:spacing w:line="400" w:lineRule="exact"/>
              <w:rPr>
                <w:rFonts w:hint="eastAsia" w:ascii="宋体" w:hAnsi="宋体" w:eastAsia="宋体" w:cs="宋体"/>
                <w:b/>
                <w:color w:val="0000FF"/>
                <w:sz w:val="24"/>
                <w:szCs w:val="24"/>
                <w:highlight w:val="none"/>
                <w:lang w:val="en-US"/>
              </w:rPr>
            </w:pPr>
            <w:r>
              <w:rPr>
                <w:rFonts w:hint="eastAsia" w:ascii="宋体" w:hAnsi="宋体" w:eastAsia="宋体" w:cs="宋体"/>
                <w:bCs/>
                <w:color w:val="auto"/>
                <w:sz w:val="24"/>
                <w:szCs w:val="24"/>
                <w:highlight w:val="none"/>
                <w:lang w:val="en-US" w:eastAsia="zh-CN"/>
              </w:rPr>
              <w:t>投标人自 2021年1月1日至投标截止日，</w:t>
            </w:r>
            <w:r>
              <w:rPr>
                <w:rFonts w:hint="eastAsia" w:ascii="宋体" w:hAnsi="宋体" w:eastAsia="宋体" w:cs="宋体"/>
                <w:bCs/>
                <w:color w:val="0000FF"/>
                <w:sz w:val="24"/>
                <w:szCs w:val="24"/>
                <w:highlight w:val="none"/>
                <w:lang w:val="en-US" w:eastAsia="zh-CN"/>
              </w:rPr>
              <w:t>承担过单项合同金额为50万元及以上的装饰装修或改造项目的设计业绩或设计合同金额在3万元及以上的装饰</w:t>
            </w:r>
            <w:bookmarkStart w:id="218" w:name="_GoBack"/>
            <w:bookmarkEnd w:id="218"/>
            <w:r>
              <w:rPr>
                <w:rFonts w:hint="eastAsia" w:ascii="宋体" w:hAnsi="宋体" w:eastAsia="宋体" w:cs="宋体"/>
                <w:bCs/>
                <w:color w:val="0000FF"/>
                <w:sz w:val="24"/>
                <w:szCs w:val="24"/>
                <w:highlight w:val="none"/>
                <w:lang w:val="en-US" w:eastAsia="zh-CN"/>
              </w:rPr>
              <w:t>装修或改造项目设计的，得5分，未提供或未按要求提供不得分，本条满分10分。</w:t>
            </w:r>
          </w:p>
          <w:p w14:paraId="44DD0A67">
            <w:pPr>
              <w:keepLines w:val="0"/>
              <w:pageBreakBefore w:val="0"/>
              <w:shd w:val="clear" w:color="auto" w:fill="auto"/>
              <w:kinsoku/>
              <w:wordWrap w:val="0"/>
              <w:overflowPunct w:val="0"/>
              <w:topLinePunct w:val="0"/>
              <w:bidi w:val="0"/>
              <w:spacing w:line="400" w:lineRule="exact"/>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kern w:val="2"/>
                <w:sz w:val="24"/>
                <w:szCs w:val="24"/>
                <w:highlight w:val="none"/>
                <w:lang w:val="en-US" w:eastAsia="zh-CN" w:bidi="ar-SA"/>
              </w:rPr>
              <w:t>提供业绩合同复印件，装订在响应文件中。</w:t>
            </w:r>
          </w:p>
        </w:tc>
        <w:tc>
          <w:tcPr>
            <w:tcW w:w="942" w:type="dxa"/>
            <w:tcBorders>
              <w:top w:val="single" w:color="auto" w:sz="4" w:space="0"/>
              <w:left w:val="single" w:color="auto" w:sz="4" w:space="0"/>
              <w:bottom w:val="single" w:color="auto" w:sz="4" w:space="0"/>
              <w:right w:val="single" w:color="auto" w:sz="4" w:space="0"/>
            </w:tcBorders>
            <w:vAlign w:val="center"/>
          </w:tcPr>
          <w:p w14:paraId="4CDD98A6">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p w14:paraId="6A98A25F">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p>
        </w:tc>
      </w:tr>
      <w:tr w14:paraId="121B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67" w:type="dxa"/>
            <w:vMerge w:val="continue"/>
            <w:tcBorders>
              <w:left w:val="single" w:color="auto" w:sz="4" w:space="0"/>
              <w:right w:val="single" w:color="auto" w:sz="4" w:space="0"/>
            </w:tcBorders>
            <w:vAlign w:val="center"/>
          </w:tcPr>
          <w:p w14:paraId="7C66E603">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p>
        </w:tc>
        <w:tc>
          <w:tcPr>
            <w:tcW w:w="1693" w:type="dxa"/>
            <w:tcBorders>
              <w:top w:val="single" w:color="auto" w:sz="4" w:space="0"/>
              <w:left w:val="single" w:color="auto" w:sz="4" w:space="0"/>
              <w:right w:val="single" w:color="auto" w:sz="4" w:space="0"/>
            </w:tcBorders>
            <w:vAlign w:val="center"/>
          </w:tcPr>
          <w:p w14:paraId="0085F9C9">
            <w:pPr>
              <w:keepLines w:val="0"/>
              <w:pageBreakBefore w:val="0"/>
              <w:kinsoku/>
              <w:wordWrap w:val="0"/>
              <w:overflowPunct w:val="0"/>
              <w:topLinePunct w:val="0"/>
              <w:bidi w:val="0"/>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2.服务人员</w:t>
            </w:r>
          </w:p>
        </w:tc>
        <w:tc>
          <w:tcPr>
            <w:tcW w:w="4722" w:type="dxa"/>
            <w:tcBorders>
              <w:top w:val="single" w:color="auto" w:sz="4" w:space="0"/>
              <w:left w:val="single" w:color="auto" w:sz="4" w:space="0"/>
              <w:bottom w:val="single" w:color="auto" w:sz="4" w:space="0"/>
              <w:right w:val="single" w:color="auto" w:sz="4" w:space="0"/>
            </w:tcBorders>
            <w:vAlign w:val="center"/>
          </w:tcPr>
          <w:p w14:paraId="0BA74BE3">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①建筑、结构、电气专业负责人具有国家注册资格或具有高级工程师职称。每提供一个专业的负责人的得2分，满分6分。</w:t>
            </w:r>
          </w:p>
          <w:p w14:paraId="1AE97FA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②装饰装修专业负责人具有室内设计师资格证书或具有室内建筑师资格证书或专业技术职务或工程师以上职称的得2分，满分4分。</w:t>
            </w:r>
          </w:p>
          <w:p w14:paraId="5DAA1BBC">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对应专业的国家注册资格是指：建筑：一级注册建筑师；结构：一级注册结构工程师；电气：注册公用设备工程师（给水排水）、注册公用设备工程师（暖通空调）、注册电气工程师（供配电）均可。提供证书复印件。</w:t>
            </w:r>
          </w:p>
        </w:tc>
        <w:tc>
          <w:tcPr>
            <w:tcW w:w="942" w:type="dxa"/>
            <w:tcBorders>
              <w:top w:val="single" w:color="auto" w:sz="4" w:space="0"/>
              <w:left w:val="single" w:color="auto" w:sz="4" w:space="0"/>
              <w:bottom w:val="single" w:color="auto" w:sz="4" w:space="0"/>
              <w:right w:val="single" w:color="auto" w:sz="4" w:space="0"/>
            </w:tcBorders>
            <w:vAlign w:val="center"/>
          </w:tcPr>
          <w:p w14:paraId="2CB43D72">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分</w:t>
            </w:r>
          </w:p>
          <w:p w14:paraId="38C732B5">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highlight w:val="none"/>
                <w:lang w:val="en-US" w:eastAsia="zh-CN"/>
              </w:rPr>
            </w:pPr>
          </w:p>
        </w:tc>
      </w:tr>
      <w:tr w14:paraId="2405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restart"/>
            <w:tcBorders>
              <w:left w:val="single" w:color="auto" w:sz="4" w:space="0"/>
              <w:right w:val="single" w:color="auto" w:sz="4" w:space="0"/>
            </w:tcBorders>
            <w:vAlign w:val="center"/>
          </w:tcPr>
          <w:p w14:paraId="7A8FA4D9">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技术标（50分）</w:t>
            </w:r>
          </w:p>
        </w:tc>
        <w:tc>
          <w:tcPr>
            <w:tcW w:w="1693" w:type="dxa"/>
            <w:tcBorders>
              <w:left w:val="single" w:color="auto" w:sz="4" w:space="0"/>
              <w:right w:val="single" w:color="auto" w:sz="4" w:space="0"/>
            </w:tcBorders>
            <w:vAlign w:val="center"/>
          </w:tcPr>
          <w:p w14:paraId="7ED2AEA1">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现状调查（10分）</w:t>
            </w:r>
          </w:p>
        </w:tc>
        <w:tc>
          <w:tcPr>
            <w:tcW w:w="4722" w:type="dxa"/>
            <w:tcBorders>
              <w:top w:val="single" w:color="auto" w:sz="4" w:space="0"/>
              <w:left w:val="single" w:color="auto" w:sz="4" w:space="0"/>
              <w:bottom w:val="single" w:color="auto" w:sz="4" w:space="0"/>
              <w:right w:val="single" w:color="auto" w:sz="4" w:space="0"/>
            </w:tcBorders>
            <w:vAlign w:val="top"/>
          </w:tcPr>
          <w:p w14:paraId="5732B1F5">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交的现状调查与问题分析进行综合评审，内容包含但不限于项目范围内现有可用墙面以及主题贴合设计等，目前现状调研及问题分析及初步提升方案：1.现状调查材料内容详实，存在的问题分析透彻的，得10分；2.现状调查材料内容基本完整，存在的问题分析基本合理的，得8分；3.现状调查材料简单粗略，存在的问题分析片面的，得6分；4.提供的内容与现状不符或未提供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0110CE74">
            <w:pPr>
              <w:keepLines w:val="0"/>
              <w:pageBreakBefore w:val="0"/>
              <w:kinsoku/>
              <w:wordWrap w:val="0"/>
              <w:overflowPunct w:val="0"/>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10</w:t>
            </w:r>
          </w:p>
        </w:tc>
      </w:tr>
      <w:tr w14:paraId="46D0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1FECDD45">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left w:val="single" w:color="auto" w:sz="4" w:space="0"/>
              <w:right w:val="single" w:color="auto" w:sz="4" w:space="0"/>
            </w:tcBorders>
            <w:vAlign w:val="center"/>
          </w:tcPr>
          <w:p w14:paraId="536BAD3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设计方案完整性及可行性（10分）</w:t>
            </w:r>
          </w:p>
        </w:tc>
        <w:tc>
          <w:tcPr>
            <w:tcW w:w="4722" w:type="dxa"/>
            <w:tcBorders>
              <w:top w:val="single" w:color="auto" w:sz="4" w:space="0"/>
              <w:left w:val="single" w:color="auto" w:sz="4" w:space="0"/>
              <w:bottom w:val="single" w:color="auto" w:sz="4" w:space="0"/>
              <w:right w:val="single" w:color="auto" w:sz="4" w:space="0"/>
            </w:tcBorders>
            <w:vAlign w:val="top"/>
          </w:tcPr>
          <w:p w14:paraId="78811E5A">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根据投标人提供的项目设计方案的内容完整性和技术建议进行综合评审，需提供不少于业务区域内部详细布置图、调解室详细布置图、指挥调度室详细布置图：</w:t>
            </w:r>
          </w:p>
          <w:p w14:paraId="30F1B87C">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方案内容全面丰富、不缺项漏项，空间排布、布置内容科学合理，可行性高，得10分；2.方案内容基本全面、不缺项漏项，空间排布、布置内容有一定的可行性的，得8分；3.方案内容存在缺项、有待完善细节，空间排布、布置内容有待提高可行性的，得6分；4.差的或未提供相关内容的不得分。</w:t>
            </w:r>
          </w:p>
        </w:tc>
        <w:tc>
          <w:tcPr>
            <w:tcW w:w="942" w:type="dxa"/>
            <w:tcBorders>
              <w:top w:val="single" w:color="auto" w:sz="4" w:space="0"/>
              <w:left w:val="single" w:color="auto" w:sz="4" w:space="0"/>
              <w:bottom w:val="single" w:color="auto" w:sz="4" w:space="0"/>
              <w:right w:val="single" w:color="auto" w:sz="4" w:space="0"/>
            </w:tcBorders>
            <w:vAlign w:val="center"/>
          </w:tcPr>
          <w:p w14:paraId="4743D96D">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sz w:val="24"/>
                <w:highlight w:val="none"/>
                <w:lang w:val="en-US"/>
              </w:rPr>
            </w:pPr>
            <w:r>
              <w:rPr>
                <w:rFonts w:hint="eastAsia" w:ascii="宋体" w:hAnsi="宋体" w:eastAsia="宋体" w:cs="宋体"/>
                <w:b/>
                <w:color w:val="auto"/>
                <w:sz w:val="24"/>
                <w:szCs w:val="24"/>
                <w:highlight w:val="none"/>
                <w:lang w:val="en-US" w:eastAsia="zh-CN"/>
              </w:rPr>
              <w:t>10</w:t>
            </w:r>
          </w:p>
        </w:tc>
      </w:tr>
      <w:tr w14:paraId="15A4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5C5197D8">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left w:val="single" w:color="auto" w:sz="4" w:space="0"/>
              <w:bottom w:val="single" w:color="auto" w:sz="4" w:space="0"/>
              <w:right w:val="single" w:color="auto" w:sz="4" w:space="0"/>
            </w:tcBorders>
            <w:shd w:val="clear" w:color="auto" w:fill="auto"/>
            <w:vAlign w:val="center"/>
          </w:tcPr>
          <w:p w14:paraId="6CA105DA">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设计的质量保证措施、后续服务的安排及保证措施（10分）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center"/>
          </w:tcPr>
          <w:p w14:paraId="2BA0B21E">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明确质量目标，项目整体及分项工程有完整的质量保证体系，各专业的有机衔接；对可能出现的质量偏差有监控及应对措施等。承诺的工期满足招标文件要求；总体进度计划和各阶段进度计划是否合理可行、保障措施是否可靠；对可能出现的进度偏差是否有监控及应对措施等。②从各投标人投入的后续服务人员、后续服务的内容以及后续服务承诺等方面酌情考量。</w:t>
            </w:r>
          </w:p>
          <w:p w14:paraId="324789DB">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由评标委员会综合对比评审，优秀得10分，良好得8分，一般的得6分，合格的得4分，不合格的或未提供的得0分。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2B2A9631">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sz w:val="24"/>
                <w:highlight w:val="none"/>
                <w:lang w:val="en-US"/>
              </w:rPr>
            </w:pPr>
            <w:r>
              <w:rPr>
                <w:rFonts w:hint="eastAsia" w:ascii="宋体" w:hAnsi="宋体" w:eastAsia="宋体" w:cs="宋体"/>
                <w:b/>
                <w:color w:val="auto"/>
                <w:sz w:val="24"/>
                <w:szCs w:val="24"/>
                <w:highlight w:val="none"/>
                <w:lang w:val="en-US" w:eastAsia="zh-CN"/>
              </w:rPr>
              <w:t>10</w:t>
            </w:r>
          </w:p>
        </w:tc>
      </w:tr>
      <w:tr w14:paraId="638B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5C01D11C">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top w:val="single" w:color="auto" w:sz="4" w:space="0"/>
              <w:left w:val="single" w:color="auto" w:sz="4" w:space="0"/>
              <w:right w:val="single" w:color="auto" w:sz="4" w:space="0"/>
            </w:tcBorders>
            <w:shd w:val="clear" w:color="auto" w:fill="auto"/>
            <w:vAlign w:val="center"/>
          </w:tcPr>
          <w:p w14:paraId="3668A586">
            <w:pPr>
              <w:pStyle w:val="74"/>
              <w:keepNext w:val="0"/>
              <w:keepLines w:val="0"/>
              <w:pageBreakBefore w:val="0"/>
              <w:widowControl w:val="0"/>
              <w:kinsoku/>
              <w:wordWrap/>
              <w:overflowPunct/>
              <w:topLinePunct w:val="0"/>
              <w:autoSpaceDE/>
              <w:bidi w:val="0"/>
              <w:spacing w:line="500" w:lineRule="exact"/>
              <w:ind w:right="28"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设计的进度保证措施（10分）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center"/>
          </w:tcPr>
          <w:p w14:paraId="14140ABF">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针对该项目设计各阶段的工作量分析、预计全面，无遗漏；关键线路清晰、准确、完整，科学、合理布置各阶段的工作任务，关键节点的控制措施有力、合理、可行，计划编制合理、可行，快速推进项目的措施合理、有力，能够满足进度要求。</w:t>
            </w:r>
          </w:p>
          <w:p w14:paraId="6430CAA8">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由评标委员会综合对比评审，优秀得10分，良好得8分，一般的得6分，合格的得4分，不合格的或未提供的得0分。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5759EF48">
            <w:pPr>
              <w:keepLines w:val="0"/>
              <w:pageBreakBefore w:val="0"/>
              <w:kinsoku/>
              <w:wordWrap w:val="0"/>
              <w:overflowPunct w:val="0"/>
              <w:topLinePunct w:val="0"/>
              <w:bidi w:val="0"/>
              <w:spacing w:line="400" w:lineRule="exact"/>
              <w:jc w:val="center"/>
              <w:rPr>
                <w:rFonts w:hint="eastAsia" w:ascii="宋体" w:hAnsi="宋体" w:eastAsia="宋体" w:cs="宋体"/>
                <w:b/>
                <w:bCs/>
                <w:color w:val="auto"/>
                <w:sz w:val="24"/>
                <w:highlight w:val="none"/>
              </w:rPr>
            </w:pPr>
            <w:r>
              <w:rPr>
                <w:rFonts w:hint="eastAsia" w:ascii="宋体" w:hAnsi="宋体" w:eastAsia="宋体" w:cs="宋体"/>
                <w:b/>
                <w:color w:val="auto"/>
                <w:sz w:val="24"/>
                <w:szCs w:val="24"/>
                <w:highlight w:val="none"/>
                <w:lang w:val="en-US" w:eastAsia="zh-CN"/>
              </w:rPr>
              <w:t>10</w:t>
            </w:r>
          </w:p>
        </w:tc>
      </w:tr>
      <w:tr w14:paraId="3080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Merge w:val="continue"/>
            <w:tcBorders>
              <w:left w:val="single" w:color="auto" w:sz="4" w:space="0"/>
              <w:right w:val="single" w:color="auto" w:sz="4" w:space="0"/>
            </w:tcBorders>
            <w:vAlign w:val="center"/>
          </w:tcPr>
          <w:p w14:paraId="49F9EA29">
            <w:pPr>
              <w:keepNext w:val="0"/>
              <w:keepLines w:val="0"/>
              <w:pageBreakBefore w:val="0"/>
              <w:kinsoku/>
              <w:wordWrap w:val="0"/>
              <w:overflowPunct/>
              <w:topLinePunct w:val="0"/>
              <w:autoSpaceDE/>
              <w:autoSpaceDN/>
              <w:bidi w:val="0"/>
              <w:adjustRightInd/>
              <w:snapToGrid/>
              <w:spacing w:line="400" w:lineRule="exact"/>
              <w:ind w:firstLine="435"/>
              <w:jc w:val="center"/>
              <w:textAlignment w:val="auto"/>
              <w:rPr>
                <w:rFonts w:hint="eastAsia" w:ascii="宋体" w:hAnsi="宋体" w:eastAsia="宋体" w:cs="宋体"/>
                <w:b/>
                <w:bCs/>
                <w:color w:val="auto"/>
                <w:sz w:val="24"/>
                <w:highlight w:val="none"/>
              </w:rPr>
            </w:pPr>
          </w:p>
        </w:tc>
        <w:tc>
          <w:tcPr>
            <w:tcW w:w="1693" w:type="dxa"/>
            <w:tcBorders>
              <w:top w:val="single" w:color="auto" w:sz="4" w:space="0"/>
              <w:left w:val="single" w:color="auto" w:sz="4" w:space="0"/>
              <w:right w:val="single" w:color="auto" w:sz="4" w:space="0"/>
            </w:tcBorders>
            <w:shd w:val="clear" w:color="auto" w:fill="auto"/>
            <w:vAlign w:val="center"/>
          </w:tcPr>
          <w:p w14:paraId="100316E8">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质量保证措施（10分）</w:t>
            </w:r>
          </w:p>
        </w:tc>
        <w:tc>
          <w:tcPr>
            <w:tcW w:w="4722" w:type="dxa"/>
            <w:tcBorders>
              <w:top w:val="single" w:color="auto" w:sz="4" w:space="0"/>
              <w:left w:val="single" w:color="auto" w:sz="4" w:space="0"/>
              <w:bottom w:val="single" w:color="auto" w:sz="4" w:space="0"/>
              <w:right w:val="single" w:color="auto" w:sz="4" w:space="0"/>
            </w:tcBorders>
            <w:shd w:val="clear" w:color="auto" w:fill="auto"/>
            <w:vAlign w:val="top"/>
          </w:tcPr>
          <w:p w14:paraId="61E912C2">
            <w:pPr>
              <w:keepLines w:val="0"/>
              <w:pageBreakBefore w:val="0"/>
              <w:shd w:val="clear" w:color="auto" w:fill="auto"/>
              <w:kinsoku/>
              <w:wordWrap w:val="0"/>
              <w:overflowPunct w:val="0"/>
              <w:topLinePunct w:val="0"/>
              <w:bidi w:val="0"/>
              <w:spacing w:line="40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招标项目的设计质量保证措施、服务保证措施，各区域材料质量要求、设备选型要求等；优秀得10分，良好的得8分，一般的得6分，没有的不得分，不合格的或未提供的得0分。</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14:paraId="6BF6C75B">
            <w:pPr>
              <w:keepLines w:val="0"/>
              <w:pageBreakBefore w:val="0"/>
              <w:kinsoku/>
              <w:wordWrap w:val="0"/>
              <w:overflowPunct w:val="0"/>
              <w:topLinePunct w:val="0"/>
              <w:bidi w:val="0"/>
              <w:spacing w:line="400" w:lineRule="exact"/>
              <w:jc w:val="center"/>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color w:val="auto"/>
                <w:sz w:val="24"/>
                <w:szCs w:val="24"/>
                <w:highlight w:val="none"/>
                <w:lang w:val="en-US" w:eastAsia="zh-CN"/>
              </w:rPr>
              <w:t>10</w:t>
            </w:r>
          </w:p>
        </w:tc>
      </w:tr>
      <w:tr w14:paraId="59C8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left w:val="single" w:color="auto" w:sz="4" w:space="0"/>
              <w:right w:val="single" w:color="auto" w:sz="4" w:space="0"/>
            </w:tcBorders>
            <w:vAlign w:val="center"/>
          </w:tcPr>
          <w:p w14:paraId="36E68D4D">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p w14:paraId="6C899E9B">
            <w:pPr>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none"/>
                <w:lang w:val="en-US" w:eastAsia="zh-CN"/>
              </w:rPr>
              <w:t>30</w:t>
            </w:r>
            <w:r>
              <w:rPr>
                <w:rFonts w:hint="eastAsia" w:ascii="宋体" w:hAnsi="宋体" w:eastAsia="宋体" w:cs="宋体"/>
                <w:color w:val="auto"/>
                <w:sz w:val="24"/>
                <w:highlight w:val="none"/>
              </w:rPr>
              <w:t>分）</w:t>
            </w:r>
          </w:p>
        </w:tc>
        <w:tc>
          <w:tcPr>
            <w:tcW w:w="7357" w:type="dxa"/>
            <w:gridSpan w:val="3"/>
            <w:tcBorders>
              <w:top w:val="single" w:color="auto" w:sz="4" w:space="0"/>
              <w:left w:val="single" w:color="auto" w:sz="4" w:space="0"/>
              <w:bottom w:val="single" w:color="auto" w:sz="4" w:space="0"/>
              <w:right w:val="single" w:color="auto" w:sz="4" w:space="0"/>
            </w:tcBorders>
            <w:vAlign w:val="center"/>
          </w:tcPr>
          <w:p w14:paraId="682E6496">
            <w:pPr>
              <w:keepNext w:val="0"/>
              <w:keepLines w:val="0"/>
              <w:pageBreakBefore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文件要求且最后报价最低的供应商的价格为</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基准价，其价格分为满分</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分。其他供应商的价格分统一按照下列公式计算：</w:t>
            </w:r>
          </w:p>
          <w:p w14:paraId="19EF77B3">
            <w:pPr>
              <w:keepNext w:val="0"/>
              <w:keepLines w:val="0"/>
              <w:pageBreakBefore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报价得分＝（</w:t>
            </w:r>
            <w:r>
              <w:rPr>
                <w:rFonts w:hint="eastAsia" w:ascii="宋体" w:hAnsi="宋体" w:eastAsia="宋体" w:cs="宋体"/>
                <w:color w:val="auto"/>
                <w:sz w:val="24"/>
                <w:highlight w:val="none"/>
                <w:lang w:val="en-US" w:eastAsia="zh-CN"/>
              </w:rPr>
              <w:t>评标</w:t>
            </w:r>
            <w:r>
              <w:rPr>
                <w:rFonts w:hint="eastAsia" w:ascii="宋体" w:hAnsi="宋体" w:eastAsia="宋体" w:cs="宋体"/>
                <w:color w:val="auto"/>
                <w:sz w:val="24"/>
                <w:highlight w:val="none"/>
              </w:rPr>
              <w:t>基准价/</w:t>
            </w:r>
            <w:r>
              <w:rPr>
                <w:rFonts w:hint="eastAsia" w:ascii="宋体" w:hAnsi="宋体" w:eastAsia="宋体" w:cs="宋体"/>
                <w:color w:val="auto"/>
                <w:sz w:val="24"/>
                <w:highlight w:val="none"/>
                <w:lang w:val="en-US" w:eastAsia="zh-CN"/>
              </w:rPr>
              <w:t>供应商投标</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％×100</w:t>
            </w:r>
          </w:p>
        </w:tc>
      </w:tr>
    </w:tbl>
    <w:p w14:paraId="2CE87B53">
      <w:pPr>
        <w:spacing w:line="360" w:lineRule="auto"/>
        <w:ind w:firstLine="435"/>
        <w:rPr>
          <w:rFonts w:hint="eastAsia" w:ascii="宋体" w:hAnsi="宋体" w:eastAsia="宋体" w:cs="宋体"/>
          <w:color w:val="auto"/>
          <w:sz w:val="24"/>
          <w:highlight w:val="none"/>
        </w:rPr>
      </w:pPr>
    </w:p>
    <w:p w14:paraId="0A5A21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1CC8064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7118F4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（2）将投标人的技术资信分加上根据上述标准计算出的价格分，即为该投标人的综合总得分。</w:t>
      </w:r>
    </w:p>
    <w:p w14:paraId="1654EAB7">
      <w:pPr>
        <w:spacing w:line="360" w:lineRule="auto"/>
        <w:ind w:firstLine="43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三、无效投标条款</w:t>
      </w:r>
    </w:p>
    <w:p w14:paraId="2546BBE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3.1投标文件有下列情形之一的,其投标文件拒收:</w:t>
      </w:r>
    </w:p>
    <w:p w14:paraId="256157C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 未在开标截止时间前递交有效投标文件的，不予接收，投标将被拒绝。</w:t>
      </w:r>
    </w:p>
    <w:p w14:paraId="574A93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3.2投标人有下列情形之一的,资格审查后其投标作无效投标处理：</w:t>
      </w:r>
    </w:p>
    <w:p w14:paraId="7CAE547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(1)投标人为本项目提供招标代理服务的；</w:t>
      </w:r>
    </w:p>
    <w:p w14:paraId="1A21E5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(2)投标人与在本项目代理机构存在相互任职或工作的；</w:t>
      </w:r>
    </w:p>
    <w:p w14:paraId="7A0E969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(3)招标公告写明专门面向中小企业采购，投标人提供的货物非中小企业制造的；</w:t>
      </w:r>
    </w:p>
    <w:p w14:paraId="1FA9987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(4)要求供应商以联合体形式参加采购活动，投标人非联合体或者联合协议中中小企业合同金额未达到应当达到的比例；</w:t>
      </w:r>
    </w:p>
    <w:p w14:paraId="5B663A8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(5)要求获得采购合同的供应商向中小企业分包，投标人未提供分包意向协议或者分包意向协议中中小企业合同金额未达到应当达到的比例；</w:t>
      </w:r>
    </w:p>
    <w:p w14:paraId="597CF7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(6)评标专家无法查看并检验投标文件中相关资料的；</w:t>
      </w:r>
    </w:p>
    <w:p w14:paraId="277AFE2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(7)联合体投标未提交联合体协议的；</w:t>
      </w:r>
    </w:p>
    <w:p w14:paraId="658D9BB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(8)责令停产停业的；</w:t>
      </w:r>
    </w:p>
    <w:p w14:paraId="0984EE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(9)暂停或者取消参与政府采购项目资格的；</w:t>
      </w:r>
    </w:p>
    <w:p w14:paraId="17FCE6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(10)投标人单位负责人为同一人或者存在（直接）控股、管理关系的不同单位的；</w:t>
      </w:r>
    </w:p>
    <w:p w14:paraId="36C463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(11)投标人基本资格条件和特定资格条件中有一项及以上不符合要求的；</w:t>
      </w:r>
    </w:p>
    <w:p w14:paraId="6FD4619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(12)投标人单方面出现其他投标人材料的；</w:t>
      </w:r>
    </w:p>
    <w:p w14:paraId="785708A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)招标文件规定的其它无效投标情形。</w:t>
      </w:r>
    </w:p>
    <w:p w14:paraId="76BC676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3.3 投标人有下列情形之一的,符合性审查后其投标按无效投标处理：</w:t>
      </w:r>
    </w:p>
    <w:p w14:paraId="6BF082A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(1)投标文件签字、盖章不全，经评标委员会一致认定对开评标内容有实质性影响的；</w:t>
      </w:r>
    </w:p>
    <w:p w14:paraId="1495D7F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(2)未按规定的格式填写导致实质性内容不全以及实质上不响应，或者关键字迹模糊、无法辨认; </w:t>
      </w:r>
    </w:p>
    <w:p w14:paraId="435B9F4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(3)同一投标人提交两个以上不同的投标文件或者投标报价，但招标文件规定提交备选方案的除外；</w:t>
      </w:r>
    </w:p>
    <w:p w14:paraId="0236C64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(4)投标文件没有对招标文件的实质性要求和条件作出响应;</w:t>
      </w:r>
    </w:p>
    <w:p w14:paraId="55FEF88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(5)投标报价超出规定的投标限价或公布的采购预算的或投标人的投标报价各项单价高于招标文件给定的单价最高限价；</w:t>
      </w:r>
    </w:p>
    <w:p w14:paraId="4D5A6A2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(6)不按评标委员会要求澄清、说明或补正的，或者评标委员会根据招标文件的规定对投标文件的计算错误进行修正后，投标人不接受修正的投标报价的。</w:t>
      </w:r>
    </w:p>
    <w:p w14:paraId="2A74B02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(7)其它情形，经评标委员会委提出按无效投标处理</w:t>
      </w:r>
    </w:p>
    <w:p w14:paraId="39B66BD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(8)投标文件含有采购人不能接受的附加条件的；</w:t>
      </w:r>
    </w:p>
    <w:p w14:paraId="0963C9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(9)招标文件规定的其它无效投标情形。</w:t>
      </w:r>
    </w:p>
    <w:p w14:paraId="7B2C7D0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3.4 投标人有下列情形之一的, 详细评审后其投标按无效投标处理：</w:t>
      </w:r>
    </w:p>
    <w:p w14:paraId="2A73EDA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(1)投标产品不符合必须强制执行的国家标准的；</w:t>
      </w:r>
    </w:p>
    <w:p w14:paraId="04E956E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(2)投标人有串通投标、弄虚作假、行贿等违法行为；</w:t>
      </w:r>
    </w:p>
    <w:p w14:paraId="7750BE3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(3)投标文件含有违反国家法律、法规的内容，或附有采购人不能接受的条件的；</w:t>
      </w:r>
    </w:p>
    <w:p w14:paraId="1C82961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(4)报价明显低于其他投标人，且不能证明报价合理性的投标无效；</w:t>
      </w:r>
    </w:p>
    <w:p w14:paraId="36D96BB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(5)拒不确认评标委员会评审修正的投标无效；</w:t>
      </w:r>
    </w:p>
    <w:p w14:paraId="08D7CC0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(6)其它情形，经评标委员会委提出按无效投标处理，的；</w:t>
      </w:r>
    </w:p>
    <w:p w14:paraId="793A774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(7)招标文件规定的其它无效投标情形。</w:t>
      </w:r>
      <w:r>
        <w:rPr>
          <w:rFonts w:hint="eastAsia" w:ascii="宋体" w:hAnsi="宋体" w:eastAsia="宋体" w:cs="宋体"/>
          <w:color w:val="auto"/>
          <w:sz w:val="24"/>
          <w:highlight w:val="none"/>
        </w:rPr>
        <w:br w:type="page"/>
      </w:r>
    </w:p>
    <w:p w14:paraId="41B77481">
      <w:pPr>
        <w:spacing w:line="360" w:lineRule="auto"/>
        <w:jc w:val="center"/>
        <w:outlineLvl w:val="0"/>
        <w:rPr>
          <w:rFonts w:hint="eastAsia" w:ascii="宋体" w:hAnsi="宋体" w:eastAsia="宋体" w:cs="宋体"/>
          <w:b/>
          <w:color w:val="auto"/>
          <w:sz w:val="28"/>
          <w:highlight w:val="none"/>
        </w:rPr>
      </w:pPr>
      <w:bookmarkStart w:id="38" w:name="_Toc20405"/>
      <w:r>
        <w:rPr>
          <w:rFonts w:hint="eastAsia" w:ascii="宋体" w:hAnsi="宋体" w:eastAsia="宋体" w:cs="宋体"/>
          <w:b/>
          <w:color w:val="auto"/>
          <w:sz w:val="28"/>
          <w:highlight w:val="none"/>
        </w:rPr>
        <w:t>第五章  采购合同</w:t>
      </w:r>
      <w:bookmarkEnd w:id="38"/>
    </w:p>
    <w:p w14:paraId="4F0C40F4">
      <w:pPr>
        <w:spacing w:line="480" w:lineRule="auto"/>
        <w:jc w:val="center"/>
        <w:outlineLvl w:val="9"/>
        <w:rPr>
          <w:rFonts w:hint="eastAsia" w:ascii="宋体" w:hAnsi="宋体" w:eastAsia="宋体" w:cs="宋体"/>
          <w:b/>
          <w:color w:val="auto"/>
          <w:sz w:val="28"/>
          <w:szCs w:val="28"/>
          <w:highlight w:val="none"/>
        </w:rPr>
      </w:pPr>
      <w:bookmarkStart w:id="39" w:name="_Toc331685784"/>
    </w:p>
    <w:p w14:paraId="2AFA0964">
      <w:pPr>
        <w:pStyle w:val="10"/>
        <w:rPr>
          <w:rFonts w:hint="eastAsia" w:ascii="宋体" w:hAnsi="宋体" w:eastAsia="宋体" w:cs="宋体"/>
          <w:color w:val="auto"/>
          <w:highlight w:val="none"/>
        </w:rPr>
      </w:pPr>
    </w:p>
    <w:p w14:paraId="38F391E1">
      <w:pPr>
        <w:spacing w:line="480" w:lineRule="auto"/>
        <w:jc w:val="center"/>
        <w:outlineLvl w:val="1"/>
        <w:rPr>
          <w:rFonts w:hint="eastAsia" w:ascii="宋体" w:hAnsi="宋体" w:eastAsia="宋体" w:cs="宋体"/>
          <w:b/>
          <w:color w:val="auto"/>
          <w:sz w:val="28"/>
          <w:szCs w:val="28"/>
          <w:highlight w:val="none"/>
        </w:rPr>
      </w:pPr>
      <w:bookmarkStart w:id="40" w:name="_Toc3714"/>
      <w:r>
        <w:rPr>
          <w:rFonts w:hint="eastAsia" w:ascii="宋体" w:hAnsi="宋体" w:eastAsia="宋体" w:cs="宋体"/>
          <w:b/>
          <w:color w:val="auto"/>
          <w:sz w:val="28"/>
          <w:szCs w:val="28"/>
          <w:highlight w:val="none"/>
        </w:rPr>
        <w:t>采购合同参考范本</w:t>
      </w:r>
      <w:bookmarkEnd w:id="40"/>
    </w:p>
    <w:p w14:paraId="427C2B28">
      <w:pPr>
        <w:spacing w:line="480" w:lineRule="auto"/>
        <w:jc w:val="center"/>
        <w:outlineLvl w:val="1"/>
        <w:rPr>
          <w:rFonts w:hint="eastAsia" w:ascii="宋体" w:hAnsi="宋体" w:eastAsia="宋体" w:cs="宋体"/>
          <w:b/>
          <w:color w:val="auto"/>
          <w:sz w:val="28"/>
          <w:szCs w:val="28"/>
          <w:highlight w:val="none"/>
        </w:rPr>
      </w:pPr>
      <w:bookmarkStart w:id="41" w:name="_Toc8560"/>
      <w:r>
        <w:rPr>
          <w:rFonts w:hint="eastAsia" w:ascii="宋体" w:hAnsi="宋体" w:eastAsia="宋体" w:cs="宋体"/>
          <w:b/>
          <w:color w:val="auto"/>
          <w:sz w:val="28"/>
          <w:szCs w:val="28"/>
          <w:highlight w:val="none"/>
        </w:rPr>
        <w:t>（服务类）</w:t>
      </w:r>
      <w:bookmarkEnd w:id="41"/>
    </w:p>
    <w:p w14:paraId="4453C3DF">
      <w:pPr>
        <w:spacing w:line="480" w:lineRule="auto"/>
        <w:jc w:val="center"/>
        <w:rPr>
          <w:rFonts w:hint="eastAsia" w:ascii="宋体" w:hAnsi="宋体" w:eastAsia="宋体" w:cs="宋体"/>
          <w:b/>
          <w:color w:val="auto"/>
          <w:sz w:val="24"/>
          <w:szCs w:val="24"/>
          <w:highlight w:val="none"/>
        </w:rPr>
      </w:pPr>
    </w:p>
    <w:p w14:paraId="5C14C003">
      <w:pPr>
        <w:spacing w:line="480" w:lineRule="auto"/>
        <w:jc w:val="center"/>
        <w:rPr>
          <w:rFonts w:hint="eastAsia" w:ascii="宋体" w:hAnsi="宋体" w:eastAsia="宋体" w:cs="宋体"/>
          <w:b/>
          <w:color w:val="auto"/>
          <w:sz w:val="24"/>
          <w:szCs w:val="24"/>
          <w:highlight w:val="none"/>
        </w:rPr>
      </w:pPr>
    </w:p>
    <w:p w14:paraId="5E24F1C4">
      <w:pPr>
        <w:spacing w:line="480" w:lineRule="auto"/>
        <w:jc w:val="center"/>
        <w:rPr>
          <w:rFonts w:hint="eastAsia" w:ascii="宋体" w:hAnsi="宋体" w:eastAsia="宋体" w:cs="宋体"/>
          <w:b/>
          <w:color w:val="auto"/>
          <w:sz w:val="24"/>
          <w:szCs w:val="24"/>
          <w:highlight w:val="none"/>
        </w:rPr>
      </w:pPr>
    </w:p>
    <w:p w14:paraId="0F59BDA9">
      <w:pPr>
        <w:spacing w:line="360" w:lineRule="auto"/>
        <w:jc w:val="center"/>
        <w:outlineLvl w:val="1"/>
        <w:rPr>
          <w:rFonts w:hint="eastAsia" w:ascii="宋体" w:hAnsi="宋体" w:eastAsia="宋体" w:cs="宋体"/>
          <w:b/>
          <w:color w:val="auto"/>
          <w:sz w:val="24"/>
          <w:highlight w:val="none"/>
        </w:rPr>
      </w:pPr>
      <w:bookmarkStart w:id="42" w:name="_Toc2449"/>
      <w:r>
        <w:rPr>
          <w:rFonts w:hint="eastAsia" w:ascii="宋体" w:hAnsi="宋体" w:eastAsia="宋体" w:cs="宋体"/>
          <w:b/>
          <w:color w:val="auto"/>
          <w:sz w:val="24"/>
          <w:highlight w:val="none"/>
        </w:rPr>
        <w:t>第一部分 合同书</w:t>
      </w:r>
      <w:bookmarkEnd w:id="42"/>
    </w:p>
    <w:p w14:paraId="0C3671A2">
      <w:pPr>
        <w:spacing w:line="480" w:lineRule="auto"/>
        <w:jc w:val="center"/>
        <w:rPr>
          <w:rFonts w:hint="eastAsia" w:ascii="宋体" w:hAnsi="宋体" w:eastAsia="宋体" w:cs="宋体"/>
          <w:b/>
          <w:color w:val="auto"/>
          <w:sz w:val="24"/>
          <w:szCs w:val="24"/>
          <w:highlight w:val="none"/>
        </w:rPr>
      </w:pPr>
    </w:p>
    <w:p w14:paraId="570E6BC0">
      <w:pPr>
        <w:spacing w:line="480" w:lineRule="auto"/>
        <w:jc w:val="center"/>
        <w:rPr>
          <w:rFonts w:hint="eastAsia" w:ascii="宋体" w:hAnsi="宋体" w:eastAsia="宋体" w:cs="宋体"/>
          <w:b/>
          <w:color w:val="auto"/>
          <w:sz w:val="24"/>
          <w:szCs w:val="24"/>
          <w:highlight w:val="none"/>
        </w:rPr>
      </w:pPr>
    </w:p>
    <w:p w14:paraId="5C8F6411">
      <w:pPr>
        <w:pStyle w:val="10"/>
        <w:rPr>
          <w:rFonts w:hint="eastAsia" w:ascii="宋体" w:hAnsi="宋体" w:eastAsia="宋体" w:cs="宋体"/>
          <w:color w:val="auto"/>
          <w:highlight w:val="none"/>
        </w:rPr>
      </w:pPr>
    </w:p>
    <w:p w14:paraId="2DC9EDE1">
      <w:pPr>
        <w:pStyle w:val="10"/>
        <w:rPr>
          <w:rFonts w:hint="eastAsia" w:ascii="宋体" w:hAnsi="宋体" w:eastAsia="宋体" w:cs="宋体"/>
          <w:color w:val="auto"/>
          <w:highlight w:val="none"/>
        </w:rPr>
      </w:pPr>
    </w:p>
    <w:p w14:paraId="3541403E">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0C5EDBF0">
      <w:pPr>
        <w:spacing w:before="120" w:line="480" w:lineRule="auto"/>
        <w:ind w:left="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820F51C">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p>
    <w:p w14:paraId="1EDB7EAC">
      <w:pPr>
        <w:spacing w:before="120" w:line="480" w:lineRule="auto"/>
        <w:ind w:left="9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59DD238C">
      <w:pPr>
        <w:spacing w:before="120" w:line="48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7B3DB0A1">
      <w:pPr>
        <w:spacing w:before="120" w:line="48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3C7A02">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264BA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rPr>
        <w:t>公开招标</w:t>
      </w:r>
      <w:r>
        <w:rPr>
          <w:rFonts w:hint="eastAsia" w:ascii="宋体" w:hAnsi="宋体" w:eastAsia="宋体" w:cs="宋体"/>
          <w:color w:val="auto"/>
          <w:sz w:val="24"/>
          <w:highlight w:val="none"/>
        </w:rPr>
        <w:t>方式采购活动，经</w:t>
      </w:r>
      <w:r>
        <w:rPr>
          <w:rFonts w:hint="eastAsia" w:ascii="宋体" w:hAnsi="宋体" w:eastAsia="宋体" w:cs="宋体"/>
          <w:color w:val="auto"/>
          <w:sz w:val="24"/>
          <w:highlight w:val="none"/>
          <w:u w:val="single"/>
        </w:rPr>
        <w:t>评标委员会</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highlight w:val="none"/>
        </w:rPr>
        <w:t>）为本项目中标人，现</w:t>
      </w:r>
      <w:r>
        <w:rPr>
          <w:rFonts w:hint="eastAsia" w:ascii="宋体" w:hAnsi="宋体" w:eastAsia="宋体" w:cs="宋体"/>
          <w:color w:val="auto"/>
          <w:sz w:val="24"/>
          <w:szCs w:val="24"/>
          <w:highlight w:val="none"/>
        </w:rPr>
        <w:t>按照采购文件确定的事项签订本合同。</w:t>
      </w:r>
    </w:p>
    <w:p w14:paraId="162C60D0">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根据《中华人民共和国民法典》等相关法律法规之规定，按照平等、自愿、公平和诚实信用的原则，经甲方和乙方协商一致，约定以下合同条款，以兹共同遵守、全面履行。</w:t>
      </w:r>
    </w:p>
    <w:p w14:paraId="0131266B">
      <w:pPr>
        <w:spacing w:line="360" w:lineRule="auto"/>
        <w:ind w:firstLine="437"/>
        <w:outlineLvl w:val="2"/>
        <w:rPr>
          <w:rFonts w:hint="eastAsia" w:ascii="宋体" w:hAnsi="宋体" w:eastAsia="宋体" w:cs="宋体"/>
          <w:b/>
          <w:bCs/>
          <w:color w:val="auto"/>
          <w:sz w:val="24"/>
          <w:szCs w:val="24"/>
          <w:highlight w:val="none"/>
          <w:lang w:val="zh-CN"/>
        </w:rPr>
      </w:pPr>
      <w:bookmarkStart w:id="43" w:name="_Toc3029"/>
      <w:bookmarkStart w:id="44" w:name="_Toc2232"/>
      <w:bookmarkStart w:id="45" w:name="_Toc24059"/>
      <w:r>
        <w:rPr>
          <w:rFonts w:hint="eastAsia" w:ascii="宋体" w:hAnsi="宋体" w:eastAsia="宋体" w:cs="宋体"/>
          <w:b/>
          <w:bCs/>
          <w:color w:val="auto"/>
          <w:sz w:val="24"/>
          <w:szCs w:val="24"/>
          <w:highlight w:val="none"/>
          <w:lang w:val="zh-CN"/>
        </w:rPr>
        <w:t>1.1 合同组成部分</w:t>
      </w:r>
      <w:bookmarkEnd w:id="43"/>
      <w:bookmarkEnd w:id="44"/>
      <w:bookmarkEnd w:id="45"/>
    </w:p>
    <w:p w14:paraId="67F37552">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ECAA154">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0006308F">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6DE94376">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1338E481">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6F06513F">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10EA31E0">
      <w:pPr>
        <w:spacing w:line="360" w:lineRule="auto"/>
        <w:ind w:firstLine="437"/>
        <w:outlineLvl w:val="2"/>
        <w:rPr>
          <w:rFonts w:hint="eastAsia" w:ascii="宋体" w:hAnsi="宋体" w:eastAsia="宋体" w:cs="宋体"/>
          <w:b/>
          <w:bCs/>
          <w:color w:val="auto"/>
          <w:sz w:val="24"/>
          <w:szCs w:val="24"/>
          <w:highlight w:val="none"/>
          <w:lang w:val="zh-CN"/>
        </w:rPr>
      </w:pPr>
      <w:bookmarkStart w:id="46" w:name="_Toc6773"/>
      <w:bookmarkStart w:id="47" w:name="_Toc18585"/>
      <w:bookmarkStart w:id="48" w:name="_Toc22185"/>
      <w:bookmarkStart w:id="49" w:name="_Toc2918"/>
      <w:bookmarkStart w:id="50" w:name="_Toc6311"/>
      <w:r>
        <w:rPr>
          <w:rFonts w:hint="eastAsia" w:ascii="宋体" w:hAnsi="宋体" w:eastAsia="宋体" w:cs="宋体"/>
          <w:b/>
          <w:bCs/>
          <w:color w:val="auto"/>
          <w:sz w:val="24"/>
          <w:szCs w:val="24"/>
          <w:highlight w:val="none"/>
          <w:lang w:val="zh-CN"/>
        </w:rPr>
        <w:t xml:space="preserve">1.2 </w:t>
      </w:r>
      <w:bookmarkEnd w:id="46"/>
      <w:bookmarkEnd w:id="47"/>
      <w:bookmarkEnd w:id="48"/>
      <w:bookmarkEnd w:id="49"/>
      <w:bookmarkEnd w:id="50"/>
      <w:r>
        <w:rPr>
          <w:rFonts w:hint="eastAsia" w:ascii="宋体" w:hAnsi="宋体" w:eastAsia="宋体" w:cs="宋体"/>
          <w:b/>
          <w:bCs/>
          <w:color w:val="auto"/>
          <w:sz w:val="24"/>
          <w:szCs w:val="24"/>
          <w:highlight w:val="none"/>
          <w:lang w:val="zh-CN"/>
        </w:rPr>
        <w:t>服务</w:t>
      </w:r>
    </w:p>
    <w:p w14:paraId="7FE1BFA5">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C51A44">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5FF95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7C1D85">
      <w:pPr>
        <w:spacing w:line="360" w:lineRule="auto"/>
        <w:ind w:firstLine="437"/>
        <w:outlineLvl w:val="2"/>
        <w:rPr>
          <w:rFonts w:hint="eastAsia" w:ascii="宋体" w:hAnsi="宋体" w:eastAsia="宋体" w:cs="宋体"/>
          <w:b/>
          <w:bCs/>
          <w:color w:val="auto"/>
          <w:sz w:val="24"/>
          <w:szCs w:val="24"/>
          <w:highlight w:val="none"/>
          <w:lang w:val="zh-CN"/>
        </w:rPr>
      </w:pPr>
      <w:bookmarkStart w:id="51" w:name="_Toc21551"/>
      <w:bookmarkStart w:id="52" w:name="_Toc21631"/>
      <w:bookmarkStart w:id="53" w:name="_Toc23292"/>
      <w:r>
        <w:rPr>
          <w:rFonts w:hint="eastAsia" w:ascii="宋体" w:hAnsi="宋体" w:eastAsia="宋体" w:cs="宋体"/>
          <w:b/>
          <w:bCs/>
          <w:color w:val="auto"/>
          <w:sz w:val="24"/>
          <w:szCs w:val="24"/>
          <w:highlight w:val="none"/>
          <w:lang w:val="zh-CN"/>
        </w:rPr>
        <w:t>1.3 价款</w:t>
      </w:r>
      <w:bookmarkEnd w:id="51"/>
      <w:bookmarkEnd w:id="52"/>
      <w:bookmarkEnd w:id="53"/>
    </w:p>
    <w:p w14:paraId="4E153A1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05EF95A">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12E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A1754FC">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6" w:type="dxa"/>
            <w:vAlign w:val="center"/>
          </w:tcPr>
          <w:p w14:paraId="12C09BEB">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vAlign w:val="center"/>
          </w:tcPr>
          <w:p w14:paraId="1EACEF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5D20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5021359">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6" w:type="dxa"/>
            <w:vAlign w:val="center"/>
          </w:tcPr>
          <w:p w14:paraId="7F020268">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370FDA42">
            <w:pPr>
              <w:ind w:firstLine="200"/>
              <w:jc w:val="center"/>
              <w:rPr>
                <w:rFonts w:hint="eastAsia" w:ascii="宋体" w:hAnsi="宋体" w:eastAsia="宋体" w:cs="宋体"/>
                <w:color w:val="auto"/>
                <w:sz w:val="24"/>
                <w:szCs w:val="24"/>
                <w:highlight w:val="none"/>
              </w:rPr>
            </w:pPr>
          </w:p>
        </w:tc>
      </w:tr>
      <w:tr w14:paraId="4118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42029B9">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6" w:type="dxa"/>
            <w:vAlign w:val="center"/>
          </w:tcPr>
          <w:p w14:paraId="08CCC936">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1A0390D5">
            <w:pPr>
              <w:ind w:firstLine="200"/>
              <w:jc w:val="center"/>
              <w:rPr>
                <w:rFonts w:hint="eastAsia" w:ascii="宋体" w:hAnsi="宋体" w:eastAsia="宋体" w:cs="宋体"/>
                <w:color w:val="auto"/>
                <w:sz w:val="24"/>
                <w:szCs w:val="24"/>
                <w:highlight w:val="none"/>
              </w:rPr>
            </w:pPr>
          </w:p>
        </w:tc>
      </w:tr>
      <w:tr w14:paraId="7749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68F9495">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6" w:type="dxa"/>
            <w:vAlign w:val="center"/>
          </w:tcPr>
          <w:p w14:paraId="4DF536A2">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4C5BF01D">
            <w:pPr>
              <w:ind w:firstLine="200"/>
              <w:jc w:val="center"/>
              <w:rPr>
                <w:rFonts w:hint="eastAsia" w:ascii="宋体" w:hAnsi="宋体" w:eastAsia="宋体" w:cs="宋体"/>
                <w:color w:val="auto"/>
                <w:sz w:val="24"/>
                <w:szCs w:val="24"/>
                <w:highlight w:val="none"/>
              </w:rPr>
            </w:pPr>
          </w:p>
        </w:tc>
      </w:tr>
      <w:tr w14:paraId="2987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75A52C6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6" w:type="dxa"/>
            <w:vAlign w:val="center"/>
          </w:tcPr>
          <w:p w14:paraId="0B4BCAE7">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61880F7B">
            <w:pPr>
              <w:ind w:firstLine="200"/>
              <w:jc w:val="center"/>
              <w:rPr>
                <w:rFonts w:hint="eastAsia" w:ascii="宋体" w:hAnsi="宋体" w:eastAsia="宋体" w:cs="宋体"/>
                <w:color w:val="auto"/>
                <w:sz w:val="24"/>
                <w:szCs w:val="24"/>
                <w:highlight w:val="none"/>
              </w:rPr>
            </w:pPr>
          </w:p>
        </w:tc>
      </w:tr>
      <w:tr w14:paraId="60C1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2B15221E">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vAlign w:val="center"/>
          </w:tcPr>
          <w:p w14:paraId="207BE4A0">
            <w:pPr>
              <w:ind w:firstLine="200"/>
              <w:jc w:val="center"/>
              <w:rPr>
                <w:rFonts w:hint="eastAsia" w:ascii="宋体" w:hAnsi="宋体" w:eastAsia="宋体" w:cs="宋体"/>
                <w:color w:val="auto"/>
                <w:sz w:val="24"/>
                <w:szCs w:val="24"/>
                <w:highlight w:val="none"/>
              </w:rPr>
            </w:pPr>
          </w:p>
        </w:tc>
      </w:tr>
    </w:tbl>
    <w:p w14:paraId="53806EC1">
      <w:pPr>
        <w:spacing w:line="360" w:lineRule="auto"/>
        <w:ind w:firstLine="437"/>
        <w:outlineLvl w:val="2"/>
        <w:rPr>
          <w:rFonts w:hint="eastAsia" w:ascii="宋体" w:hAnsi="宋体" w:eastAsia="宋体" w:cs="宋体"/>
          <w:b/>
          <w:bCs/>
          <w:color w:val="auto"/>
          <w:sz w:val="24"/>
          <w:szCs w:val="24"/>
          <w:highlight w:val="none"/>
          <w:lang w:val="zh-CN"/>
        </w:rPr>
      </w:pPr>
      <w:bookmarkStart w:id="54" w:name="_Toc10340"/>
      <w:bookmarkStart w:id="55" w:name="_Toc1814"/>
      <w:bookmarkStart w:id="56" w:name="_Toc22618"/>
      <w:r>
        <w:rPr>
          <w:rFonts w:hint="eastAsia" w:ascii="宋体" w:hAnsi="宋体" w:eastAsia="宋体" w:cs="宋体"/>
          <w:b/>
          <w:bCs/>
          <w:color w:val="auto"/>
          <w:sz w:val="24"/>
          <w:szCs w:val="24"/>
          <w:highlight w:val="none"/>
          <w:lang w:val="zh-CN"/>
        </w:rPr>
        <w:t>1.4 付款方式和发票开具方式</w:t>
      </w:r>
      <w:bookmarkEnd w:id="54"/>
      <w:bookmarkEnd w:id="55"/>
      <w:bookmarkEnd w:id="56"/>
    </w:p>
    <w:p w14:paraId="122422E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1DF3E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61D8B3A">
      <w:pPr>
        <w:spacing w:line="360" w:lineRule="auto"/>
        <w:ind w:firstLine="437"/>
        <w:outlineLvl w:val="2"/>
        <w:rPr>
          <w:rFonts w:hint="eastAsia" w:ascii="宋体" w:hAnsi="宋体" w:eastAsia="宋体" w:cs="宋体"/>
          <w:b/>
          <w:bCs/>
          <w:color w:val="auto"/>
          <w:sz w:val="24"/>
          <w:szCs w:val="24"/>
          <w:highlight w:val="none"/>
          <w:lang w:val="zh-CN"/>
        </w:rPr>
      </w:pPr>
      <w:bookmarkStart w:id="57" w:name="_Toc32071"/>
      <w:bookmarkStart w:id="58" w:name="_Toc19304"/>
      <w:bookmarkStart w:id="59" w:name="_Toc2846"/>
      <w:r>
        <w:rPr>
          <w:rFonts w:hint="eastAsia" w:ascii="宋体" w:hAnsi="宋体" w:eastAsia="宋体" w:cs="宋体"/>
          <w:b/>
          <w:bCs/>
          <w:color w:val="auto"/>
          <w:sz w:val="24"/>
          <w:szCs w:val="24"/>
          <w:highlight w:val="none"/>
          <w:lang w:val="zh-CN"/>
        </w:rPr>
        <w:t>1.5 服务期限、地点和方式</w:t>
      </w:r>
      <w:bookmarkEnd w:id="57"/>
      <w:bookmarkEnd w:id="58"/>
      <w:bookmarkEnd w:id="59"/>
    </w:p>
    <w:p w14:paraId="2A3FBAA6">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7B4CC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96F68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39CFE6">
      <w:pPr>
        <w:spacing w:line="360" w:lineRule="auto"/>
        <w:ind w:firstLine="437"/>
        <w:outlineLvl w:val="2"/>
        <w:rPr>
          <w:rFonts w:hint="eastAsia" w:ascii="宋体" w:hAnsi="宋体" w:eastAsia="宋体" w:cs="宋体"/>
          <w:b/>
          <w:bCs/>
          <w:color w:val="auto"/>
          <w:sz w:val="24"/>
          <w:szCs w:val="24"/>
          <w:highlight w:val="none"/>
          <w:lang w:val="zh-CN"/>
        </w:rPr>
      </w:pPr>
      <w:bookmarkStart w:id="60" w:name="_Toc21423"/>
      <w:bookmarkStart w:id="61" w:name="_Toc27250"/>
      <w:bookmarkStart w:id="62" w:name="_Toc19554"/>
      <w:r>
        <w:rPr>
          <w:rFonts w:hint="eastAsia" w:ascii="宋体" w:hAnsi="宋体" w:eastAsia="宋体" w:cs="宋体"/>
          <w:b/>
          <w:bCs/>
          <w:color w:val="auto"/>
          <w:sz w:val="24"/>
          <w:szCs w:val="24"/>
          <w:highlight w:val="none"/>
          <w:lang w:val="zh-CN"/>
        </w:rPr>
        <w:t>1.6 违约责任</w:t>
      </w:r>
      <w:bookmarkEnd w:id="60"/>
      <w:bookmarkEnd w:id="61"/>
      <w:bookmarkEnd w:id="62"/>
    </w:p>
    <w:p w14:paraId="19E81EB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0406D1A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453C9518">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1B42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9B117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12B4A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1.6.6如果出现监督管理部门在处理投诉事项期间，书面通知甲方暂停采购活动的情形，或者询问或质疑事项可能影响中标结果的，导致甲方中止履行合同的情形，均不视为甲方违约。</w:t>
      </w:r>
    </w:p>
    <w:p w14:paraId="5EE05C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3EC13C0">
      <w:pPr>
        <w:spacing w:line="360" w:lineRule="auto"/>
        <w:ind w:firstLine="437"/>
        <w:outlineLvl w:val="2"/>
        <w:rPr>
          <w:rFonts w:hint="eastAsia" w:ascii="宋体" w:hAnsi="宋体" w:eastAsia="宋体" w:cs="宋体"/>
          <w:b/>
          <w:bCs/>
          <w:color w:val="auto"/>
          <w:sz w:val="24"/>
          <w:szCs w:val="24"/>
          <w:highlight w:val="none"/>
          <w:lang w:val="zh-CN"/>
        </w:rPr>
      </w:pPr>
      <w:bookmarkStart w:id="63" w:name="_Toc16021"/>
      <w:bookmarkStart w:id="64" w:name="_Toc28375"/>
      <w:bookmarkStart w:id="65" w:name="_Toc15583"/>
      <w:r>
        <w:rPr>
          <w:rFonts w:hint="eastAsia" w:ascii="宋体" w:hAnsi="宋体" w:eastAsia="宋体" w:cs="宋体"/>
          <w:b/>
          <w:bCs/>
          <w:color w:val="auto"/>
          <w:sz w:val="24"/>
          <w:szCs w:val="24"/>
          <w:highlight w:val="none"/>
          <w:lang w:val="zh-CN"/>
        </w:rPr>
        <w:t>1.7 合同争议的解决</w:t>
      </w:r>
      <w:bookmarkEnd w:id="63"/>
      <w:bookmarkEnd w:id="64"/>
      <w:bookmarkEnd w:id="65"/>
    </w:p>
    <w:p w14:paraId="75E333D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3F9440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28C4785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甲方（采购人）所在地有管辖权的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7B50790E">
      <w:pPr>
        <w:spacing w:line="360" w:lineRule="auto"/>
        <w:ind w:firstLine="437"/>
        <w:outlineLvl w:val="2"/>
        <w:rPr>
          <w:rFonts w:hint="eastAsia" w:ascii="宋体" w:hAnsi="宋体" w:eastAsia="宋体" w:cs="宋体"/>
          <w:b/>
          <w:bCs/>
          <w:color w:val="auto"/>
          <w:sz w:val="24"/>
          <w:szCs w:val="24"/>
          <w:highlight w:val="none"/>
          <w:lang w:val="zh-CN"/>
        </w:rPr>
      </w:pPr>
      <w:bookmarkStart w:id="66" w:name="_Toc11173"/>
      <w:bookmarkStart w:id="67" w:name="_Toc7245"/>
      <w:bookmarkStart w:id="68" w:name="_Toc15322"/>
      <w:r>
        <w:rPr>
          <w:rFonts w:hint="eastAsia" w:ascii="宋体" w:hAnsi="宋体" w:eastAsia="宋体" w:cs="宋体"/>
          <w:b/>
          <w:bCs/>
          <w:color w:val="auto"/>
          <w:sz w:val="24"/>
          <w:szCs w:val="24"/>
          <w:highlight w:val="none"/>
          <w:lang w:val="zh-CN"/>
        </w:rPr>
        <w:t>1.8 合同生效</w:t>
      </w:r>
      <w:bookmarkEnd w:id="66"/>
      <w:bookmarkEnd w:id="67"/>
      <w:bookmarkEnd w:id="68"/>
    </w:p>
    <w:p w14:paraId="0D1ADE0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535447AD">
      <w:pPr>
        <w:autoSpaceDE w:val="0"/>
        <w:autoSpaceDN w:val="0"/>
        <w:adjustRightInd w:val="0"/>
        <w:spacing w:line="560" w:lineRule="exact"/>
        <w:rPr>
          <w:rFonts w:hint="eastAsia" w:ascii="宋体" w:hAnsi="宋体" w:eastAsia="宋体" w:cs="宋体"/>
          <w:color w:val="auto"/>
          <w:sz w:val="24"/>
          <w:szCs w:val="24"/>
          <w:highlight w:val="none"/>
          <w:lang w:val="zh-CN"/>
        </w:rPr>
      </w:pPr>
    </w:p>
    <w:p w14:paraId="2BB0ADAF">
      <w:pPr>
        <w:autoSpaceDE w:val="0"/>
        <w:autoSpaceDN w:val="0"/>
        <w:adjustRightInd w:val="0"/>
        <w:spacing w:line="560" w:lineRule="exact"/>
        <w:rPr>
          <w:rFonts w:hint="eastAsia" w:ascii="宋体" w:hAnsi="宋体" w:eastAsia="宋体" w:cs="宋体"/>
          <w:color w:val="auto"/>
          <w:sz w:val="24"/>
          <w:szCs w:val="24"/>
          <w:highlight w:val="none"/>
          <w:lang w:val="zh-CN"/>
        </w:rPr>
      </w:pPr>
    </w:p>
    <w:p w14:paraId="5EF169A9">
      <w:pPr>
        <w:autoSpaceDE w:val="0"/>
        <w:autoSpaceDN w:val="0"/>
        <w:adjustRightInd w:val="0"/>
        <w:spacing w:line="560" w:lineRule="exact"/>
        <w:rPr>
          <w:rFonts w:hint="eastAsia" w:ascii="宋体" w:hAnsi="宋体" w:eastAsia="宋体" w:cs="宋体"/>
          <w:color w:val="auto"/>
          <w:sz w:val="24"/>
          <w:szCs w:val="24"/>
          <w:highlight w:val="none"/>
          <w:lang w:val="zh-CN"/>
        </w:rPr>
      </w:pPr>
    </w:p>
    <w:p w14:paraId="0CB65190">
      <w:pPr>
        <w:autoSpaceDE w:val="0"/>
        <w:autoSpaceDN w:val="0"/>
        <w:adjustRightInd w:val="0"/>
        <w:spacing w:line="56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9B04C4D">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0653637F">
      <w:pPr>
        <w:autoSpaceDE w:val="0"/>
        <w:autoSpaceDN w:val="0"/>
        <w:adjustRightInd w:val="0"/>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5B174647">
      <w:pPr>
        <w:widowControl/>
        <w:spacing w:line="560" w:lineRule="exact"/>
        <w:jc w:val="left"/>
        <w:rPr>
          <w:rFonts w:hint="eastAsia" w:ascii="宋体" w:hAnsi="宋体" w:eastAsia="宋体" w:cs="宋体"/>
          <w:bCs/>
          <w:color w:val="auto"/>
          <w:sz w:val="24"/>
          <w:szCs w:val="24"/>
          <w:highlight w:val="none"/>
        </w:rPr>
      </w:pPr>
      <w:bookmarkStart w:id="69"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25D401C1">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70" w:name="_Hlk110099149"/>
      <w:r>
        <w:rPr>
          <w:rFonts w:hint="eastAsia" w:ascii="宋体" w:hAnsi="宋体" w:eastAsia="宋体" w:cs="宋体"/>
          <w:color w:val="auto"/>
          <w:sz w:val="24"/>
          <w:szCs w:val="24"/>
          <w:highlight w:val="none"/>
        </w:rPr>
        <w:t>乙方账户信息</w:t>
      </w:r>
    </w:p>
    <w:p w14:paraId="703FCF9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26D9AF95">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59BBDF7F">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70"/>
    <w:p w14:paraId="2EC453CE">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2F7E0D6">
      <w:pPr>
        <w:spacing w:line="360" w:lineRule="auto"/>
        <w:jc w:val="center"/>
        <w:outlineLvl w:val="1"/>
        <w:rPr>
          <w:rFonts w:hint="eastAsia" w:ascii="宋体" w:hAnsi="宋体" w:eastAsia="宋体" w:cs="宋体"/>
          <w:b/>
          <w:color w:val="auto"/>
          <w:sz w:val="24"/>
          <w:highlight w:val="none"/>
        </w:rPr>
      </w:pPr>
      <w:bookmarkStart w:id="71" w:name="_Toc415"/>
      <w:r>
        <w:rPr>
          <w:rFonts w:hint="eastAsia" w:ascii="宋体" w:hAnsi="宋体" w:eastAsia="宋体" w:cs="宋体"/>
          <w:b/>
          <w:color w:val="auto"/>
          <w:sz w:val="24"/>
          <w:highlight w:val="none"/>
        </w:rPr>
        <w:t>第二部分 合同一般条款</w:t>
      </w:r>
      <w:bookmarkEnd w:id="69"/>
      <w:bookmarkEnd w:id="71"/>
    </w:p>
    <w:p w14:paraId="450E46EE">
      <w:pPr>
        <w:spacing w:line="360" w:lineRule="auto"/>
        <w:ind w:firstLine="437"/>
        <w:outlineLvl w:val="2"/>
        <w:rPr>
          <w:rFonts w:hint="eastAsia" w:ascii="宋体" w:hAnsi="宋体" w:eastAsia="宋体" w:cs="宋体"/>
          <w:b/>
          <w:bCs/>
          <w:color w:val="auto"/>
          <w:sz w:val="24"/>
          <w:szCs w:val="24"/>
          <w:highlight w:val="none"/>
          <w:lang w:val="zh-CN"/>
        </w:rPr>
      </w:pPr>
      <w:bookmarkStart w:id="72" w:name="_Toc28763"/>
      <w:bookmarkStart w:id="73" w:name="_Ref467379109"/>
      <w:bookmarkStart w:id="74" w:name="_Toc279701240"/>
      <w:bookmarkStart w:id="75" w:name="_Ref467379094"/>
      <w:bookmarkStart w:id="76" w:name="_Toc259093669"/>
      <w:bookmarkStart w:id="77" w:name="_Ref467379101"/>
      <w:bookmarkStart w:id="78" w:name="_Ref467379214"/>
      <w:bookmarkStart w:id="79" w:name="_Ref467379225"/>
      <w:bookmarkStart w:id="80" w:name="_Toc16917"/>
      <w:bookmarkStart w:id="81" w:name="_Ref467379195"/>
      <w:bookmarkStart w:id="82" w:name="_Ref467378404"/>
      <w:bookmarkStart w:id="83" w:name="_Toc19614"/>
      <w:bookmarkStart w:id="84" w:name="_Ref467378499"/>
      <w:bookmarkStart w:id="85" w:name="_Ref467378463"/>
      <w:bookmarkStart w:id="86" w:name="_Ref467379205"/>
      <w:bookmarkStart w:id="87" w:name="_Toc487900349"/>
      <w:r>
        <w:rPr>
          <w:rFonts w:hint="eastAsia" w:ascii="宋体" w:hAnsi="宋体" w:eastAsia="宋体" w:cs="宋体"/>
          <w:b/>
          <w:bCs/>
          <w:color w:val="auto"/>
          <w:sz w:val="24"/>
          <w:szCs w:val="24"/>
          <w:highlight w:val="none"/>
          <w:lang w:val="zh-CN"/>
        </w:rPr>
        <w:t>2.1 定义</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058C90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7C87B9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2.1.1“合同”系指采购人和中标人签订的载明双方当事人所达成的协议，并包括所有的附件、附录和构成合同的其他文件。</w:t>
      </w:r>
    </w:p>
    <w:p w14:paraId="1570EAA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2.1.2“合同价”系指根据合同约定，中标人在完全履行合同义务后，采购人应支付给中标人的价格。</w:t>
      </w:r>
    </w:p>
    <w:p w14:paraId="1B49559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2.1.3“服务”系指中标人根据合同约定应向采购人履行的除货物和工程以外的其他采购对象，包括采购人自身需要的服务和向社会公众提供的公共服务。</w:t>
      </w:r>
    </w:p>
    <w:p w14:paraId="1321FB4C">
      <w:pPr>
        <w:spacing w:line="360" w:lineRule="auto"/>
        <w:ind w:firstLine="435"/>
        <w:rPr>
          <w:rFonts w:hint="eastAsia" w:ascii="宋体" w:hAnsi="宋体" w:eastAsia="宋体" w:cs="宋体"/>
          <w:color w:val="auto"/>
          <w:sz w:val="24"/>
          <w:szCs w:val="24"/>
          <w:highlight w:val="none"/>
        </w:rPr>
      </w:pPr>
      <w:bookmarkStart w:id="88" w:name="_Ref467378840"/>
      <w:r>
        <w:rPr>
          <w:rFonts w:hint="eastAsia" w:ascii="宋体" w:hAnsi="宋体" w:eastAsia="宋体" w:cs="宋体"/>
          <w:color w:val="auto"/>
          <w:sz w:val="24"/>
          <w:szCs w:val="24"/>
          <w:highlight w:val="none"/>
        </w:rPr>
        <w:t>2.1.4“甲方”系指与中标人签署合同的采购人</w:t>
      </w:r>
      <w:bookmarkEnd w:id="88"/>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47E6D88C">
      <w:pPr>
        <w:spacing w:line="360" w:lineRule="auto"/>
        <w:ind w:firstLine="435"/>
        <w:rPr>
          <w:rFonts w:hint="eastAsia" w:ascii="宋体" w:hAnsi="宋体" w:eastAsia="宋体" w:cs="宋体"/>
          <w:color w:val="auto"/>
          <w:sz w:val="24"/>
          <w:szCs w:val="24"/>
          <w:highlight w:val="none"/>
        </w:rPr>
      </w:pPr>
      <w:bookmarkStart w:id="89" w:name="_Ref467379400"/>
      <w:r>
        <w:rPr>
          <w:rFonts w:hint="eastAsia" w:ascii="宋体" w:hAnsi="宋体" w:eastAsia="宋体" w:cs="宋体"/>
          <w:color w:val="auto"/>
          <w:sz w:val="24"/>
          <w:szCs w:val="24"/>
          <w:highlight w:val="none"/>
        </w:rPr>
        <w:t>2.1.5“乙方”系指根据合同约定提供服务的中标人</w:t>
      </w:r>
      <w:bookmarkEnd w:id="89"/>
      <w:r>
        <w:rPr>
          <w:rFonts w:hint="eastAsia" w:ascii="宋体" w:hAnsi="宋体" w:eastAsia="宋体" w:cs="宋体"/>
          <w:color w:val="auto"/>
          <w:sz w:val="24"/>
          <w:szCs w:val="24"/>
          <w:highlight w:val="none"/>
        </w:rPr>
        <w:t>；两个以上的自然人、法人或者其他组织组成一个联合体，以一个供应商的身份共同参加采购</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的，联合体各方均应为乙方或者与乙方相同地位的合同当事人，并就合同约定的事项对甲方承担连带责任。</w:t>
      </w:r>
    </w:p>
    <w:p w14:paraId="31F1A438">
      <w:pPr>
        <w:spacing w:line="360" w:lineRule="auto"/>
        <w:ind w:firstLine="435"/>
        <w:rPr>
          <w:rFonts w:hint="eastAsia" w:ascii="宋体" w:hAnsi="宋体" w:eastAsia="宋体" w:cs="宋体"/>
          <w:color w:val="auto"/>
          <w:sz w:val="24"/>
          <w:szCs w:val="24"/>
          <w:highlight w:val="none"/>
        </w:rPr>
      </w:pPr>
      <w:bookmarkStart w:id="90" w:name="_Ref467379436"/>
      <w:r>
        <w:rPr>
          <w:rFonts w:hint="eastAsia" w:ascii="宋体" w:hAnsi="宋体" w:eastAsia="宋体" w:cs="宋体"/>
          <w:color w:val="auto"/>
          <w:sz w:val="24"/>
          <w:szCs w:val="24"/>
          <w:highlight w:val="none"/>
        </w:rPr>
        <w:t>2.1.6“现场”系指合同约定提供服务的地点。</w:t>
      </w:r>
      <w:bookmarkEnd w:id="90"/>
    </w:p>
    <w:p w14:paraId="7D9138B4">
      <w:pPr>
        <w:spacing w:line="360" w:lineRule="auto"/>
        <w:ind w:firstLine="437"/>
        <w:outlineLvl w:val="2"/>
        <w:rPr>
          <w:rFonts w:hint="eastAsia" w:ascii="宋体" w:hAnsi="宋体" w:eastAsia="宋体" w:cs="宋体"/>
          <w:b/>
          <w:bCs/>
          <w:color w:val="auto"/>
          <w:sz w:val="24"/>
          <w:szCs w:val="24"/>
          <w:highlight w:val="none"/>
          <w:lang w:val="zh-CN"/>
        </w:rPr>
      </w:pPr>
      <w:bookmarkStart w:id="91" w:name="_Toc27635"/>
      <w:bookmarkStart w:id="92" w:name="_Toc13336"/>
      <w:bookmarkStart w:id="93" w:name="_Toc32504"/>
      <w:bookmarkStart w:id="94" w:name="_Toc259093670"/>
      <w:bookmarkStart w:id="95" w:name="_Toc279701241"/>
      <w:bookmarkStart w:id="96" w:name="_Toc487900350"/>
      <w:r>
        <w:rPr>
          <w:rFonts w:hint="eastAsia" w:ascii="宋体" w:hAnsi="宋体" w:eastAsia="宋体" w:cs="宋体"/>
          <w:b/>
          <w:bCs/>
          <w:color w:val="auto"/>
          <w:sz w:val="24"/>
          <w:szCs w:val="24"/>
          <w:highlight w:val="none"/>
          <w:lang w:val="zh-CN"/>
        </w:rPr>
        <w:t>2.2 技术规范</w:t>
      </w:r>
      <w:bookmarkEnd w:id="91"/>
      <w:bookmarkEnd w:id="92"/>
      <w:bookmarkEnd w:id="93"/>
      <w:bookmarkEnd w:id="94"/>
      <w:bookmarkEnd w:id="95"/>
      <w:bookmarkEnd w:id="96"/>
    </w:p>
    <w:p w14:paraId="4C3432B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885364">
      <w:pPr>
        <w:spacing w:line="360" w:lineRule="auto"/>
        <w:ind w:firstLine="437"/>
        <w:outlineLvl w:val="2"/>
        <w:rPr>
          <w:rFonts w:hint="eastAsia" w:ascii="宋体" w:hAnsi="宋体" w:eastAsia="宋体" w:cs="宋体"/>
          <w:b/>
          <w:bCs/>
          <w:color w:val="auto"/>
          <w:sz w:val="24"/>
          <w:szCs w:val="24"/>
          <w:highlight w:val="none"/>
          <w:lang w:val="zh-CN"/>
        </w:rPr>
      </w:pPr>
      <w:bookmarkStart w:id="97" w:name="_Toc27853"/>
      <w:bookmarkStart w:id="98" w:name="_Toc259093671"/>
      <w:bookmarkStart w:id="99" w:name="_Toc279701242"/>
      <w:bookmarkStart w:id="100" w:name="_Toc487900351"/>
      <w:bookmarkStart w:id="101" w:name="_Toc31634"/>
      <w:bookmarkStart w:id="102" w:name="_Toc9829"/>
      <w:r>
        <w:rPr>
          <w:rFonts w:hint="eastAsia" w:ascii="宋体" w:hAnsi="宋体" w:eastAsia="宋体" w:cs="宋体"/>
          <w:b/>
          <w:bCs/>
          <w:color w:val="auto"/>
          <w:sz w:val="24"/>
          <w:szCs w:val="24"/>
          <w:highlight w:val="none"/>
          <w:lang w:val="zh-CN"/>
        </w:rPr>
        <w:t>2.3 知识产权</w:t>
      </w:r>
      <w:bookmarkEnd w:id="97"/>
      <w:bookmarkEnd w:id="98"/>
      <w:bookmarkEnd w:id="99"/>
      <w:bookmarkEnd w:id="100"/>
      <w:bookmarkEnd w:id="101"/>
      <w:bookmarkEnd w:id="102"/>
    </w:p>
    <w:p w14:paraId="1444562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B83DD3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2.3.2具有知识产权的计算机软件等货物的知识产权归属，详见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7B27413A">
      <w:pPr>
        <w:spacing w:line="360" w:lineRule="auto"/>
        <w:ind w:firstLine="437"/>
        <w:outlineLvl w:val="2"/>
        <w:rPr>
          <w:rFonts w:hint="eastAsia" w:ascii="宋体" w:hAnsi="宋体" w:eastAsia="宋体" w:cs="宋体"/>
          <w:b/>
          <w:bCs/>
          <w:color w:val="auto"/>
          <w:sz w:val="24"/>
          <w:szCs w:val="24"/>
          <w:highlight w:val="none"/>
          <w:lang w:val="zh-CN"/>
        </w:rPr>
      </w:pPr>
      <w:bookmarkStart w:id="103" w:name="_Toc259093674"/>
      <w:bookmarkStart w:id="104" w:name="_Toc487900354"/>
      <w:bookmarkStart w:id="105" w:name="_Toc279701245"/>
      <w:bookmarkStart w:id="106" w:name="_Ref467379527"/>
      <w:bookmarkStart w:id="107" w:name="_Ref467378591"/>
      <w:bookmarkStart w:id="108" w:name="_Ref467379536"/>
      <w:bookmarkStart w:id="109" w:name="_Ref467379542"/>
      <w:bookmarkStart w:id="110" w:name="_Ref467378541"/>
      <w:bookmarkStart w:id="111" w:name="_Toc26182"/>
      <w:bookmarkStart w:id="112" w:name="_Toc19074"/>
      <w:bookmarkStart w:id="113" w:name="_Toc30272"/>
      <w:r>
        <w:rPr>
          <w:rFonts w:hint="eastAsia" w:ascii="宋体" w:hAnsi="宋体" w:eastAsia="宋体" w:cs="宋体"/>
          <w:b/>
          <w:bCs/>
          <w:color w:val="auto"/>
          <w:sz w:val="24"/>
          <w:szCs w:val="24"/>
          <w:highlight w:val="none"/>
          <w:lang w:val="zh-CN"/>
        </w:rPr>
        <w:t>2.</w:t>
      </w:r>
      <w:bookmarkEnd w:id="103"/>
      <w:bookmarkEnd w:id="104"/>
      <w:bookmarkEnd w:id="105"/>
      <w:bookmarkEnd w:id="106"/>
      <w:bookmarkEnd w:id="107"/>
      <w:bookmarkEnd w:id="108"/>
      <w:bookmarkEnd w:id="109"/>
      <w:bookmarkEnd w:id="110"/>
      <w:r>
        <w:rPr>
          <w:rFonts w:hint="eastAsia" w:ascii="宋体" w:hAnsi="宋体" w:eastAsia="宋体" w:cs="宋体"/>
          <w:b/>
          <w:bCs/>
          <w:color w:val="auto"/>
          <w:sz w:val="24"/>
          <w:szCs w:val="24"/>
          <w:highlight w:val="none"/>
          <w:lang w:val="zh-CN"/>
        </w:rPr>
        <w:t>4 履约检查和问题反馈</w:t>
      </w:r>
      <w:bookmarkEnd w:id="111"/>
      <w:bookmarkEnd w:id="112"/>
      <w:bookmarkEnd w:id="113"/>
    </w:p>
    <w:p w14:paraId="0E612B58">
      <w:pPr>
        <w:spacing w:line="360" w:lineRule="auto"/>
        <w:ind w:firstLine="435"/>
        <w:rPr>
          <w:rFonts w:hint="eastAsia" w:ascii="宋体" w:hAnsi="宋体" w:eastAsia="宋体" w:cs="宋体"/>
          <w:color w:val="auto"/>
          <w:sz w:val="24"/>
          <w:szCs w:val="24"/>
          <w:highlight w:val="none"/>
        </w:rPr>
      </w:pPr>
      <w:bookmarkStart w:id="114" w:name="_Toc186431854"/>
      <w:bookmarkStart w:id="115" w:name="_Toc259093676"/>
      <w:bookmarkStart w:id="116" w:name="_Toc279701247"/>
      <w:bookmarkStart w:id="117" w:name="_Toc487900357"/>
      <w:bookmarkStart w:id="118" w:name="_Ref467379807"/>
      <w:bookmarkStart w:id="119" w:name="_Ref467379793"/>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5BFBB47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2.4.2合同履行期间，甲方有权将履行过程中出现的问题反馈给乙方，双方当事人应以书面形式约定需要完善和改进的内容</w:t>
      </w:r>
      <w:bookmarkEnd w:id="114"/>
      <w:bookmarkStart w:id="120" w:name="_Toc186431855"/>
      <w:r>
        <w:rPr>
          <w:rFonts w:hint="eastAsia" w:ascii="宋体" w:hAnsi="宋体" w:eastAsia="宋体" w:cs="宋体"/>
          <w:color w:val="auto"/>
          <w:sz w:val="24"/>
          <w:szCs w:val="24"/>
          <w:highlight w:val="none"/>
        </w:rPr>
        <w:t>。</w:t>
      </w:r>
    </w:p>
    <w:bookmarkEnd w:id="120"/>
    <w:p w14:paraId="40639DE2">
      <w:pPr>
        <w:spacing w:line="360" w:lineRule="auto"/>
        <w:ind w:firstLine="437"/>
        <w:outlineLvl w:val="2"/>
        <w:rPr>
          <w:rFonts w:hint="eastAsia" w:ascii="宋体" w:hAnsi="宋体" w:eastAsia="宋体" w:cs="宋体"/>
          <w:b/>
          <w:bCs/>
          <w:color w:val="auto"/>
          <w:sz w:val="24"/>
          <w:szCs w:val="24"/>
          <w:highlight w:val="none"/>
          <w:lang w:val="zh-CN"/>
        </w:rPr>
      </w:pPr>
      <w:bookmarkStart w:id="121" w:name="_Toc28451"/>
      <w:bookmarkStart w:id="122" w:name="_Toc7836"/>
      <w:bookmarkStart w:id="123" w:name="_Toc19219"/>
      <w:r>
        <w:rPr>
          <w:rFonts w:hint="eastAsia" w:ascii="宋体" w:hAnsi="宋体" w:eastAsia="宋体" w:cs="宋体"/>
          <w:b/>
          <w:bCs/>
          <w:color w:val="auto"/>
          <w:sz w:val="24"/>
          <w:szCs w:val="24"/>
          <w:highlight w:val="none"/>
          <w:lang w:val="zh-CN"/>
        </w:rPr>
        <w:t>2.5 结算方式和付款条件</w:t>
      </w:r>
      <w:bookmarkEnd w:id="115"/>
      <w:bookmarkEnd w:id="116"/>
      <w:bookmarkEnd w:id="117"/>
      <w:bookmarkEnd w:id="118"/>
      <w:bookmarkEnd w:id="119"/>
      <w:bookmarkEnd w:id="121"/>
      <w:bookmarkEnd w:id="122"/>
      <w:bookmarkEnd w:id="123"/>
    </w:p>
    <w:p w14:paraId="7302755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968C473">
      <w:pPr>
        <w:spacing w:line="360" w:lineRule="auto"/>
        <w:ind w:firstLine="437"/>
        <w:outlineLvl w:val="2"/>
        <w:rPr>
          <w:rFonts w:hint="eastAsia" w:ascii="宋体" w:hAnsi="宋体" w:eastAsia="宋体" w:cs="宋体"/>
          <w:b/>
          <w:bCs/>
          <w:color w:val="auto"/>
          <w:sz w:val="24"/>
          <w:szCs w:val="24"/>
          <w:highlight w:val="none"/>
          <w:lang w:val="zh-CN"/>
        </w:rPr>
      </w:pPr>
      <w:bookmarkStart w:id="124" w:name="_Ref467379923"/>
      <w:bookmarkStart w:id="125" w:name="_Toc279701248"/>
      <w:bookmarkStart w:id="126" w:name="_Ref467379863"/>
      <w:bookmarkStart w:id="127" w:name="_Toc487900358"/>
      <w:bookmarkStart w:id="128" w:name="_Ref467379852"/>
      <w:bookmarkStart w:id="129" w:name="_Toc259093677"/>
      <w:bookmarkStart w:id="130" w:name="_Toc774"/>
      <w:bookmarkStart w:id="131" w:name="_Toc16110"/>
      <w:bookmarkStart w:id="132" w:name="_Toc3225"/>
      <w:r>
        <w:rPr>
          <w:rFonts w:hint="eastAsia" w:ascii="宋体" w:hAnsi="宋体" w:eastAsia="宋体" w:cs="宋体"/>
          <w:b/>
          <w:bCs/>
          <w:color w:val="auto"/>
          <w:sz w:val="24"/>
          <w:szCs w:val="24"/>
          <w:highlight w:val="none"/>
          <w:lang w:val="zh-CN"/>
        </w:rPr>
        <w:t>2.6 技术资料</w:t>
      </w:r>
      <w:bookmarkEnd w:id="124"/>
      <w:bookmarkEnd w:id="125"/>
      <w:bookmarkEnd w:id="126"/>
      <w:bookmarkEnd w:id="127"/>
      <w:bookmarkEnd w:id="128"/>
      <w:bookmarkEnd w:id="129"/>
      <w:r>
        <w:rPr>
          <w:rFonts w:hint="eastAsia" w:ascii="宋体" w:hAnsi="宋体" w:eastAsia="宋体" w:cs="宋体"/>
          <w:b/>
          <w:bCs/>
          <w:color w:val="auto"/>
          <w:sz w:val="24"/>
          <w:szCs w:val="24"/>
          <w:highlight w:val="none"/>
          <w:lang w:val="zh-CN"/>
        </w:rPr>
        <w:t>和保密义务</w:t>
      </w:r>
      <w:bookmarkEnd w:id="130"/>
      <w:bookmarkEnd w:id="131"/>
      <w:bookmarkEnd w:id="132"/>
    </w:p>
    <w:p w14:paraId="5252D9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2.6.1乙方有权依据合同约定和项目需要，向甲方了解有关情况，调阅有关资料等，甲方应予积极配合；</w:t>
      </w:r>
    </w:p>
    <w:p w14:paraId="6E20B92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2.6.2乙方有义务妥善保管和保护由甲方提供的前款信息和资料等；</w:t>
      </w:r>
    </w:p>
    <w:p w14:paraId="7BC9726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E295CD">
      <w:pPr>
        <w:spacing w:line="360" w:lineRule="auto"/>
        <w:ind w:firstLine="437"/>
        <w:outlineLvl w:val="2"/>
        <w:rPr>
          <w:rFonts w:hint="eastAsia" w:ascii="宋体" w:hAnsi="宋体" w:eastAsia="宋体" w:cs="宋体"/>
          <w:b/>
          <w:bCs/>
          <w:color w:val="auto"/>
          <w:sz w:val="24"/>
          <w:szCs w:val="24"/>
          <w:highlight w:val="none"/>
          <w:lang w:val="zh-CN"/>
        </w:rPr>
      </w:pPr>
      <w:bookmarkStart w:id="133" w:name="_Toc7860"/>
      <w:r>
        <w:rPr>
          <w:rFonts w:hint="eastAsia" w:ascii="宋体" w:hAnsi="宋体" w:eastAsia="宋体" w:cs="宋体"/>
          <w:b/>
          <w:bCs/>
          <w:color w:val="auto"/>
          <w:sz w:val="24"/>
          <w:szCs w:val="24"/>
          <w:highlight w:val="none"/>
          <w:lang w:val="zh-CN"/>
        </w:rPr>
        <w:t>2.7 质量保证</w:t>
      </w:r>
      <w:bookmarkEnd w:id="133"/>
    </w:p>
    <w:p w14:paraId="3261876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2.7.1乙方应建立和完善履行合同的内部质量保证体系，并提供相关内部规章制度给甲方，以便甲方进行监督检查；</w:t>
      </w:r>
    </w:p>
    <w:p w14:paraId="2DF1C70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2.7.2乙方应保证履行合同的人员数量和素质、软件和硬件设备的配置、场地、环境和设施等满足全面履行合同的要求，并应接受甲方的监督检查。</w:t>
      </w:r>
    </w:p>
    <w:p w14:paraId="0A5ADBB9">
      <w:pPr>
        <w:spacing w:line="360" w:lineRule="auto"/>
        <w:ind w:firstLine="437"/>
        <w:outlineLvl w:val="2"/>
        <w:rPr>
          <w:rFonts w:hint="eastAsia" w:ascii="宋体" w:hAnsi="宋体" w:eastAsia="宋体" w:cs="宋体"/>
          <w:b/>
          <w:color w:val="auto"/>
          <w:sz w:val="24"/>
          <w:szCs w:val="24"/>
          <w:highlight w:val="none"/>
        </w:rPr>
      </w:pPr>
      <w:bookmarkStart w:id="134" w:name="_Toc22267"/>
      <w:r>
        <w:rPr>
          <w:rFonts w:hint="eastAsia" w:ascii="宋体" w:hAnsi="宋体" w:eastAsia="宋体" w:cs="宋体"/>
          <w:b/>
          <w:color w:val="auto"/>
          <w:sz w:val="24"/>
          <w:szCs w:val="24"/>
          <w:highlight w:val="none"/>
        </w:rPr>
        <w:t>2.8 延迟履行</w:t>
      </w:r>
      <w:bookmarkEnd w:id="134"/>
    </w:p>
    <w:p w14:paraId="7E1E09D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01ADA3D">
      <w:pPr>
        <w:spacing w:line="360" w:lineRule="auto"/>
        <w:ind w:firstLine="437"/>
        <w:outlineLvl w:val="2"/>
        <w:rPr>
          <w:rFonts w:hint="eastAsia" w:ascii="宋体" w:hAnsi="宋体" w:eastAsia="宋体" w:cs="宋体"/>
          <w:b/>
          <w:bCs/>
          <w:color w:val="auto"/>
          <w:sz w:val="24"/>
          <w:szCs w:val="24"/>
          <w:highlight w:val="none"/>
          <w:lang w:val="zh-CN"/>
        </w:rPr>
      </w:pPr>
      <w:bookmarkStart w:id="135" w:name="_Toc7502"/>
      <w:bookmarkStart w:id="136" w:name="_Toc279701254"/>
      <w:bookmarkStart w:id="137" w:name="_Toc259093683"/>
      <w:bookmarkStart w:id="138" w:name="_Toc487900364"/>
      <w:bookmarkStart w:id="139" w:name="_Ref467378121"/>
      <w:r>
        <w:rPr>
          <w:rFonts w:hint="eastAsia" w:ascii="宋体" w:hAnsi="宋体" w:eastAsia="宋体" w:cs="宋体"/>
          <w:b/>
          <w:bCs/>
          <w:color w:val="auto"/>
          <w:sz w:val="24"/>
          <w:szCs w:val="24"/>
          <w:highlight w:val="none"/>
          <w:lang w:val="zh-CN"/>
        </w:rPr>
        <w:t>2.9 合同变更</w:t>
      </w:r>
      <w:bookmarkEnd w:id="135"/>
    </w:p>
    <w:p w14:paraId="43DF33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2.9.1双方当事人协商一致，可以签订书面补充合同的形式变更合同，但不得违背采购文件确定的事项；</w:t>
      </w:r>
    </w:p>
    <w:p w14:paraId="0530253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140" w:name="_Toc487900369"/>
      <w:bookmarkStart w:id="141" w:name="_Toc279701259"/>
      <w:bookmarkStart w:id="142" w:name="_Toc259093688"/>
    </w:p>
    <w:p w14:paraId="346218A6">
      <w:pPr>
        <w:spacing w:line="360" w:lineRule="auto"/>
        <w:ind w:firstLine="437"/>
        <w:outlineLvl w:val="2"/>
        <w:rPr>
          <w:rFonts w:hint="eastAsia" w:ascii="宋体" w:hAnsi="宋体" w:eastAsia="宋体" w:cs="宋体"/>
          <w:b/>
          <w:bCs/>
          <w:color w:val="auto"/>
          <w:sz w:val="24"/>
          <w:szCs w:val="24"/>
          <w:highlight w:val="none"/>
          <w:lang w:val="zh-CN"/>
        </w:rPr>
      </w:pPr>
      <w:bookmarkStart w:id="143" w:name="_Toc15237"/>
      <w:bookmarkStart w:id="144" w:name="_Toc22955"/>
      <w:bookmarkStart w:id="145" w:name="_Toc10366"/>
      <w:r>
        <w:rPr>
          <w:rFonts w:hint="eastAsia" w:ascii="宋体" w:hAnsi="宋体" w:eastAsia="宋体" w:cs="宋体"/>
          <w:b/>
          <w:bCs/>
          <w:color w:val="auto"/>
          <w:sz w:val="24"/>
          <w:szCs w:val="24"/>
          <w:highlight w:val="none"/>
          <w:lang w:val="zh-CN"/>
        </w:rPr>
        <w:t>2.10 合同转让</w:t>
      </w:r>
      <w:bookmarkEnd w:id="140"/>
      <w:bookmarkEnd w:id="141"/>
      <w:bookmarkEnd w:id="142"/>
      <w:r>
        <w:rPr>
          <w:rFonts w:hint="eastAsia" w:ascii="宋体" w:hAnsi="宋体" w:eastAsia="宋体" w:cs="宋体"/>
          <w:b/>
          <w:bCs/>
          <w:color w:val="auto"/>
          <w:sz w:val="24"/>
          <w:szCs w:val="24"/>
          <w:highlight w:val="none"/>
          <w:lang w:val="zh-CN"/>
        </w:rPr>
        <w:t>和分包</w:t>
      </w:r>
      <w:bookmarkEnd w:id="143"/>
      <w:bookmarkEnd w:id="144"/>
      <w:bookmarkEnd w:id="145"/>
    </w:p>
    <w:p w14:paraId="3C78CF4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ADADD3">
      <w:pPr>
        <w:spacing w:line="360" w:lineRule="auto"/>
        <w:ind w:firstLine="437"/>
        <w:outlineLvl w:val="2"/>
        <w:rPr>
          <w:rFonts w:hint="eastAsia" w:ascii="宋体" w:hAnsi="宋体" w:eastAsia="宋体" w:cs="宋体"/>
          <w:b/>
          <w:bCs/>
          <w:color w:val="auto"/>
          <w:sz w:val="24"/>
          <w:szCs w:val="24"/>
          <w:highlight w:val="none"/>
          <w:lang w:val="zh-CN"/>
        </w:rPr>
      </w:pPr>
      <w:bookmarkStart w:id="146" w:name="_Toc14066"/>
      <w:bookmarkStart w:id="147" w:name="_Toc16508"/>
      <w:bookmarkStart w:id="148" w:name="_Toc13566"/>
      <w:r>
        <w:rPr>
          <w:rFonts w:hint="eastAsia" w:ascii="宋体" w:hAnsi="宋体" w:eastAsia="宋体" w:cs="宋体"/>
          <w:b/>
          <w:bCs/>
          <w:color w:val="auto"/>
          <w:sz w:val="24"/>
          <w:szCs w:val="24"/>
          <w:highlight w:val="none"/>
          <w:lang w:val="zh-CN"/>
        </w:rPr>
        <w:t>2.11 不可抗力</w:t>
      </w:r>
      <w:bookmarkEnd w:id="146"/>
      <w:bookmarkEnd w:id="147"/>
      <w:bookmarkEnd w:id="148"/>
    </w:p>
    <w:p w14:paraId="76720B8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322C469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2.11.2因不可抗力致使不能实现合同目的的，当事人可以解除合同；</w:t>
      </w:r>
    </w:p>
    <w:p w14:paraId="3C685AA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513903A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580328A">
      <w:pPr>
        <w:spacing w:line="360" w:lineRule="auto"/>
        <w:ind w:firstLine="437"/>
        <w:outlineLvl w:val="2"/>
        <w:rPr>
          <w:rFonts w:hint="eastAsia" w:ascii="宋体" w:hAnsi="宋体" w:eastAsia="宋体" w:cs="宋体"/>
          <w:b/>
          <w:bCs/>
          <w:color w:val="auto"/>
          <w:sz w:val="24"/>
          <w:szCs w:val="24"/>
          <w:highlight w:val="none"/>
          <w:lang w:val="zh-CN"/>
        </w:rPr>
      </w:pPr>
      <w:bookmarkStart w:id="149" w:name="_Toc689"/>
      <w:bookmarkStart w:id="150" w:name="_Toc259093684"/>
      <w:bookmarkStart w:id="151" w:name="_Toc6969"/>
      <w:bookmarkStart w:id="152" w:name="_Toc487900365"/>
      <w:bookmarkStart w:id="153" w:name="_Toc30676"/>
      <w:bookmarkStart w:id="154" w:name="_Toc279701255"/>
      <w:r>
        <w:rPr>
          <w:rFonts w:hint="eastAsia" w:ascii="宋体" w:hAnsi="宋体" w:eastAsia="宋体" w:cs="宋体"/>
          <w:b/>
          <w:bCs/>
          <w:color w:val="auto"/>
          <w:sz w:val="24"/>
          <w:szCs w:val="24"/>
          <w:highlight w:val="none"/>
          <w:lang w:val="zh-CN"/>
        </w:rPr>
        <w:t>2.12 税费</w:t>
      </w:r>
      <w:bookmarkEnd w:id="149"/>
      <w:bookmarkEnd w:id="150"/>
      <w:bookmarkEnd w:id="151"/>
      <w:bookmarkEnd w:id="152"/>
      <w:bookmarkEnd w:id="153"/>
      <w:bookmarkEnd w:id="154"/>
    </w:p>
    <w:p w14:paraId="2A7DDB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762499D6">
      <w:pPr>
        <w:spacing w:line="360" w:lineRule="auto"/>
        <w:ind w:firstLine="437"/>
        <w:outlineLvl w:val="2"/>
        <w:rPr>
          <w:rFonts w:hint="eastAsia" w:ascii="宋体" w:hAnsi="宋体" w:eastAsia="宋体" w:cs="宋体"/>
          <w:b/>
          <w:bCs/>
          <w:color w:val="auto"/>
          <w:sz w:val="24"/>
          <w:szCs w:val="24"/>
          <w:highlight w:val="none"/>
          <w:lang w:val="zh-CN"/>
        </w:rPr>
      </w:pPr>
      <w:bookmarkStart w:id="155" w:name="_Toc8298"/>
      <w:bookmarkStart w:id="156" w:name="_Toc487900368"/>
      <w:bookmarkStart w:id="157" w:name="_Toc259093687"/>
      <w:bookmarkStart w:id="158" w:name="_Toc279701258"/>
      <w:bookmarkStart w:id="159" w:name="_Toc7102"/>
      <w:bookmarkStart w:id="160" w:name="_Toc16959"/>
      <w:r>
        <w:rPr>
          <w:rFonts w:hint="eastAsia" w:ascii="宋体" w:hAnsi="宋体" w:eastAsia="宋体" w:cs="宋体"/>
          <w:b/>
          <w:bCs/>
          <w:color w:val="auto"/>
          <w:sz w:val="24"/>
          <w:szCs w:val="24"/>
          <w:highlight w:val="none"/>
          <w:lang w:val="zh-CN"/>
        </w:rPr>
        <w:t>2.13 乙方破产</w:t>
      </w:r>
      <w:bookmarkEnd w:id="155"/>
      <w:bookmarkEnd w:id="156"/>
      <w:bookmarkEnd w:id="157"/>
      <w:bookmarkEnd w:id="158"/>
      <w:bookmarkEnd w:id="159"/>
      <w:bookmarkEnd w:id="160"/>
    </w:p>
    <w:p w14:paraId="6B52D3F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E30A30">
      <w:pPr>
        <w:spacing w:line="360" w:lineRule="auto"/>
        <w:ind w:firstLine="437"/>
        <w:outlineLvl w:val="2"/>
        <w:rPr>
          <w:rFonts w:hint="eastAsia" w:ascii="宋体" w:hAnsi="宋体" w:eastAsia="宋体" w:cs="宋体"/>
          <w:b/>
          <w:color w:val="auto"/>
          <w:sz w:val="24"/>
          <w:szCs w:val="24"/>
          <w:highlight w:val="none"/>
        </w:rPr>
      </w:pPr>
      <w:bookmarkStart w:id="161" w:name="_Toc6134"/>
      <w:bookmarkStart w:id="162" w:name="_Toc29333"/>
      <w:bookmarkStart w:id="163" w:name="_Toc15387"/>
      <w:r>
        <w:rPr>
          <w:rFonts w:hint="eastAsia" w:ascii="宋体" w:hAnsi="宋体" w:eastAsia="宋体" w:cs="宋体"/>
          <w:b/>
          <w:bCs/>
          <w:color w:val="auto"/>
          <w:sz w:val="24"/>
          <w:szCs w:val="24"/>
          <w:highlight w:val="none"/>
          <w:lang w:val="zh-CN"/>
        </w:rPr>
        <w:t>2.14 合同中止、终止</w:t>
      </w:r>
      <w:bookmarkEnd w:id="161"/>
      <w:bookmarkEnd w:id="162"/>
      <w:bookmarkEnd w:id="163"/>
    </w:p>
    <w:p w14:paraId="424BFE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2.14.1双方当事人不得擅自中止或者终止合同；</w:t>
      </w:r>
    </w:p>
    <w:p w14:paraId="40AC69C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0362977D">
      <w:pPr>
        <w:spacing w:line="360" w:lineRule="auto"/>
        <w:ind w:firstLine="437"/>
        <w:outlineLvl w:val="2"/>
        <w:rPr>
          <w:rFonts w:hint="eastAsia" w:ascii="宋体" w:hAnsi="宋体" w:eastAsia="宋体" w:cs="宋体"/>
          <w:b/>
          <w:bCs/>
          <w:color w:val="auto"/>
          <w:sz w:val="24"/>
          <w:szCs w:val="24"/>
          <w:highlight w:val="none"/>
          <w:lang w:val="zh-CN"/>
        </w:rPr>
      </w:pPr>
      <w:bookmarkStart w:id="164" w:name="_Toc6596"/>
      <w:bookmarkStart w:id="165" w:name="_Toc1125"/>
      <w:bookmarkStart w:id="166" w:name="_Toc14563"/>
      <w:r>
        <w:rPr>
          <w:rFonts w:hint="eastAsia" w:ascii="宋体" w:hAnsi="宋体" w:eastAsia="宋体" w:cs="宋体"/>
          <w:b/>
          <w:bCs/>
          <w:color w:val="auto"/>
          <w:sz w:val="24"/>
          <w:szCs w:val="24"/>
          <w:highlight w:val="none"/>
          <w:lang w:val="zh-CN"/>
        </w:rPr>
        <w:t>2.15 检验和验收</w:t>
      </w:r>
      <w:bookmarkEnd w:id="164"/>
      <w:bookmarkEnd w:id="165"/>
      <w:bookmarkEnd w:id="166"/>
    </w:p>
    <w:p w14:paraId="69584C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3F1E089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2E8E8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bookmarkEnd w:id="136"/>
    <w:bookmarkEnd w:id="137"/>
    <w:bookmarkEnd w:id="138"/>
    <w:bookmarkEnd w:id="139"/>
    <w:p w14:paraId="0E7999BB">
      <w:pPr>
        <w:spacing w:line="360" w:lineRule="auto"/>
        <w:ind w:firstLine="437"/>
        <w:outlineLvl w:val="2"/>
        <w:rPr>
          <w:rFonts w:hint="eastAsia" w:ascii="宋体" w:hAnsi="宋体" w:eastAsia="宋体" w:cs="宋体"/>
          <w:b/>
          <w:bCs/>
          <w:color w:val="auto"/>
          <w:sz w:val="24"/>
          <w:szCs w:val="24"/>
          <w:highlight w:val="none"/>
        </w:rPr>
      </w:pPr>
      <w:bookmarkStart w:id="167" w:name="_Toc259093692"/>
      <w:bookmarkStart w:id="168" w:name="_Toc487900373"/>
      <w:bookmarkStart w:id="169" w:name="_Toc12773"/>
      <w:bookmarkStart w:id="170" w:name="_Toc279701263"/>
      <w:bookmarkStart w:id="171" w:name="_Toc10330"/>
      <w:bookmarkStart w:id="172" w:name="_Toc18567"/>
      <w:r>
        <w:rPr>
          <w:rFonts w:hint="eastAsia" w:ascii="宋体" w:hAnsi="宋体" w:eastAsia="宋体" w:cs="宋体"/>
          <w:b/>
          <w:bCs/>
          <w:color w:val="auto"/>
          <w:sz w:val="24"/>
          <w:szCs w:val="24"/>
          <w:highlight w:val="none"/>
        </w:rPr>
        <w:t xml:space="preserve">2.16 </w:t>
      </w:r>
      <w:r>
        <w:rPr>
          <w:rFonts w:hint="eastAsia" w:ascii="宋体" w:hAnsi="宋体" w:eastAsia="宋体" w:cs="宋体"/>
          <w:b/>
          <w:bCs/>
          <w:color w:val="auto"/>
          <w:sz w:val="24"/>
          <w:szCs w:val="24"/>
          <w:highlight w:val="none"/>
          <w:lang w:val="zh-CN"/>
        </w:rPr>
        <w:t>合同使用的文字和适用的法律</w:t>
      </w:r>
      <w:bookmarkEnd w:id="167"/>
      <w:bookmarkEnd w:id="168"/>
      <w:bookmarkEnd w:id="169"/>
      <w:bookmarkEnd w:id="170"/>
      <w:bookmarkEnd w:id="171"/>
      <w:bookmarkEnd w:id="172"/>
    </w:p>
    <w:p w14:paraId="33A3134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2.16.1合同使用汉语书就、变更和解释；</w:t>
      </w:r>
    </w:p>
    <w:p w14:paraId="16EDA52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2.16.2合同适用中华人民共和国法律。</w:t>
      </w:r>
    </w:p>
    <w:p w14:paraId="15F5C7AA">
      <w:pPr>
        <w:spacing w:line="360" w:lineRule="auto"/>
        <w:ind w:firstLine="437"/>
        <w:outlineLvl w:val="2"/>
        <w:rPr>
          <w:rFonts w:hint="eastAsia" w:ascii="宋体" w:hAnsi="宋体" w:eastAsia="宋体" w:cs="宋体"/>
          <w:b/>
          <w:color w:val="auto"/>
          <w:sz w:val="24"/>
          <w:szCs w:val="24"/>
          <w:highlight w:val="none"/>
        </w:rPr>
      </w:pPr>
      <w:bookmarkStart w:id="173" w:name="_Toc279701264"/>
      <w:bookmarkStart w:id="174" w:name="_Toc12004"/>
      <w:bookmarkStart w:id="175" w:name="_Toc3148"/>
      <w:bookmarkStart w:id="176" w:name="_Toc16673"/>
      <w:bookmarkStart w:id="177" w:name="_Toc259093693"/>
      <w:bookmarkStart w:id="178" w:name="_Toc487900374"/>
      <w:r>
        <w:rPr>
          <w:rFonts w:hint="eastAsia" w:ascii="宋体" w:hAnsi="宋体" w:eastAsia="宋体" w:cs="宋体"/>
          <w:b/>
          <w:bCs/>
          <w:color w:val="auto"/>
          <w:sz w:val="24"/>
          <w:szCs w:val="24"/>
          <w:highlight w:val="none"/>
          <w:lang w:val="zh-CN"/>
        </w:rPr>
        <w:t>2.17 履约保证金</w:t>
      </w:r>
      <w:bookmarkEnd w:id="173"/>
      <w:bookmarkEnd w:id="174"/>
      <w:bookmarkEnd w:id="175"/>
      <w:bookmarkEnd w:id="176"/>
      <w:bookmarkEnd w:id="177"/>
    </w:p>
    <w:p w14:paraId="4E775DB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2.17.1采购文件要求乙方提交履约保证金的，乙方应按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w:t>
      </w:r>
    </w:p>
    <w:p w14:paraId="41151FA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约定期间内不予退还或者应完全有效，前述约定期间届满之日起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个工作日内，甲方应将履约保证金退还乙方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逾期退还履约保证金</w:t>
      </w:r>
      <w:r>
        <w:rPr>
          <w:rFonts w:hint="eastAsia" w:ascii="宋体" w:hAnsi="宋体" w:eastAsia="宋体" w:cs="宋体"/>
          <w:color w:val="auto"/>
          <w:sz w:val="24"/>
          <w:szCs w:val="24"/>
          <w:highlight w:val="none"/>
          <w:lang w:val="en-US" w:eastAsia="zh-CN"/>
        </w:rPr>
        <w:t>应承担违约责任。</w:t>
      </w:r>
    </w:p>
    <w:p w14:paraId="13F452F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8"/>
    <w:p w14:paraId="6C84EDAB">
      <w:pPr>
        <w:spacing w:line="360" w:lineRule="auto"/>
        <w:ind w:firstLine="437"/>
        <w:outlineLvl w:val="2"/>
        <w:rPr>
          <w:rFonts w:hint="eastAsia" w:ascii="宋体" w:hAnsi="宋体" w:eastAsia="宋体" w:cs="宋体"/>
          <w:b/>
          <w:color w:val="auto"/>
          <w:sz w:val="24"/>
          <w:szCs w:val="24"/>
          <w:highlight w:val="none"/>
        </w:rPr>
      </w:pPr>
      <w:bookmarkStart w:id="179" w:name="_Toc19890"/>
      <w:bookmarkStart w:id="180" w:name="_Toc14001"/>
      <w:bookmarkStart w:id="181" w:name="_Toc6885"/>
      <w:r>
        <w:rPr>
          <w:rFonts w:hint="eastAsia" w:ascii="宋体" w:hAnsi="宋体" w:eastAsia="宋体" w:cs="宋体"/>
          <w:b/>
          <w:bCs/>
          <w:color w:val="auto"/>
          <w:sz w:val="24"/>
          <w:szCs w:val="24"/>
          <w:highlight w:val="none"/>
          <w:lang w:val="zh-CN"/>
        </w:rPr>
        <w:t>2.18 合同份数</w:t>
      </w:r>
      <w:bookmarkEnd w:id="179"/>
      <w:bookmarkEnd w:id="180"/>
      <w:bookmarkEnd w:id="181"/>
    </w:p>
    <w:p w14:paraId="79250F7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1A438CCB">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br w:type="page"/>
      </w:r>
      <w:bookmarkStart w:id="182" w:name="_Toc3736"/>
      <w:r>
        <w:rPr>
          <w:rFonts w:hint="eastAsia" w:ascii="宋体" w:hAnsi="宋体" w:eastAsia="宋体" w:cs="宋体"/>
          <w:b/>
          <w:color w:val="auto"/>
          <w:sz w:val="24"/>
          <w:highlight w:val="none"/>
        </w:rPr>
        <w:t>第三部分 合同专用条款</w:t>
      </w:r>
      <w:bookmarkEnd w:id="182"/>
    </w:p>
    <w:p w14:paraId="6DBF817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051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098162F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5FF3407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C61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75B9FD29">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7568" w:type="dxa"/>
            <w:vAlign w:val="center"/>
          </w:tcPr>
          <w:p w14:paraId="221F532A">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知识产权：本项目所设计的最终成果文件、造价资料等均归甲方所有。乙方不得用作他处。</w:t>
            </w:r>
          </w:p>
        </w:tc>
      </w:tr>
      <w:tr w14:paraId="4034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13FEE31">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7568" w:type="dxa"/>
            <w:vAlign w:val="center"/>
          </w:tcPr>
          <w:p w14:paraId="1F3F1A22">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结算方式：合同签订后，完成全部服务内容，一次性付清合同价款。</w:t>
            </w:r>
          </w:p>
          <w:p w14:paraId="512C55EC">
            <w:pPr>
              <w:pStyle w:val="27"/>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付款条件：完成全部合同及招标文件约定的服务内容，交付有效的成果文件并经甲方审核通过后支付。</w:t>
            </w:r>
          </w:p>
        </w:tc>
      </w:tr>
      <w:tr w14:paraId="42E0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D73C009">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p>
        </w:tc>
        <w:tc>
          <w:tcPr>
            <w:tcW w:w="7568" w:type="dxa"/>
            <w:vAlign w:val="center"/>
          </w:tcPr>
          <w:p w14:paraId="77A648B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可抗力：因不可抗力致使合同有变更必要的，双方当事人应在24小时内以书面形式变更合同；发生不可抗力后，受影响方应在4小时内书面通知对方，并在通知后7个工作日内将有关部门出具的证明文件送达对方当事人。</w:t>
            </w:r>
          </w:p>
        </w:tc>
      </w:tr>
      <w:tr w14:paraId="7B7DC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0D92F6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w:t>
            </w:r>
          </w:p>
        </w:tc>
        <w:tc>
          <w:tcPr>
            <w:tcW w:w="7568" w:type="dxa"/>
            <w:vAlign w:val="center"/>
          </w:tcPr>
          <w:p w14:paraId="0AA474C0">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检验与验收：/</w:t>
            </w:r>
          </w:p>
        </w:tc>
      </w:tr>
      <w:tr w14:paraId="3EEDD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E65BDF1">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p>
        </w:tc>
        <w:tc>
          <w:tcPr>
            <w:tcW w:w="7568" w:type="dxa"/>
            <w:vAlign w:val="center"/>
          </w:tcPr>
          <w:p w14:paraId="60250254">
            <w:pPr>
              <w:spacing w:line="560" w:lineRule="exac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履约保证金：不收取。</w:t>
            </w:r>
          </w:p>
        </w:tc>
      </w:tr>
      <w:tr w14:paraId="22ADA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9FCCA7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w:t>
            </w:r>
          </w:p>
        </w:tc>
        <w:tc>
          <w:tcPr>
            <w:tcW w:w="7568" w:type="dxa"/>
            <w:vAlign w:val="center"/>
          </w:tcPr>
          <w:p w14:paraId="651C530E">
            <w:pPr>
              <w:spacing w:line="56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合同份数：本合同一式4份，甲方持2份，乙方持2份，具有同等法律效力。</w:t>
            </w:r>
          </w:p>
        </w:tc>
      </w:tr>
      <w:tr w14:paraId="7C27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8BD27B4">
            <w:pPr>
              <w:spacing w:line="560" w:lineRule="exact"/>
              <w:rPr>
                <w:rFonts w:hint="eastAsia" w:ascii="宋体" w:hAnsi="宋体" w:eastAsia="宋体" w:cs="宋体"/>
                <w:color w:val="auto"/>
                <w:sz w:val="24"/>
                <w:szCs w:val="24"/>
                <w:highlight w:val="none"/>
              </w:rPr>
            </w:pPr>
          </w:p>
        </w:tc>
        <w:tc>
          <w:tcPr>
            <w:tcW w:w="7568" w:type="dxa"/>
            <w:vAlign w:val="center"/>
          </w:tcPr>
          <w:p w14:paraId="3EA204B4">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（签订合同时双方协商）</w:t>
            </w:r>
          </w:p>
        </w:tc>
      </w:tr>
      <w:tr w14:paraId="0ECB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B9CDABF">
            <w:pPr>
              <w:spacing w:line="560" w:lineRule="exact"/>
              <w:rPr>
                <w:rFonts w:hint="eastAsia" w:ascii="宋体" w:hAnsi="宋体" w:eastAsia="宋体" w:cs="宋体"/>
                <w:color w:val="auto"/>
                <w:sz w:val="24"/>
                <w:szCs w:val="24"/>
                <w:highlight w:val="none"/>
              </w:rPr>
            </w:pPr>
          </w:p>
        </w:tc>
        <w:tc>
          <w:tcPr>
            <w:tcW w:w="7568" w:type="dxa"/>
            <w:vAlign w:val="center"/>
          </w:tcPr>
          <w:p w14:paraId="43425364">
            <w:pPr>
              <w:spacing w:line="560" w:lineRule="exact"/>
              <w:rPr>
                <w:rFonts w:hint="eastAsia" w:ascii="宋体" w:hAnsi="宋体" w:eastAsia="宋体" w:cs="宋体"/>
                <w:color w:val="auto"/>
                <w:sz w:val="24"/>
                <w:szCs w:val="24"/>
                <w:highlight w:val="none"/>
              </w:rPr>
            </w:pPr>
          </w:p>
        </w:tc>
      </w:tr>
      <w:tr w14:paraId="144EF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A717B0B">
            <w:pPr>
              <w:spacing w:line="560" w:lineRule="exact"/>
              <w:rPr>
                <w:rFonts w:hint="eastAsia" w:ascii="宋体" w:hAnsi="宋体" w:eastAsia="宋体" w:cs="宋体"/>
                <w:color w:val="auto"/>
                <w:sz w:val="24"/>
                <w:szCs w:val="24"/>
                <w:highlight w:val="none"/>
              </w:rPr>
            </w:pPr>
          </w:p>
        </w:tc>
        <w:tc>
          <w:tcPr>
            <w:tcW w:w="7568" w:type="dxa"/>
            <w:vAlign w:val="center"/>
          </w:tcPr>
          <w:p w14:paraId="254F3F47">
            <w:pPr>
              <w:spacing w:line="560" w:lineRule="exact"/>
              <w:rPr>
                <w:rFonts w:hint="eastAsia" w:ascii="宋体" w:hAnsi="宋体" w:eastAsia="宋体" w:cs="宋体"/>
                <w:color w:val="auto"/>
                <w:sz w:val="24"/>
                <w:szCs w:val="24"/>
                <w:highlight w:val="none"/>
              </w:rPr>
            </w:pPr>
          </w:p>
        </w:tc>
      </w:tr>
      <w:tr w14:paraId="4BDA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080AA48">
            <w:pPr>
              <w:spacing w:line="560" w:lineRule="exact"/>
              <w:rPr>
                <w:rFonts w:hint="eastAsia" w:ascii="宋体" w:hAnsi="宋体" w:eastAsia="宋体" w:cs="宋体"/>
                <w:color w:val="auto"/>
                <w:sz w:val="24"/>
                <w:szCs w:val="24"/>
                <w:highlight w:val="none"/>
              </w:rPr>
            </w:pPr>
          </w:p>
        </w:tc>
        <w:tc>
          <w:tcPr>
            <w:tcW w:w="7568" w:type="dxa"/>
            <w:vAlign w:val="center"/>
          </w:tcPr>
          <w:p w14:paraId="66C92EE8">
            <w:pPr>
              <w:spacing w:line="560" w:lineRule="exact"/>
              <w:rPr>
                <w:rFonts w:hint="eastAsia" w:ascii="宋体" w:hAnsi="宋体" w:eastAsia="宋体" w:cs="宋体"/>
                <w:color w:val="auto"/>
                <w:sz w:val="24"/>
                <w:szCs w:val="24"/>
                <w:highlight w:val="none"/>
              </w:rPr>
            </w:pPr>
          </w:p>
        </w:tc>
      </w:tr>
      <w:tr w14:paraId="53A2B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75436DA2">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3FE79F79">
            <w:pPr>
              <w:spacing w:line="560" w:lineRule="exact"/>
              <w:rPr>
                <w:rFonts w:hint="eastAsia" w:ascii="宋体" w:hAnsi="宋体" w:eastAsia="宋体" w:cs="宋体"/>
                <w:color w:val="auto"/>
                <w:sz w:val="24"/>
                <w:szCs w:val="24"/>
                <w:highlight w:val="none"/>
              </w:rPr>
            </w:pPr>
          </w:p>
        </w:tc>
      </w:tr>
      <w:tr w14:paraId="681C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212A4A">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2684D8E2">
            <w:pPr>
              <w:spacing w:line="560" w:lineRule="exact"/>
              <w:rPr>
                <w:rFonts w:hint="eastAsia" w:ascii="宋体" w:hAnsi="宋体" w:eastAsia="宋体" w:cs="宋体"/>
                <w:color w:val="auto"/>
                <w:sz w:val="24"/>
                <w:szCs w:val="24"/>
                <w:highlight w:val="none"/>
              </w:rPr>
            </w:pPr>
          </w:p>
        </w:tc>
      </w:tr>
    </w:tbl>
    <w:p w14:paraId="5FF34A91">
      <w:pPr>
        <w:spacing w:line="360" w:lineRule="auto"/>
        <w:rPr>
          <w:rFonts w:hint="eastAsia" w:ascii="宋体" w:hAnsi="宋体" w:eastAsia="宋体" w:cs="宋体"/>
          <w:color w:val="auto"/>
          <w:sz w:val="24"/>
          <w:highlight w:val="none"/>
        </w:rPr>
      </w:pPr>
    </w:p>
    <w:p w14:paraId="60A7476D">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39"/>
    <w:p w14:paraId="21249C5B">
      <w:pPr>
        <w:jc w:val="center"/>
        <w:outlineLvl w:val="0"/>
        <w:rPr>
          <w:rFonts w:hint="eastAsia" w:ascii="宋体" w:hAnsi="宋体" w:eastAsia="宋体" w:cs="宋体"/>
          <w:b/>
          <w:color w:val="auto"/>
          <w:sz w:val="28"/>
          <w:highlight w:val="none"/>
        </w:rPr>
      </w:pPr>
      <w:bookmarkStart w:id="183" w:name="_Toc13555"/>
      <w:r>
        <w:rPr>
          <w:rFonts w:hint="eastAsia" w:ascii="宋体" w:hAnsi="宋体" w:eastAsia="宋体" w:cs="宋体"/>
          <w:b/>
          <w:color w:val="auto"/>
          <w:sz w:val="28"/>
          <w:highlight w:val="none"/>
        </w:rPr>
        <w:t>第六章  投标文件格式</w:t>
      </w:r>
    </w:p>
    <w:p w14:paraId="3E78B6BE">
      <w:pPr>
        <w:ind w:firstLine="435"/>
        <w:rPr>
          <w:rFonts w:hint="eastAsia" w:ascii="宋体" w:hAnsi="宋体" w:eastAsia="宋体" w:cs="宋体"/>
          <w:color w:val="auto"/>
          <w:sz w:val="24"/>
          <w:szCs w:val="24"/>
          <w:highlight w:val="none"/>
        </w:rPr>
      </w:pPr>
    </w:p>
    <w:p w14:paraId="78F18C08">
      <w:pPr>
        <w:ind w:firstLine="435"/>
        <w:rPr>
          <w:rFonts w:hint="eastAsia" w:ascii="宋体" w:hAnsi="宋体" w:eastAsia="宋体" w:cs="宋体"/>
          <w:color w:val="auto"/>
          <w:sz w:val="28"/>
          <w:szCs w:val="28"/>
          <w:highlight w:val="none"/>
        </w:rPr>
      </w:pPr>
    </w:p>
    <w:p w14:paraId="28CE341B">
      <w:pPr>
        <w:ind w:firstLine="435"/>
        <w:rPr>
          <w:rFonts w:hint="eastAsia" w:ascii="宋体" w:hAnsi="宋体" w:eastAsia="宋体" w:cs="宋体"/>
          <w:color w:val="auto"/>
          <w:sz w:val="28"/>
          <w:szCs w:val="28"/>
          <w:highlight w:val="none"/>
        </w:rPr>
      </w:pPr>
    </w:p>
    <w:p w14:paraId="03BEE94A">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投标文件</w:t>
      </w:r>
    </w:p>
    <w:p w14:paraId="197482BA">
      <w:pPr>
        <w:ind w:firstLine="435"/>
        <w:rPr>
          <w:rFonts w:hint="eastAsia" w:ascii="宋体" w:hAnsi="宋体" w:eastAsia="宋体" w:cs="宋体"/>
          <w:color w:val="auto"/>
          <w:sz w:val="28"/>
          <w:szCs w:val="28"/>
          <w:highlight w:val="none"/>
        </w:rPr>
      </w:pPr>
    </w:p>
    <w:p w14:paraId="380D9EF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p>
    <w:p w14:paraId="2A8C00C4">
      <w:pPr>
        <w:ind w:firstLine="435"/>
        <w:rPr>
          <w:rFonts w:hint="eastAsia" w:ascii="宋体" w:hAnsi="宋体" w:eastAsia="宋体" w:cs="宋体"/>
          <w:color w:val="auto"/>
          <w:sz w:val="28"/>
          <w:szCs w:val="28"/>
          <w:highlight w:val="none"/>
        </w:rPr>
      </w:pPr>
    </w:p>
    <w:p w14:paraId="330D9279">
      <w:pPr>
        <w:ind w:firstLine="435"/>
        <w:rPr>
          <w:rFonts w:hint="eastAsia" w:ascii="宋体" w:hAnsi="宋体" w:eastAsia="宋体" w:cs="宋体"/>
          <w:color w:val="auto"/>
          <w:sz w:val="28"/>
          <w:szCs w:val="28"/>
          <w:highlight w:val="none"/>
        </w:rPr>
      </w:pPr>
    </w:p>
    <w:p w14:paraId="5053E03C">
      <w:pPr>
        <w:ind w:firstLine="435"/>
        <w:rPr>
          <w:rFonts w:hint="eastAsia" w:ascii="宋体" w:hAnsi="宋体" w:eastAsia="宋体" w:cs="宋体"/>
          <w:color w:val="auto"/>
          <w:sz w:val="28"/>
          <w:szCs w:val="28"/>
          <w:highlight w:val="none"/>
        </w:rPr>
      </w:pPr>
    </w:p>
    <w:p w14:paraId="19AA27C7">
      <w:pPr>
        <w:ind w:firstLine="435"/>
        <w:rPr>
          <w:rFonts w:hint="eastAsia" w:ascii="宋体" w:hAnsi="宋体" w:eastAsia="宋体" w:cs="宋体"/>
          <w:color w:val="auto"/>
          <w:sz w:val="28"/>
          <w:szCs w:val="28"/>
          <w:highlight w:val="none"/>
        </w:rPr>
      </w:pPr>
    </w:p>
    <w:p w14:paraId="17CB116B">
      <w:pPr>
        <w:ind w:firstLine="435"/>
        <w:rPr>
          <w:rFonts w:hint="eastAsia" w:ascii="宋体" w:hAnsi="宋体" w:eastAsia="宋体" w:cs="宋体"/>
          <w:color w:val="auto"/>
          <w:sz w:val="28"/>
          <w:szCs w:val="28"/>
          <w:highlight w:val="none"/>
        </w:rPr>
      </w:pPr>
    </w:p>
    <w:p w14:paraId="21CDB54C">
      <w:pPr>
        <w:ind w:firstLine="435"/>
        <w:rPr>
          <w:rFonts w:hint="eastAsia" w:ascii="宋体" w:hAnsi="宋体" w:eastAsia="宋体" w:cs="宋体"/>
          <w:color w:val="auto"/>
          <w:sz w:val="28"/>
          <w:szCs w:val="28"/>
          <w:highlight w:val="none"/>
        </w:rPr>
      </w:pPr>
    </w:p>
    <w:p w14:paraId="7CB00860">
      <w:pPr>
        <w:ind w:firstLine="435"/>
        <w:rPr>
          <w:rFonts w:hint="eastAsia" w:ascii="宋体" w:hAnsi="宋体" w:eastAsia="宋体" w:cs="宋体"/>
          <w:color w:val="auto"/>
          <w:sz w:val="28"/>
          <w:szCs w:val="28"/>
          <w:highlight w:val="none"/>
        </w:rPr>
      </w:pPr>
    </w:p>
    <w:p w14:paraId="02731363">
      <w:pPr>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（签章）</w:t>
      </w:r>
    </w:p>
    <w:p w14:paraId="236A94C4">
      <w:pPr>
        <w:ind w:firstLine="43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（签章）</w:t>
      </w:r>
    </w:p>
    <w:p w14:paraId="33C1B184">
      <w:pPr>
        <w:ind w:firstLine="1400" w:firstLineChars="500"/>
        <w:rPr>
          <w:rFonts w:hint="eastAsia" w:ascii="宋体" w:hAnsi="宋体" w:eastAsia="宋体" w:cs="宋体"/>
          <w:color w:val="auto"/>
          <w:sz w:val="28"/>
          <w:szCs w:val="28"/>
          <w:highlight w:val="none"/>
          <w:u w:val="single"/>
        </w:rPr>
      </w:pPr>
    </w:p>
    <w:p w14:paraId="40F65BDD">
      <w:pPr>
        <w:ind w:firstLine="1400" w:firstLineChars="5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24417CD">
      <w:pPr>
        <w:ind w:firstLine="4506" w:firstLineChars="935"/>
        <w:rPr>
          <w:rFonts w:hint="eastAsia" w:ascii="宋体" w:hAnsi="宋体" w:eastAsia="宋体" w:cs="宋体"/>
          <w:b/>
          <w:color w:val="auto"/>
          <w:sz w:val="48"/>
          <w:szCs w:val="48"/>
          <w:highlight w:val="none"/>
        </w:rPr>
      </w:pPr>
    </w:p>
    <w:p w14:paraId="58A08D05">
      <w:pPr>
        <w:spacing w:line="400" w:lineRule="exact"/>
        <w:ind w:firstLine="4506" w:firstLineChars="935"/>
        <w:rPr>
          <w:rFonts w:hint="eastAsia" w:ascii="宋体" w:hAnsi="宋体" w:eastAsia="宋体" w:cs="宋体"/>
          <w:b/>
          <w:color w:val="auto"/>
          <w:sz w:val="48"/>
          <w:szCs w:val="48"/>
          <w:highlight w:val="none"/>
        </w:rPr>
      </w:pPr>
    </w:p>
    <w:p w14:paraId="2982F18D">
      <w:pPr>
        <w:ind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目   录</w:t>
      </w:r>
    </w:p>
    <w:p w14:paraId="72B0AAF9">
      <w:pPr>
        <w:spacing w:line="440" w:lineRule="exact"/>
        <w:rPr>
          <w:rFonts w:hint="eastAsia" w:ascii="宋体" w:hAnsi="宋体" w:eastAsia="宋体" w:cs="宋体"/>
          <w:color w:val="auto"/>
          <w:sz w:val="24"/>
          <w:szCs w:val="24"/>
          <w:highlight w:val="none"/>
        </w:rPr>
      </w:pPr>
    </w:p>
    <w:p w14:paraId="7EE8F40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4C6E000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5006478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（3）投标人为企业（包括合伙企业）的，应提供有效的“营业执照”；</w:t>
      </w:r>
    </w:p>
    <w:p w14:paraId="5825A8F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投标人为事业单位的，应提供有效的“事业单位法人证书”；</w:t>
      </w:r>
    </w:p>
    <w:p w14:paraId="43BFB9D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投标人是非企业机构的，应提供有效的“执业许可证”、“登记证书”等证明文件；</w:t>
      </w:r>
    </w:p>
    <w:p w14:paraId="6A1B141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（4）诚信投标承诺书（格式见附件）；</w:t>
      </w:r>
    </w:p>
    <w:p w14:paraId="049C45B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投标响应表（格式见附件）；</w:t>
      </w:r>
    </w:p>
    <w:p w14:paraId="4A3B83E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）诚信履约承诺函（格式见附件）；</w:t>
      </w:r>
    </w:p>
    <w:p w14:paraId="0029ECE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）招标文件中要求的评审及评分的支持资料；</w:t>
      </w:r>
    </w:p>
    <w:p w14:paraId="030A7A8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）开标一览表（格式见附件）；</w:t>
      </w:r>
    </w:p>
    <w:p w14:paraId="11B6BBA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）投标函（格式见附件）；</w:t>
      </w:r>
    </w:p>
    <w:p w14:paraId="6A516B4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）投标人认为需要提供的其他资信证明材料。</w:t>
      </w:r>
    </w:p>
    <w:bookmarkEnd w:id="183"/>
    <w:p w14:paraId="5190C375">
      <w:pPr>
        <w:pageBreakBefore/>
        <w:spacing w:line="440" w:lineRule="exact"/>
        <w:jc w:val="center"/>
        <w:outlineLvl w:val="1"/>
        <w:rPr>
          <w:rFonts w:hint="eastAsia" w:ascii="宋体" w:hAnsi="宋体" w:eastAsia="宋体" w:cs="宋体"/>
          <w:b/>
          <w:color w:val="auto"/>
          <w:sz w:val="24"/>
          <w:highlight w:val="none"/>
        </w:rPr>
      </w:pPr>
      <w:bookmarkStart w:id="184" w:name="_Toc18881"/>
      <w:bookmarkStart w:id="185" w:name="_Toc28960"/>
      <w:bookmarkStart w:id="186" w:name="_Toc17986"/>
      <w:r>
        <w:rPr>
          <w:rFonts w:hint="eastAsia" w:ascii="宋体" w:hAnsi="宋体" w:eastAsia="宋体" w:cs="宋体"/>
          <w:b/>
          <w:color w:val="auto"/>
          <w:sz w:val="24"/>
          <w:highlight w:val="none"/>
        </w:rPr>
        <w:t>（1）投标人资格声明书</w:t>
      </w:r>
      <w:bookmarkEnd w:id="184"/>
      <w:r>
        <w:rPr>
          <w:rFonts w:hint="eastAsia" w:ascii="宋体" w:hAnsi="宋体" w:eastAsia="宋体" w:cs="宋体"/>
          <w:b/>
          <w:color w:val="auto"/>
          <w:sz w:val="24"/>
          <w:highlight w:val="none"/>
        </w:rPr>
        <w:t xml:space="preserve"> </w:t>
      </w:r>
    </w:p>
    <w:p w14:paraId="63CE937D">
      <w:pPr>
        <w:pStyle w:val="15"/>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102B63A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4348FD65">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0B0B54D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0F90CC84">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3A53095D">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w:t>
      </w:r>
      <w:r>
        <w:rPr>
          <w:rFonts w:hint="eastAsia" w:ascii="宋体" w:hAnsi="宋体" w:eastAsia="宋体" w:cs="宋体"/>
          <w:color w:val="auto"/>
          <w:kern w:val="0"/>
          <w:sz w:val="24"/>
          <w:szCs w:val="24"/>
          <w:highlight w:val="none"/>
          <w:lang w:val="en-US" w:eastAsia="zh-CN"/>
        </w:rPr>
        <w:t>本次采购</w:t>
      </w:r>
      <w:r>
        <w:rPr>
          <w:rFonts w:hint="eastAsia" w:ascii="宋体" w:hAnsi="宋体" w:eastAsia="宋体" w:cs="宋体"/>
          <w:color w:val="auto"/>
          <w:kern w:val="0"/>
          <w:sz w:val="24"/>
          <w:szCs w:val="24"/>
          <w:highlight w:val="none"/>
        </w:rPr>
        <w:t>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0E37D8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（五）我单位不属于公益一类事业单位、或使用事业编制且由财政拨款保障的群团组织（仅适用于政府购买服务项目）； </w:t>
      </w:r>
    </w:p>
    <w:p w14:paraId="4C44D22B">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（六）我单位不存在为采购项目提供整体设计、规范编制或者项目管理、监理、检测等服务后，再参加该采购项目的其他采购活动的情形（单一来源采购项目除外）；</w:t>
      </w:r>
    </w:p>
    <w:p w14:paraId="5A8AEBC8">
      <w:pPr>
        <w:widowControl/>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D01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0E4ED11">
            <w:pPr>
              <w:widowControl/>
              <w:spacing w:beforeLines="50" w:after="1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Pr>
          <w:p w14:paraId="704D325A">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单位名称</w:t>
            </w:r>
          </w:p>
        </w:tc>
        <w:tc>
          <w:tcPr>
            <w:tcW w:w="2841" w:type="dxa"/>
          </w:tcPr>
          <w:p w14:paraId="3CD09437">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相互关系</w:t>
            </w:r>
          </w:p>
        </w:tc>
      </w:tr>
      <w:tr w14:paraId="5AD3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A0FDEA">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p>
        </w:tc>
        <w:tc>
          <w:tcPr>
            <w:tcW w:w="2841" w:type="dxa"/>
          </w:tcPr>
          <w:p w14:paraId="3C3E2225">
            <w:pPr>
              <w:pStyle w:val="10"/>
              <w:spacing w:beforeLines="50" w:after="10" w:line="440" w:lineRule="exact"/>
              <w:jc w:val="center"/>
              <w:rPr>
                <w:rFonts w:hint="eastAsia" w:ascii="宋体" w:hAnsi="宋体" w:eastAsia="宋体" w:cs="宋体"/>
                <w:color w:val="auto"/>
                <w:kern w:val="0"/>
                <w:sz w:val="24"/>
                <w:highlight w:val="none"/>
                <w:lang w:val="en-US"/>
              </w:rPr>
            </w:pPr>
          </w:p>
        </w:tc>
        <w:tc>
          <w:tcPr>
            <w:tcW w:w="2841" w:type="dxa"/>
          </w:tcPr>
          <w:p w14:paraId="6B1A1D1D">
            <w:pPr>
              <w:pStyle w:val="10"/>
              <w:spacing w:beforeLines="50" w:after="10" w:line="440" w:lineRule="exact"/>
              <w:jc w:val="center"/>
              <w:rPr>
                <w:rFonts w:hint="eastAsia" w:ascii="宋体" w:hAnsi="宋体" w:eastAsia="宋体" w:cs="宋体"/>
                <w:color w:val="auto"/>
                <w:kern w:val="0"/>
                <w:sz w:val="24"/>
                <w:highlight w:val="none"/>
                <w:lang w:val="en-US"/>
              </w:rPr>
            </w:pPr>
          </w:p>
        </w:tc>
      </w:tr>
      <w:tr w14:paraId="06AF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4F2BEBB">
            <w:pPr>
              <w:pStyle w:val="10"/>
              <w:spacing w:beforeLines="50" w:after="10" w:line="440" w:lineRule="exact"/>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p>
        </w:tc>
        <w:tc>
          <w:tcPr>
            <w:tcW w:w="2841" w:type="dxa"/>
          </w:tcPr>
          <w:p w14:paraId="4C9494DD">
            <w:pPr>
              <w:pStyle w:val="10"/>
              <w:spacing w:beforeLines="50" w:after="10" w:line="440" w:lineRule="exact"/>
              <w:jc w:val="center"/>
              <w:rPr>
                <w:rFonts w:hint="eastAsia" w:ascii="宋体" w:hAnsi="宋体" w:eastAsia="宋体" w:cs="宋体"/>
                <w:color w:val="auto"/>
                <w:kern w:val="0"/>
                <w:sz w:val="24"/>
                <w:highlight w:val="none"/>
                <w:lang w:val="en-US"/>
              </w:rPr>
            </w:pPr>
          </w:p>
        </w:tc>
        <w:tc>
          <w:tcPr>
            <w:tcW w:w="2841" w:type="dxa"/>
          </w:tcPr>
          <w:p w14:paraId="2CF49D63">
            <w:pPr>
              <w:pStyle w:val="10"/>
              <w:spacing w:beforeLines="50" w:after="10" w:line="440" w:lineRule="exact"/>
              <w:jc w:val="center"/>
              <w:rPr>
                <w:rFonts w:hint="eastAsia" w:ascii="宋体" w:hAnsi="宋体" w:eastAsia="宋体" w:cs="宋体"/>
                <w:color w:val="auto"/>
                <w:kern w:val="0"/>
                <w:sz w:val="24"/>
                <w:highlight w:val="none"/>
                <w:lang w:val="en-US"/>
              </w:rPr>
            </w:pPr>
          </w:p>
        </w:tc>
      </w:tr>
    </w:tbl>
    <w:p w14:paraId="1CEC6A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021368F">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317679D4">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FF1AC0A">
      <w:pPr>
        <w:spacing w:line="440" w:lineRule="exact"/>
        <w:rPr>
          <w:rFonts w:hint="eastAsia" w:ascii="宋体" w:hAnsi="宋体" w:eastAsia="宋体" w:cs="宋体"/>
          <w:b/>
          <w:color w:val="auto"/>
          <w:sz w:val="24"/>
          <w:highlight w:val="none"/>
        </w:rPr>
      </w:pPr>
      <w:bookmarkStart w:id="187" w:name="_Toc11607"/>
      <w:r>
        <w:rPr>
          <w:rFonts w:hint="eastAsia" w:ascii="宋体" w:hAnsi="宋体" w:eastAsia="宋体" w:cs="宋体"/>
          <w:b/>
          <w:color w:val="auto"/>
          <w:sz w:val="24"/>
          <w:highlight w:val="none"/>
        </w:rPr>
        <w:br w:type="page"/>
      </w:r>
    </w:p>
    <w:p w14:paraId="664B5820">
      <w:pPr>
        <w:spacing w:line="440" w:lineRule="exact"/>
        <w:jc w:val="center"/>
        <w:outlineLvl w:val="1"/>
        <w:rPr>
          <w:rFonts w:hint="eastAsia" w:ascii="宋体" w:hAnsi="宋体" w:eastAsia="宋体" w:cs="宋体"/>
          <w:b/>
          <w:color w:val="auto"/>
          <w:sz w:val="24"/>
          <w:highlight w:val="none"/>
        </w:rPr>
      </w:pPr>
      <w:bookmarkStart w:id="188" w:name="_Toc24583"/>
      <w:r>
        <w:rPr>
          <w:rFonts w:hint="eastAsia" w:ascii="宋体" w:hAnsi="宋体" w:eastAsia="宋体" w:cs="宋体"/>
          <w:b/>
          <w:color w:val="auto"/>
          <w:sz w:val="24"/>
          <w:highlight w:val="none"/>
        </w:rPr>
        <w:t>（2）授权书</w:t>
      </w:r>
      <w:bookmarkEnd w:id="187"/>
      <w:bookmarkEnd w:id="188"/>
    </w:p>
    <w:p w14:paraId="206B93AF">
      <w:pPr>
        <w:pStyle w:val="14"/>
        <w:snapToGrid w:val="0"/>
        <w:spacing w:line="440" w:lineRule="exact"/>
        <w:ind w:firstLine="480" w:firstLineChars="200"/>
        <w:jc w:val="left"/>
        <w:rPr>
          <w:rFonts w:hint="eastAsia" w:ascii="宋体" w:hAnsi="宋体" w:eastAsia="宋体" w:cs="宋体"/>
          <w:color w:val="auto"/>
          <w:sz w:val="24"/>
          <w:szCs w:val="28"/>
          <w:highlight w:val="none"/>
        </w:rPr>
      </w:pPr>
    </w:p>
    <w:p w14:paraId="2F8EC49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27868DF">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72E56C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4E130118">
      <w:pPr>
        <w:spacing w:line="440" w:lineRule="exact"/>
        <w:ind w:firstLine="435"/>
        <w:rPr>
          <w:rFonts w:hint="eastAsia" w:ascii="宋体" w:hAnsi="宋体" w:eastAsia="宋体" w:cs="宋体"/>
          <w:color w:val="auto"/>
          <w:sz w:val="24"/>
          <w:highlight w:val="none"/>
        </w:rPr>
      </w:pPr>
    </w:p>
    <w:p w14:paraId="65433FAB">
      <w:pPr>
        <w:spacing w:line="440" w:lineRule="exact"/>
        <w:ind w:firstLine="435"/>
        <w:rPr>
          <w:rFonts w:hint="eastAsia" w:ascii="宋体" w:hAnsi="宋体" w:eastAsia="宋体" w:cs="宋体"/>
          <w:color w:val="auto"/>
          <w:sz w:val="24"/>
          <w:highlight w:val="none"/>
        </w:rPr>
      </w:pPr>
    </w:p>
    <w:p w14:paraId="71EF358F">
      <w:pPr>
        <w:spacing w:line="440" w:lineRule="exact"/>
        <w:ind w:firstLine="435"/>
        <w:rPr>
          <w:rFonts w:hint="eastAsia" w:ascii="宋体" w:hAnsi="宋体" w:eastAsia="宋体" w:cs="宋体"/>
          <w:color w:val="auto"/>
          <w:sz w:val="24"/>
          <w:highlight w:val="none"/>
        </w:rPr>
      </w:pPr>
    </w:p>
    <w:p w14:paraId="506E8F39">
      <w:pPr>
        <w:spacing w:line="440" w:lineRule="exact"/>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30B0477B">
      <w:pPr>
        <w:spacing w:line="440" w:lineRule="exact"/>
        <w:ind w:firstLine="435"/>
        <w:rPr>
          <w:rFonts w:hint="eastAsia" w:ascii="宋体" w:hAnsi="宋体" w:eastAsia="宋体" w:cs="宋体"/>
          <w:color w:val="auto"/>
          <w:sz w:val="24"/>
          <w:szCs w:val="28"/>
          <w:highlight w:val="none"/>
          <w:lang w:val="zh-CN"/>
        </w:rPr>
      </w:pPr>
    </w:p>
    <w:p w14:paraId="589CDA4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63CE1181">
      <w:pPr>
        <w:spacing w:line="440" w:lineRule="exact"/>
        <w:rPr>
          <w:rFonts w:hint="eastAsia" w:ascii="宋体" w:hAnsi="宋体" w:eastAsia="宋体" w:cs="宋体"/>
          <w:color w:val="auto"/>
          <w:sz w:val="24"/>
          <w:szCs w:val="28"/>
          <w:highlight w:val="none"/>
        </w:rPr>
      </w:pPr>
    </w:p>
    <w:p w14:paraId="5E5AD73A">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713E7257">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EEDC82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312C3B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447E6A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4A8DED1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（3）诚信投标承诺书</w:t>
      </w:r>
    </w:p>
    <w:p w14:paraId="2A7CEF2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本人以企业法定代表人的身份郑重承诺：</w:t>
      </w:r>
    </w:p>
    <w:p w14:paraId="08112E1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一、将遵循公开、公正和诚实信用的原则自愿参加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项目的投标，所提供的一切材料都是真实、有效、合法的；</w:t>
      </w:r>
    </w:p>
    <w:p w14:paraId="469A9CC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二、本单位郑重声明，根据</w:t>
      </w:r>
      <w:r>
        <w:rPr>
          <w:rFonts w:hint="eastAsia" w:ascii="宋体" w:hAnsi="宋体" w:eastAsia="宋体" w:cs="宋体"/>
          <w:color w:val="auto"/>
          <w:sz w:val="24"/>
          <w:szCs w:val="28"/>
          <w:highlight w:val="none"/>
          <w:lang w:val="en-US" w:eastAsia="zh-CN"/>
        </w:rPr>
        <w:t>相关法律法规</w:t>
      </w:r>
      <w:r>
        <w:rPr>
          <w:rFonts w:hint="eastAsia" w:ascii="宋体" w:hAnsi="宋体" w:eastAsia="宋体" w:cs="宋体"/>
          <w:color w:val="auto"/>
          <w:sz w:val="24"/>
          <w:szCs w:val="28"/>
          <w:highlight w:val="none"/>
        </w:rPr>
        <w:t>的规定，我公司具有良好的商业信誉和健全的财务会计制度，具有履行合同所必需的设备和专业技术能力，有依法缴纳税收和社会保障资金的良好记录；参加</w:t>
      </w:r>
      <w:r>
        <w:rPr>
          <w:rFonts w:hint="eastAsia" w:ascii="宋体" w:hAnsi="宋体" w:eastAsia="宋体" w:cs="宋体"/>
          <w:color w:val="auto"/>
          <w:sz w:val="24"/>
          <w:szCs w:val="28"/>
          <w:highlight w:val="none"/>
          <w:lang w:val="en-US" w:eastAsia="zh-CN"/>
        </w:rPr>
        <w:t>本次</w:t>
      </w:r>
      <w:r>
        <w:rPr>
          <w:rFonts w:hint="eastAsia" w:ascii="宋体" w:hAnsi="宋体" w:eastAsia="宋体" w:cs="宋体"/>
          <w:color w:val="auto"/>
          <w:sz w:val="24"/>
          <w:szCs w:val="28"/>
          <w:highlight w:val="none"/>
        </w:rPr>
        <w:t>采购活动前三年内，本单位在经营活动中没有重大违法记录，没有因违法经营受到刑事处罚或者责令停产停业、吊销许可证或者执照、较大数额罚款等行政处罚。</w:t>
      </w:r>
    </w:p>
    <w:p w14:paraId="39F8A98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三、不出借、转让资质证书，不让他人挂靠投标，不以他人名义投标或者以其他方式弄虚作假，骗取中标；</w:t>
      </w:r>
    </w:p>
    <w:p w14:paraId="7D90A1A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四、不与其他投标人相互串通投标报价，不排挤其他投标人的公平竞争、损害招标人的合法权益；</w:t>
      </w:r>
    </w:p>
    <w:p w14:paraId="6152A82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五、不与招标人、招标代理机构或其他投标人串通投标，损害国家利益、社会公共利益或者他人的合法权益；</w:t>
      </w:r>
    </w:p>
    <w:p w14:paraId="358A2C8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六、我公司没有下列情形：①被列入“信用中国”网站“失信被执行人”的；②被列入“信用中国”网站“重大税收违法失信主体”的；③被列入“信用中国”网站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645037B7">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七、严格遵守开标现场纪律，服从监管人员管理；</w:t>
      </w:r>
    </w:p>
    <w:p w14:paraId="720CB826">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w:t>
      </w:r>
      <w:r>
        <w:rPr>
          <w:rFonts w:hint="eastAsia" w:ascii="宋体" w:hAnsi="宋体" w:eastAsia="宋体" w:cs="宋体"/>
          <w:color w:val="auto"/>
          <w:sz w:val="24"/>
          <w:szCs w:val="28"/>
          <w:highlight w:val="none"/>
        </w:rPr>
        <w:t>、保证中标后不转包，若有分包征得招标人同意；</w:t>
      </w:r>
    </w:p>
    <w:p w14:paraId="1CCE50D4">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w:t>
      </w:r>
      <w:r>
        <w:rPr>
          <w:rFonts w:hint="eastAsia" w:ascii="宋体" w:hAnsi="宋体" w:eastAsia="宋体" w:cs="宋体"/>
          <w:color w:val="auto"/>
          <w:sz w:val="24"/>
          <w:szCs w:val="28"/>
          <w:highlight w:val="none"/>
        </w:rPr>
        <w:t>、保证中标之后，按照投标文件要求提供相关后续服务；</w:t>
      </w:r>
    </w:p>
    <w:p w14:paraId="425F3FE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十、保证企业及所属相关人员在本次投标中无行贿等犯罪行为；</w:t>
      </w:r>
    </w:p>
    <w:p w14:paraId="6DAD5BF0">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十</w:t>
      </w:r>
      <w:r>
        <w:rPr>
          <w:rFonts w:hint="eastAsia" w:ascii="宋体" w:hAnsi="宋体" w:eastAsia="宋体" w:cs="宋体"/>
          <w:color w:val="auto"/>
          <w:sz w:val="24"/>
          <w:szCs w:val="28"/>
          <w:highlight w:val="none"/>
          <w:lang w:val="en-US" w:eastAsia="zh-CN"/>
        </w:rPr>
        <w:t>一</w:t>
      </w:r>
      <w:r>
        <w:rPr>
          <w:rFonts w:hint="eastAsia" w:ascii="宋体" w:hAnsi="宋体" w:eastAsia="宋体" w:cs="宋体"/>
          <w:color w:val="auto"/>
          <w:sz w:val="24"/>
          <w:szCs w:val="28"/>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458248B">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以上内容我已仔细阅读，本公司若有违反承诺内容的行为，自愿接受取消投标或者中标资格、记入不良行为记录等有关处理，愿意承担法律责任，给招标人造成损失的，依法承担赔偿责任。</w:t>
      </w:r>
    </w:p>
    <w:p w14:paraId="16E8F66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3199D745">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开户银行：                      基本账户：</w:t>
      </w:r>
    </w:p>
    <w:p w14:paraId="1A66F00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投标单位（签章）：              法定代表人（签章）：</w:t>
      </w:r>
    </w:p>
    <w:p w14:paraId="14A811BA">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186D4B78">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           年            月             日</w:t>
      </w:r>
    </w:p>
    <w:p w14:paraId="3459EFB1">
      <w:pPr>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br w:type="page"/>
      </w:r>
    </w:p>
    <w:p w14:paraId="7AD3373E">
      <w:pPr>
        <w:pageBreakBefore/>
        <w:spacing w:line="440" w:lineRule="exact"/>
        <w:jc w:val="center"/>
        <w:outlineLvl w:val="1"/>
        <w:rPr>
          <w:rFonts w:hint="eastAsia" w:ascii="宋体" w:hAnsi="宋体" w:eastAsia="宋体" w:cs="宋体"/>
          <w:b/>
          <w:color w:val="auto"/>
          <w:sz w:val="24"/>
          <w:highlight w:val="none"/>
        </w:rPr>
      </w:pPr>
      <w:bookmarkStart w:id="189" w:name="_Toc15209"/>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）投标响应表</w:t>
      </w:r>
      <w:bookmarkEnd w:id="189"/>
    </w:p>
    <w:p w14:paraId="7856B864">
      <w:pPr>
        <w:spacing w:line="440" w:lineRule="exact"/>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0B95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AE2EFF9">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69C5E0CF">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3BAB5E28">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25AB5238">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4639AA89">
            <w:pPr>
              <w:pStyle w:val="14"/>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629A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D5BE20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699EF26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5E10FFD3">
            <w:pPr>
              <w:spacing w:line="440" w:lineRule="exact"/>
              <w:jc w:val="center"/>
              <w:rPr>
                <w:rFonts w:hint="eastAsia" w:ascii="宋体" w:hAnsi="宋体" w:eastAsia="宋体" w:cs="宋体"/>
                <w:color w:val="auto"/>
                <w:sz w:val="24"/>
                <w:highlight w:val="none"/>
              </w:rPr>
            </w:pPr>
          </w:p>
        </w:tc>
        <w:tc>
          <w:tcPr>
            <w:tcW w:w="1510" w:type="pct"/>
            <w:vAlign w:val="center"/>
          </w:tcPr>
          <w:p w14:paraId="7838B0A0">
            <w:pPr>
              <w:spacing w:line="440" w:lineRule="exact"/>
              <w:jc w:val="center"/>
              <w:rPr>
                <w:rFonts w:hint="eastAsia" w:ascii="宋体" w:hAnsi="宋体" w:eastAsia="宋体" w:cs="宋体"/>
                <w:color w:val="auto"/>
                <w:sz w:val="24"/>
                <w:highlight w:val="none"/>
              </w:rPr>
            </w:pPr>
          </w:p>
        </w:tc>
        <w:tc>
          <w:tcPr>
            <w:tcW w:w="475" w:type="pct"/>
            <w:vAlign w:val="center"/>
          </w:tcPr>
          <w:p w14:paraId="32C399CA">
            <w:pPr>
              <w:spacing w:line="440" w:lineRule="exact"/>
              <w:jc w:val="center"/>
              <w:rPr>
                <w:rFonts w:hint="eastAsia" w:ascii="宋体" w:hAnsi="宋体" w:eastAsia="宋体" w:cs="宋体"/>
                <w:color w:val="auto"/>
                <w:sz w:val="24"/>
                <w:highlight w:val="none"/>
              </w:rPr>
            </w:pPr>
          </w:p>
        </w:tc>
      </w:tr>
      <w:tr w14:paraId="1662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DD4AC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697A4B7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5D789A16">
            <w:pPr>
              <w:spacing w:line="440" w:lineRule="exact"/>
              <w:jc w:val="center"/>
              <w:rPr>
                <w:rFonts w:hint="eastAsia" w:ascii="宋体" w:hAnsi="宋体" w:eastAsia="宋体" w:cs="宋体"/>
                <w:color w:val="auto"/>
                <w:sz w:val="24"/>
                <w:highlight w:val="none"/>
              </w:rPr>
            </w:pPr>
          </w:p>
        </w:tc>
        <w:tc>
          <w:tcPr>
            <w:tcW w:w="1510" w:type="pct"/>
            <w:vAlign w:val="center"/>
          </w:tcPr>
          <w:p w14:paraId="180335DD">
            <w:pPr>
              <w:spacing w:line="440" w:lineRule="exact"/>
              <w:jc w:val="center"/>
              <w:rPr>
                <w:rFonts w:hint="eastAsia" w:ascii="宋体" w:hAnsi="宋体" w:eastAsia="宋体" w:cs="宋体"/>
                <w:color w:val="auto"/>
                <w:sz w:val="24"/>
                <w:highlight w:val="none"/>
              </w:rPr>
            </w:pPr>
          </w:p>
        </w:tc>
        <w:tc>
          <w:tcPr>
            <w:tcW w:w="475" w:type="pct"/>
            <w:vAlign w:val="center"/>
          </w:tcPr>
          <w:p w14:paraId="119B8CC9">
            <w:pPr>
              <w:spacing w:line="440" w:lineRule="exact"/>
              <w:jc w:val="center"/>
              <w:rPr>
                <w:rFonts w:hint="eastAsia" w:ascii="宋体" w:hAnsi="宋体" w:eastAsia="宋体" w:cs="宋体"/>
                <w:color w:val="auto"/>
                <w:sz w:val="24"/>
                <w:highlight w:val="none"/>
              </w:rPr>
            </w:pPr>
          </w:p>
        </w:tc>
      </w:tr>
      <w:tr w14:paraId="6F65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43B778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458AC700">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108AD8F8">
            <w:pPr>
              <w:spacing w:line="440" w:lineRule="exact"/>
              <w:jc w:val="center"/>
              <w:rPr>
                <w:rFonts w:hint="eastAsia" w:ascii="宋体" w:hAnsi="宋体" w:eastAsia="宋体" w:cs="宋体"/>
                <w:color w:val="auto"/>
                <w:sz w:val="24"/>
                <w:highlight w:val="none"/>
              </w:rPr>
            </w:pPr>
          </w:p>
        </w:tc>
        <w:tc>
          <w:tcPr>
            <w:tcW w:w="1510" w:type="pct"/>
            <w:vAlign w:val="center"/>
          </w:tcPr>
          <w:p w14:paraId="2EDCF43D">
            <w:pPr>
              <w:pStyle w:val="54"/>
              <w:spacing w:line="440" w:lineRule="exact"/>
              <w:jc w:val="center"/>
              <w:rPr>
                <w:rFonts w:hint="eastAsia" w:ascii="宋体" w:hAnsi="宋体" w:eastAsia="宋体" w:cs="宋体"/>
                <w:color w:val="auto"/>
                <w:highlight w:val="none"/>
              </w:rPr>
            </w:pPr>
          </w:p>
        </w:tc>
        <w:tc>
          <w:tcPr>
            <w:tcW w:w="475" w:type="pct"/>
            <w:vAlign w:val="center"/>
          </w:tcPr>
          <w:p w14:paraId="38856533">
            <w:pPr>
              <w:spacing w:line="440" w:lineRule="exact"/>
              <w:jc w:val="center"/>
              <w:rPr>
                <w:rFonts w:hint="eastAsia" w:ascii="宋体" w:hAnsi="宋体" w:eastAsia="宋体" w:cs="宋体"/>
                <w:color w:val="auto"/>
                <w:sz w:val="24"/>
                <w:highlight w:val="none"/>
              </w:rPr>
            </w:pPr>
          </w:p>
        </w:tc>
      </w:tr>
      <w:tr w14:paraId="651E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A6DFF6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24" w:type="pct"/>
            <w:vAlign w:val="center"/>
          </w:tcPr>
          <w:p w14:paraId="250EBB7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“采购需求”所列的所有内容</w:t>
            </w:r>
          </w:p>
        </w:tc>
        <w:tc>
          <w:tcPr>
            <w:tcW w:w="1465" w:type="pct"/>
            <w:vAlign w:val="center"/>
          </w:tcPr>
          <w:p w14:paraId="03572979">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采购需求中所列所有内容</w:t>
            </w:r>
          </w:p>
        </w:tc>
        <w:tc>
          <w:tcPr>
            <w:tcW w:w="1510" w:type="pct"/>
            <w:vAlign w:val="center"/>
          </w:tcPr>
          <w:p w14:paraId="1E15FE33">
            <w:pPr>
              <w:pStyle w:val="54"/>
              <w:spacing w:line="440" w:lineRule="exact"/>
              <w:jc w:val="center"/>
              <w:rPr>
                <w:rFonts w:hint="eastAsia" w:ascii="宋体" w:hAnsi="宋体" w:eastAsia="宋体" w:cs="宋体"/>
                <w:color w:val="auto"/>
                <w:highlight w:val="none"/>
              </w:rPr>
            </w:pPr>
          </w:p>
        </w:tc>
        <w:tc>
          <w:tcPr>
            <w:tcW w:w="475" w:type="pct"/>
            <w:vAlign w:val="center"/>
          </w:tcPr>
          <w:p w14:paraId="59AACA39">
            <w:pPr>
              <w:spacing w:line="440" w:lineRule="exact"/>
              <w:jc w:val="center"/>
              <w:rPr>
                <w:rFonts w:hint="eastAsia" w:ascii="宋体" w:hAnsi="宋体" w:eastAsia="宋体" w:cs="宋体"/>
                <w:color w:val="auto"/>
                <w:sz w:val="24"/>
                <w:highlight w:val="none"/>
              </w:rPr>
            </w:pPr>
          </w:p>
        </w:tc>
      </w:tr>
      <w:tr w14:paraId="7C4D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8F25B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3130B70B">
            <w:pPr>
              <w:spacing w:line="440" w:lineRule="exact"/>
              <w:jc w:val="center"/>
              <w:rPr>
                <w:rFonts w:hint="eastAsia" w:ascii="宋体" w:hAnsi="宋体" w:eastAsia="宋体" w:cs="宋体"/>
                <w:color w:val="auto"/>
                <w:sz w:val="24"/>
                <w:highlight w:val="none"/>
              </w:rPr>
            </w:pPr>
          </w:p>
        </w:tc>
        <w:tc>
          <w:tcPr>
            <w:tcW w:w="1465" w:type="pct"/>
            <w:vAlign w:val="center"/>
          </w:tcPr>
          <w:p w14:paraId="65673070">
            <w:pPr>
              <w:spacing w:line="440" w:lineRule="exact"/>
              <w:jc w:val="center"/>
              <w:rPr>
                <w:rFonts w:hint="eastAsia" w:ascii="宋体" w:hAnsi="宋体" w:eastAsia="宋体" w:cs="宋体"/>
                <w:color w:val="auto"/>
                <w:sz w:val="24"/>
                <w:highlight w:val="none"/>
              </w:rPr>
            </w:pPr>
          </w:p>
        </w:tc>
        <w:tc>
          <w:tcPr>
            <w:tcW w:w="1510" w:type="pct"/>
            <w:vAlign w:val="center"/>
          </w:tcPr>
          <w:p w14:paraId="53A9E807">
            <w:pPr>
              <w:spacing w:line="440" w:lineRule="exact"/>
              <w:jc w:val="center"/>
              <w:rPr>
                <w:rFonts w:hint="eastAsia" w:ascii="宋体" w:hAnsi="宋体" w:eastAsia="宋体" w:cs="宋体"/>
                <w:color w:val="auto"/>
                <w:sz w:val="24"/>
                <w:highlight w:val="none"/>
              </w:rPr>
            </w:pPr>
          </w:p>
        </w:tc>
        <w:tc>
          <w:tcPr>
            <w:tcW w:w="475" w:type="pct"/>
            <w:vAlign w:val="center"/>
          </w:tcPr>
          <w:p w14:paraId="12DDD746">
            <w:pPr>
              <w:spacing w:line="440" w:lineRule="exact"/>
              <w:jc w:val="center"/>
              <w:rPr>
                <w:rFonts w:hint="eastAsia" w:ascii="宋体" w:hAnsi="宋体" w:eastAsia="宋体" w:cs="宋体"/>
                <w:color w:val="auto"/>
                <w:sz w:val="24"/>
                <w:highlight w:val="none"/>
              </w:rPr>
            </w:pPr>
          </w:p>
        </w:tc>
      </w:tr>
    </w:tbl>
    <w:p w14:paraId="178770D9">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5C961C5D">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74D531DC">
      <w:pPr>
        <w:pStyle w:val="15"/>
        <w:spacing w:line="440" w:lineRule="exact"/>
        <w:jc w:val="center"/>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br w:type="page"/>
      </w:r>
      <w:bookmarkStart w:id="190" w:name="_Toc26536"/>
      <w:bookmarkStart w:id="191" w:name="_Toc23860"/>
      <w:bookmarkStart w:id="192" w:name="_Hlk11701496"/>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）诚信履约承诺函</w:t>
      </w:r>
      <w:bookmarkEnd w:id="190"/>
      <w:bookmarkEnd w:id="191"/>
    </w:p>
    <w:p w14:paraId="637B2BC3">
      <w:pPr>
        <w:spacing w:line="440" w:lineRule="exact"/>
        <w:rPr>
          <w:rFonts w:hint="eastAsia" w:ascii="宋体" w:hAnsi="宋体" w:eastAsia="宋体" w:cs="宋体"/>
          <w:b/>
          <w:bCs/>
          <w:color w:val="auto"/>
          <w:sz w:val="24"/>
          <w:highlight w:val="none"/>
        </w:rPr>
      </w:pPr>
    </w:p>
    <w:p w14:paraId="67A4FAB9">
      <w:pPr>
        <w:spacing w:line="44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致：采购人</w:t>
      </w:r>
    </w:p>
    <w:p w14:paraId="63E2392A">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w:t>
      </w:r>
      <w:r>
        <w:rPr>
          <w:rFonts w:hint="eastAsia" w:ascii="宋体" w:hAnsi="宋体" w:eastAsia="宋体" w:cs="宋体"/>
          <w:bCs/>
          <w:color w:val="auto"/>
          <w:sz w:val="24"/>
          <w:highlight w:val="none"/>
          <w:lang w:val="en-US" w:eastAsia="zh-CN"/>
        </w:rPr>
        <w:t>相关法律法规</w:t>
      </w:r>
      <w:r>
        <w:rPr>
          <w:rFonts w:hint="eastAsia" w:ascii="宋体" w:hAnsi="宋体" w:eastAsia="宋体" w:cs="宋体"/>
          <w:bCs/>
          <w:color w:val="auto"/>
          <w:sz w:val="24"/>
          <w:highlight w:val="none"/>
        </w:rPr>
        <w:t>及本项目采购文件中关于合同签订及履约的相关规定，不出现以下情形：</w:t>
      </w:r>
    </w:p>
    <w:p w14:paraId="74FB491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（1）中标或者成交后无正当理由拒不与采购人签订采购合同；</w:t>
      </w:r>
    </w:p>
    <w:p w14:paraId="636BF7CF">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（2）未按照采购文件确定的事项签订采购合同；</w:t>
      </w:r>
    </w:p>
    <w:p w14:paraId="09BEDCF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（3）将采购合同转包；</w:t>
      </w:r>
    </w:p>
    <w:p w14:paraId="1E5B4F4F">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0F5B8763">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（5）擅自变更、中止或者终止采购合同。</w:t>
      </w:r>
    </w:p>
    <w:p w14:paraId="45CFAE7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4FB9EB">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对本招标文件的相关要求完全响应，配备人员数量和要求不低于采购需求的要求。若有幸中标将严格按照以上承诺进行供货和服务。</w:t>
      </w:r>
    </w:p>
    <w:p w14:paraId="17EDDE1A">
      <w:pPr>
        <w:spacing w:line="440" w:lineRule="exact"/>
        <w:rPr>
          <w:rFonts w:hint="eastAsia" w:ascii="宋体" w:hAnsi="宋体" w:eastAsia="宋体" w:cs="宋体"/>
          <w:bCs/>
          <w:color w:val="auto"/>
          <w:sz w:val="24"/>
          <w:highlight w:val="none"/>
        </w:rPr>
      </w:pPr>
    </w:p>
    <w:p w14:paraId="4F6F3A1C">
      <w:pPr>
        <w:spacing w:line="440" w:lineRule="exact"/>
        <w:rPr>
          <w:rFonts w:hint="eastAsia" w:ascii="宋体" w:hAnsi="宋体" w:eastAsia="宋体" w:cs="宋体"/>
          <w:bCs/>
          <w:color w:val="auto"/>
          <w:sz w:val="24"/>
          <w:highlight w:val="none"/>
        </w:rPr>
      </w:pPr>
    </w:p>
    <w:p w14:paraId="0EF930A9">
      <w:pPr>
        <w:spacing w:line="440" w:lineRule="exact"/>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lang w:val="en-US" w:eastAsia="zh-CN"/>
        </w:rPr>
        <w:t>盖</w:t>
      </w:r>
      <w:r>
        <w:rPr>
          <w:rFonts w:hint="eastAsia" w:ascii="宋体" w:hAnsi="宋体" w:eastAsia="宋体" w:cs="宋体"/>
          <w:bCs/>
          <w:color w:val="auto"/>
          <w:sz w:val="24"/>
          <w:highlight w:val="none"/>
        </w:rPr>
        <w:t>章：</w:t>
      </w:r>
      <w:r>
        <w:rPr>
          <w:rFonts w:hint="eastAsia" w:ascii="宋体" w:hAnsi="宋体" w:eastAsia="宋体" w:cs="宋体"/>
          <w:bCs/>
          <w:color w:val="auto"/>
          <w:sz w:val="24"/>
          <w:highlight w:val="none"/>
          <w:u w:val="single"/>
        </w:rPr>
        <w:t xml:space="preserve">             </w:t>
      </w:r>
    </w:p>
    <w:p w14:paraId="566EFDAC">
      <w:pPr>
        <w:spacing w:line="440" w:lineRule="exact"/>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56AB0C8D">
      <w:pPr>
        <w:widowControl/>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92"/>
    <w:p w14:paraId="00F5DD0C">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）开标一览表</w:t>
      </w:r>
      <w:bookmarkEnd w:id="185"/>
      <w:bookmarkEnd w:id="186"/>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5312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18D63248">
            <w:pPr>
              <w:widowControl/>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6E53A840">
            <w:pPr>
              <w:spacing w:line="440" w:lineRule="exact"/>
              <w:jc w:val="center"/>
              <w:rPr>
                <w:rFonts w:hint="eastAsia" w:ascii="宋体" w:hAnsi="宋体" w:eastAsia="宋体" w:cs="宋体"/>
                <w:bCs/>
                <w:color w:val="auto"/>
                <w:sz w:val="24"/>
                <w:highlight w:val="none"/>
                <w:u w:val="single"/>
              </w:rPr>
            </w:pPr>
          </w:p>
        </w:tc>
      </w:tr>
      <w:tr w14:paraId="07E1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1F5061E">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1E6CD159">
            <w:pPr>
              <w:spacing w:line="440" w:lineRule="exact"/>
              <w:rPr>
                <w:rFonts w:hint="eastAsia" w:ascii="宋体" w:hAnsi="宋体" w:eastAsia="宋体" w:cs="宋体"/>
                <w:color w:val="auto"/>
                <w:sz w:val="24"/>
                <w:highlight w:val="none"/>
              </w:rPr>
            </w:pPr>
          </w:p>
        </w:tc>
      </w:tr>
      <w:tr w14:paraId="230B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C29D0A6">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34DBF3AE">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56A6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C0A543C">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297B9438">
            <w:pPr>
              <w:snapToGrid w:val="0"/>
              <w:spacing w:line="440" w:lineRule="exact"/>
              <w:jc w:val="left"/>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p w14:paraId="6575CF95">
            <w:pPr>
              <w:snapToGrid w:val="0"/>
              <w:spacing w:line="440" w:lineRule="exact"/>
              <w:jc w:val="left"/>
              <w:rPr>
                <w:rFonts w:hint="eastAsia" w:ascii="宋体" w:hAnsi="宋体" w:eastAsia="宋体" w:cs="宋体"/>
                <w:color w:val="auto"/>
                <w:sz w:val="24"/>
                <w:highlight w:val="none"/>
                <w:lang w:val="en-US"/>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元</w:t>
            </w:r>
          </w:p>
        </w:tc>
      </w:tr>
      <w:tr w14:paraId="2BC1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6FFC159">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341E0832">
            <w:pPr>
              <w:spacing w:line="440" w:lineRule="exact"/>
              <w:jc w:val="left"/>
              <w:rPr>
                <w:rFonts w:hint="eastAsia" w:ascii="宋体" w:hAnsi="宋体" w:eastAsia="宋体" w:cs="宋体"/>
                <w:color w:val="auto"/>
                <w:sz w:val="24"/>
                <w:szCs w:val="28"/>
                <w:highlight w:val="none"/>
              </w:rPr>
            </w:pPr>
          </w:p>
        </w:tc>
      </w:tr>
    </w:tbl>
    <w:p w14:paraId="0ED29B80">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026E41D0">
      <w:pPr>
        <w:tabs>
          <w:tab w:val="left" w:pos="630"/>
        </w:tabs>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52F625AE">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3761243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3CE72F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20140C6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39856653">
      <w:pPr>
        <w:spacing w:line="440" w:lineRule="exact"/>
        <w:jc w:val="center"/>
        <w:outlineLvl w:val="1"/>
        <w:rPr>
          <w:rFonts w:hint="eastAsia" w:ascii="宋体" w:hAnsi="宋体" w:eastAsia="宋体" w:cs="宋体"/>
          <w:b/>
          <w:color w:val="auto"/>
          <w:sz w:val="24"/>
          <w:highlight w:val="none"/>
        </w:rPr>
      </w:pPr>
      <w:bookmarkStart w:id="193" w:name="_Toc6120"/>
      <w:bookmarkStart w:id="194" w:name="_Toc6441"/>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）投标函</w:t>
      </w:r>
      <w:bookmarkEnd w:id="193"/>
      <w:bookmarkEnd w:id="194"/>
    </w:p>
    <w:p w14:paraId="0B08112F">
      <w:pPr>
        <w:pStyle w:val="15"/>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31F647A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02013BD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6F9272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6D9A4E8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34985F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1C2A6B5">
      <w:pPr>
        <w:spacing w:line="440" w:lineRule="exact"/>
        <w:ind w:firstLine="4800" w:firstLineChars="2000"/>
        <w:rPr>
          <w:rFonts w:hint="eastAsia" w:ascii="宋体" w:hAnsi="宋体" w:eastAsia="宋体" w:cs="宋体"/>
          <w:color w:val="auto"/>
          <w:sz w:val="24"/>
          <w:highlight w:val="none"/>
        </w:rPr>
      </w:pPr>
    </w:p>
    <w:p w14:paraId="54790541">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盖</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u w:val="single"/>
        </w:rPr>
        <w:t xml:space="preserve">             </w:t>
      </w:r>
    </w:p>
    <w:p w14:paraId="0C64CB9A">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38583F1">
      <w:pPr>
        <w:widowControl/>
        <w:spacing w:line="440" w:lineRule="exact"/>
        <w:jc w:val="left"/>
        <w:rPr>
          <w:rFonts w:hint="eastAsia" w:ascii="宋体" w:hAnsi="宋体" w:eastAsia="宋体" w:cs="宋体"/>
          <w:b/>
          <w:color w:val="auto"/>
          <w:sz w:val="72"/>
          <w:highlight w:val="none"/>
        </w:rPr>
      </w:pPr>
      <w:r>
        <w:rPr>
          <w:rFonts w:hint="eastAsia" w:ascii="宋体" w:hAnsi="宋体" w:eastAsia="宋体" w:cs="宋体"/>
          <w:color w:val="auto"/>
          <w:sz w:val="24"/>
          <w:highlight w:val="none"/>
          <w:u w:val="single"/>
        </w:rPr>
        <w:br w:type="page"/>
      </w:r>
      <w:bookmarkStart w:id="195" w:name="_Toc6435"/>
      <w:bookmarkStart w:id="196" w:name="_Toc20819"/>
    </w:p>
    <w:p w14:paraId="4DC11667">
      <w:pPr>
        <w:spacing w:line="440" w:lineRule="exact"/>
        <w:jc w:val="center"/>
        <w:outlineLvl w:val="0"/>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第七章</w:t>
      </w:r>
      <w:r>
        <w:rPr>
          <w:rFonts w:hint="eastAsia" w:ascii="宋体" w:hAnsi="宋体" w:eastAsia="宋体" w:cs="宋体"/>
          <w:b/>
          <w:bCs/>
          <w:color w:val="auto"/>
          <w:sz w:val="28"/>
          <w:highlight w:val="none"/>
        </w:rPr>
        <w:t xml:space="preserve">  </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195"/>
      <w:bookmarkEnd w:id="196"/>
    </w:p>
    <w:p w14:paraId="590727BF">
      <w:pPr>
        <w:spacing w:line="440" w:lineRule="exact"/>
        <w:jc w:val="center"/>
        <w:outlineLvl w:val="1"/>
        <w:rPr>
          <w:rFonts w:hint="eastAsia" w:ascii="宋体" w:hAnsi="宋体" w:eastAsia="宋体" w:cs="宋体"/>
          <w:b/>
          <w:bCs/>
          <w:color w:val="auto"/>
          <w:sz w:val="32"/>
          <w:szCs w:val="44"/>
          <w:highlight w:val="none"/>
        </w:rPr>
      </w:pPr>
      <w:bookmarkStart w:id="197" w:name="_Toc6955"/>
      <w:bookmarkStart w:id="198" w:name="_Toc27159"/>
      <w:r>
        <w:rPr>
          <w:rFonts w:hint="eastAsia" w:ascii="宋体" w:hAnsi="宋体" w:eastAsia="宋体" w:cs="宋体"/>
          <w:b/>
          <w:bCs/>
          <w:color w:val="auto"/>
          <w:sz w:val="32"/>
          <w:szCs w:val="44"/>
          <w:highlight w:val="none"/>
        </w:rPr>
        <w:t>询问函范本</w:t>
      </w:r>
      <w:bookmarkEnd w:id="197"/>
      <w:bookmarkEnd w:id="198"/>
    </w:p>
    <w:p w14:paraId="6B620C2A">
      <w:pPr>
        <w:adjustRightInd w:val="0"/>
        <w:snapToGrid w:val="0"/>
        <w:spacing w:line="440" w:lineRule="exact"/>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（如为对采购文件或采购程序的询问或疑问，请按询问函范本进行提交）</w:t>
      </w:r>
    </w:p>
    <w:p w14:paraId="592C46BB">
      <w:pPr>
        <w:adjustRightInd w:val="0"/>
        <w:snapToGrid w:val="0"/>
        <w:spacing w:line="440" w:lineRule="exac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致：采购人</w:t>
      </w:r>
    </w:p>
    <w:p w14:paraId="00D17E66">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i/>
          <w:iCs/>
          <w:color w:val="auto"/>
          <w:sz w:val="24"/>
          <w:szCs w:val="24"/>
          <w:highlight w:val="none"/>
        </w:rPr>
        <w:t>项目名称、编号</w:t>
      </w:r>
      <w:r>
        <w:rPr>
          <w:rFonts w:hint="eastAsia" w:ascii="宋体" w:hAnsi="宋体" w:eastAsia="宋体" w:cs="宋体"/>
          <w:color w:val="auto"/>
          <w:sz w:val="24"/>
          <w:szCs w:val="24"/>
          <w:highlight w:val="none"/>
        </w:rPr>
        <w:t>）的采购活动，现有以下内容(或条款)存在疑问(或无法理解)，特提出询问。</w:t>
      </w:r>
    </w:p>
    <w:p w14:paraId="3C01B378">
      <w:pPr>
        <w:adjustRightInd w:val="0"/>
        <w:snapToGrid w:val="0"/>
        <w:spacing w:line="440" w:lineRule="exact"/>
        <w:ind w:firstLine="480" w:firstLineChars="200"/>
        <w:rPr>
          <w:rFonts w:hint="eastAsia" w:ascii="宋体" w:hAnsi="宋体" w:eastAsia="宋体" w:cs="宋体"/>
          <w:color w:val="auto"/>
          <w:sz w:val="24"/>
          <w:szCs w:val="24"/>
          <w:highlight w:val="none"/>
        </w:rPr>
      </w:pPr>
      <w:bookmarkStart w:id="199" w:name="_Toc13899"/>
      <w:r>
        <w:rPr>
          <w:rFonts w:hint="eastAsia" w:ascii="宋体" w:hAnsi="宋体" w:eastAsia="宋体" w:cs="宋体"/>
          <w:color w:val="auto"/>
          <w:sz w:val="24"/>
          <w:szCs w:val="24"/>
          <w:highlight w:val="none"/>
        </w:rPr>
        <w:t>一、(事项一)</w:t>
      </w:r>
      <w:bookmarkEnd w:id="199"/>
    </w:p>
    <w:p w14:paraId="27872401">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3A56910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177F835E">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5BFFE8AC">
      <w:pPr>
        <w:adjustRightInd w:val="0"/>
        <w:snapToGrid w:val="0"/>
        <w:spacing w:line="440" w:lineRule="exact"/>
        <w:ind w:firstLine="480" w:firstLineChars="200"/>
        <w:rPr>
          <w:rFonts w:hint="eastAsia" w:ascii="宋体" w:hAnsi="宋体" w:eastAsia="宋体" w:cs="宋体"/>
          <w:color w:val="auto"/>
          <w:sz w:val="24"/>
          <w:szCs w:val="24"/>
          <w:highlight w:val="none"/>
        </w:rPr>
      </w:pPr>
      <w:bookmarkStart w:id="200" w:name="_Toc3352"/>
      <w:r>
        <w:rPr>
          <w:rFonts w:hint="eastAsia" w:ascii="宋体" w:hAnsi="宋体" w:eastAsia="宋体" w:cs="宋体"/>
          <w:color w:val="auto"/>
          <w:sz w:val="24"/>
          <w:szCs w:val="24"/>
          <w:highlight w:val="none"/>
        </w:rPr>
        <w:t>二、(事项二)</w:t>
      </w:r>
      <w:bookmarkEnd w:id="200"/>
    </w:p>
    <w:p w14:paraId="3007AF0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35B132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0ECA657D">
      <w:pPr>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6B208C99">
      <w:pPr>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13745740">
      <w:pPr>
        <w:tabs>
          <w:tab w:val="left" w:pos="630"/>
        </w:tabs>
        <w:spacing w:line="440" w:lineRule="exact"/>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03C8CEA">
      <w:pPr>
        <w:spacing w:line="440" w:lineRule="exact"/>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5B2D6938">
      <w:pPr>
        <w:spacing w:line="440" w:lineRule="exact"/>
        <w:jc w:val="center"/>
        <w:outlineLvl w:val="1"/>
        <w:rPr>
          <w:rFonts w:hint="eastAsia" w:ascii="宋体" w:hAnsi="宋体" w:eastAsia="宋体" w:cs="宋体"/>
          <w:b/>
          <w:bCs/>
          <w:color w:val="auto"/>
          <w:sz w:val="32"/>
          <w:szCs w:val="44"/>
          <w:highlight w:val="none"/>
        </w:rPr>
      </w:pPr>
      <w:bookmarkStart w:id="201" w:name="_Toc857"/>
      <w:bookmarkStart w:id="202" w:name="_Toc1575"/>
      <w:r>
        <w:rPr>
          <w:rFonts w:hint="eastAsia" w:ascii="宋体" w:hAnsi="宋体" w:eastAsia="宋体" w:cs="宋体"/>
          <w:b/>
          <w:bCs/>
          <w:color w:val="auto"/>
          <w:sz w:val="32"/>
          <w:szCs w:val="44"/>
          <w:highlight w:val="none"/>
        </w:rPr>
        <w:t>质疑函范本</w:t>
      </w:r>
      <w:bookmarkEnd w:id="201"/>
      <w:bookmarkEnd w:id="202"/>
    </w:p>
    <w:p w14:paraId="0AFFE0BA">
      <w:pPr>
        <w:adjustRightInd w:val="0"/>
        <w:snapToGrid w:val="0"/>
        <w:spacing w:beforeLines="100" w:line="440" w:lineRule="exact"/>
        <w:rPr>
          <w:rFonts w:hint="eastAsia" w:ascii="宋体" w:hAnsi="宋体" w:eastAsia="宋体" w:cs="宋体"/>
          <w:b/>
          <w:bCs/>
          <w:color w:val="auto"/>
          <w:sz w:val="24"/>
          <w:szCs w:val="24"/>
          <w:highlight w:val="none"/>
        </w:rPr>
      </w:pPr>
      <w:bookmarkStart w:id="203" w:name="_Toc21381"/>
      <w:r>
        <w:rPr>
          <w:rFonts w:hint="eastAsia" w:ascii="宋体" w:hAnsi="宋体" w:eastAsia="宋体" w:cs="宋体"/>
          <w:b/>
          <w:bCs/>
          <w:color w:val="auto"/>
          <w:sz w:val="24"/>
          <w:szCs w:val="24"/>
          <w:highlight w:val="none"/>
        </w:rPr>
        <w:t>一、质疑供应商基本信息</w:t>
      </w:r>
      <w:bookmarkEnd w:id="203"/>
    </w:p>
    <w:p w14:paraId="4DEB5AC3">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D7F8BF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6712E53">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5721210">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6FA540B2">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BA2F9C2">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5B164BD">
      <w:pPr>
        <w:adjustRightInd w:val="0"/>
        <w:snapToGrid w:val="0"/>
        <w:spacing w:line="440" w:lineRule="exact"/>
        <w:rPr>
          <w:rFonts w:hint="eastAsia" w:ascii="宋体" w:hAnsi="宋体" w:eastAsia="宋体" w:cs="宋体"/>
          <w:b/>
          <w:bCs/>
          <w:color w:val="auto"/>
          <w:sz w:val="24"/>
          <w:szCs w:val="24"/>
          <w:highlight w:val="none"/>
        </w:rPr>
      </w:pPr>
      <w:bookmarkStart w:id="204" w:name="_Toc28415"/>
      <w:r>
        <w:rPr>
          <w:rFonts w:hint="eastAsia" w:ascii="宋体" w:hAnsi="宋体" w:eastAsia="宋体" w:cs="宋体"/>
          <w:b/>
          <w:bCs/>
          <w:color w:val="auto"/>
          <w:sz w:val="24"/>
          <w:szCs w:val="24"/>
          <w:highlight w:val="none"/>
        </w:rPr>
        <w:t>二、质疑项目基本情况</w:t>
      </w:r>
      <w:bookmarkEnd w:id="204"/>
    </w:p>
    <w:p w14:paraId="672A9F2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59D59E03">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34106682">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37448A6">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65031AD5">
      <w:pPr>
        <w:adjustRightInd w:val="0"/>
        <w:snapToGrid w:val="0"/>
        <w:spacing w:line="440" w:lineRule="exact"/>
        <w:rPr>
          <w:rFonts w:hint="eastAsia" w:ascii="宋体" w:hAnsi="宋体" w:eastAsia="宋体" w:cs="宋体"/>
          <w:b/>
          <w:bCs/>
          <w:color w:val="auto"/>
          <w:sz w:val="24"/>
          <w:szCs w:val="24"/>
          <w:highlight w:val="none"/>
        </w:rPr>
      </w:pPr>
      <w:bookmarkStart w:id="205" w:name="_Toc19014"/>
      <w:r>
        <w:rPr>
          <w:rFonts w:hint="eastAsia" w:ascii="宋体" w:hAnsi="宋体" w:eastAsia="宋体" w:cs="宋体"/>
          <w:b/>
          <w:bCs/>
          <w:color w:val="auto"/>
          <w:sz w:val="24"/>
          <w:szCs w:val="24"/>
          <w:highlight w:val="none"/>
        </w:rPr>
        <w:t>三、质疑事项具体内容</w:t>
      </w:r>
      <w:bookmarkEnd w:id="205"/>
    </w:p>
    <w:p w14:paraId="65D7F7B1">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DA8505E">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4C9A0A0">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CA2F4AF">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4A5D6FE5">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525BD5D">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981B40B">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563C841">
      <w:pPr>
        <w:adjustRightInd w:val="0"/>
        <w:snapToGrid w:val="0"/>
        <w:spacing w:line="440" w:lineRule="exact"/>
        <w:rPr>
          <w:rFonts w:hint="eastAsia" w:ascii="宋体" w:hAnsi="宋体" w:eastAsia="宋体" w:cs="宋体"/>
          <w:b/>
          <w:bCs/>
          <w:color w:val="auto"/>
          <w:sz w:val="24"/>
          <w:szCs w:val="24"/>
          <w:highlight w:val="none"/>
        </w:rPr>
      </w:pPr>
      <w:bookmarkStart w:id="206" w:name="_Toc17919"/>
      <w:r>
        <w:rPr>
          <w:rFonts w:hint="eastAsia" w:ascii="宋体" w:hAnsi="宋体" w:eastAsia="宋体" w:cs="宋体"/>
          <w:b/>
          <w:bCs/>
          <w:color w:val="auto"/>
          <w:sz w:val="24"/>
          <w:szCs w:val="24"/>
          <w:highlight w:val="none"/>
        </w:rPr>
        <w:t>四、与质疑事项相关的质疑请求</w:t>
      </w:r>
      <w:bookmarkEnd w:id="206"/>
    </w:p>
    <w:p w14:paraId="7C2F0F9E">
      <w:pPr>
        <w:adjustRightInd w:val="0"/>
        <w:snapToGrid w:val="0"/>
        <w:spacing w:line="44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51CBA2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4A55579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6F4E1EE2">
      <w:pPr>
        <w:widowControl/>
        <w:spacing w:line="44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97A2972">
      <w:pPr>
        <w:spacing w:line="440" w:lineRule="exact"/>
        <w:outlineLvl w:val="0"/>
        <w:rPr>
          <w:rFonts w:hint="eastAsia" w:ascii="宋体" w:hAnsi="宋体" w:eastAsia="宋体" w:cs="宋体"/>
          <w:b/>
          <w:color w:val="auto"/>
          <w:sz w:val="28"/>
          <w:szCs w:val="32"/>
          <w:highlight w:val="none"/>
        </w:rPr>
      </w:pPr>
      <w:bookmarkStart w:id="207" w:name="_Toc9754"/>
      <w:bookmarkStart w:id="208" w:name="_Toc22239"/>
      <w:r>
        <w:rPr>
          <w:rFonts w:hint="eastAsia" w:ascii="宋体" w:hAnsi="宋体" w:eastAsia="宋体" w:cs="宋体"/>
          <w:b/>
          <w:color w:val="auto"/>
          <w:sz w:val="28"/>
          <w:szCs w:val="32"/>
          <w:highlight w:val="none"/>
        </w:rPr>
        <w:t>质疑函制作说明：</w:t>
      </w:r>
      <w:bookmarkEnd w:id="207"/>
      <w:bookmarkEnd w:id="208"/>
    </w:p>
    <w:p w14:paraId="555CD4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3F5A53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5E51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178551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B9C0D7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3F993D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1C15C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1D820E5">
      <w:pPr>
        <w:outlineLvl w:val="0"/>
        <w:rPr>
          <w:rFonts w:hint="eastAsia" w:ascii="宋体" w:hAnsi="宋体" w:eastAsia="宋体" w:cs="宋体"/>
          <w:color w:val="auto"/>
          <w:sz w:val="28"/>
          <w:szCs w:val="28"/>
          <w:highlight w:val="none"/>
        </w:rPr>
      </w:pPr>
      <w:bookmarkStart w:id="209" w:name="_Toc11016"/>
      <w:r>
        <w:rPr>
          <w:rFonts w:hint="eastAsia" w:ascii="宋体" w:hAnsi="宋体" w:eastAsia="宋体" w:cs="宋体"/>
          <w:b/>
          <w:color w:val="auto"/>
          <w:sz w:val="28"/>
          <w:szCs w:val="28"/>
          <w:highlight w:val="none"/>
          <w:lang w:bidi="ar"/>
        </w:rPr>
        <w:t>附件1</w:t>
      </w:r>
      <w:bookmarkEnd w:id="209"/>
    </w:p>
    <w:p w14:paraId="0573D2A4">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1E5B9742">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74E5FA2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49C87D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19B593A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D8E60A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2ABDED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6736877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31AA93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2E6CE4A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4127998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2FDD57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6D2FA5D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0E1750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2284B6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3104CBC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2EFF30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69705E4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0F1052C">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A3DE0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7AD1C97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566249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1C26173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B826A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01FD688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3FB16D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210" w:name="OLE_LINK102"/>
      <w:bookmarkStart w:id="211" w:name="OLE_LINK100"/>
      <w:bookmarkStart w:id="212" w:name="OLE_LINK101"/>
      <w:r>
        <w:rPr>
          <w:rFonts w:hint="eastAsia" w:ascii="宋体" w:hAnsi="宋体" w:eastAsia="宋体" w:cs="宋体"/>
          <w:bCs/>
          <w:color w:val="auto"/>
          <w:kern w:val="0"/>
          <w:sz w:val="24"/>
          <w:szCs w:val="24"/>
          <w:highlight w:val="none"/>
          <w:lang w:bidi="ar"/>
        </w:rPr>
        <w:t>被列入“经营异常名录”或者“严重违法失信名单”的</w:t>
      </w:r>
      <w:bookmarkEnd w:id="210"/>
      <w:bookmarkEnd w:id="211"/>
      <w:bookmarkEnd w:id="212"/>
      <w:r>
        <w:rPr>
          <w:rFonts w:hint="eastAsia" w:ascii="宋体" w:hAnsi="宋体" w:eastAsia="宋体" w:cs="宋体"/>
          <w:bCs/>
          <w:color w:val="auto"/>
          <w:kern w:val="0"/>
          <w:sz w:val="24"/>
          <w:szCs w:val="24"/>
          <w:highlight w:val="none"/>
          <w:lang w:bidi="ar"/>
        </w:rPr>
        <w:t>。</w:t>
      </w:r>
    </w:p>
    <w:p w14:paraId="5762D9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213" w:name="OLE_LINK95"/>
      <w:bookmarkStart w:id="214" w:name="OLE_LINK96"/>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213"/>
      <w:bookmarkEnd w:id="214"/>
      <w:r>
        <w:rPr>
          <w:rFonts w:hint="eastAsia" w:ascii="宋体" w:hAnsi="宋体" w:eastAsia="宋体" w:cs="宋体"/>
          <w:bCs/>
          <w:color w:val="auto"/>
          <w:kern w:val="0"/>
          <w:sz w:val="24"/>
          <w:szCs w:val="24"/>
          <w:highlight w:val="none"/>
          <w:lang w:bidi="ar"/>
        </w:rPr>
        <w:t>）查询以下失信行为：</w:t>
      </w:r>
    </w:p>
    <w:p w14:paraId="3565765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215" w:name="OLE_LINK104"/>
      <w:bookmarkStart w:id="216" w:name="OLE_LINK106"/>
      <w:bookmarkStart w:id="217" w:name="OLE_LINK105"/>
      <w:r>
        <w:rPr>
          <w:rFonts w:hint="eastAsia" w:ascii="宋体" w:hAnsi="宋体" w:eastAsia="宋体" w:cs="宋体"/>
          <w:bCs/>
          <w:color w:val="auto"/>
          <w:kern w:val="0"/>
          <w:sz w:val="24"/>
          <w:szCs w:val="24"/>
          <w:highlight w:val="none"/>
          <w:lang w:bidi="ar"/>
        </w:rPr>
        <w:t>被列入“政府采购严重违法失信行为信息记录”的</w:t>
      </w:r>
      <w:bookmarkEnd w:id="215"/>
      <w:bookmarkEnd w:id="216"/>
      <w:bookmarkEnd w:id="217"/>
      <w:r>
        <w:rPr>
          <w:rFonts w:hint="eastAsia" w:ascii="宋体" w:hAnsi="宋体" w:eastAsia="宋体" w:cs="宋体"/>
          <w:bCs/>
          <w:color w:val="auto"/>
          <w:kern w:val="0"/>
          <w:sz w:val="24"/>
          <w:szCs w:val="24"/>
          <w:highlight w:val="none"/>
          <w:lang w:bidi="ar"/>
        </w:rPr>
        <w:t>。</w:t>
      </w:r>
    </w:p>
    <w:p w14:paraId="355AE9E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35260AC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22B6818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67C812C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4920C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8D73AB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36F472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51AD68B">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36888C0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95BCF4C">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E2D03A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6B3C2B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6F521DA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A65641B">
      <w:pPr>
        <w:pStyle w:val="23"/>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1A4813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1039E67">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2AB4E2A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1E2C8D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6D33119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42276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161E1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440169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05F1AE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4C0B27F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5E08B6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22A6F7A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18729FD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B2962B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8BBB8E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8074F9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34E5A92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68F8F87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3361A4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104C3A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16BAD6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3C393B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86DD0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43B6C0F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56B82A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614F55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D3C8C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16D471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6EB5AA6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E60A13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3E8C17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19A9F4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05DCA32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3504C0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BBD6A4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C7FA9B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71E11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2EAD8F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6409E9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DD890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1CB8C6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2C5A3C6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6C0012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72891A1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30DE4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46A732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5B2D10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65CF4D2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60F348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9B977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C5658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1075592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334213A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EA2B4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34CB13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2BC67E5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E7FB6E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D8FE7E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2FE1CE3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6A4F34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68F8B4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5AB3A8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244843B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2301BA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7EB331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637043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4DAECC6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A5BDEF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10C73C7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5EDD44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70813E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3F6F8D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342A21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3FA86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836B7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00191F99">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047C7BA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A32BB3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54F19CF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7BF0ED9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26227FB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25BF27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7BE13B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719D50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CE46546">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5D42D2FE">
      <w:pPr>
        <w:widowControl/>
        <w:autoSpaceDE w:val="0"/>
        <w:spacing w:line="480" w:lineRule="exact"/>
        <w:ind w:firstLine="482" w:firstLineChars="200"/>
        <w:jc w:val="left"/>
        <w:textAlignment w:val="baseline"/>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p>
    <w:p w14:paraId="06350C93">
      <w:pPr>
        <w:spacing w:line="440" w:lineRule="exact"/>
        <w:ind w:firstLine="435"/>
        <w:rPr>
          <w:rFonts w:hint="eastAsia" w:ascii="宋体" w:hAnsi="宋体" w:eastAsia="宋体" w:cs="宋体"/>
          <w:color w:val="auto"/>
          <w:sz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254D">
    <w:pPr>
      <w:pStyle w:val="18"/>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2313">
    <w:pPr>
      <w:spacing w:line="174" w:lineRule="auto"/>
      <w:ind w:left="5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6C486">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06C486">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DA7F">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5E17E">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3CA5E17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B3FD">
    <w:pPr>
      <w:pStyle w:val="19"/>
      <w:pBdr>
        <w:bottom w:val="none" w:color="auto" w:sz="0" w:space="1"/>
      </w:pBdr>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D1FA">
    <w:pPr>
      <w:pStyle w:val="1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TRmNzAyMTdiYjdjMTExNWVkMTcyNDE0ZjMxYjgifQ=="/>
  </w:docVars>
  <w:rsids>
    <w:rsidRoot w:val="00276BA1"/>
    <w:rsid w:val="0000043F"/>
    <w:rsid w:val="00003F56"/>
    <w:rsid w:val="000049DA"/>
    <w:rsid w:val="00004F40"/>
    <w:rsid w:val="000056B7"/>
    <w:rsid w:val="00012A13"/>
    <w:rsid w:val="000131F7"/>
    <w:rsid w:val="0001595B"/>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658"/>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25885"/>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C6439"/>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56B5D"/>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BCC"/>
    <w:rsid w:val="00EE6E9A"/>
    <w:rsid w:val="00EF0BF1"/>
    <w:rsid w:val="00EF27DA"/>
    <w:rsid w:val="00EF2AC4"/>
    <w:rsid w:val="00EF397E"/>
    <w:rsid w:val="00F06077"/>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34106F"/>
    <w:rsid w:val="01A12229"/>
    <w:rsid w:val="020E02AA"/>
    <w:rsid w:val="0214602E"/>
    <w:rsid w:val="03486B27"/>
    <w:rsid w:val="03D16ADB"/>
    <w:rsid w:val="040A094E"/>
    <w:rsid w:val="0432159D"/>
    <w:rsid w:val="046D521E"/>
    <w:rsid w:val="04E36C96"/>
    <w:rsid w:val="05205606"/>
    <w:rsid w:val="053814D9"/>
    <w:rsid w:val="05487D84"/>
    <w:rsid w:val="056800F4"/>
    <w:rsid w:val="056F201D"/>
    <w:rsid w:val="05B324E7"/>
    <w:rsid w:val="05B664D4"/>
    <w:rsid w:val="05DB0F6C"/>
    <w:rsid w:val="062B5FBD"/>
    <w:rsid w:val="062D3EC0"/>
    <w:rsid w:val="07076C01"/>
    <w:rsid w:val="071C12AC"/>
    <w:rsid w:val="074E231E"/>
    <w:rsid w:val="07A934B3"/>
    <w:rsid w:val="08057A5A"/>
    <w:rsid w:val="08277C57"/>
    <w:rsid w:val="0863510B"/>
    <w:rsid w:val="08B15E54"/>
    <w:rsid w:val="09523172"/>
    <w:rsid w:val="0980799C"/>
    <w:rsid w:val="09A77D11"/>
    <w:rsid w:val="0A0F6376"/>
    <w:rsid w:val="0A353CEA"/>
    <w:rsid w:val="0A6A18DB"/>
    <w:rsid w:val="0AEF3828"/>
    <w:rsid w:val="0BBB665B"/>
    <w:rsid w:val="0C796C68"/>
    <w:rsid w:val="0CB7664E"/>
    <w:rsid w:val="0D7965D4"/>
    <w:rsid w:val="0E0337D2"/>
    <w:rsid w:val="0E4F1A2E"/>
    <w:rsid w:val="0E816EC5"/>
    <w:rsid w:val="0EEA6FC1"/>
    <w:rsid w:val="0EF97BEC"/>
    <w:rsid w:val="0F263E39"/>
    <w:rsid w:val="0F954485"/>
    <w:rsid w:val="0FB63A2F"/>
    <w:rsid w:val="0FBF344F"/>
    <w:rsid w:val="10505F32"/>
    <w:rsid w:val="105A27E6"/>
    <w:rsid w:val="108941A1"/>
    <w:rsid w:val="10C25BCA"/>
    <w:rsid w:val="114A4525"/>
    <w:rsid w:val="119B0711"/>
    <w:rsid w:val="12197477"/>
    <w:rsid w:val="1233790A"/>
    <w:rsid w:val="129D761C"/>
    <w:rsid w:val="12BE27B4"/>
    <w:rsid w:val="12F232D0"/>
    <w:rsid w:val="132E0DA8"/>
    <w:rsid w:val="13587E2C"/>
    <w:rsid w:val="13BC72FD"/>
    <w:rsid w:val="1466407E"/>
    <w:rsid w:val="146A1B7E"/>
    <w:rsid w:val="14706BA3"/>
    <w:rsid w:val="147F3664"/>
    <w:rsid w:val="14834E28"/>
    <w:rsid w:val="148E7D65"/>
    <w:rsid w:val="149308EB"/>
    <w:rsid w:val="14DC39C3"/>
    <w:rsid w:val="151D4243"/>
    <w:rsid w:val="15231BF9"/>
    <w:rsid w:val="1590464C"/>
    <w:rsid w:val="15BC3009"/>
    <w:rsid w:val="15EA0521"/>
    <w:rsid w:val="16371CA6"/>
    <w:rsid w:val="167F3805"/>
    <w:rsid w:val="16C86822"/>
    <w:rsid w:val="16F1453E"/>
    <w:rsid w:val="179F5278"/>
    <w:rsid w:val="17AF7D88"/>
    <w:rsid w:val="17C42834"/>
    <w:rsid w:val="180712E0"/>
    <w:rsid w:val="1820443C"/>
    <w:rsid w:val="18E6784A"/>
    <w:rsid w:val="18F2402A"/>
    <w:rsid w:val="1979588E"/>
    <w:rsid w:val="19E46234"/>
    <w:rsid w:val="1A3B68AA"/>
    <w:rsid w:val="1A3E1C1E"/>
    <w:rsid w:val="1A3F329F"/>
    <w:rsid w:val="1AC3539D"/>
    <w:rsid w:val="1BEF4851"/>
    <w:rsid w:val="1C074BB1"/>
    <w:rsid w:val="1C141836"/>
    <w:rsid w:val="1C73665C"/>
    <w:rsid w:val="1D540E0F"/>
    <w:rsid w:val="1DC73E1C"/>
    <w:rsid w:val="1E336318"/>
    <w:rsid w:val="1E6B6A14"/>
    <w:rsid w:val="1EB21086"/>
    <w:rsid w:val="1EB678A8"/>
    <w:rsid w:val="1FFF193D"/>
    <w:rsid w:val="20550D9A"/>
    <w:rsid w:val="20D64DCD"/>
    <w:rsid w:val="21531BAA"/>
    <w:rsid w:val="21535882"/>
    <w:rsid w:val="21714B53"/>
    <w:rsid w:val="2181633E"/>
    <w:rsid w:val="218E2416"/>
    <w:rsid w:val="22574D18"/>
    <w:rsid w:val="226915FE"/>
    <w:rsid w:val="22AC349C"/>
    <w:rsid w:val="22DF748C"/>
    <w:rsid w:val="22E14C32"/>
    <w:rsid w:val="236E69A3"/>
    <w:rsid w:val="24B97929"/>
    <w:rsid w:val="2520252D"/>
    <w:rsid w:val="257F568B"/>
    <w:rsid w:val="25A93CC2"/>
    <w:rsid w:val="260C2F08"/>
    <w:rsid w:val="26163BC1"/>
    <w:rsid w:val="2619590C"/>
    <w:rsid w:val="277756D0"/>
    <w:rsid w:val="27BB6A71"/>
    <w:rsid w:val="27F130C2"/>
    <w:rsid w:val="28507092"/>
    <w:rsid w:val="285F40CA"/>
    <w:rsid w:val="28C01ECB"/>
    <w:rsid w:val="28EC3ECC"/>
    <w:rsid w:val="29714AF7"/>
    <w:rsid w:val="29BF71E3"/>
    <w:rsid w:val="29DD1FAA"/>
    <w:rsid w:val="2A127B63"/>
    <w:rsid w:val="2A3D2278"/>
    <w:rsid w:val="2AAA4765"/>
    <w:rsid w:val="2AC21606"/>
    <w:rsid w:val="2AF63C5E"/>
    <w:rsid w:val="2B41088E"/>
    <w:rsid w:val="2B41674B"/>
    <w:rsid w:val="2B7E7608"/>
    <w:rsid w:val="2B7F04E9"/>
    <w:rsid w:val="2BFB7B89"/>
    <w:rsid w:val="2C305555"/>
    <w:rsid w:val="2C9A21B9"/>
    <w:rsid w:val="2CD53018"/>
    <w:rsid w:val="2CE20523"/>
    <w:rsid w:val="2CFD29B2"/>
    <w:rsid w:val="2D314CC9"/>
    <w:rsid w:val="2D346567"/>
    <w:rsid w:val="2D496D68"/>
    <w:rsid w:val="2DBE22D5"/>
    <w:rsid w:val="2E6672CB"/>
    <w:rsid w:val="2E7A48DE"/>
    <w:rsid w:val="2EAD4823"/>
    <w:rsid w:val="2ED52EBC"/>
    <w:rsid w:val="2ED53221"/>
    <w:rsid w:val="2EDC3ED8"/>
    <w:rsid w:val="2F2D046C"/>
    <w:rsid w:val="2F6351B4"/>
    <w:rsid w:val="2FCF199E"/>
    <w:rsid w:val="2FF61DCA"/>
    <w:rsid w:val="30483E83"/>
    <w:rsid w:val="30AA0E97"/>
    <w:rsid w:val="310E5509"/>
    <w:rsid w:val="32247147"/>
    <w:rsid w:val="32A41B07"/>
    <w:rsid w:val="332C1A8F"/>
    <w:rsid w:val="334641ED"/>
    <w:rsid w:val="334E4CD8"/>
    <w:rsid w:val="343C0775"/>
    <w:rsid w:val="34AA76A9"/>
    <w:rsid w:val="34F767F8"/>
    <w:rsid w:val="350848FD"/>
    <w:rsid w:val="35602675"/>
    <w:rsid w:val="356C50EC"/>
    <w:rsid w:val="35AA08BB"/>
    <w:rsid w:val="361108CD"/>
    <w:rsid w:val="365E28A7"/>
    <w:rsid w:val="369B1405"/>
    <w:rsid w:val="3700166C"/>
    <w:rsid w:val="3727617F"/>
    <w:rsid w:val="3750483D"/>
    <w:rsid w:val="375969FE"/>
    <w:rsid w:val="38694EE9"/>
    <w:rsid w:val="3A42356C"/>
    <w:rsid w:val="3AB20381"/>
    <w:rsid w:val="3B365CC9"/>
    <w:rsid w:val="3B3D70A8"/>
    <w:rsid w:val="3B81506E"/>
    <w:rsid w:val="3B9A7B88"/>
    <w:rsid w:val="3BC114FF"/>
    <w:rsid w:val="3C0407B8"/>
    <w:rsid w:val="3C2660C6"/>
    <w:rsid w:val="3C357C06"/>
    <w:rsid w:val="3D2C7AC8"/>
    <w:rsid w:val="3D855D12"/>
    <w:rsid w:val="3D8B42FF"/>
    <w:rsid w:val="3D8C02DD"/>
    <w:rsid w:val="3DAA5E2E"/>
    <w:rsid w:val="3DC20089"/>
    <w:rsid w:val="3DF36A6E"/>
    <w:rsid w:val="3E3F2FBE"/>
    <w:rsid w:val="3EDF790C"/>
    <w:rsid w:val="3F1138E1"/>
    <w:rsid w:val="3F13694C"/>
    <w:rsid w:val="3F792F1E"/>
    <w:rsid w:val="40195D61"/>
    <w:rsid w:val="40824826"/>
    <w:rsid w:val="40E63923"/>
    <w:rsid w:val="421A1D78"/>
    <w:rsid w:val="421D53C4"/>
    <w:rsid w:val="42B443F4"/>
    <w:rsid w:val="42F43FD4"/>
    <w:rsid w:val="43A91E5B"/>
    <w:rsid w:val="43B768A7"/>
    <w:rsid w:val="448654A3"/>
    <w:rsid w:val="44BC3308"/>
    <w:rsid w:val="45375A9E"/>
    <w:rsid w:val="45BA48DB"/>
    <w:rsid w:val="463A3650"/>
    <w:rsid w:val="469F0116"/>
    <w:rsid w:val="46C55933"/>
    <w:rsid w:val="475259B7"/>
    <w:rsid w:val="478A4691"/>
    <w:rsid w:val="47A51052"/>
    <w:rsid w:val="47BA3612"/>
    <w:rsid w:val="481161CC"/>
    <w:rsid w:val="48831CF9"/>
    <w:rsid w:val="48FD4525"/>
    <w:rsid w:val="491A6083"/>
    <w:rsid w:val="49A14F97"/>
    <w:rsid w:val="49A165B8"/>
    <w:rsid w:val="49B1408D"/>
    <w:rsid w:val="4A7D4FD2"/>
    <w:rsid w:val="4A913C9A"/>
    <w:rsid w:val="4A9D231E"/>
    <w:rsid w:val="4AE22D2F"/>
    <w:rsid w:val="4B1F70AC"/>
    <w:rsid w:val="4B240F94"/>
    <w:rsid w:val="4B386AE5"/>
    <w:rsid w:val="4B4614E8"/>
    <w:rsid w:val="4BA75287"/>
    <w:rsid w:val="4BC566FE"/>
    <w:rsid w:val="4BED70D6"/>
    <w:rsid w:val="4C2A0E0A"/>
    <w:rsid w:val="4C3C565C"/>
    <w:rsid w:val="4C43618A"/>
    <w:rsid w:val="4CCC2EA3"/>
    <w:rsid w:val="4CCC79C7"/>
    <w:rsid w:val="4D2E492A"/>
    <w:rsid w:val="4D6C5E8D"/>
    <w:rsid w:val="4D7555C7"/>
    <w:rsid w:val="4EAE6DA0"/>
    <w:rsid w:val="4F5145AF"/>
    <w:rsid w:val="4FD037EF"/>
    <w:rsid w:val="5016514B"/>
    <w:rsid w:val="502857C7"/>
    <w:rsid w:val="50476D3D"/>
    <w:rsid w:val="505446A7"/>
    <w:rsid w:val="511659A4"/>
    <w:rsid w:val="51B92483"/>
    <w:rsid w:val="51C93678"/>
    <w:rsid w:val="51CB1C78"/>
    <w:rsid w:val="51D6568B"/>
    <w:rsid w:val="51FD6A51"/>
    <w:rsid w:val="52332945"/>
    <w:rsid w:val="526A4915"/>
    <w:rsid w:val="526B680A"/>
    <w:rsid w:val="5287407C"/>
    <w:rsid w:val="52FC4827"/>
    <w:rsid w:val="53150D15"/>
    <w:rsid w:val="533F0C94"/>
    <w:rsid w:val="5352083E"/>
    <w:rsid w:val="541A5D30"/>
    <w:rsid w:val="54A932AD"/>
    <w:rsid w:val="5527238A"/>
    <w:rsid w:val="553E632F"/>
    <w:rsid w:val="55876678"/>
    <w:rsid w:val="55BF0E72"/>
    <w:rsid w:val="55F068CD"/>
    <w:rsid w:val="564F4128"/>
    <w:rsid w:val="5652363F"/>
    <w:rsid w:val="566C3136"/>
    <w:rsid w:val="568D04F2"/>
    <w:rsid w:val="588D6DD7"/>
    <w:rsid w:val="58D72967"/>
    <w:rsid w:val="593C3FFC"/>
    <w:rsid w:val="59971F55"/>
    <w:rsid w:val="59DF66A0"/>
    <w:rsid w:val="5A526582"/>
    <w:rsid w:val="5A5F5C77"/>
    <w:rsid w:val="5A614383"/>
    <w:rsid w:val="5A7A0540"/>
    <w:rsid w:val="5BBE39CD"/>
    <w:rsid w:val="5BC11A60"/>
    <w:rsid w:val="5C7A4D54"/>
    <w:rsid w:val="5CD23B73"/>
    <w:rsid w:val="5D413CF7"/>
    <w:rsid w:val="5D4C427B"/>
    <w:rsid w:val="5DB262F4"/>
    <w:rsid w:val="5E723A11"/>
    <w:rsid w:val="5F127819"/>
    <w:rsid w:val="5F63752A"/>
    <w:rsid w:val="5F940635"/>
    <w:rsid w:val="60F1503F"/>
    <w:rsid w:val="61025188"/>
    <w:rsid w:val="61057D5F"/>
    <w:rsid w:val="614442C4"/>
    <w:rsid w:val="614D4977"/>
    <w:rsid w:val="617443F0"/>
    <w:rsid w:val="61FE2D79"/>
    <w:rsid w:val="63C60FC0"/>
    <w:rsid w:val="63EF49BB"/>
    <w:rsid w:val="641A2BDD"/>
    <w:rsid w:val="643817B5"/>
    <w:rsid w:val="64BA3D7A"/>
    <w:rsid w:val="64F179BC"/>
    <w:rsid w:val="65C94C55"/>
    <w:rsid w:val="665704D3"/>
    <w:rsid w:val="66D62896"/>
    <w:rsid w:val="673148E2"/>
    <w:rsid w:val="675445CD"/>
    <w:rsid w:val="677D0530"/>
    <w:rsid w:val="67C065A4"/>
    <w:rsid w:val="67D359C9"/>
    <w:rsid w:val="67DD2D7C"/>
    <w:rsid w:val="689C49E5"/>
    <w:rsid w:val="68FE36DD"/>
    <w:rsid w:val="69123B27"/>
    <w:rsid w:val="694E60FC"/>
    <w:rsid w:val="699B4C9D"/>
    <w:rsid w:val="69EF4042"/>
    <w:rsid w:val="6A57325E"/>
    <w:rsid w:val="6AC668F7"/>
    <w:rsid w:val="6AE65B91"/>
    <w:rsid w:val="6C304B0A"/>
    <w:rsid w:val="6C410A63"/>
    <w:rsid w:val="6C675CE6"/>
    <w:rsid w:val="6CEF35AF"/>
    <w:rsid w:val="6D065DA7"/>
    <w:rsid w:val="6D4F4321"/>
    <w:rsid w:val="6DFF7360"/>
    <w:rsid w:val="6E7A5F73"/>
    <w:rsid w:val="6F2E3798"/>
    <w:rsid w:val="6F3F7718"/>
    <w:rsid w:val="6F6D4981"/>
    <w:rsid w:val="6FD74228"/>
    <w:rsid w:val="70FE5EDF"/>
    <w:rsid w:val="714165EA"/>
    <w:rsid w:val="71633091"/>
    <w:rsid w:val="716B13F9"/>
    <w:rsid w:val="720339AC"/>
    <w:rsid w:val="72B56DCF"/>
    <w:rsid w:val="73081CA5"/>
    <w:rsid w:val="73125FD0"/>
    <w:rsid w:val="73276175"/>
    <w:rsid w:val="74545B7C"/>
    <w:rsid w:val="7487762D"/>
    <w:rsid w:val="749F2380"/>
    <w:rsid w:val="75385498"/>
    <w:rsid w:val="754A1EE6"/>
    <w:rsid w:val="75E30891"/>
    <w:rsid w:val="769962BD"/>
    <w:rsid w:val="76BC207F"/>
    <w:rsid w:val="76EB4904"/>
    <w:rsid w:val="770C71DA"/>
    <w:rsid w:val="77312B46"/>
    <w:rsid w:val="773D29CF"/>
    <w:rsid w:val="777378F5"/>
    <w:rsid w:val="777A2D3C"/>
    <w:rsid w:val="783E31EC"/>
    <w:rsid w:val="78537BEA"/>
    <w:rsid w:val="79074B81"/>
    <w:rsid w:val="794F0939"/>
    <w:rsid w:val="797B4B73"/>
    <w:rsid w:val="79A4015D"/>
    <w:rsid w:val="79AF0FCA"/>
    <w:rsid w:val="79EF2560"/>
    <w:rsid w:val="7AF9279C"/>
    <w:rsid w:val="7B1A0118"/>
    <w:rsid w:val="7BD71D77"/>
    <w:rsid w:val="7C072E2B"/>
    <w:rsid w:val="7CC51958"/>
    <w:rsid w:val="7CEC40B6"/>
    <w:rsid w:val="7DC06A4A"/>
    <w:rsid w:val="7E222935"/>
    <w:rsid w:val="7E2552FF"/>
    <w:rsid w:val="7E2936C3"/>
    <w:rsid w:val="7E2E365C"/>
    <w:rsid w:val="7E610E09"/>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autoRedefine/>
    <w:qFormat/>
    <w:uiPriority w:val="0"/>
    <w:pPr>
      <w:jc w:val="left"/>
    </w:pPr>
    <w:rPr>
      <w:rFonts w:ascii="Arial" w:hAnsi="Arial" w:eastAsia="黑体" w:cs="Arial"/>
    </w:rPr>
  </w:style>
  <w:style w:type="paragraph" w:styleId="9">
    <w:name w:val="Body Text 3"/>
    <w:basedOn w:val="1"/>
    <w:qFormat/>
    <w:uiPriority w:val="0"/>
    <w:rPr>
      <w:rFonts w:ascii="宋体"/>
      <w:sz w:val="24"/>
      <w:szCs w:val="20"/>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qFormat/>
    <w:uiPriority w:val="0"/>
    <w:pPr>
      <w:ind w:left="420" w:leftChars="200"/>
    </w:pPr>
    <w:rPr>
      <w:szCs w:val="24"/>
    </w:rPr>
  </w:style>
  <w:style w:type="paragraph" w:styleId="12">
    <w:name w:val="envelope return"/>
    <w:basedOn w:val="1"/>
    <w:next w:val="6"/>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50"/>
    <w:autoRedefine/>
    <w:qFormat/>
    <w:uiPriority w:val="99"/>
    <w:rPr>
      <w:rFonts w:ascii="宋体" w:hAnsi="Courier New" w:eastAsiaTheme="minorEastAsia" w:cstheme="minorBidi"/>
      <w:szCs w:val="22"/>
    </w:rPr>
  </w:style>
  <w:style w:type="paragraph" w:styleId="15">
    <w:name w:val="Date"/>
    <w:basedOn w:val="1"/>
    <w:next w:val="1"/>
    <w:link w:val="57"/>
    <w:autoRedefine/>
    <w:qFormat/>
    <w:uiPriority w:val="0"/>
    <w:rPr>
      <w:rFonts w:ascii="Arial" w:hAnsi="Arial" w:eastAsia="宋体" w:cs="Arial"/>
      <w:b/>
      <w:sz w:val="28"/>
    </w:rPr>
  </w:style>
  <w:style w:type="paragraph" w:styleId="16">
    <w:name w:val="Body Text Indent 2"/>
    <w:basedOn w:val="1"/>
    <w:next w:val="1"/>
    <w:qFormat/>
    <w:uiPriority w:val="0"/>
    <w:pPr>
      <w:spacing w:after="120" w:line="480" w:lineRule="auto"/>
      <w:ind w:left="420" w:leftChars="200"/>
    </w:pPr>
  </w:style>
  <w:style w:type="paragraph" w:styleId="17">
    <w:name w:val="Balloon Text"/>
    <w:basedOn w:val="1"/>
    <w:link w:val="44"/>
    <w:autoRedefine/>
    <w:semiHidden/>
    <w:unhideWhenUsed/>
    <w:qFormat/>
    <w:uiPriority w:val="99"/>
    <w:rPr>
      <w:sz w:val="18"/>
      <w:szCs w:val="18"/>
    </w:rPr>
  </w:style>
  <w:style w:type="paragraph" w:styleId="18">
    <w:name w:val="footer"/>
    <w:basedOn w:val="1"/>
    <w:link w:val="49"/>
    <w:autoRedefine/>
    <w:unhideWhenUsed/>
    <w:qFormat/>
    <w:uiPriority w:val="99"/>
    <w:pPr>
      <w:tabs>
        <w:tab w:val="center" w:pos="4153"/>
        <w:tab w:val="right" w:pos="8306"/>
      </w:tabs>
      <w:snapToGrid w:val="0"/>
      <w:jc w:val="left"/>
    </w:pPr>
    <w:rPr>
      <w:sz w:val="18"/>
      <w:szCs w:val="18"/>
    </w:rPr>
  </w:style>
  <w:style w:type="paragraph" w:styleId="19">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1">
    <w:name w:val="List"/>
    <w:basedOn w:val="1"/>
    <w:next w:val="1"/>
    <w:qFormat/>
    <w:uiPriority w:val="0"/>
    <w:pPr>
      <w:ind w:left="420" w:hanging="420"/>
    </w:pPr>
    <w:rPr>
      <w:rFonts w:ascii="Arial" w:hAnsi="Arial" w:eastAsia="楷体_GB2312"/>
      <w:sz w:val="28"/>
    </w:rPr>
  </w:style>
  <w:style w:type="paragraph" w:styleId="22">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annotation subject"/>
    <w:basedOn w:val="8"/>
    <w:next w:val="8"/>
    <w:link w:val="71"/>
    <w:autoRedefine/>
    <w:semiHidden/>
    <w:unhideWhenUsed/>
    <w:qFormat/>
    <w:uiPriority w:val="99"/>
    <w:rPr>
      <w:rFonts w:ascii="@仿宋_GB2312" w:hAnsi="@仿宋_GB2312" w:eastAsia="@仿宋_GB2312" w:cs="@仿宋_GB2312"/>
      <w:b/>
      <w:bCs/>
    </w:rPr>
  </w:style>
  <w:style w:type="paragraph" w:styleId="26">
    <w:name w:val="Body Text First Indent"/>
    <w:basedOn w:val="10"/>
    <w:autoRedefine/>
    <w:unhideWhenUsed/>
    <w:qFormat/>
    <w:uiPriority w:val="99"/>
    <w:pPr>
      <w:ind w:firstLine="420" w:firstLineChars="100"/>
    </w:pPr>
  </w:style>
  <w:style w:type="paragraph" w:styleId="27">
    <w:name w:val="Body Text First Indent 2"/>
    <w:basedOn w:val="11"/>
    <w:next w:val="1"/>
    <w:qFormat/>
    <w:uiPriority w:val="0"/>
    <w:pPr>
      <w:ind w:firstLine="420" w:firstLineChars="200"/>
    </w:pPr>
    <w:rPr>
      <w:rFonts w:ascii="Times New Roman" w:hAnsi="Times New Roman" w:cs="Times New Roman"/>
      <w:szCs w:val="21"/>
    </w:r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5C5C5C"/>
      <w:u w:val="none"/>
    </w:rPr>
  </w:style>
  <w:style w:type="character" w:styleId="33">
    <w:name w:val="Emphasis"/>
    <w:basedOn w:val="30"/>
    <w:qFormat/>
    <w:uiPriority w:val="20"/>
    <w:rPr>
      <w:b/>
      <w:bCs/>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autoRedefine/>
    <w:unhideWhenUsed/>
    <w:qFormat/>
    <w:uiPriority w:val="99"/>
    <w:rPr>
      <w:color w:val="0000FF" w:themeColor="hyperlink"/>
      <w:u w:val="single"/>
      <w14:textFill>
        <w14:solidFill>
          <w14:schemeClr w14:val="hlink"/>
        </w14:solidFill>
      </w14:textFill>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annotation reference"/>
    <w:basedOn w:val="30"/>
    <w:autoRedefine/>
    <w:semiHidden/>
    <w:unhideWhenUsed/>
    <w:qFormat/>
    <w:uiPriority w:val="99"/>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character" w:customStyle="1" w:styleId="44">
    <w:name w:val="批注框文本 Char"/>
    <w:basedOn w:val="30"/>
    <w:link w:val="17"/>
    <w:autoRedefine/>
    <w:semiHidden/>
    <w:qFormat/>
    <w:uiPriority w:val="99"/>
    <w:rPr>
      <w:rFonts w:ascii="@仿宋_GB2312" w:hAnsi="@仿宋_GB2312" w:eastAsia="@仿宋_GB2312" w:cs="@仿宋_GB2312"/>
      <w:sz w:val="18"/>
      <w:szCs w:val="18"/>
    </w:rPr>
  </w:style>
  <w:style w:type="paragraph" w:customStyle="1" w:styleId="4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7">
    <w:name w:val="D&amp;L"/>
    <w:basedOn w:val="1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8">
    <w:name w:val="页眉 Char"/>
    <w:basedOn w:val="30"/>
    <w:link w:val="19"/>
    <w:autoRedefine/>
    <w:qFormat/>
    <w:uiPriority w:val="99"/>
    <w:rPr>
      <w:rFonts w:ascii="@仿宋_GB2312" w:hAnsi="@仿宋_GB2312" w:eastAsia="@仿宋_GB2312" w:cs="@仿宋_GB2312"/>
      <w:sz w:val="18"/>
      <w:szCs w:val="18"/>
    </w:rPr>
  </w:style>
  <w:style w:type="character" w:customStyle="1" w:styleId="49">
    <w:name w:val="页脚 Char"/>
    <w:basedOn w:val="30"/>
    <w:link w:val="18"/>
    <w:autoRedefine/>
    <w:qFormat/>
    <w:uiPriority w:val="99"/>
    <w:rPr>
      <w:rFonts w:ascii="@仿宋_GB2312" w:hAnsi="@仿宋_GB2312" w:eastAsia="@仿宋_GB2312" w:cs="@仿宋_GB2312"/>
      <w:sz w:val="18"/>
      <w:szCs w:val="18"/>
    </w:rPr>
  </w:style>
  <w:style w:type="character" w:customStyle="1" w:styleId="50">
    <w:name w:val="纯文本 Char"/>
    <w:link w:val="14"/>
    <w:autoRedefine/>
    <w:qFormat/>
    <w:uiPriority w:val="0"/>
    <w:rPr>
      <w:rFonts w:ascii="宋体" w:hAnsi="Courier New"/>
    </w:rPr>
  </w:style>
  <w:style w:type="character" w:customStyle="1" w:styleId="51">
    <w:name w:val="纯文本 字符1"/>
    <w:basedOn w:val="30"/>
    <w:autoRedefine/>
    <w:semiHidden/>
    <w:qFormat/>
    <w:uiPriority w:val="99"/>
    <w:rPr>
      <w:rFonts w:hAnsi="Courier New" w:cs="Courier New" w:asciiTheme="minorEastAsia"/>
      <w:szCs w:val="20"/>
    </w:rPr>
  </w:style>
  <w:style w:type="character" w:customStyle="1" w:styleId="52">
    <w:name w:val="未处理的提及1"/>
    <w:basedOn w:val="30"/>
    <w:autoRedefine/>
    <w:semiHidden/>
    <w:unhideWhenUsed/>
    <w:qFormat/>
    <w:uiPriority w:val="99"/>
    <w:rPr>
      <w:color w:val="605E5C"/>
      <w:shd w:val="clear" w:color="auto" w:fill="E1DFDD"/>
    </w:rPr>
  </w:style>
  <w:style w:type="paragraph" w:styleId="53">
    <w:name w:val="List Paragraph"/>
    <w:basedOn w:val="1"/>
    <w:autoRedefine/>
    <w:qFormat/>
    <w:uiPriority w:val="34"/>
    <w:pPr>
      <w:ind w:firstLine="420" w:firstLineChars="200"/>
    </w:pPr>
  </w:style>
  <w:style w:type="paragraph" w:customStyle="1" w:styleId="54">
    <w:name w:val="Char Char Char Char Char Char Char1 Char"/>
    <w:basedOn w:val="1"/>
    <w:autoRedefine/>
    <w:qFormat/>
    <w:uiPriority w:val="0"/>
    <w:rPr>
      <w:rFonts w:ascii="Arial" w:hAnsi="Arial" w:eastAsia="宋体" w:cs="Arial"/>
      <w:sz w:val="24"/>
    </w:rPr>
  </w:style>
  <w:style w:type="table" w:customStyle="1" w:styleId="55">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6">
    <w:name w:val="日期 字符"/>
    <w:basedOn w:val="30"/>
    <w:autoRedefine/>
    <w:semiHidden/>
    <w:qFormat/>
    <w:uiPriority w:val="99"/>
    <w:rPr>
      <w:rFonts w:ascii="@仿宋_GB2312" w:hAnsi="@仿宋_GB2312" w:eastAsia="@仿宋_GB2312" w:cs="@仿宋_GB2312"/>
      <w:szCs w:val="20"/>
    </w:rPr>
  </w:style>
  <w:style w:type="character" w:customStyle="1" w:styleId="57">
    <w:name w:val="日期 Char"/>
    <w:link w:val="15"/>
    <w:autoRedefine/>
    <w:qFormat/>
    <w:uiPriority w:val="0"/>
    <w:rPr>
      <w:rFonts w:ascii="Arial" w:hAnsi="Arial" w:eastAsia="宋体" w:cs="Arial"/>
      <w:b/>
      <w:sz w:val="28"/>
      <w:szCs w:val="20"/>
    </w:rPr>
  </w:style>
  <w:style w:type="character" w:customStyle="1" w:styleId="58">
    <w:name w:val="纯文本 Char1"/>
    <w:autoRedefine/>
    <w:qFormat/>
    <w:locked/>
    <w:uiPriority w:val="99"/>
    <w:rPr>
      <w:rFonts w:ascii="Arial" w:hAnsi="Arial" w:eastAsia="Arial"/>
      <w:kern w:val="2"/>
      <w:sz w:val="21"/>
      <w:lang w:val="en-US" w:eastAsia="zh-CN" w:bidi="ar-SA"/>
    </w:rPr>
  </w:style>
  <w:style w:type="character" w:customStyle="1" w:styleId="59">
    <w:name w:val="批注文字 Char"/>
    <w:basedOn w:val="30"/>
    <w:autoRedefine/>
    <w:semiHidden/>
    <w:qFormat/>
    <w:uiPriority w:val="99"/>
    <w:rPr>
      <w:rFonts w:ascii="@仿宋_GB2312" w:hAnsi="@仿宋_GB2312" w:eastAsia="@仿宋_GB2312" w:cs="@仿宋_GB2312"/>
      <w:szCs w:val="20"/>
    </w:rPr>
  </w:style>
  <w:style w:type="character" w:customStyle="1" w:styleId="60">
    <w:name w:val="批注文字 Char1"/>
    <w:link w:val="8"/>
    <w:autoRedefine/>
    <w:qFormat/>
    <w:uiPriority w:val="0"/>
    <w:rPr>
      <w:rFonts w:ascii="Arial" w:hAnsi="Arial" w:eastAsia="黑体" w:cs="Arial"/>
      <w:szCs w:val="20"/>
    </w:rPr>
  </w:style>
  <w:style w:type="character" w:customStyle="1" w:styleId="61">
    <w:name w:val="标题 1 Char"/>
    <w:basedOn w:val="30"/>
    <w:link w:val="3"/>
    <w:autoRedefine/>
    <w:qFormat/>
    <w:uiPriority w:val="9"/>
    <w:rPr>
      <w:rFonts w:ascii="@仿宋_GB2312" w:hAnsi="@仿宋_GB2312" w:eastAsia="@仿宋_GB2312" w:cs="@仿宋_GB2312"/>
      <w:b/>
      <w:bCs/>
      <w:kern w:val="44"/>
      <w:sz w:val="44"/>
      <w:szCs w:val="44"/>
    </w:rPr>
  </w:style>
  <w:style w:type="paragraph" w:customStyle="1" w:styleId="62">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30"/>
    <w:link w:val="5"/>
    <w:autoRedefine/>
    <w:semiHidden/>
    <w:qFormat/>
    <w:uiPriority w:val="9"/>
    <w:rPr>
      <w:rFonts w:ascii="@仿宋_GB2312" w:hAnsi="@仿宋_GB2312" w:eastAsia="@仿宋_GB2312" w:cs="@仿宋_GB2312"/>
      <w:b/>
      <w:bCs/>
      <w:sz w:val="32"/>
      <w:szCs w:val="32"/>
    </w:rPr>
  </w:style>
  <w:style w:type="character" w:customStyle="1" w:styleId="64">
    <w:name w:val="fontstyle01"/>
    <w:basedOn w:val="30"/>
    <w:autoRedefine/>
    <w:qFormat/>
    <w:uiPriority w:val="0"/>
    <w:rPr>
      <w:rFonts w:hint="eastAsia" w:ascii="宋体" w:hAnsi="宋体" w:eastAsia="宋体"/>
      <w:color w:val="000000"/>
      <w:sz w:val="22"/>
      <w:szCs w:val="22"/>
    </w:rPr>
  </w:style>
  <w:style w:type="character" w:customStyle="1" w:styleId="65">
    <w:name w:val="fontstyle21"/>
    <w:basedOn w:val="30"/>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8">
    <w:name w:val="标题 4 Char1"/>
    <w:link w:val="2"/>
    <w:autoRedefine/>
    <w:qFormat/>
    <w:uiPriority w:val="0"/>
    <w:rPr>
      <w:rFonts w:ascii="@仿宋_GB2312" w:hAnsi="@仿宋_GB2312" w:eastAsia="@仿宋_GB2312" w:cs="@仿宋_GB2312"/>
      <w:b/>
      <w:bCs/>
      <w:sz w:val="28"/>
      <w:szCs w:val="28"/>
    </w:rPr>
  </w:style>
  <w:style w:type="character" w:customStyle="1" w:styleId="69">
    <w:name w:val="标题 4 Char"/>
    <w:autoRedefine/>
    <w:qFormat/>
    <w:uiPriority w:val="0"/>
    <w:rPr>
      <w:rFonts w:ascii="Arial" w:hAnsi="Arial" w:eastAsia="Arial"/>
      <w:b/>
      <w:bCs/>
      <w:kern w:val="2"/>
      <w:sz w:val="28"/>
      <w:szCs w:val="28"/>
      <w:lang w:val="en-US" w:eastAsia="zh-CN" w:bidi="ar-SA"/>
    </w:rPr>
  </w:style>
  <w:style w:type="table" w:customStyle="1" w:styleId="70">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批注主题 Char"/>
    <w:basedOn w:val="60"/>
    <w:link w:val="25"/>
    <w:autoRedefine/>
    <w:semiHidden/>
    <w:qFormat/>
    <w:uiPriority w:val="99"/>
    <w:rPr>
      <w:rFonts w:ascii="@仿宋_GB2312" w:hAnsi="@仿宋_GB2312" w:eastAsia="@仿宋_GB2312" w:cs="@仿宋_GB2312"/>
      <w:b/>
      <w:bCs/>
      <w:szCs w:val="20"/>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paragraph" w:customStyle="1" w:styleId="73">
    <w:name w:val="Table Text"/>
    <w:basedOn w:val="1"/>
    <w:autoRedefine/>
    <w:semiHidden/>
    <w:qFormat/>
    <w:uiPriority w:val="0"/>
    <w:rPr>
      <w:rFonts w:ascii="Arial" w:hAnsi="Arial" w:eastAsia="Arial" w:cs="Arial"/>
      <w:szCs w:val="21"/>
      <w:lang w:eastAsia="en-US"/>
    </w:rPr>
  </w:style>
  <w:style w:type="paragraph" w:customStyle="1" w:styleId="74">
    <w:name w:val="Table Paragraph"/>
    <w:basedOn w:val="1"/>
    <w:qFormat/>
    <w:uiPriority w:val="0"/>
    <w:rPr>
      <w:rFonts w:ascii="宋体" w:hAnsi="宋体" w:eastAsia="宋体" w:cs="宋体"/>
      <w:lang w:val="zh-CN" w:bidi="zh-CN"/>
    </w:rPr>
  </w:style>
  <w:style w:type="paragraph" w:customStyle="1" w:styleId="7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4"/>
      <w:lang w:val="en-US" w:eastAsia="zh-CN" w:bidi="ar-SA"/>
    </w:rPr>
  </w:style>
  <w:style w:type="paragraph" w:customStyle="1" w:styleId="76">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77">
    <w:name w:val="UserStyle_6"/>
    <w:qFormat/>
    <w:uiPriority w:val="0"/>
    <w:pPr>
      <w:spacing w:line="440" w:lineRule="exact"/>
      <w:ind w:left="357" w:hanging="357"/>
      <w:jc w:val="both"/>
      <w:textAlignment w:val="baseline"/>
    </w:pPr>
    <w:rPr>
      <w:rFonts w:ascii="Times New Roman" w:hAnsi="Times New Roman" w:eastAsia="宋体" w:cs="Times New Roman"/>
      <w:kern w:val="2"/>
      <w:sz w:val="21"/>
      <w:szCs w:val="22"/>
      <w:lang w:val="en-US" w:eastAsia="zh-CN" w:bidi="ar-SA"/>
    </w:rPr>
  </w:style>
  <w:style w:type="character" w:customStyle="1" w:styleId="78">
    <w:name w:val="NormalCharacter"/>
    <w:semiHidden/>
    <w:qFormat/>
    <w:uiPriority w:val="0"/>
  </w:style>
  <w:style w:type="character" w:customStyle="1" w:styleId="79">
    <w:name w:val="hover"/>
    <w:basedOn w:val="30"/>
    <w:qFormat/>
    <w:uiPriority w:val="0"/>
    <w:rPr>
      <w:color w:val="2590EB"/>
      <w:shd w:val="clear" w:color="auto" w:fill="E9F4FD"/>
    </w:rPr>
  </w:style>
  <w:style w:type="character" w:customStyle="1" w:styleId="80">
    <w:name w:val="hover1"/>
    <w:basedOn w:val="30"/>
    <w:qFormat/>
    <w:uiPriority w:val="0"/>
    <w:rPr>
      <w:color w:val="2590EB"/>
    </w:rPr>
  </w:style>
  <w:style w:type="character" w:customStyle="1" w:styleId="81">
    <w:name w:val="hover2"/>
    <w:basedOn w:val="30"/>
    <w:qFormat/>
    <w:uiPriority w:val="0"/>
    <w:rPr>
      <w:color w:val="2590EB"/>
    </w:rPr>
  </w:style>
  <w:style w:type="character" w:customStyle="1" w:styleId="82">
    <w:name w:val="hover3"/>
    <w:basedOn w:val="30"/>
    <w:qFormat/>
    <w:uiPriority w:val="0"/>
  </w:style>
  <w:style w:type="character" w:customStyle="1" w:styleId="83">
    <w:name w:val="layui-this"/>
    <w:basedOn w:val="30"/>
    <w:qFormat/>
    <w:uiPriority w:val="0"/>
    <w:rPr>
      <w:bdr w:val="single" w:color="EEEEEE" w:sz="6" w:space="0"/>
      <w:shd w:val="clear" w:color="auto" w:fill="FFFFFF"/>
    </w:rPr>
  </w:style>
  <w:style w:type="character" w:customStyle="1" w:styleId="84">
    <w:name w:val="first-child"/>
    <w:basedOn w:val="30"/>
    <w:qFormat/>
    <w:uiPriority w:val="0"/>
  </w:style>
  <w:style w:type="character" w:customStyle="1" w:styleId="85">
    <w:name w:val="hover4"/>
    <w:basedOn w:val="30"/>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57</Pages>
  <Words>161</Words>
  <Characters>168</Characters>
  <Lines>398</Lines>
  <Paragraphs>112</Paragraphs>
  <TotalTime>113</TotalTime>
  <ScaleCrop>false</ScaleCrop>
  <LinksUpToDate>false</LinksUpToDate>
  <CharactersWithSpaces>194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Zxxxx</cp:lastModifiedBy>
  <cp:lastPrinted>2019-12-07T15:18:00Z</cp:lastPrinted>
  <dcterms:modified xsi:type="dcterms:W3CDTF">2025-08-28T11:50:02Z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102BB01D95B449B586C9B282FC12A590_13</vt:lpwstr>
  </property>
  <property fmtid="{D5CDD505-2E9C-101B-9397-08002B2CF9AE}" pid="4" name="KSOTemplateDocerSaveRecord">
    <vt:lpwstr>eyJoZGlkIjoiNzljYWY0NTNkYjZhYjE4MjUyMjVhYzBmMGU1NDk2OWEiLCJ1c2VySWQiOiIxMzQyMjc4MTgyIn0=</vt:lpwstr>
  </property>
</Properties>
</file>