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eastAsia"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滁州市创业培训服务项目（三）</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czsjcg202608-037    </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lang w:val="en-US" w:eastAsia="zh-CN"/>
        </w:rPr>
        <w:t>滁州市人力资源和社会保障局</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4A556FDF">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174E26AC">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p>
    <w:p w14:paraId="56BEC08B">
      <w:pPr>
        <w:pageBreakBefore w:val="0"/>
        <w:widowControl w:val="0"/>
        <w:tabs>
          <w:tab w:val="left" w:pos="2410"/>
        </w:tabs>
        <w:kinsoku/>
        <w:wordWrap w:val="0"/>
        <w:topLinePunct w:val="0"/>
        <w:autoSpaceDE w:val="0"/>
        <w:autoSpaceDN w:val="0"/>
        <w:bidi w:val="0"/>
        <w:adjustRightInd w:val="0"/>
        <w:snapToGrid w:val="0"/>
        <w:spacing w:line="360" w:lineRule="auto"/>
        <w:jc w:val="both"/>
        <w:rPr>
          <w:rFonts w:ascii="宋体" w:hAnsi="宋体" w:eastAsia="宋体"/>
          <w:b/>
          <w:color w:val="auto"/>
          <w:sz w:val="36"/>
          <w:highlight w:val="none"/>
        </w:rPr>
      </w:pPr>
      <w:r>
        <w:rPr>
          <w:rFonts w:ascii="宋体" w:hAnsi="宋体" w:eastAsia="宋体"/>
          <w:b/>
          <w:color w:val="auto"/>
          <w:sz w:val="36"/>
          <w:highlight w:val="none"/>
        </w:rPr>
        <w:br w:type="page"/>
      </w: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8</w:t>
      </w:r>
      <w:r>
        <w:rPr>
          <w:color w:val="auto"/>
          <w:highlight w:val="none"/>
        </w:rPr>
        <w:fldChar w:fldCharType="end"/>
      </w:r>
      <w:r>
        <w:rPr>
          <w:rFonts w:asciiTheme="minorEastAsia" w:hAnsiTheme="minorEastAsia" w:eastAsiaTheme="minorEastAsia"/>
          <w:color w:val="auto"/>
          <w:szCs w:val="24"/>
          <w:highlight w:val="none"/>
        </w:rPr>
        <w:fldChar w:fldCharType="end"/>
      </w:r>
    </w:p>
    <w:p w14:paraId="00BDD068">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29</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30</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45</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55</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lang w:eastAsia="zh-CN"/>
        </w:rPr>
        <w:t>滁州市创业培训服务项目（三）</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9月10日08点30分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791"/>
      <w:bookmarkEnd w:id="4"/>
      <w:bookmarkStart w:id="5" w:name="_Toc28359003"/>
      <w:bookmarkEnd w:id="5"/>
      <w:bookmarkStart w:id="6" w:name="_Toc35393622"/>
      <w:bookmarkEnd w:id="6"/>
      <w:bookmarkStart w:id="7" w:name="_Toc58430306"/>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czsjcg202608-037</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滁州市创业培训服务项目（三）</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金额：每年4500000元</w:t>
      </w:r>
    </w:p>
    <w:p w14:paraId="1AF04369">
      <w:pPr>
        <w:spacing w:line="614" w:lineRule="exact"/>
        <w:ind w:firstLine="560" w:firstLineChars="200"/>
        <w:jc w:val="both"/>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最高限价：本项目单价采用固定单价，按照《安徽省创业培训管理办法》（皖人社发【2023】19号）规定的</w:t>
      </w:r>
      <w:r>
        <w:rPr>
          <w:rFonts w:hint="eastAsia" w:ascii="宋体" w:hAnsi="宋体" w:eastAsia="宋体" w:cs="宋体"/>
          <w:color w:val="auto"/>
          <w:sz w:val="28"/>
          <w:szCs w:val="28"/>
          <w:highlight w:val="none"/>
        </w:rPr>
        <w:t>创业培训</w:t>
      </w:r>
      <w:r>
        <w:rPr>
          <w:rFonts w:hint="eastAsia" w:ascii="宋体" w:hAnsi="宋体" w:eastAsia="宋体" w:cs="宋体"/>
          <w:color w:val="auto"/>
          <w:sz w:val="28"/>
          <w:szCs w:val="28"/>
          <w:highlight w:val="none"/>
          <w:lang w:eastAsia="zh-CN"/>
        </w:rPr>
        <w:t>项目</w:t>
      </w:r>
      <w:r>
        <w:rPr>
          <w:rFonts w:hint="eastAsia" w:ascii="宋体" w:hAnsi="宋体" w:eastAsia="宋体" w:cs="宋体"/>
          <w:color w:val="auto"/>
          <w:sz w:val="28"/>
          <w:szCs w:val="28"/>
          <w:highlight w:val="none"/>
        </w:rPr>
        <w:t>补贴标准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具体为：创办企业培训1000元/人；创业模拟实训、网络创业培训(含电商版、直播版)1300元/人(含300元/人的教学辅助平台服务费)；</w:t>
      </w:r>
      <w:r>
        <w:rPr>
          <w:rFonts w:hint="eastAsia" w:ascii="宋体" w:hAnsi="宋体" w:eastAsia="宋体" w:cs="宋体"/>
          <w:color w:val="auto"/>
          <w:sz w:val="28"/>
          <w:szCs w:val="28"/>
          <w:highlight w:val="none"/>
        </w:rPr>
        <w:t>改善企业培训1300元/人。</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w:t>
      </w:r>
      <w:r>
        <w:rPr>
          <w:rFonts w:hint="eastAsia" w:ascii="宋体" w:hAnsi="宋体" w:eastAsia="宋体" w:cs="宋体"/>
          <w:color w:val="auto"/>
          <w:sz w:val="28"/>
          <w:szCs w:val="28"/>
          <w:highlight w:val="none"/>
          <w:lang w:eastAsia="zh-CN"/>
        </w:rPr>
        <w:t>创业培训服务</w:t>
      </w:r>
      <w:r>
        <w:rPr>
          <w:rFonts w:hint="eastAsia" w:ascii="宋体" w:hAnsi="宋体" w:eastAsia="宋体" w:cs="宋体"/>
          <w:color w:val="auto"/>
          <w:sz w:val="28"/>
          <w:szCs w:val="28"/>
          <w:highlight w:val="none"/>
          <w:lang w:val="en-US" w:eastAsia="zh-CN"/>
        </w:rPr>
        <w:t>。</w:t>
      </w:r>
    </w:p>
    <w:p w14:paraId="36DE977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合同履行期限：本项目服务期三年，合同一签三年。</w:t>
      </w:r>
    </w:p>
    <w:p w14:paraId="3901A1E0">
      <w:pPr>
        <w:pageBreakBefore w:val="0"/>
        <w:widowControl w:val="0"/>
        <w:kinsoku/>
        <w:wordWrap w:val="0"/>
        <w:overflowPunct/>
        <w:topLinePunct w:val="0"/>
        <w:autoSpaceDE/>
        <w:autoSpaceDN/>
        <w:bidi w:val="0"/>
        <w:adjustRightInd/>
        <w:snapToGrid/>
        <w:spacing w:line="360" w:lineRule="auto"/>
        <w:ind w:firstLine="437"/>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623"/>
      <w:bookmarkEnd w:id="9"/>
      <w:bookmarkStart w:id="10" w:name="_Toc35393792"/>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2" w:name="_Toc35393624"/>
      <w:bookmarkEnd w:id="12"/>
      <w:bookmarkStart w:id="13" w:name="_Toc35393793"/>
      <w:bookmarkEnd w:id="13"/>
      <w:bookmarkStart w:id="14" w:name="_Toc28359005"/>
      <w:bookmarkEnd w:id="14"/>
      <w:bookmarkStart w:id="15" w:name="_Toc28359082"/>
      <w:bookmarkEnd w:id="15"/>
      <w:bookmarkStart w:id="16"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20</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16"/>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9月10日08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17" w:name="_Toc28359007"/>
      <w:bookmarkEnd w:id="17"/>
      <w:bookmarkStart w:id="18" w:name="_Toc35393794"/>
      <w:bookmarkEnd w:id="18"/>
      <w:bookmarkStart w:id="19" w:name="_Toc35393625"/>
      <w:bookmarkEnd w:id="19"/>
      <w:bookmarkStart w:id="20" w:name="_Toc58430309"/>
      <w:bookmarkEnd w:id="20"/>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1" w:name="_Toc58430310"/>
      <w:bookmarkEnd w:id="21"/>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2" w:name="_Toc31539"/>
      <w:bookmarkStart w:id="23" w:name="_Toc35393795"/>
      <w:bookmarkStart w:id="24" w:name="_Toc35393626"/>
      <w:r>
        <w:rPr>
          <w:rFonts w:hint="eastAsia" w:ascii="宋体" w:hAnsi="宋体" w:eastAsia="宋体" w:cs="宋体"/>
          <w:color w:val="auto"/>
          <w:sz w:val="28"/>
          <w:szCs w:val="28"/>
          <w:highlight w:val="none"/>
        </w:rPr>
        <w:t>六、</w:t>
      </w:r>
      <w:bookmarkEnd w:id="22"/>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6AE95CC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3"/>
      <w:bookmarkEnd w:id="24"/>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25" w:name="_Toc3854"/>
      <w:bookmarkStart w:id="26" w:name="_Toc7265"/>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25"/>
      <w:bookmarkEnd w:id="26"/>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滁州市人力资源和社会保障局</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滁州市南谯区龙蟠大道99号</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倪海林</w:t>
      </w:r>
    </w:p>
    <w:p w14:paraId="3265A7F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0550-3011053</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27"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投标人须知</w:t>
      </w:r>
      <w:bookmarkEnd w:id="27"/>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8" w:name="_Toc13589"/>
      <w:bookmarkStart w:id="29"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6"/>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27</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41F179B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不分包</w:t>
            </w:r>
            <w:r>
              <w:rPr>
                <w:rFonts w:hint="eastAsia" w:ascii="宋体" w:hAnsi="宋体" w:eastAsia="宋体"/>
                <w:bCs w:val="0"/>
                <w:color w:val="auto"/>
                <w:sz w:val="24"/>
                <w:highlight w:val="none"/>
                <w:lang w:val="en-US" w:eastAsia="zh-CN"/>
              </w:rPr>
              <w:t xml:space="preserve">   </w:t>
            </w: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分为</w:t>
            </w:r>
            <w:r>
              <w:rPr>
                <w:rFonts w:hint="eastAsia" w:ascii="宋体" w:hAnsi="宋体" w:eastAsia="宋体"/>
                <w:bCs w:val="0"/>
                <w:color w:val="auto"/>
                <w:sz w:val="24"/>
                <w:highlight w:val="none"/>
                <w:lang w:val="en-US" w:eastAsia="zh-CN"/>
              </w:rPr>
              <w:t>3</w:t>
            </w:r>
            <w:r>
              <w:rPr>
                <w:rFonts w:hint="eastAsia" w:ascii="宋体" w:hAnsi="宋体" w:eastAsia="宋体"/>
                <w:bCs w:val="0"/>
                <w:color w:val="auto"/>
                <w:sz w:val="24"/>
                <w:highlight w:val="none"/>
              </w:rPr>
              <w:t>个包</w:t>
            </w:r>
          </w:p>
          <w:p w14:paraId="0A3F28A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01包为：</w:t>
            </w:r>
            <w:r>
              <w:rPr>
                <w:rFonts w:hint="eastAsia" w:ascii="宋体" w:hAnsi="宋体" w:eastAsia="宋体"/>
                <w:b w:val="0"/>
                <w:bCs/>
                <w:color w:val="auto"/>
                <w:sz w:val="24"/>
                <w:highlight w:val="none"/>
                <w:lang w:val="en-US" w:eastAsia="zh-CN"/>
              </w:rPr>
              <w:t>根据琅琊区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r>
              <w:rPr>
                <w:rFonts w:hint="eastAsia" w:ascii="宋体" w:hAnsi="宋体" w:eastAsia="宋体"/>
                <w:bCs w:val="0"/>
                <w:color w:val="auto"/>
                <w:sz w:val="24"/>
                <w:highlight w:val="none"/>
                <w:lang w:val="en-US" w:eastAsia="zh-CN"/>
              </w:rPr>
              <w:t>；</w:t>
            </w:r>
          </w:p>
          <w:p w14:paraId="47710C7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02包为：</w:t>
            </w:r>
            <w:r>
              <w:rPr>
                <w:rFonts w:hint="eastAsia" w:ascii="宋体" w:hAnsi="宋体" w:eastAsia="宋体"/>
                <w:b w:val="0"/>
                <w:bCs/>
                <w:color w:val="auto"/>
                <w:sz w:val="24"/>
                <w:highlight w:val="none"/>
                <w:lang w:val="en-US" w:eastAsia="zh-CN"/>
              </w:rPr>
              <w:t>根据全椒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r>
              <w:rPr>
                <w:rFonts w:hint="eastAsia" w:ascii="宋体" w:hAnsi="宋体" w:eastAsia="宋体"/>
                <w:bCs w:val="0"/>
                <w:color w:val="auto"/>
                <w:sz w:val="24"/>
                <w:highlight w:val="none"/>
                <w:lang w:val="en-US" w:eastAsia="zh-CN"/>
              </w:rPr>
              <w:t>；</w:t>
            </w:r>
          </w:p>
          <w:p w14:paraId="1D09ABE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03包为：</w:t>
            </w:r>
            <w:r>
              <w:rPr>
                <w:rFonts w:hint="eastAsia" w:ascii="宋体" w:hAnsi="宋体" w:eastAsia="宋体"/>
                <w:b w:val="0"/>
                <w:bCs/>
                <w:color w:val="auto"/>
                <w:sz w:val="24"/>
                <w:highlight w:val="none"/>
                <w:lang w:val="en-US" w:eastAsia="zh-CN"/>
              </w:rPr>
              <w:t>根据来安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r>
              <w:rPr>
                <w:rFonts w:hint="eastAsia" w:ascii="宋体" w:hAnsi="宋体" w:eastAsia="宋体"/>
                <w:bCs w:val="0"/>
                <w:color w:val="auto"/>
                <w:sz w:val="24"/>
                <w:highlight w:val="none"/>
                <w:lang w:val="en-US" w:eastAsia="zh-CN"/>
              </w:rPr>
              <w:t>；</w:t>
            </w:r>
          </w:p>
          <w:p w14:paraId="2D37875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投标人对多个包进行投标的中标</w:t>
            </w:r>
            <w:r>
              <w:rPr>
                <w:rFonts w:hint="default" w:ascii="宋体" w:hAnsi="宋体" w:eastAsia="宋体"/>
                <w:bCs w:val="0"/>
                <w:color w:val="auto"/>
                <w:sz w:val="24"/>
                <w:highlight w:val="none"/>
              </w:rPr>
              <w:t>包</w:t>
            </w:r>
            <w:r>
              <w:rPr>
                <w:rFonts w:hint="eastAsia" w:ascii="宋体" w:hAnsi="宋体" w:eastAsia="宋体"/>
                <w:bCs w:val="0"/>
                <w:color w:val="auto"/>
                <w:sz w:val="24"/>
                <w:highlight w:val="none"/>
              </w:rPr>
              <w:t>数规定：</w:t>
            </w:r>
          </w:p>
          <w:p w14:paraId="4331B83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 w:val="0"/>
                <w:color w:val="auto"/>
                <w:sz w:val="24"/>
                <w:highlight w:val="none"/>
                <w:u w:val="single"/>
                <w:lang w:eastAsia="zh-CN"/>
              </w:rPr>
            </w:pPr>
            <w:r>
              <w:rPr>
                <w:rFonts w:hint="eastAsia" w:ascii="宋体" w:hAnsi="宋体" w:eastAsia="宋体"/>
                <w:bCs w:val="0"/>
                <w:color w:val="auto"/>
                <w:sz w:val="24"/>
                <w:highlight w:val="none"/>
                <w:lang w:val="en-US" w:eastAsia="zh-CN"/>
              </w:rPr>
              <w:t>投标人可以同时投任意一个或多个包。也可同时中取多个包。</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6"/>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00A0B060">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65048C5F">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本项目为固定价格，故本条不适用。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w:t>
            </w:r>
            <w:r>
              <w:rPr>
                <w:rFonts w:hint="eastAsia" w:ascii="宋体" w:hAnsi="宋体" w:eastAsia="宋体" w:cs="宋体"/>
                <w:b/>
                <w:bCs w:val="0"/>
                <w:color w:val="auto"/>
                <w:sz w:val="24"/>
                <w:szCs w:val="24"/>
                <w:highlight w:val="none"/>
                <w:lang w:val="en-US" w:eastAsia="zh-CN"/>
              </w:rPr>
              <w:t>每包</w:t>
            </w:r>
            <w:r>
              <w:rPr>
                <w:rFonts w:hint="eastAsia" w:ascii="宋体" w:hAnsi="宋体" w:eastAsia="宋体" w:cs="宋体"/>
                <w:b/>
                <w:bCs w:val="0"/>
                <w:color w:val="auto"/>
                <w:sz w:val="24"/>
                <w:szCs w:val="24"/>
                <w:highlight w:val="none"/>
              </w:rPr>
              <w:t>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6"/>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lang w:val="en-US" w:eastAsia="zh-CN"/>
              </w:rPr>
              <w:t>中标人</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 xml:space="preserve"> 9000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lang w:val="en-US" w:eastAsia="zh-CN"/>
              </w:rPr>
              <w:t>每包3000元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rPr>
              <w:t>。</w:t>
            </w:r>
            <w:r>
              <w:rPr>
                <w:rFonts w:hint="eastAsia" w:ascii="宋体" w:hAnsi="宋体" w:eastAsia="宋体" w:cs="宋体"/>
                <w:b w:val="0"/>
                <w:bCs w:val="0"/>
                <w:color w:val="auto"/>
                <w:kern w:val="2"/>
                <w:sz w:val="24"/>
                <w:szCs w:val="24"/>
                <w:highlight w:val="none"/>
                <w:u w:val="single"/>
                <w:lang w:val="en-US" w:eastAsia="zh-CN"/>
              </w:rPr>
              <w:t>参考《关于进一步明确代理费计取标准的通知》（滁公管综〔2023〕19号）文件</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w:t>
            </w:r>
          </w:p>
          <w:p w14:paraId="2AFE0F76">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eastAsia="zh-CN"/>
              </w:rPr>
              <w:t>0550-3011053、0550-351959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bCs w:val="0"/>
                <w:color w:val="auto"/>
                <w:sz w:val="24"/>
                <w:highlight w:val="none"/>
                <w:u w:val="single"/>
              </w:rPr>
              <w:t>滁州市南谯区龙蟠大道99号</w:t>
            </w:r>
            <w:r>
              <w:rPr>
                <w:rFonts w:hint="eastAsia" w:ascii="宋体" w:hAnsi="宋体" w:eastAsia="宋体" w:cs="宋体"/>
                <w:b/>
                <w:bCs w:val="0"/>
                <w:color w:val="auto"/>
                <w:sz w:val="24"/>
                <w:highlight w:val="none"/>
                <w:u w:val="single"/>
                <w:lang w:eastAsia="zh-CN"/>
              </w:rPr>
              <w:t>、滁州</w:t>
            </w:r>
            <w:r>
              <w:rPr>
                <w:rFonts w:hint="eastAsia" w:ascii="宋体" w:hAnsi="宋体" w:eastAsia="宋体" w:cs="宋体"/>
                <w:b/>
                <w:bCs w:val="0"/>
                <w:color w:val="auto"/>
                <w:sz w:val="24"/>
                <w:highlight w:val="none"/>
                <w:u w:val="single"/>
              </w:rPr>
              <w:t>市龙蟠大道109号</w:t>
            </w:r>
            <w:r>
              <w:rPr>
                <w:rFonts w:hint="eastAsia" w:ascii="宋体" w:hAnsi="宋体" w:eastAsia="宋体" w:cs="宋体"/>
                <w:color w:val="auto"/>
                <w:sz w:val="24"/>
                <w:highlight w:val="none"/>
                <w:u w:val="single"/>
              </w:rPr>
              <w:t>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6"/>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：18256950224</w:t>
            </w:r>
          </w:p>
          <w:p w14:paraId="6FBD911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24882"/>
      <w:bookmarkStart w:id="31"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0"/>
      <w:bookmarkEnd w:id="31"/>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w:t>
      </w:r>
      <w:r>
        <w:rPr>
          <w:rFonts w:hint="eastAsia" w:ascii="宋体" w:hAnsi="宋体" w:eastAsia="宋体" w:cs="宋体"/>
          <w:color w:val="auto"/>
          <w:sz w:val="24"/>
          <w:highlight w:val="none"/>
        </w:rPr>
        <w:t>项目名称和项目编号，中标人名称、地址和中标金额，主要中标标的的名称、服务范围、服务要求、服务时间、服务标准，中标公告期限</w:t>
      </w:r>
      <w:r>
        <w:rPr>
          <w:rFonts w:asciiTheme="minorEastAsia" w:hAnsiTheme="minorEastAsia" w:eastAsiaTheme="minorEastAsia"/>
          <w:color w:val="auto"/>
          <w:sz w:val="24"/>
          <w:highlight w:val="none"/>
        </w:rPr>
        <w:t>、评审专家名单以及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7" w:name="_Toc2583662"/>
      <w:bookmarkStart w:id="38"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2605"/>
      <w:r>
        <w:rPr>
          <w:rFonts w:hint="eastAsia" w:asciiTheme="minorEastAsia" w:hAnsiTheme="minorEastAsia" w:eastAsiaTheme="minorEastAsia"/>
          <w:b/>
          <w:color w:val="auto"/>
          <w:sz w:val="28"/>
          <w:highlight w:val="none"/>
        </w:rPr>
        <w:t>采购需求</w:t>
      </w:r>
      <w:bookmarkEnd w:id="39"/>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0" w:name="_Toc4148"/>
      <w:bookmarkStart w:id="41" w:name="_Toc21798"/>
      <w:bookmarkStart w:id="42" w:name="_Hlk23621890"/>
      <w:r>
        <w:rPr>
          <w:rFonts w:hint="eastAsia" w:ascii="宋体" w:hAnsi="宋体" w:eastAsia="宋体"/>
          <w:b/>
          <w:color w:val="auto"/>
          <w:sz w:val="24"/>
          <w:szCs w:val="18"/>
          <w:highlight w:val="none"/>
        </w:rPr>
        <w:t>一、采购需求前附表</w:t>
      </w:r>
      <w:bookmarkEnd w:id="40"/>
      <w:bookmarkEnd w:id="4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00B28CF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val="0"/>
                <w:color w:val="auto"/>
                <w:sz w:val="24"/>
                <w:szCs w:val="24"/>
                <w:highlight w:val="none"/>
                <w:lang w:val="en-US" w:eastAsia="zh-CN"/>
              </w:rPr>
            </w:pPr>
            <w:r>
              <w:rPr>
                <w:rFonts w:hint="eastAsia" w:ascii="宋体" w:hAnsi="宋体" w:eastAsia="宋体" w:cs="宋体"/>
                <w:b/>
                <w:bCs w:val="0"/>
                <w:color w:val="auto"/>
                <w:sz w:val="24"/>
                <w:highlight w:val="none"/>
                <w:lang w:val="en-US" w:eastAsia="zh-CN"/>
              </w:rPr>
              <w:t>根据安徽省人社厅、安徽省财政厅《关于印发&lt;安徽省创业培训管理办法&gt;的通知》(皖人社发【2023】19号)的规定，创业培训补贴资金按季度拨付。中标人开展培训结束后，应按季度及时向采购人申报补贴资金，经审核后，按照审核合格的创业培训人数及补贴标准于次季度进行支付。</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滁州市。</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widowControl/>
              <w:jc w:val="left"/>
              <w:rPr>
                <w:rFonts w:hint="default" w:ascii="宋体" w:hAnsi="宋体" w:eastAsia="宋体" w:cs="宋体"/>
                <w:b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服务期三年，合同一签三年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w:t>
            </w:r>
            <w:r>
              <w:rPr>
                <w:rFonts w:hint="eastAsia" w:ascii="宋体" w:hAnsi="宋体" w:eastAsia="宋体" w:cs="宋体"/>
                <w:color w:val="auto"/>
                <w:kern w:val="0"/>
                <w:sz w:val="24"/>
                <w:szCs w:val="24"/>
                <w:highlight w:val="none"/>
                <w:lang w:eastAsia="zh-CN"/>
              </w:rPr>
              <w:t>滁州市创业培训服务项目（三）</w:t>
            </w:r>
          </w:p>
          <w:p w14:paraId="6888C786">
            <w:pPr>
              <w:widowControl/>
              <w:jc w:val="left"/>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所属行业：</w:t>
            </w:r>
            <w:r>
              <w:rPr>
                <w:rFonts w:hint="eastAsia" w:ascii="宋体" w:hAnsi="宋体" w:eastAsia="宋体" w:cs="宋体"/>
                <w:color w:val="auto"/>
                <w:kern w:val="0"/>
                <w:sz w:val="24"/>
                <w:szCs w:val="24"/>
                <w:highlight w:val="none"/>
              </w:rPr>
              <w:t>其他未列明行业</w:t>
            </w:r>
          </w:p>
        </w:tc>
      </w:tr>
      <w:bookmarkEnd w:id="42"/>
    </w:tbl>
    <w:p w14:paraId="11FE9349">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bookmarkStart w:id="43"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bookmarkEnd w:id="43"/>
      <w:r>
        <w:rPr>
          <w:rFonts w:hint="eastAsia" w:ascii="宋体" w:hAnsi="宋体" w:eastAsia="宋体"/>
          <w:b/>
          <w:color w:val="auto"/>
          <w:sz w:val="24"/>
          <w:szCs w:val="18"/>
          <w:highlight w:val="none"/>
          <w:lang w:val="en-US" w:eastAsia="zh-CN"/>
        </w:rPr>
        <w:t>项目概况</w:t>
      </w:r>
    </w:p>
    <w:p w14:paraId="11C2091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大力推进创业滁州建设，努力形成创业环境一流、创业主体活跃、创业成果迸发、创业氛围浓厚的新格局，进一步做好我市各类创业培训工作,提升培训促进就业、创业带动就业的示范作用，拟通过公开中标方式确定中标人，对滁州市毕业年度高校毕业生(含技工院校高级工班、预备技师班、技师班和特殊教育院校职业教育类毕业生）、城乡未继续升学的应届初高中毕业生、农村转移就业劳动者、城镇登记失业人员、就业困难人员等五类人员进行激发创业意识、培养创新精神、普及创业知识、提升创业能力等系列培训活动。培训课时标准、补贴标准以及补贴对象均按照《财政部 人力资源社会保障部关于印发&lt;就业补助资金管理办法&gt;的通知》（财社〔2026〕1号）、《安徽省创业培训管理办法》（皖人社发〔2023〕19 号）文件执行。</w:t>
      </w:r>
    </w:p>
    <w:p w14:paraId="0492F8A1">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三、服务内容</w:t>
      </w:r>
    </w:p>
    <w:p w14:paraId="1A4795C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bookmarkStart w:id="44" w:name="_Toc30824"/>
      <w:r>
        <w:rPr>
          <w:rFonts w:hint="eastAsia" w:ascii="宋体" w:hAnsi="宋体" w:eastAsia="宋体" w:cs="宋体"/>
          <w:color w:val="auto"/>
          <w:sz w:val="24"/>
          <w:szCs w:val="24"/>
          <w:highlight w:val="none"/>
          <w:lang w:val="en-US" w:eastAsia="zh-CN"/>
        </w:rPr>
        <w:t>服务内容严格按照《安徽省创业培训管理办法》（皖人社发〔2023〕19 号）文件及相关文件执行。</w:t>
      </w:r>
    </w:p>
    <w:p w14:paraId="677141E0">
      <w:pPr>
        <w:pStyle w:val="2"/>
        <w:keepNext w:val="0"/>
        <w:keepLines w:val="0"/>
        <w:pageBreakBefore w:val="0"/>
        <w:widowControl w:val="0"/>
        <w:kinsoku/>
        <w:overflowPunct/>
        <w:topLinePunct w:val="0"/>
        <w:autoSpaceDE/>
        <w:autoSpaceDN/>
        <w:bidi w:val="0"/>
        <w:adjustRightInd/>
        <w:snapToGrid/>
        <w:spacing w:after="0"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招标对象：根据《关于印发&lt;安徽省创业培训管理办法&gt;的通知》(皖人社发[2023]19号)文件要求，经审核确定的创业培训机构。</w:t>
      </w:r>
    </w:p>
    <w:p w14:paraId="2E7C116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本项目共划分为3个包，具体如下：</w:t>
      </w:r>
    </w:p>
    <w:p w14:paraId="6F5EBC6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01包为：根据琅琊区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546E174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02包为：根据全椒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7C8417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03包为：根据来安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23307A6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述3包培训对象为对应区域的五类人员（毕业年度高校毕业生（含技工院校高级工班、预备技师班、技师班和特殊教育院校职业教育类毕业生）、城乡未继续升学的应届初高中毕业生、农村转移就业劳动者、城镇登记失业人员、就业困难人员），学员由当地人社部门和培训机构共同组织，限定每年最低线下培训人数（150人以上），不限办班类型，完成任务低于该人次按未完成比例的一半暂时减发补贴资金（例：合同年度应完成150人培训任务，实际完成120人，则扣减：当年应补贴总额×（120÷150）÷2，待合同下一年度补齐培训任务后进行补发。</w:t>
      </w:r>
    </w:p>
    <w:p w14:paraId="7CDDBC4A">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每包每合同年度最高限额150万元/年（1500人左</w:t>
      </w:r>
      <w:bookmarkStart w:id="235" w:name="_GoBack"/>
      <w:bookmarkEnd w:id="235"/>
      <w:r>
        <w:rPr>
          <w:rFonts w:hint="eastAsia" w:ascii="宋体" w:hAnsi="宋体" w:eastAsia="宋体" w:cs="宋体"/>
          <w:b/>
          <w:bCs/>
          <w:color w:val="auto"/>
          <w:sz w:val="24"/>
          <w:szCs w:val="24"/>
          <w:highlight w:val="none"/>
          <w:lang w:val="en-US" w:eastAsia="zh-CN"/>
        </w:rPr>
        <w:t>右），最终根据实际培训人数，验收合格后按标准拨付。</w:t>
      </w:r>
    </w:p>
    <w:p w14:paraId="0F0BA2FE">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四、其他要求</w:t>
      </w:r>
    </w:p>
    <w:p w14:paraId="4E4DAE4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1、报价要求</w:t>
      </w:r>
    </w:p>
    <w:p w14:paraId="2FEEA33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为固定单价报价。未按报价要求视为报价无效。本项目所涉及的报价，包括培训费、授课专家劳务费、交通工具、人员福利、税费、管理费等为完成本项目服务内容的一切费用开支，投标人应在报价时考虑本项目所有服务内容的费用开支，采购人不再另行支付其他费用。</w:t>
      </w:r>
    </w:p>
    <w:p w14:paraId="5C0D0B6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最终费用结算标准：创业培训服务费用=各类培训实际培训合格人数*各类培训补贴标准。有任务要求的，需根据任务完成情况拨付。</w:t>
      </w:r>
    </w:p>
    <w:p w14:paraId="1492E31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2、中标人需满足安徽省人力资源和社会保障厅、安徽省财政厅《关于印发〈安徽省创业培训管理办法〉的通知》（皖人社发〔2023〕19号）规定,方可开展创业培训。</w:t>
      </w:r>
    </w:p>
    <w:p w14:paraId="5538FFC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3、供应商必须按照《安徽省创业培训管理办法》（皖人社发〔2023〕19 号）以及我市创业培训工作的相关规定组织开展教学工作，需接受采购人的监督与管理；</w:t>
      </w:r>
    </w:p>
    <w:p w14:paraId="269CE09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4、供应商教学管理和规范符合《安徽省创业培训管理办法》（皖人社发〔2023〕19号）规定。</w:t>
      </w:r>
    </w:p>
    <w:p w14:paraId="78C47D9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由采购人统一招标，后期实施中各县市区分别管理，各类培训由当地人社部门和中标人共同组织。合同采用统招统签分付，合同签订由采购人与中标人签订，付款时由中标人按照实际培训人数和标准，向人社部门申请补贴，市级部门可根据各县（市、区）就业资金使用情况，统筹协调请款单位。</w:t>
      </w:r>
    </w:p>
    <w:p w14:paraId="59641C0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档案管理要求。对培训全过程纸质资料按序打孔装订，装入档案盒，妥善保管年限10年。装订前对纸质档案全部逐项扫描编号成电子版，连同监控视频等电子材料每个培训班单独建立文件夹（备注培训单位、开班时间等信息），刻录进光盘后由中标单位和甲方各留存1份。刻录光盘规格为一次性写入（BD-R）档案级蓝光光盘，单片50GB容量及以上（或能够完整写入1-2个培训班材料），理论保存年限30年及以上。【国家档案局令第8号：《机关文件材料归档范围和文书档案保管期限规定》8.7行政管理、执法活动中形成的文件材料 8.7.4行政管理工作中形成的备案文件材料（10年）】</w:t>
      </w:r>
    </w:p>
    <w:p w14:paraId="71C3761F">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rPr>
      </w:pPr>
    </w:p>
    <w:p w14:paraId="472524DE">
      <w:pPr>
        <w:pStyle w:val="2"/>
        <w:rPr>
          <w:rFonts w:hint="eastAsia" w:asciiTheme="minorEastAsia" w:hAnsiTheme="minorEastAsia" w:eastAsiaTheme="minorEastAsia"/>
          <w:b/>
          <w:color w:val="auto"/>
          <w:sz w:val="28"/>
          <w:highlight w:val="none"/>
        </w:rPr>
      </w:pPr>
    </w:p>
    <w:p w14:paraId="523932F4">
      <w:pPr>
        <w:pStyle w:val="3"/>
        <w:rPr>
          <w:rFonts w:hint="eastAsia" w:asciiTheme="minorEastAsia" w:hAnsiTheme="minorEastAsia" w:eastAsiaTheme="minorEastAsia"/>
          <w:b/>
          <w:color w:val="auto"/>
          <w:sz w:val="28"/>
          <w:highlight w:val="none"/>
        </w:rPr>
      </w:pPr>
    </w:p>
    <w:p w14:paraId="00E24102">
      <w:pPr>
        <w:rPr>
          <w:rFonts w:hint="eastAsia" w:asciiTheme="minorEastAsia" w:hAnsiTheme="minorEastAsia" w:eastAsiaTheme="minorEastAsia"/>
          <w:b/>
          <w:color w:val="auto"/>
          <w:sz w:val="28"/>
          <w:highlight w:val="none"/>
        </w:rPr>
      </w:pPr>
    </w:p>
    <w:p w14:paraId="23AC4EEF">
      <w:pPr>
        <w:pStyle w:val="2"/>
        <w:rPr>
          <w:rFonts w:hint="eastAsia" w:asciiTheme="minorEastAsia" w:hAnsiTheme="minorEastAsia" w:eastAsiaTheme="minorEastAsia"/>
          <w:b/>
          <w:color w:val="auto"/>
          <w:sz w:val="28"/>
          <w:highlight w:val="none"/>
        </w:rPr>
      </w:pPr>
    </w:p>
    <w:p w14:paraId="619E23DB">
      <w:pPr>
        <w:pStyle w:val="3"/>
        <w:rPr>
          <w:rFonts w:hint="eastAsia" w:asciiTheme="minorEastAsia" w:hAnsiTheme="minorEastAsia" w:eastAsiaTheme="minorEastAsia"/>
          <w:b/>
          <w:color w:val="auto"/>
          <w:sz w:val="28"/>
          <w:highlight w:val="none"/>
        </w:rPr>
      </w:pPr>
    </w:p>
    <w:p w14:paraId="02D686BE">
      <w:pPr>
        <w:rPr>
          <w:rFonts w:hint="eastAsia" w:asciiTheme="minorEastAsia" w:hAnsiTheme="minorEastAsia" w:eastAsiaTheme="minorEastAsia"/>
          <w:b/>
          <w:color w:val="auto"/>
          <w:sz w:val="28"/>
          <w:highlight w:val="none"/>
        </w:rPr>
      </w:pPr>
    </w:p>
    <w:p w14:paraId="797CBFF9">
      <w:pPr>
        <w:pStyle w:val="2"/>
        <w:rPr>
          <w:rFonts w:hint="eastAsia" w:asciiTheme="minorEastAsia" w:hAnsiTheme="minorEastAsia" w:eastAsiaTheme="minorEastAsia"/>
          <w:b/>
          <w:color w:val="auto"/>
          <w:sz w:val="28"/>
          <w:highlight w:val="none"/>
        </w:rPr>
      </w:pPr>
    </w:p>
    <w:p w14:paraId="2CE8D2DB">
      <w:pPr>
        <w:pStyle w:val="3"/>
        <w:rPr>
          <w:rFonts w:hint="eastAsia" w:asciiTheme="minorEastAsia" w:hAnsiTheme="minorEastAsia" w:eastAsiaTheme="minorEastAsia"/>
          <w:b/>
          <w:color w:val="auto"/>
          <w:sz w:val="28"/>
          <w:highlight w:val="none"/>
        </w:rPr>
      </w:pPr>
    </w:p>
    <w:p w14:paraId="6FB0A108">
      <w:pPr>
        <w:rPr>
          <w:rFonts w:hint="eastAsia" w:asciiTheme="minorEastAsia" w:hAnsiTheme="minorEastAsia" w:eastAsiaTheme="minorEastAsia"/>
          <w:b/>
          <w:color w:val="auto"/>
          <w:sz w:val="28"/>
          <w:highlight w:val="none"/>
        </w:rPr>
      </w:pPr>
    </w:p>
    <w:p w14:paraId="0B41B10E">
      <w:pPr>
        <w:pStyle w:val="2"/>
        <w:rPr>
          <w:rFonts w:hint="eastAsia" w:asciiTheme="minorEastAsia" w:hAnsiTheme="minorEastAsia" w:eastAsiaTheme="minorEastAsia"/>
          <w:b/>
          <w:color w:val="auto"/>
          <w:sz w:val="28"/>
          <w:highlight w:val="none"/>
        </w:rPr>
      </w:pPr>
    </w:p>
    <w:p w14:paraId="5398C207">
      <w:pPr>
        <w:pStyle w:val="3"/>
        <w:rPr>
          <w:rFonts w:hint="eastAsia" w:asciiTheme="minorEastAsia" w:hAnsiTheme="minorEastAsia" w:eastAsiaTheme="minorEastAsia"/>
          <w:b/>
          <w:color w:val="auto"/>
          <w:sz w:val="28"/>
          <w:highlight w:val="none"/>
        </w:rPr>
      </w:pPr>
    </w:p>
    <w:p w14:paraId="7DC1E9A0">
      <w:pPr>
        <w:rPr>
          <w:rFonts w:hint="eastAsia" w:asciiTheme="minorEastAsia" w:hAnsiTheme="minorEastAsia" w:eastAsiaTheme="minorEastAsia"/>
          <w:b/>
          <w:color w:val="auto"/>
          <w:sz w:val="28"/>
          <w:highlight w:val="none"/>
        </w:rPr>
      </w:pP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评标方法和标准（综合评分法）</w:t>
      </w:r>
      <w:bookmarkEnd w:id="44"/>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5" w:name="_Toc11823"/>
      <w:bookmarkStart w:id="46" w:name="_Toc4705"/>
      <w:r>
        <w:rPr>
          <w:rFonts w:hint="eastAsia" w:asciiTheme="minorEastAsia" w:hAnsiTheme="minorEastAsia" w:eastAsiaTheme="minorEastAsia"/>
          <w:b/>
          <w:color w:val="auto"/>
          <w:sz w:val="24"/>
          <w:highlight w:val="none"/>
        </w:rPr>
        <w:t>一、总则</w:t>
      </w:r>
      <w:bookmarkEnd w:id="45"/>
      <w:bookmarkEnd w:id="46"/>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7" w:name="_Toc32410"/>
      <w:bookmarkStart w:id="48" w:name="_Toc31871"/>
      <w:r>
        <w:rPr>
          <w:rFonts w:hint="eastAsia" w:asciiTheme="minorEastAsia" w:hAnsiTheme="minorEastAsia" w:eastAsiaTheme="minorEastAsia"/>
          <w:b/>
          <w:color w:val="auto"/>
          <w:sz w:val="24"/>
          <w:highlight w:val="none"/>
        </w:rPr>
        <w:t>二、评标方法</w:t>
      </w:r>
      <w:bookmarkEnd w:id="47"/>
      <w:bookmarkEnd w:id="48"/>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48"/>
        <w:gridCol w:w="4551"/>
        <w:gridCol w:w="1904"/>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6"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0" w:type="pct"/>
            <w:tcBorders>
              <w:bottom w:val="single" w:color="auto" w:sz="4" w:space="0"/>
            </w:tcBorders>
            <w:vAlign w:val="center"/>
          </w:tcPr>
          <w:p w14:paraId="46C30534">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69"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2"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6"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0"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69"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2"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6"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0"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69"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2"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0"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69"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2"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0"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69"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2"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0"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69"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2"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10"/>
        <w:gridCol w:w="3252"/>
        <w:gridCol w:w="2577"/>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4"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200"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50"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464"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00"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50"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00"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50"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00"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50"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00"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50"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64"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00"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50"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64"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00"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50"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64"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pageBreakBefore w:val="0"/>
        <w:widowControl w:val="0"/>
        <w:kinsoku/>
        <w:wordWrap w:val="0"/>
        <w:topLinePunct w:val="0"/>
        <w:bidi w:val="0"/>
        <w:spacing w:line="360" w:lineRule="auto"/>
        <w:ind w:firstLine="435"/>
        <w:outlineLvl w:val="2"/>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本项目为固定单价，故此项不适用）</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8"/>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199"/>
        <w:gridCol w:w="5267"/>
        <w:gridCol w:w="1235"/>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69"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38"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689"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u w:val="single"/>
                <w:lang w:val="en-US" w:eastAsia="zh-CN"/>
              </w:rPr>
              <w:t>100</w:t>
            </w:r>
            <w:r>
              <w:rPr>
                <w:rFonts w:hint="eastAsia" w:asciiTheme="minorEastAsia" w:hAnsiTheme="minorEastAsia" w:eastAsiaTheme="minorEastAsia"/>
                <w:color w:val="auto"/>
                <w:sz w:val="24"/>
                <w:highlight w:val="none"/>
              </w:rPr>
              <w:t>分）</w:t>
            </w:r>
          </w:p>
        </w:tc>
        <w:tc>
          <w:tcPr>
            <w:tcW w:w="669"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val="zh-CN"/>
              </w:rPr>
              <w:t>业绩</w:t>
            </w:r>
          </w:p>
        </w:tc>
        <w:tc>
          <w:tcPr>
            <w:tcW w:w="2938" w:type="pct"/>
            <w:tcBorders>
              <w:top w:val="single" w:color="auto" w:sz="4" w:space="0"/>
              <w:left w:val="single" w:color="auto" w:sz="4" w:space="0"/>
              <w:bottom w:val="single" w:color="auto" w:sz="4" w:space="0"/>
              <w:right w:val="single" w:color="auto" w:sz="4" w:space="0"/>
            </w:tcBorders>
            <w:vAlign w:val="center"/>
          </w:tcPr>
          <w:p w14:paraId="29789C07">
            <w:pPr>
              <w:pStyle w:val="2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40" w:lineRule="exact"/>
              <w:ind w:leftChars="0" w:right="0" w:righ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投标人自2021年1月1日至投标文件递交截止时间承担过创业培训项目业绩的，每提供1个业绩得2分，其他的不得分，最高得4分。</w:t>
            </w:r>
          </w:p>
          <w:p w14:paraId="7CE2A06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①投标文件中提供业绩合同扫描件（或加盖人社部门印章的创业培训补贴资金申报报扫描件），若合同无法体现签订时间、服务内容等关键评审因素的，须同时提供合同甲方出具的相关证明材料，未提供或提供不全的不得分。合同内容中的服务内容与业绩要求描述不一致，但内容相同的均予以认可。</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宋体" w:hAnsi="宋体" w:eastAsia="宋体" w:cs="宋体"/>
                <w:b/>
                <w:bCs w:val="0"/>
                <w:color w:val="auto"/>
                <w:sz w:val="21"/>
                <w:szCs w:val="21"/>
                <w:highlight w:val="none"/>
                <w:lang w:val="en-US" w:eastAsia="zh-CN"/>
              </w:rPr>
              <w:t>2.投标人投标时只须提供2个投标人业绩，若投标人提供业绩个数超过2个投标人业绩，则按照排列顺序从首个业绩开始评审至对应数量，超出部分业绩不进行评审。对应数量（2个投标人业绩）不符合招标文件要求，不得分的，不再补充评审超出部分业绩。如：提供2个投标人业绩即得满分的，按照投标文件排序评审第一、第二业绩，其余超出部分不再评审。</w:t>
            </w:r>
          </w:p>
        </w:tc>
        <w:tc>
          <w:tcPr>
            <w:tcW w:w="689"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r>
      <w:tr w14:paraId="149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B2A8B65">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Theme="minorEastAsia" w:hAnsiTheme="minorEastAsia" w:eastAsiaTheme="minorEastAsia"/>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5EBEBA5">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2.服务团队</w:t>
            </w:r>
          </w:p>
        </w:tc>
        <w:tc>
          <w:tcPr>
            <w:tcW w:w="2938" w:type="pct"/>
            <w:tcBorders>
              <w:top w:val="single" w:color="auto" w:sz="4" w:space="0"/>
              <w:left w:val="single" w:color="auto" w:sz="4" w:space="0"/>
              <w:bottom w:val="single" w:color="auto" w:sz="4" w:space="0"/>
              <w:right w:val="single" w:color="auto" w:sz="4" w:space="0"/>
            </w:tcBorders>
            <w:vAlign w:val="center"/>
          </w:tcPr>
          <w:p w14:paraId="25453846">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拟派驻的服务团队，具有以下证书的：</w:t>
            </w:r>
          </w:p>
          <w:p w14:paraId="03608A90">
            <w:pPr>
              <w:keepNext w:val="0"/>
              <w:keepLines w:val="0"/>
              <w:pageBreakBefore w:val="0"/>
              <w:widowControl w:val="0"/>
              <w:numPr>
                <w:ilvl w:val="0"/>
                <w:numId w:val="3"/>
              </w:numPr>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具有创业培训助理讲师证书的，每提供1个得2分，本条最高得4分；</w:t>
            </w:r>
          </w:p>
          <w:p w14:paraId="3DE93AC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（2）具有创业培训讲师证书的，每提供1个得2分，本条最高得6分；</w:t>
            </w:r>
          </w:p>
          <w:p w14:paraId="2AA063B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（3）具有省级创业培训讲师大赛获奖证书的，每提供1个得2分，本条最高得6分；</w:t>
            </w:r>
          </w:p>
          <w:p w14:paraId="58E612F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提供相应证书扫描件</w:t>
            </w:r>
            <w:r>
              <w:rPr>
                <w:rFonts w:hint="eastAsia" w:ascii="宋体" w:hAnsi="宋体" w:eastAsia="宋体" w:cs="宋体"/>
                <w:b/>
                <w:bCs w:val="0"/>
                <w:strike w:val="0"/>
                <w:dstrike w:val="0"/>
                <w:color w:val="auto"/>
                <w:sz w:val="21"/>
                <w:szCs w:val="21"/>
                <w:highlight w:val="none"/>
                <w:lang w:val="en-US" w:eastAsia="zh-CN"/>
              </w:rPr>
              <w:t>和讲师合作协议</w:t>
            </w:r>
            <w:r>
              <w:rPr>
                <w:rFonts w:hint="eastAsia" w:ascii="宋体" w:hAnsi="宋体" w:eastAsia="宋体" w:cs="宋体"/>
                <w:b/>
                <w:bCs w:val="0"/>
                <w:color w:val="auto"/>
                <w:sz w:val="21"/>
                <w:szCs w:val="21"/>
                <w:highlight w:val="none"/>
                <w:lang w:val="en-US" w:eastAsia="zh-CN"/>
              </w:rPr>
              <w:t>。一人多证的仅计取一次。</w:t>
            </w:r>
          </w:p>
        </w:tc>
        <w:tc>
          <w:tcPr>
            <w:tcW w:w="689" w:type="pct"/>
            <w:tcBorders>
              <w:top w:val="single" w:color="auto" w:sz="4" w:space="0"/>
              <w:left w:val="single" w:color="auto" w:sz="4" w:space="0"/>
              <w:bottom w:val="single" w:color="auto" w:sz="4" w:space="0"/>
              <w:right w:val="single" w:color="auto" w:sz="4" w:space="0"/>
            </w:tcBorders>
            <w:vAlign w:val="center"/>
          </w:tcPr>
          <w:p w14:paraId="242BF4A2">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0-16分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702" w:type="pct"/>
            <w:vMerge w:val="continue"/>
            <w:tcBorders>
              <w:left w:val="single" w:color="auto" w:sz="4" w:space="0"/>
              <w:right w:val="single" w:color="auto" w:sz="4" w:space="0"/>
            </w:tcBorders>
            <w:vAlign w:val="center"/>
          </w:tcPr>
          <w:p w14:paraId="48FDE29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3.培训情况</w:t>
            </w:r>
          </w:p>
        </w:tc>
        <w:tc>
          <w:tcPr>
            <w:tcW w:w="2938" w:type="pct"/>
            <w:tcBorders>
              <w:top w:val="single" w:color="auto" w:sz="4" w:space="0"/>
              <w:left w:val="single" w:color="auto" w:sz="4" w:space="0"/>
              <w:right w:val="single" w:color="auto" w:sz="4" w:space="0"/>
            </w:tcBorders>
            <w:vAlign w:val="center"/>
          </w:tcPr>
          <w:p w14:paraId="1BFCA73F">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投标人承诺创业培训人数培训合格率达90%（含）及以上的，得5分；承诺创业培训人数培训合格率达85%（含）-90%（不含）的，得3分；承诺创业培训人数培训合格率达80%（含）-85%（不含）的，得1分。未提供得0分。</w:t>
            </w:r>
          </w:p>
          <w:p w14:paraId="5F6CE2EE">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color w:val="auto"/>
                <w:highlight w:val="none"/>
                <w:lang w:val="en-US" w:eastAsia="zh-CN"/>
              </w:rPr>
              <w:t>提供培训人数培训合格率承诺函，格式自拟。如在履约过程中培训人员未达到投标人所承诺的培训合格率，未合格人员不计算在培训补贴人数之内。</w:t>
            </w:r>
          </w:p>
        </w:tc>
        <w:tc>
          <w:tcPr>
            <w:tcW w:w="689"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13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34C9A3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B4840A8">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4.背景分析</w:t>
            </w:r>
          </w:p>
        </w:tc>
        <w:tc>
          <w:tcPr>
            <w:tcW w:w="2938" w:type="pct"/>
            <w:tcBorders>
              <w:top w:val="single" w:color="auto" w:sz="4" w:space="0"/>
              <w:left w:val="single" w:color="auto" w:sz="4" w:space="0"/>
              <w:bottom w:val="single" w:color="auto" w:sz="4" w:space="0"/>
              <w:right w:val="single" w:color="auto" w:sz="4" w:space="0"/>
            </w:tcBorders>
            <w:vAlign w:val="center"/>
          </w:tcPr>
          <w:p w14:paraId="49172B1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1.对本项目政策背景（《安徽省创业培训管理办法》皖人社发〔2023〕19号、《财政部 人力资源社会保障部关于印发&lt;就业补助资金管理办法&gt;的通知》（财社〔2026〕1号）等）、滁州市创业培训工作现状、项目整体定位等充分全面了解、认识深刻、分析透彻，背景分析内容优于本项目采购需求，完整详细，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2.对本项目背景、意义及整体定位认识清晰，描述及分析内容完整，背景分析满足本项目采购需求，得3分；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3.对本项目背景、意义、整体定位等理解及分析有缺陷、考虑不周，背景分析内容仅能部分满足本项目采购需求，得1分；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55CBD77">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5.现状分析</w:t>
            </w:r>
          </w:p>
        </w:tc>
        <w:tc>
          <w:tcPr>
            <w:tcW w:w="2938" w:type="pct"/>
            <w:tcBorders>
              <w:top w:val="single" w:color="auto" w:sz="4" w:space="0"/>
              <w:left w:val="single" w:color="auto" w:sz="4" w:space="0"/>
              <w:bottom w:val="single" w:color="auto" w:sz="4" w:space="0"/>
              <w:right w:val="single" w:color="auto" w:sz="4" w:space="0"/>
            </w:tcBorders>
            <w:vAlign w:val="center"/>
          </w:tcPr>
          <w:p w14:paraId="2DF7E2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对滁州市创业培训现状（培训对象分布、历年培训规模、培训资源布局、各院校及县市区培训需求等）分析全面深入、数据详实、问题把握准确，现状分析内容优于本项目采购需求，得5分；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2.对现状分析内容完整，数据详实，现状分析满足本项目采购需求，得3分；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3.对现状分析内容不全面、数据不充分，仅能部分满足本项目采购需求，得1分；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overflowPunct/>
              <w:topLinePunct w:val="0"/>
              <w:bidi w:val="0"/>
              <w:spacing w:line="440" w:lineRule="exact"/>
              <w:jc w:val="center"/>
              <w:textAlignment w:val="auto"/>
              <w:rPr>
                <w:rFonts w:hint="eastAsia" w:asciiTheme="minorEastAsia" w:hAnsiTheme="minorEastAsia" w:eastAsiaTheme="minorEastAsia"/>
                <w:b/>
                <w:bCs/>
                <w:color w:val="auto"/>
                <w:sz w:val="24"/>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BB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3121CED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CE905C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6.总体工作方案</w:t>
            </w:r>
          </w:p>
        </w:tc>
        <w:tc>
          <w:tcPr>
            <w:tcW w:w="2938" w:type="pct"/>
            <w:tcBorders>
              <w:top w:val="single" w:color="auto" w:sz="4" w:space="0"/>
              <w:left w:val="single" w:color="auto" w:sz="4" w:space="0"/>
              <w:bottom w:val="single" w:color="auto" w:sz="4" w:space="0"/>
              <w:right w:val="single" w:color="auto" w:sz="4" w:space="0"/>
            </w:tcBorders>
            <w:vAlign w:val="center"/>
          </w:tcPr>
          <w:p w14:paraId="34A5C4A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1.总体工作方案（项目整体规划、工作目标、实施路径、组织架构、人员配置、时间安排等）完整详细、目标明确、路径清晰、责任分工到位，方案内容优于本项目采购需求，得5分；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2.总体工作方案完整，目标明确，分工到位，方案满足本项目采购需求，得3分；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3.总体工作方案不完整，目标不明确，仅能部分满足本项目采购需求，得1分；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D38E1B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11FC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987EBF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AA191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7.本项目课程安排</w:t>
            </w:r>
          </w:p>
        </w:tc>
        <w:tc>
          <w:tcPr>
            <w:tcW w:w="2938" w:type="pct"/>
            <w:tcBorders>
              <w:top w:val="single" w:color="auto" w:sz="4" w:space="0"/>
              <w:left w:val="single" w:color="auto" w:sz="4" w:space="0"/>
              <w:bottom w:val="single" w:color="auto" w:sz="4" w:space="0"/>
              <w:right w:val="single" w:color="auto" w:sz="4" w:space="0"/>
            </w:tcBorders>
            <w:vAlign w:val="center"/>
          </w:tcPr>
          <w:p w14:paraId="37C97E2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1.课程安排完全符合《安徽省创业培训管理办法》要求，课程体系科学合理、教学内容详实、教学方法多样，课程安排优于本项目采购需求，得5分；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2.课程安排符合《安徽省创业培训管理办法》要求，课时标准和班额要求明确，课程安排满足本项目采购需求，得3分；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3.课程安排不符合《安徽省创业培训管理办法》要求，课时标准或班额要求不明确，仅能部分满足本项目采购需求，得1分；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4.未提供或课时标准、班额要求均不符合采购需求，得0分。</w:t>
            </w:r>
          </w:p>
        </w:tc>
        <w:tc>
          <w:tcPr>
            <w:tcW w:w="689" w:type="pct"/>
            <w:tcBorders>
              <w:top w:val="single" w:color="auto" w:sz="4" w:space="0"/>
              <w:left w:val="single" w:color="auto" w:sz="4" w:space="0"/>
              <w:bottom w:val="single" w:color="auto" w:sz="4" w:space="0"/>
              <w:right w:val="single" w:color="auto" w:sz="4" w:space="0"/>
            </w:tcBorders>
            <w:vAlign w:val="center"/>
          </w:tcPr>
          <w:p w14:paraId="4F167A1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0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966C1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2EF4F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8.学员管理方案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A61FA5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1.学员管理方案（学员招募与筛选、注册认证管理（安徽省创业服务云平台）、考勤管理、学习过程管理、考核管理、结业管理等）完整详细、管理流程规范、措施具体，方案内容优于本项目采购需求，得5分；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2.学员管理方案完整，管理流程规范，方案满足本项目采购需求，得3分；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3.学员管理方案不完整，管理流程不规范，仅能部分满足本项目采购需求，得1分；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1EBE32D">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FB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612779A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C492F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9.档案管理方案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E6150E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1.档案管理方案（学员档案、教学管理台账、成功创业学员档案、培训教学相关基础资料的分类保管等）完整详细、分类科学、保管规范、可追溯性强，方案内容优于本项目采购需求，得5分；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2.档案管理方案完整，分类科学，方案满足本项目采购需求，得3分；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3.档案管理方案不完整，分类不科学，仅能部分满足本项目采购需求，得1分；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E4EBC71">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5347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CA8B25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178149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10.后续跟踪服务方案</w:t>
            </w:r>
          </w:p>
        </w:tc>
        <w:tc>
          <w:tcPr>
            <w:tcW w:w="2938" w:type="pct"/>
            <w:tcBorders>
              <w:top w:val="single" w:color="auto" w:sz="4" w:space="0"/>
              <w:left w:val="single" w:color="auto" w:sz="4" w:space="0"/>
              <w:bottom w:val="single" w:color="auto" w:sz="4" w:space="0"/>
              <w:right w:val="single" w:color="auto" w:sz="4" w:space="0"/>
            </w:tcBorders>
            <w:vAlign w:val="center"/>
          </w:tcPr>
          <w:p w14:paraId="3A774D7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1.后续跟踪服务方案（跟踪服务的方式、内容、目的，半年内不少于1次跟踪回访及台账记录，协助办理营业执照、创业担保贷款等）完整详细、服务方式多样、内容具体，方案内容优于本项目采购需求，得5分；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2.后续跟踪服务方案完整，服务方式多样，方案满足本项目采购需求，得3分；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3.后续跟踪服务方案不完整，服务方式单一，仅能部分满足本项目采购需求，得1分；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3D47F84">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7B60B5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1444C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11.应急事件处理方案</w:t>
            </w:r>
          </w:p>
        </w:tc>
        <w:tc>
          <w:tcPr>
            <w:tcW w:w="2938" w:type="pct"/>
            <w:tcBorders>
              <w:top w:val="single" w:color="auto" w:sz="4" w:space="0"/>
              <w:left w:val="single" w:color="auto" w:sz="4" w:space="0"/>
              <w:bottom w:val="single" w:color="auto" w:sz="4" w:space="0"/>
              <w:right w:val="single" w:color="auto" w:sz="4" w:space="0"/>
            </w:tcBorders>
            <w:vAlign w:val="center"/>
          </w:tcPr>
          <w:p w14:paraId="6EB342F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1.应急事件处理方案（突发公共卫生事件、教学安全事故、学员突发状况、自然灾害等的预防与处置）完整详细、预案科学、响应迅速、措施有效，方案内容优于本项目采购需求，得5分；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2.应急事件处理方案完整，预案科学，方案满足本项目采购需求，得3分；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3.应急事件处理方案不完整，预案不科学，仅能部分满足本项目采购需求，得1分；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4F0D4F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407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64AD70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9D9719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12.投诉处理协调方案</w:t>
            </w:r>
          </w:p>
        </w:tc>
        <w:tc>
          <w:tcPr>
            <w:tcW w:w="2938" w:type="pct"/>
            <w:tcBorders>
              <w:top w:val="single" w:color="auto" w:sz="4" w:space="0"/>
              <w:left w:val="single" w:color="auto" w:sz="4" w:space="0"/>
              <w:bottom w:val="single" w:color="auto" w:sz="4" w:space="0"/>
              <w:right w:val="single" w:color="auto" w:sz="4" w:space="0"/>
            </w:tcBorders>
            <w:vAlign w:val="center"/>
          </w:tcPr>
          <w:p w14:paraId="1A3FD5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1.投诉处理协调方案（投诉接收记录、调查解决、回访与满意度调查、人员培训与提升等）完整详细、处理流程规范、反馈机制健全、改进措施有力，方案内容优于本项目采购需求，得5分；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2.投诉处理协调方案完整，处理流程规范，方案满足本项目采购需求，得3分；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3.投诉处理协调方案不完整，处理流程不规范，仅能部分满足本项目采购需求，得1分；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856EFB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70CA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A76A37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E4BB1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13.教学管理、学员管理、服务管理、财务及安全管理等相关规章制度</w:t>
            </w:r>
          </w:p>
        </w:tc>
        <w:tc>
          <w:tcPr>
            <w:tcW w:w="2938" w:type="pct"/>
            <w:tcBorders>
              <w:top w:val="single" w:color="auto" w:sz="4" w:space="0"/>
              <w:left w:val="single" w:color="auto" w:sz="4" w:space="0"/>
              <w:bottom w:val="single" w:color="auto" w:sz="4" w:space="0"/>
              <w:right w:val="single" w:color="auto" w:sz="4" w:space="0"/>
            </w:tcBorders>
            <w:vAlign w:val="center"/>
          </w:tcPr>
          <w:p w14:paraId="57DC152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1.规章制度（涵盖教学管理、学员管理、服务管理、财务管理、安全管理五大类）健全完善、内容详实、操作性强，制度内容优于本项目采购需求，得5分；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2.规章制度健全，内容详实，制度满足本项目采购需求，得3分；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3.规章制度不健全、内容不完整，仅能部分满足本项目采购需求，得1分；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96AFD5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D1ABDC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E0759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14.培训重点与难点分析及措施</w:t>
            </w:r>
          </w:p>
        </w:tc>
        <w:tc>
          <w:tcPr>
            <w:tcW w:w="2938" w:type="pct"/>
            <w:tcBorders>
              <w:top w:val="single" w:color="auto" w:sz="4" w:space="0"/>
              <w:left w:val="single" w:color="auto" w:sz="4" w:space="0"/>
              <w:bottom w:val="single" w:color="auto" w:sz="4" w:space="0"/>
              <w:right w:val="single" w:color="auto" w:sz="4" w:space="0"/>
            </w:tcBorders>
            <w:vAlign w:val="center"/>
          </w:tcPr>
          <w:p w14:paraId="232D60A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1.对本项目培训重点与难点（</w:t>
            </w:r>
            <w:r>
              <w:rPr>
                <w:rFonts w:hint="eastAsia" w:ascii="宋体" w:hAnsi="宋体" w:eastAsia="宋体" w:cs="宋体"/>
                <w:b w:val="0"/>
                <w:bCs/>
                <w:color w:val="auto"/>
                <w:kern w:val="0"/>
                <w:sz w:val="21"/>
                <w:szCs w:val="21"/>
                <w:highlight w:val="none"/>
                <w:lang w:val="en-US" w:eastAsia="zh-CN" w:bidi="ar-SA"/>
              </w:rPr>
              <w:t>五</w:t>
            </w:r>
            <w:r>
              <w:rPr>
                <w:rFonts w:hint="default" w:ascii="宋体" w:hAnsi="宋体" w:eastAsia="宋体" w:cs="宋体"/>
                <w:b w:val="0"/>
                <w:bCs/>
                <w:color w:val="auto"/>
                <w:kern w:val="0"/>
                <w:sz w:val="21"/>
                <w:szCs w:val="21"/>
                <w:highlight w:val="none"/>
                <w:lang w:val="en-US" w:eastAsia="zh-CN" w:bidi="ar-SA"/>
              </w:rPr>
              <w:t>类培训对象的差异化需求、培训合格率保障、教学过程全程录像及远程监管配合、补贴资金申报审核配合等）分析透彻、预判准确，应对措施具体有效、针对性强，方案内容优于本项目采购需求，得5分；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2.对重点与难点分析到位，应对措施具体，方案满足本项目采购需求，得3分；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3.对重点与难点分析不到位，应对措施不具体，仅能部分满足本项目采购需求，得1分；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65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02" w:type="pct"/>
            <w:vMerge w:val="continue"/>
            <w:tcBorders>
              <w:left w:val="single" w:color="auto" w:sz="4" w:space="0"/>
              <w:right w:val="single" w:color="auto" w:sz="4" w:space="0"/>
            </w:tcBorders>
            <w:vAlign w:val="center"/>
          </w:tcPr>
          <w:p w14:paraId="0AB4F5B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6CB5A7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15.进度保障体系和工作组织计划</w:t>
            </w:r>
          </w:p>
        </w:tc>
        <w:tc>
          <w:tcPr>
            <w:tcW w:w="2938" w:type="pct"/>
            <w:tcBorders>
              <w:top w:val="single" w:color="auto" w:sz="4" w:space="0"/>
              <w:left w:val="single" w:color="auto" w:sz="4" w:space="0"/>
              <w:right w:val="single" w:color="auto" w:sz="4" w:space="0"/>
            </w:tcBorders>
            <w:vAlign w:val="center"/>
          </w:tcPr>
          <w:p w14:paraId="1C20E62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1.进度保障体系和工作组织计划（各培训项目的时序安排、里程碑节点、资源配置计划、进度监控与纠偏机制等）完整详细、节点明确、保障有力，方案内容优于本项目采购需求，得5分；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2.进度保障体系和工作组织计划完整，节点明确，方案满足本项目采购需求，得3分；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3.进度保障体系和工作组织计划不完整，节点不明确，仅能部分满足本项目采购需求，得1分；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553BE52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9B3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1AF818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60E628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16.培训质量保障措施</w:t>
            </w:r>
          </w:p>
        </w:tc>
        <w:tc>
          <w:tcPr>
            <w:tcW w:w="2938" w:type="pct"/>
            <w:tcBorders>
              <w:top w:val="single" w:color="auto" w:sz="4" w:space="0"/>
              <w:left w:val="single" w:color="auto" w:sz="4" w:space="0"/>
              <w:right w:val="single" w:color="auto" w:sz="4" w:space="0"/>
            </w:tcBorders>
            <w:vAlign w:val="center"/>
          </w:tcPr>
          <w:p w14:paraId="0968E1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1.培训质量保障措施（教学质量监控、师资授课质量评估、培训合格率保障、教学过程全程录像及存档备查、明察暗访配合机制等）完整详细、措施具体、可量化可考核，方案内容优于本项目采购需求，得5分；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2.培训质量保障措施完整，措施具体，方案满足本项目采购需求，得3分；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3.培训质量保障措施不完整，措施不具体，仅能部分满足本项目采购需求，得1分；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422F104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EE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6245A94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A8186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17.场地设备保障方案</w:t>
            </w:r>
          </w:p>
        </w:tc>
        <w:tc>
          <w:tcPr>
            <w:tcW w:w="2938" w:type="pct"/>
            <w:tcBorders>
              <w:top w:val="single" w:color="auto" w:sz="4" w:space="0"/>
              <w:left w:val="single" w:color="auto" w:sz="4" w:space="0"/>
              <w:right w:val="single" w:color="auto" w:sz="4" w:space="0"/>
            </w:tcBorders>
            <w:vAlign w:val="center"/>
          </w:tcPr>
          <w:p w14:paraId="72E11BE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1.场地设备保障方案（理论教学教室、实操教学教室、教学设备配置、消防验收合格证明、远程视频监控设备等）完整详细，场地充足、设备齐全、符合消防安全要求，方案内容优于本项目采购需求，得5分；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2.场地设备保障方案完整，场地设备满足本项目采购需求，得3分；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3.场地设备保障方案不完整，场地设备不充足，仅能部分满足本项目采购需求，得1分；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4.未提供或办学场所未通过消防验收合格，得0分。</w:t>
            </w:r>
          </w:p>
        </w:tc>
        <w:tc>
          <w:tcPr>
            <w:tcW w:w="689" w:type="pct"/>
            <w:tcBorders>
              <w:top w:val="single" w:color="auto" w:sz="4" w:space="0"/>
              <w:left w:val="single" w:color="auto" w:sz="4" w:space="0"/>
              <w:right w:val="single" w:color="auto" w:sz="4" w:space="0"/>
            </w:tcBorders>
            <w:vAlign w:val="center"/>
          </w:tcPr>
          <w:p w14:paraId="59FC0C50">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2" w:type="pct"/>
            <w:vMerge w:val="continue"/>
            <w:tcBorders>
              <w:left w:val="single" w:color="auto" w:sz="4" w:space="0"/>
              <w:right w:val="single" w:color="auto" w:sz="4" w:space="0"/>
            </w:tcBorders>
            <w:vAlign w:val="center"/>
          </w:tcPr>
          <w:p w14:paraId="1987B27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E7E2D0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18.培训对象组织招募方案</w:t>
            </w:r>
          </w:p>
        </w:tc>
        <w:tc>
          <w:tcPr>
            <w:tcW w:w="2938" w:type="pct"/>
            <w:tcBorders>
              <w:top w:val="single" w:color="auto" w:sz="4" w:space="0"/>
              <w:left w:val="single" w:color="auto" w:sz="4" w:space="0"/>
              <w:right w:val="single" w:color="auto" w:sz="4" w:space="0"/>
            </w:tcBorders>
            <w:vAlign w:val="center"/>
          </w:tcPr>
          <w:p w14:paraId="38D686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对象组织招募方案（针对投标人所中标包对应的培训对象群体，包括与对应院校或县市区人社部门的对接渠道、宣传发动方式等）完整详细、渠道明确、流程清晰、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2.培训对象组织招募方案完整，对接渠道明确、报名流程清晰，方案内容满足本项目采购需求，得3分；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3.培训对象组织招募方案不完整，对接渠道不明确、流程不清晰，存在明显遗漏，待进一步完善，得1分；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24D56319">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w:t>
      </w:r>
      <w:r>
        <w:rPr>
          <w:rFonts w:asciiTheme="minorEastAsia" w:hAnsiTheme="minorEastAsia" w:eastAsiaTheme="minorEastAsia"/>
          <w:b/>
          <w:bCs/>
          <w:color w:val="auto"/>
          <w:sz w:val="24"/>
          <w:highlight w:val="none"/>
        </w:rPr>
        <w:t>将投标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的技术资信分加上根据上述标准计算出的价格分，即为该投标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9" w:name="_Toc20405"/>
      <w:r>
        <w:rPr>
          <w:rFonts w:hint="eastAsia" w:asciiTheme="minorEastAsia" w:hAnsiTheme="minorEastAsia" w:eastAsiaTheme="minorEastAsia"/>
          <w:b/>
          <w:color w:val="auto"/>
          <w:sz w:val="28"/>
          <w:highlight w:val="none"/>
        </w:rPr>
        <w:t>第五章</w:t>
      </w:r>
      <w:r>
        <w:rPr>
          <w:rFonts w:asciiTheme="minorEastAsia" w:hAnsiTheme="minorEastAsia" w:eastAsiaTheme="minorEastAsia"/>
          <w:b/>
          <w:color w:val="auto"/>
          <w:sz w:val="28"/>
          <w:highlight w:val="none"/>
        </w:rPr>
        <w:t>政府采购合同</w:t>
      </w:r>
      <w:bookmarkEnd w:id="49"/>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0"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2"/>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1"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1"/>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2" w:name="_Toc8560"/>
      <w:r>
        <w:rPr>
          <w:rFonts w:hint="eastAsia" w:cs="Times New Roman" w:asciiTheme="minorEastAsia" w:hAnsiTheme="minorEastAsia" w:eastAsiaTheme="minorEastAsia"/>
          <w:b/>
          <w:color w:val="auto"/>
          <w:sz w:val="28"/>
          <w:szCs w:val="28"/>
          <w:highlight w:val="none"/>
        </w:rPr>
        <w:t>（服务类）</w:t>
      </w:r>
      <w:bookmarkEnd w:id="52"/>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3" w:name="_Toc2449"/>
      <w:r>
        <w:rPr>
          <w:rFonts w:hint="eastAsia" w:asciiTheme="minorEastAsia" w:hAnsiTheme="minorEastAsia" w:eastAsiaTheme="minorEastAsia"/>
          <w:b/>
          <w:color w:val="auto"/>
          <w:sz w:val="24"/>
          <w:highlight w:val="none"/>
        </w:rPr>
        <w:t>第一部分合同书</w:t>
      </w:r>
      <w:bookmarkEnd w:id="53"/>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2"/>
        <w:pageBreakBefore w:val="0"/>
        <w:widowControl w:val="0"/>
        <w:kinsoku/>
        <w:wordWrap w:val="0"/>
        <w:topLinePunct w:val="0"/>
        <w:bidi w:val="0"/>
        <w:rPr>
          <w:color w:val="auto"/>
          <w:highlight w:val="none"/>
        </w:rPr>
      </w:pPr>
    </w:p>
    <w:p w14:paraId="6694D951">
      <w:pPr>
        <w:pStyle w:val="2"/>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4" w:name="_Toc2232"/>
      <w:bookmarkStart w:id="55" w:name="_Toc24059"/>
      <w:bookmarkStart w:id="56" w:name="_Toc3029"/>
      <w:r>
        <w:rPr>
          <w:rFonts w:hint="eastAsia" w:cs="Times New Roman" w:asciiTheme="minorEastAsia" w:hAnsiTheme="minorEastAsia" w:eastAsiaTheme="minorEastAsia"/>
          <w:b/>
          <w:bCs/>
          <w:color w:val="auto"/>
          <w:sz w:val="24"/>
          <w:szCs w:val="24"/>
          <w:highlight w:val="none"/>
          <w:lang w:val="zh-CN"/>
        </w:rPr>
        <w:t>1.1合同组成部分</w:t>
      </w:r>
      <w:bookmarkEnd w:id="54"/>
      <w:bookmarkEnd w:id="55"/>
      <w:bookmarkEnd w:id="56"/>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7" w:name="_Toc22185"/>
      <w:bookmarkStart w:id="58" w:name="_Toc2918"/>
      <w:bookmarkStart w:id="59" w:name="_Toc18585"/>
      <w:bookmarkStart w:id="60" w:name="_Toc6311"/>
      <w:bookmarkStart w:id="61" w:name="_Toc6773"/>
      <w:r>
        <w:rPr>
          <w:rFonts w:hint="eastAsia" w:cs="Times New Roman" w:asciiTheme="minorEastAsia" w:hAnsiTheme="minorEastAsia" w:eastAsiaTheme="minorEastAsia"/>
          <w:b/>
          <w:bCs/>
          <w:color w:val="auto"/>
          <w:sz w:val="24"/>
          <w:szCs w:val="24"/>
          <w:highlight w:val="none"/>
          <w:lang w:val="zh-CN"/>
        </w:rPr>
        <w:t>1.2</w:t>
      </w:r>
      <w:bookmarkEnd w:id="57"/>
      <w:bookmarkEnd w:id="58"/>
      <w:bookmarkEnd w:id="59"/>
      <w:bookmarkEnd w:id="60"/>
      <w:bookmarkEnd w:id="61"/>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1631"/>
      <w:bookmarkStart w:id="63" w:name="_Toc23292"/>
      <w:bookmarkStart w:id="64"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2"/>
      <w:bookmarkEnd w:id="63"/>
      <w:bookmarkEnd w:id="64"/>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5" w:name="_Toc22618"/>
      <w:bookmarkStart w:id="66" w:name="_Toc10340"/>
      <w:bookmarkStart w:id="67" w:name="_Toc181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65"/>
      <w:bookmarkEnd w:id="66"/>
      <w:bookmarkEnd w:id="67"/>
    </w:p>
    <w:p w14:paraId="675BC05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8" w:name="_Toc2846"/>
      <w:bookmarkStart w:id="69" w:name="_Toc19304"/>
      <w:bookmarkStart w:id="70" w:name="_Toc3207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8"/>
      <w:bookmarkEnd w:id="69"/>
      <w:bookmarkEnd w:id="70"/>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1" w:name="_Toc19554"/>
      <w:bookmarkStart w:id="72" w:name="_Toc27250"/>
      <w:bookmarkStart w:id="73" w:name="_Toc21423"/>
      <w:r>
        <w:rPr>
          <w:rFonts w:hint="eastAsia" w:cs="Times New Roman" w:asciiTheme="minorEastAsia" w:hAnsiTheme="minorEastAsia" w:eastAsiaTheme="minorEastAsia"/>
          <w:b/>
          <w:bCs/>
          <w:color w:val="auto"/>
          <w:sz w:val="24"/>
          <w:szCs w:val="24"/>
          <w:highlight w:val="none"/>
          <w:lang w:val="zh-CN"/>
        </w:rPr>
        <w:t>1.6违约责任</w:t>
      </w:r>
      <w:bookmarkEnd w:id="71"/>
      <w:bookmarkEnd w:id="72"/>
      <w:bookmarkEnd w:id="73"/>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4" w:name="_Toc16021"/>
      <w:bookmarkStart w:id="75" w:name="_Toc15583"/>
      <w:bookmarkStart w:id="76" w:name="_Toc28375"/>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4"/>
      <w:bookmarkEnd w:id="75"/>
      <w:bookmarkEnd w:id="76"/>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11173"/>
      <w:bookmarkStart w:id="78" w:name="_Toc15322"/>
      <w:bookmarkStart w:id="79" w:name="_Toc7245"/>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77"/>
      <w:bookmarkEnd w:id="78"/>
      <w:bookmarkEnd w:id="79"/>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0"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1"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1"/>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2" w:name="_Toc415"/>
      <w:r>
        <w:rPr>
          <w:rFonts w:hint="eastAsia" w:asciiTheme="minorEastAsia" w:hAnsiTheme="minorEastAsia" w:eastAsiaTheme="minorEastAsia"/>
          <w:b/>
          <w:color w:val="auto"/>
          <w:sz w:val="24"/>
          <w:highlight w:val="none"/>
        </w:rPr>
        <w:t>第二部分合同一般条款</w:t>
      </w:r>
      <w:bookmarkEnd w:id="80"/>
      <w:bookmarkEnd w:id="82"/>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Ref467379225"/>
      <w:bookmarkStart w:id="84" w:name="_Toc259093669"/>
      <w:bookmarkStart w:id="85" w:name="_Toc19614"/>
      <w:bookmarkStart w:id="86" w:name="_Ref467378499"/>
      <w:bookmarkStart w:id="87" w:name="_Ref467379094"/>
      <w:bookmarkStart w:id="88" w:name="_Toc16917"/>
      <w:bookmarkStart w:id="89" w:name="_Toc28763"/>
      <w:bookmarkStart w:id="90" w:name="_Toc279701240"/>
      <w:bookmarkStart w:id="91" w:name="_Toc487900349"/>
      <w:bookmarkStart w:id="92" w:name="_Ref467378404"/>
      <w:bookmarkStart w:id="93" w:name="_Ref467379205"/>
      <w:bookmarkStart w:id="94" w:name="_Ref467378463"/>
      <w:bookmarkStart w:id="95" w:name="_Ref467379101"/>
      <w:bookmarkStart w:id="96" w:name="_Ref467379214"/>
      <w:bookmarkStart w:id="97" w:name="_Ref467379195"/>
      <w:bookmarkStart w:id="98" w:name="_Ref467379109"/>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99"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9"/>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0"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0"/>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1"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1"/>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27635"/>
      <w:bookmarkStart w:id="103" w:name="_Toc32504"/>
      <w:bookmarkStart w:id="104" w:name="_Toc259093670"/>
      <w:bookmarkStart w:id="105" w:name="_Toc13336"/>
      <w:bookmarkStart w:id="106" w:name="_Toc279701241"/>
      <w:bookmarkStart w:id="107" w:name="_Toc48790035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2"/>
      <w:bookmarkEnd w:id="103"/>
      <w:bookmarkEnd w:id="104"/>
      <w:bookmarkEnd w:id="105"/>
      <w:bookmarkEnd w:id="106"/>
      <w:bookmarkEnd w:id="107"/>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8" w:name="_Toc259093671"/>
      <w:bookmarkStart w:id="109" w:name="_Toc31634"/>
      <w:bookmarkStart w:id="110" w:name="_Toc27853"/>
      <w:bookmarkStart w:id="111" w:name="_Toc279701242"/>
      <w:bookmarkStart w:id="112" w:name="_Toc487900351"/>
      <w:bookmarkStart w:id="113" w:name="_Toc982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08"/>
      <w:bookmarkEnd w:id="109"/>
      <w:bookmarkEnd w:id="110"/>
      <w:bookmarkEnd w:id="111"/>
      <w:bookmarkEnd w:id="112"/>
      <w:bookmarkEnd w:id="113"/>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4" w:name="_Toc279701245"/>
      <w:bookmarkStart w:id="115" w:name="_Ref467378541"/>
      <w:bookmarkStart w:id="116" w:name="_Ref467379536"/>
      <w:bookmarkStart w:id="117" w:name="_Toc259093674"/>
      <w:bookmarkStart w:id="118" w:name="_Ref467379527"/>
      <w:bookmarkStart w:id="119" w:name="_Ref467378591"/>
      <w:bookmarkStart w:id="120" w:name="_Toc487900354"/>
      <w:bookmarkStart w:id="121" w:name="_Ref467379542"/>
      <w:bookmarkStart w:id="122" w:name="_Toc26182"/>
      <w:bookmarkStart w:id="123" w:name="_Toc19074"/>
      <w:bookmarkStart w:id="124" w:name="_Toc30272"/>
      <w:r>
        <w:rPr>
          <w:rFonts w:hint="eastAsia" w:cs="Times New Roman" w:asciiTheme="minorEastAsia" w:hAnsiTheme="minorEastAsia" w:eastAsiaTheme="minorEastAsia"/>
          <w:b/>
          <w:bCs/>
          <w:color w:val="auto"/>
          <w:sz w:val="24"/>
          <w:szCs w:val="24"/>
          <w:highlight w:val="none"/>
          <w:lang w:val="zh-CN"/>
        </w:rPr>
        <w:t>2.</w:t>
      </w:r>
      <w:bookmarkEnd w:id="114"/>
      <w:bookmarkEnd w:id="115"/>
      <w:bookmarkEnd w:id="116"/>
      <w:bookmarkEnd w:id="117"/>
      <w:bookmarkEnd w:id="118"/>
      <w:bookmarkEnd w:id="119"/>
      <w:bookmarkEnd w:id="120"/>
      <w:bookmarkEnd w:id="121"/>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2"/>
      <w:bookmarkEnd w:id="123"/>
      <w:bookmarkEnd w:id="124"/>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25" w:name="_Toc186431854"/>
      <w:bookmarkStart w:id="126" w:name="_Ref467379793"/>
      <w:bookmarkStart w:id="127" w:name="_Toc259093676"/>
      <w:bookmarkStart w:id="128" w:name="_Ref467379807"/>
      <w:bookmarkStart w:id="129" w:name="_Toc279701247"/>
      <w:bookmarkStart w:id="130" w:name="_Toc48790035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5"/>
      <w:bookmarkStart w:id="131" w:name="_Toc186431855"/>
      <w:r>
        <w:rPr>
          <w:rFonts w:hint="eastAsia" w:cs="Times New Roman" w:asciiTheme="minorEastAsia" w:hAnsiTheme="minorEastAsia" w:eastAsiaTheme="minorEastAsia"/>
          <w:color w:val="auto"/>
          <w:sz w:val="24"/>
          <w:szCs w:val="24"/>
          <w:highlight w:val="none"/>
        </w:rPr>
        <w:t>。</w:t>
      </w:r>
    </w:p>
    <w:bookmarkEnd w:id="131"/>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28451"/>
      <w:bookmarkStart w:id="133" w:name="_Toc7836"/>
      <w:bookmarkStart w:id="134" w:name="_Toc1921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26"/>
      <w:bookmarkEnd w:id="127"/>
      <w:bookmarkEnd w:id="128"/>
      <w:bookmarkEnd w:id="129"/>
      <w:bookmarkEnd w:id="130"/>
      <w:bookmarkEnd w:id="132"/>
      <w:bookmarkEnd w:id="133"/>
      <w:bookmarkEnd w:id="134"/>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5" w:name="_Toc279701248"/>
      <w:bookmarkStart w:id="136" w:name="_Ref467379863"/>
      <w:bookmarkStart w:id="137" w:name="_Toc487900358"/>
      <w:bookmarkStart w:id="138" w:name="_Ref467379852"/>
      <w:bookmarkStart w:id="139" w:name="_Toc259093677"/>
      <w:bookmarkStart w:id="140" w:name="_Ref467379923"/>
      <w:bookmarkStart w:id="141" w:name="_Toc774"/>
      <w:bookmarkStart w:id="142" w:name="_Toc3225"/>
      <w:bookmarkStart w:id="143" w:name="_Toc1611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和保密义务</w:t>
      </w:r>
      <w:bookmarkEnd w:id="141"/>
      <w:bookmarkEnd w:id="142"/>
      <w:bookmarkEnd w:id="143"/>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4" w:name="_Toc7860"/>
      <w:r>
        <w:rPr>
          <w:rFonts w:cs="Times New Roman" w:asciiTheme="minorEastAsia" w:hAnsiTheme="minorEastAsia" w:eastAsiaTheme="minorEastAsia"/>
          <w:b/>
          <w:bCs/>
          <w:color w:val="auto"/>
          <w:sz w:val="24"/>
          <w:szCs w:val="24"/>
          <w:highlight w:val="none"/>
          <w:lang w:val="zh-CN"/>
        </w:rPr>
        <w:t>2.7质量保证</w:t>
      </w:r>
      <w:bookmarkEnd w:id="144"/>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45" w:name="_Toc22267"/>
      <w:r>
        <w:rPr>
          <w:rFonts w:hint="eastAsia" w:cs="Times New Roman" w:asciiTheme="minorEastAsia" w:hAnsiTheme="minorEastAsia" w:eastAsiaTheme="minorEastAsia"/>
          <w:b/>
          <w:color w:val="auto"/>
          <w:sz w:val="24"/>
          <w:szCs w:val="24"/>
          <w:highlight w:val="none"/>
        </w:rPr>
        <w:t>2.8延迟履行</w:t>
      </w:r>
      <w:bookmarkEnd w:id="145"/>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6" w:name="_Toc7502"/>
      <w:bookmarkStart w:id="147" w:name="_Ref467378121"/>
      <w:bookmarkStart w:id="148" w:name="_Toc279701254"/>
      <w:bookmarkStart w:id="149" w:name="_Toc487900364"/>
      <w:bookmarkStart w:id="150" w:name="_Toc259093683"/>
      <w:r>
        <w:rPr>
          <w:rFonts w:cs="Times New Roman" w:asciiTheme="minorEastAsia" w:hAnsiTheme="minorEastAsia" w:eastAsiaTheme="minorEastAsia"/>
          <w:b/>
          <w:bCs/>
          <w:color w:val="auto"/>
          <w:sz w:val="24"/>
          <w:szCs w:val="24"/>
          <w:highlight w:val="none"/>
          <w:lang w:val="zh-CN"/>
        </w:rPr>
        <w:t>2.9合同变更</w:t>
      </w:r>
      <w:bookmarkEnd w:id="146"/>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1" w:name="_Toc279701259"/>
      <w:bookmarkStart w:id="152" w:name="_Toc487900369"/>
      <w:bookmarkStart w:id="153" w:name="_Toc259093688"/>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Toc15237"/>
      <w:bookmarkStart w:id="155" w:name="_Toc10366"/>
      <w:bookmarkStart w:id="156" w:name="_Toc2295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1"/>
      <w:bookmarkEnd w:id="152"/>
      <w:bookmarkEnd w:id="153"/>
      <w:r>
        <w:rPr>
          <w:rFonts w:cs="Times New Roman" w:asciiTheme="minorEastAsia" w:hAnsiTheme="minorEastAsia" w:eastAsiaTheme="minorEastAsia"/>
          <w:b/>
          <w:bCs/>
          <w:color w:val="auto"/>
          <w:sz w:val="24"/>
          <w:szCs w:val="24"/>
          <w:highlight w:val="none"/>
          <w:lang w:val="zh-CN"/>
        </w:rPr>
        <w:t>和分包</w:t>
      </w:r>
      <w:bookmarkEnd w:id="154"/>
      <w:bookmarkEnd w:id="155"/>
      <w:bookmarkEnd w:id="156"/>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7" w:name="_Toc13566"/>
      <w:bookmarkStart w:id="158" w:name="_Toc16508"/>
      <w:bookmarkStart w:id="159" w:name="_Toc140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57"/>
      <w:bookmarkEnd w:id="158"/>
      <w:bookmarkEnd w:id="159"/>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0" w:name="_Toc487900365"/>
      <w:bookmarkStart w:id="161" w:name="_Toc279701255"/>
      <w:bookmarkStart w:id="162" w:name="_Toc30676"/>
      <w:bookmarkStart w:id="163" w:name="_Toc259093684"/>
      <w:bookmarkStart w:id="164" w:name="_Toc6969"/>
      <w:bookmarkStart w:id="165" w:name="_Toc68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0"/>
      <w:bookmarkEnd w:id="161"/>
      <w:bookmarkEnd w:id="162"/>
      <w:bookmarkEnd w:id="163"/>
      <w:bookmarkEnd w:id="164"/>
      <w:bookmarkEnd w:id="165"/>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6" w:name="_Toc16959"/>
      <w:bookmarkStart w:id="167" w:name="_Toc7102"/>
      <w:bookmarkStart w:id="168" w:name="_Toc487900368"/>
      <w:bookmarkStart w:id="169" w:name="_Toc279701258"/>
      <w:bookmarkStart w:id="170" w:name="_Toc259093687"/>
      <w:bookmarkStart w:id="171" w:name="_Toc829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66"/>
      <w:bookmarkEnd w:id="167"/>
      <w:bookmarkEnd w:id="168"/>
      <w:bookmarkEnd w:id="169"/>
      <w:bookmarkEnd w:id="170"/>
      <w:bookmarkEnd w:id="171"/>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2" w:name="_Toc29333"/>
      <w:bookmarkStart w:id="173" w:name="_Toc6134"/>
      <w:bookmarkStart w:id="174" w:name="_Toc1538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2"/>
      <w:bookmarkEnd w:id="173"/>
      <w:bookmarkEnd w:id="174"/>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6596"/>
      <w:bookmarkStart w:id="176" w:name="_Toc1125"/>
      <w:bookmarkStart w:id="177" w:name="_Toc145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75"/>
      <w:bookmarkEnd w:id="176"/>
      <w:bookmarkEnd w:id="177"/>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7"/>
    <w:bookmarkEnd w:id="148"/>
    <w:bookmarkEnd w:id="149"/>
    <w:bookmarkEnd w:id="150"/>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78" w:name="_Toc10330"/>
      <w:bookmarkStart w:id="179" w:name="_Toc12773"/>
      <w:bookmarkStart w:id="180" w:name="_Toc279701263"/>
      <w:bookmarkStart w:id="181" w:name="_Toc259093692"/>
      <w:bookmarkStart w:id="182" w:name="_Toc18567"/>
      <w:bookmarkStart w:id="183" w:name="_Toc487900373"/>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8"/>
      <w:bookmarkEnd w:id="179"/>
      <w:bookmarkEnd w:id="180"/>
      <w:bookmarkEnd w:id="181"/>
      <w:bookmarkEnd w:id="182"/>
      <w:bookmarkEnd w:id="183"/>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4" w:name="_Toc16673"/>
      <w:bookmarkStart w:id="185" w:name="_Toc259093693"/>
      <w:bookmarkStart w:id="186" w:name="_Toc3148"/>
      <w:bookmarkStart w:id="187" w:name="_Toc12004"/>
      <w:bookmarkStart w:id="188" w:name="_Toc279701264"/>
      <w:bookmarkStart w:id="189"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4"/>
      <w:bookmarkEnd w:id="185"/>
      <w:bookmarkEnd w:id="186"/>
      <w:bookmarkEnd w:id="187"/>
      <w:bookmarkEnd w:id="188"/>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9"/>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0" w:name="_Toc6885"/>
      <w:bookmarkStart w:id="191" w:name="_Toc19890"/>
      <w:bookmarkStart w:id="192" w:name="_Toc1400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0"/>
      <w:bookmarkEnd w:id="191"/>
      <w:bookmarkEnd w:id="192"/>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3" w:name="_Toc3736"/>
      <w:r>
        <w:rPr>
          <w:rFonts w:hint="eastAsia" w:asciiTheme="minorEastAsia" w:hAnsiTheme="minorEastAsia" w:eastAsiaTheme="minorEastAsia"/>
          <w:b/>
          <w:color w:val="auto"/>
          <w:sz w:val="24"/>
          <w:highlight w:val="none"/>
        </w:rPr>
        <w:t>第三部分合同专用条款</w:t>
      </w:r>
      <w:bookmarkEnd w:id="193"/>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8"/>
        <w:tblW w:w="73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6600"/>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6600"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6600"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6600"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B78E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bottom w:val="single" w:color="auto" w:sz="4" w:space="0"/>
            </w:tcBorders>
            <w:vAlign w:val="center"/>
          </w:tcPr>
          <w:p w14:paraId="2D7AD1C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2.15.1</w:t>
            </w:r>
          </w:p>
        </w:tc>
        <w:tc>
          <w:tcPr>
            <w:tcW w:w="6600" w:type="dxa"/>
            <w:tcBorders>
              <w:bottom w:val="single" w:color="auto" w:sz="4" w:space="0"/>
            </w:tcBorders>
            <w:vAlign w:val="center"/>
          </w:tcPr>
          <w:p w14:paraId="1BB0E758">
            <w:pPr>
              <w:pageBreakBefore w:val="0"/>
              <w:widowControl w:val="0"/>
              <w:kinsoku/>
              <w:wordWrap w:val="0"/>
              <w:topLinePunct w:val="0"/>
              <w:bidi w:val="0"/>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监督检查方式方法</w:t>
            </w:r>
          </w:p>
          <w:p w14:paraId="0643A480">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甲方对乙方实行</w:t>
            </w:r>
            <w:r>
              <w:rPr>
                <w:rFonts w:hint="eastAsia" w:ascii="宋体" w:hAnsi="宋体" w:eastAsia="宋体" w:cs="宋体"/>
                <w:b/>
                <w:bCs/>
                <w:color w:val="auto"/>
                <w:sz w:val="24"/>
                <w:szCs w:val="24"/>
                <w:highlight w:val="none"/>
                <w:lang w:val="en-US" w:eastAsia="zh-CN"/>
              </w:rPr>
              <w:t>监督检查</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根据《安徽省创业培训管理办法》（皖人社发〔2023〕19号）规定，监督检查</w:t>
            </w:r>
            <w:r>
              <w:rPr>
                <w:rFonts w:hint="eastAsia" w:ascii="宋体" w:hAnsi="宋体" w:eastAsia="宋体" w:cs="宋体"/>
                <w:b/>
                <w:bCs/>
                <w:color w:val="auto"/>
                <w:sz w:val="24"/>
                <w:szCs w:val="24"/>
                <w:highlight w:val="none"/>
              </w:rPr>
              <w:t>工作由甲方</w:t>
            </w:r>
            <w:r>
              <w:rPr>
                <w:rFonts w:hint="eastAsia" w:ascii="宋体" w:hAnsi="宋体" w:eastAsia="宋体" w:cs="宋体"/>
                <w:b/>
                <w:bCs/>
                <w:color w:val="auto"/>
                <w:sz w:val="24"/>
                <w:szCs w:val="24"/>
                <w:highlight w:val="none"/>
                <w:lang w:val="en-US" w:eastAsia="zh-CN"/>
              </w:rPr>
              <w:t>或甲方委托相关单位</w:t>
            </w:r>
            <w:r>
              <w:rPr>
                <w:rFonts w:hint="eastAsia" w:ascii="宋体" w:hAnsi="宋体" w:eastAsia="宋体" w:cs="宋体"/>
                <w:b/>
                <w:bCs/>
                <w:color w:val="auto"/>
                <w:sz w:val="24"/>
                <w:szCs w:val="24"/>
                <w:highlight w:val="none"/>
              </w:rPr>
              <w:t>组织实施，可采取</w:t>
            </w:r>
            <w:r>
              <w:rPr>
                <w:rFonts w:hint="eastAsia" w:ascii="宋体" w:hAnsi="宋体" w:eastAsia="宋体" w:cs="宋体"/>
                <w:b/>
                <w:bCs/>
                <w:color w:val="auto"/>
                <w:sz w:val="24"/>
                <w:szCs w:val="24"/>
                <w:highlight w:val="none"/>
                <w:lang w:val="en-US" w:eastAsia="zh-CN"/>
              </w:rPr>
              <w:t>远程视频检查</w:t>
            </w:r>
            <w:r>
              <w:rPr>
                <w:rFonts w:hint="eastAsia" w:ascii="宋体" w:hAnsi="宋体" w:eastAsia="宋体" w:cs="宋体"/>
                <w:b/>
                <w:bCs/>
                <w:color w:val="auto"/>
                <w:sz w:val="24"/>
                <w:szCs w:val="24"/>
                <w:highlight w:val="none"/>
              </w:rPr>
              <w:t>、现场检查</w:t>
            </w:r>
            <w:r>
              <w:rPr>
                <w:rFonts w:hint="eastAsia" w:ascii="宋体" w:hAnsi="宋体" w:eastAsia="宋体" w:cs="宋体"/>
                <w:b/>
                <w:bCs/>
                <w:color w:val="auto"/>
                <w:sz w:val="24"/>
                <w:szCs w:val="24"/>
                <w:highlight w:val="none"/>
                <w:lang w:val="en-US" w:eastAsia="zh-CN"/>
              </w:rPr>
              <w:t>和电话回访</w:t>
            </w:r>
            <w:r>
              <w:rPr>
                <w:rFonts w:hint="eastAsia" w:ascii="宋体" w:hAnsi="宋体" w:eastAsia="宋体" w:cs="宋体"/>
                <w:b/>
                <w:bCs/>
                <w:color w:val="auto"/>
                <w:sz w:val="24"/>
                <w:szCs w:val="24"/>
                <w:highlight w:val="none"/>
              </w:rPr>
              <w:t>等方式进行。</w:t>
            </w:r>
          </w:p>
        </w:tc>
      </w:tr>
      <w:tr w14:paraId="1B9C4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BBBF496">
            <w:pPr>
              <w:pageBreakBefore w:val="0"/>
              <w:widowControl w:val="0"/>
              <w:kinsoku/>
              <w:wordWrap w:val="0"/>
              <w:topLinePunct w:val="0"/>
              <w:bidi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2.15.2</w:t>
            </w:r>
          </w:p>
        </w:tc>
        <w:tc>
          <w:tcPr>
            <w:tcW w:w="6600" w:type="dxa"/>
            <w:vAlign w:val="center"/>
          </w:tcPr>
          <w:p w14:paraId="6C025EB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监督检查结果运用</w:t>
            </w:r>
          </w:p>
          <w:p w14:paraId="039AE4D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在检查过程中，存在下列情形之一的，须监督创业培训机构立即整改，整改合格后方可继续开班。对于情节严重或违规的，根据检查结果扣减补贴资金</w:t>
            </w:r>
            <w:r>
              <w:rPr>
                <w:rFonts w:hint="eastAsia" w:ascii="宋体" w:hAnsi="宋体" w:eastAsia="宋体" w:cs="宋体"/>
                <w:b/>
                <w:bCs/>
                <w:color w:val="auto"/>
                <w:kern w:val="2"/>
                <w:sz w:val="24"/>
                <w:szCs w:val="24"/>
                <w:highlight w:val="none"/>
                <w:lang w:val="en-US" w:eastAsia="zh-CN" w:bidi="ar-SA"/>
              </w:rPr>
              <w:t>：</w:t>
            </w:r>
          </w:p>
          <w:p w14:paraId="6511658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(一)视频监控设备未按时开启的</w:t>
            </w:r>
            <w:r>
              <w:rPr>
                <w:rFonts w:hint="eastAsia" w:ascii="宋体" w:hAnsi="宋体" w:eastAsia="宋体" w:cs="宋体"/>
                <w:b/>
                <w:bCs/>
                <w:color w:val="auto"/>
                <w:kern w:val="2"/>
                <w:sz w:val="24"/>
                <w:szCs w:val="24"/>
                <w:highlight w:val="none"/>
                <w:lang w:val="en-US" w:eastAsia="zh-CN" w:bidi="ar-SA"/>
              </w:rPr>
              <w:t>；</w:t>
            </w:r>
          </w:p>
          <w:p w14:paraId="0E45A5D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(二)未经同意，擅自改变课程方案和课时计划的</w:t>
            </w:r>
            <w:r>
              <w:rPr>
                <w:rFonts w:hint="eastAsia" w:ascii="宋体" w:hAnsi="宋体" w:eastAsia="宋体" w:cs="宋体"/>
                <w:b/>
                <w:bCs/>
                <w:color w:val="auto"/>
                <w:kern w:val="2"/>
                <w:sz w:val="24"/>
                <w:szCs w:val="24"/>
                <w:highlight w:val="none"/>
                <w:lang w:val="en-US" w:eastAsia="zh-CN" w:bidi="ar-SA"/>
              </w:rPr>
              <w:t>；</w:t>
            </w:r>
          </w:p>
          <w:p w14:paraId="79132A8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未提前备案的</w:t>
            </w:r>
            <w:r>
              <w:rPr>
                <w:rFonts w:hint="eastAsia" w:ascii="宋体" w:hAnsi="宋体" w:eastAsia="宋体" w:cs="宋体"/>
                <w:b/>
                <w:bCs/>
                <w:color w:val="auto"/>
                <w:kern w:val="2"/>
                <w:sz w:val="24"/>
                <w:szCs w:val="24"/>
                <w:highlight w:val="none"/>
                <w:lang w:val="en-US" w:eastAsia="zh-CN" w:bidi="ar-SA"/>
              </w:rPr>
              <w:t>；</w:t>
            </w:r>
          </w:p>
          <w:p w14:paraId="0027D40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(三)培训场地和授课讲师、班主任人选与开班申请不符，且</w:t>
            </w:r>
          </w:p>
          <w:p w14:paraId="751C97A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(四)教室环境布置不规范，教学设施不完善的;(五)学员出勤率低于85%的</w:t>
            </w:r>
            <w:r>
              <w:rPr>
                <w:rFonts w:hint="eastAsia" w:ascii="宋体" w:hAnsi="宋体" w:eastAsia="宋体" w:cs="宋体"/>
                <w:b/>
                <w:bCs/>
                <w:color w:val="auto"/>
                <w:kern w:val="2"/>
                <w:sz w:val="24"/>
                <w:szCs w:val="24"/>
                <w:highlight w:val="none"/>
                <w:lang w:val="en-US" w:eastAsia="zh-CN" w:bidi="ar-SA"/>
              </w:rPr>
              <w:t>；</w:t>
            </w:r>
          </w:p>
          <w:p w14:paraId="26CBCF1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(六)存在其他违反创业培训规定和要求的情形，造成严重后</w:t>
            </w:r>
          </w:p>
          <w:p w14:paraId="7324AEE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果的</w:t>
            </w:r>
            <w:r>
              <w:rPr>
                <w:rFonts w:hint="eastAsia" w:ascii="宋体" w:hAnsi="宋体" w:eastAsia="宋体" w:cs="宋体"/>
                <w:b/>
                <w:bCs/>
                <w:color w:val="auto"/>
                <w:kern w:val="2"/>
                <w:sz w:val="24"/>
                <w:szCs w:val="24"/>
                <w:highlight w:val="none"/>
                <w:lang w:val="en-US" w:eastAsia="zh-CN" w:bidi="ar-SA"/>
              </w:rPr>
              <w:t>。</w:t>
            </w:r>
          </w:p>
        </w:tc>
      </w:tr>
      <w:tr w14:paraId="6C1FD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BD141F1">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2.15.3</w:t>
            </w:r>
          </w:p>
        </w:tc>
        <w:tc>
          <w:tcPr>
            <w:tcW w:w="6600" w:type="dxa"/>
            <w:vAlign w:val="center"/>
          </w:tcPr>
          <w:p w14:paraId="6C886DD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即时退出情形</w:t>
            </w:r>
          </w:p>
          <w:p w14:paraId="0D58A35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合同履行期间，乙方出现下列情形之一的，甲方有权立即解除合同，乙方无条件退出：</w:t>
            </w:r>
          </w:p>
          <w:p w14:paraId="52C94A3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（1）将政府采购合同转包或未经甲方同意进行分包的；</w:t>
            </w:r>
          </w:p>
          <w:p w14:paraId="26C8528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（2）提供虚假培训材料、虚报培训人数、套取或骗取培训补贴资金的；</w:t>
            </w:r>
          </w:p>
          <w:p w14:paraId="70E059C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（3）办学场所存在重大安全隐患，经甲方书面通知后未在限期内整改到位的；</w:t>
            </w:r>
          </w:p>
          <w:p w14:paraId="156870E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（4）因违法违规行为被取消创业培训定点机构资格的；</w:t>
            </w:r>
          </w:p>
          <w:p w14:paraId="6099C54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（5）年度内累计三个月或连续两个月月度考核不合格的；</w:t>
            </w:r>
          </w:p>
          <w:p w14:paraId="63937CC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（6）其他严重违反合同约定，致使合同目的无法实现的情形</w:t>
            </w:r>
            <w:r>
              <w:rPr>
                <w:rFonts w:hint="eastAsia" w:ascii="宋体" w:hAnsi="宋体" w:eastAsia="宋体" w:cs="宋体"/>
                <w:b/>
                <w:bCs/>
                <w:color w:val="auto"/>
                <w:kern w:val="2"/>
                <w:sz w:val="24"/>
                <w:szCs w:val="24"/>
                <w:highlight w:val="none"/>
                <w:lang w:val="en-US" w:eastAsia="zh-CN" w:bidi="ar-SA"/>
              </w:rPr>
              <w:t>。</w:t>
            </w:r>
          </w:p>
        </w:tc>
      </w:tr>
      <w:tr w14:paraId="70236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8BF9FB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2.15.4</w:t>
            </w:r>
          </w:p>
        </w:tc>
        <w:tc>
          <w:tcPr>
            <w:tcW w:w="6600" w:type="dxa"/>
            <w:vAlign w:val="center"/>
          </w:tcPr>
          <w:p w14:paraId="0D342F1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退出后的衔接与结算</w:t>
            </w:r>
          </w:p>
          <w:p w14:paraId="71F670A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（1）合同解除后，乙方应在甲方指定的合理期限内（不超过15个工作日）完成已开展培训项目的收尾工作及全部档案资料的移交。</w:t>
            </w:r>
          </w:p>
          <w:p w14:paraId="67636DE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（2）乙方已完成的合格培训，按合同约定单价据实结算；因乙方原因导致合同解除的，甲方有权扣除当年应付服务费的5%作为违约金。</w:t>
            </w:r>
          </w:p>
          <w:p w14:paraId="5A6F01F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（3）因乙方退出造成的服务中断，甲方有权依法重新组织采购，乙方不得参与该重新采购活动。</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5</w:t>
            </w:r>
          </w:p>
        </w:tc>
        <w:tc>
          <w:tcPr>
            <w:tcW w:w="6600"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6</w:t>
            </w:r>
          </w:p>
        </w:tc>
        <w:tc>
          <w:tcPr>
            <w:tcW w:w="6600"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254EF413">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bl>
    <w:p w14:paraId="2FF7F2EB">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E7116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2E721B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0EAF124C">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1BD6BBCE">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497DB16">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F3408A0">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1EE7A38A">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016631B0">
      <w:pPr>
        <w:rPr>
          <w:color w:val="auto"/>
          <w:highlight w:val="none"/>
        </w:rPr>
      </w:pPr>
    </w:p>
    <w:bookmarkEnd w:id="50"/>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第六章投标文件格式</w:t>
      </w:r>
      <w:bookmarkEnd w:id="194"/>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p>
    <w:p w14:paraId="334F72E9">
      <w:pPr>
        <w:pStyle w:val="6"/>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199" w:name="_Toc19687"/>
      <w:bookmarkStart w:id="20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199"/>
      <w:bookmarkEnd w:id="200"/>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1" w:name="_Toc28960"/>
      <w:bookmarkStart w:id="202" w:name="_Toc17986"/>
      <w:r>
        <w:rPr>
          <w:rFonts w:hint="eastAsia" w:asciiTheme="minorEastAsia" w:hAnsiTheme="minorEastAsia" w:eastAsiaTheme="minorEastAsia"/>
          <w:b/>
          <w:color w:val="auto"/>
          <w:sz w:val="24"/>
          <w:highlight w:val="none"/>
        </w:rPr>
        <w:t>一、开标一览表</w:t>
      </w:r>
      <w:bookmarkEnd w:id="201"/>
      <w:bookmarkEnd w:id="202"/>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A60EACD">
            <w:pPr>
              <w:pageBreakBefore w:val="0"/>
              <w:widowControl w:val="0"/>
              <w:kinsoku/>
              <w:wordWrap w:val="0"/>
              <w:topLinePunct w:val="0"/>
              <w:bidi w:val="0"/>
              <w:spacing w:line="360" w:lineRule="exact"/>
              <w:jc w:val="both"/>
              <w:rPr>
                <w:rFonts w:hint="default" w:eastAsia="宋体" w:asciiTheme="minorEastAsia" w:hAnsiTheme="minorEastAsia"/>
                <w:color w:val="auto"/>
                <w:sz w:val="24"/>
                <w:highlight w:val="none"/>
                <w:u w:val="single"/>
                <w:lang w:val="en-US" w:eastAsia="zh-CN"/>
              </w:rPr>
            </w:pPr>
            <w:r>
              <w:rPr>
                <w:rFonts w:hint="eastAsia" w:asciiTheme="minorEastAsia" w:hAnsiTheme="minorEastAsia" w:eastAsiaTheme="minorEastAsia"/>
                <w:b/>
                <w:color w:val="auto"/>
                <w:sz w:val="24"/>
                <w:highlight w:val="none"/>
                <w:lang w:val="en-US" w:eastAsia="zh-CN"/>
              </w:rPr>
              <w:t>本项目实行固定单价，无需报价</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3" w:name="_Toc6120"/>
      <w:bookmarkStart w:id="204" w:name="_Toc6441"/>
      <w:r>
        <w:rPr>
          <w:rFonts w:hint="eastAsia" w:asciiTheme="minorEastAsia" w:hAnsiTheme="minorEastAsia" w:eastAsiaTheme="minorEastAsia"/>
          <w:b/>
          <w:color w:val="auto"/>
          <w:sz w:val="24"/>
          <w:highlight w:val="none"/>
        </w:rPr>
        <w:t>二、投标函</w:t>
      </w:r>
      <w:bookmarkEnd w:id="203"/>
      <w:bookmarkEnd w:id="204"/>
    </w:p>
    <w:p w14:paraId="2C84E476">
      <w:pPr>
        <w:pStyle w:val="15"/>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5" w:name="_Toc18881"/>
      <w:r>
        <w:rPr>
          <w:rFonts w:hint="eastAsia" w:asciiTheme="minorEastAsia" w:hAnsiTheme="minorEastAsia" w:eastAsiaTheme="minorEastAsia"/>
          <w:b/>
          <w:color w:val="auto"/>
          <w:sz w:val="24"/>
          <w:highlight w:val="none"/>
          <w:lang w:val="en-US" w:eastAsia="zh-CN"/>
        </w:rPr>
        <w:t>三．投标人资格声明书</w:t>
      </w:r>
      <w:bookmarkEnd w:id="205"/>
    </w:p>
    <w:p w14:paraId="1470E986">
      <w:pPr>
        <w:pStyle w:val="15"/>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0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7" w:name="_Toc24583"/>
      <w:r>
        <w:rPr>
          <w:rFonts w:hint="eastAsia" w:asciiTheme="minorEastAsia" w:hAnsiTheme="minorEastAsia" w:eastAsiaTheme="minorEastAsia"/>
          <w:b/>
          <w:color w:val="auto"/>
          <w:sz w:val="24"/>
          <w:highlight w:val="none"/>
        </w:rPr>
        <w:t>四、授权书</w:t>
      </w:r>
      <w:bookmarkEnd w:id="206"/>
      <w:bookmarkEnd w:id="207"/>
    </w:p>
    <w:p w14:paraId="79ED74C6">
      <w:pPr>
        <w:pStyle w:val="14"/>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80" w:firstLineChars="200"/>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8" w:name="_Toc31027"/>
      <w:bookmarkStart w:id="209" w:name="_Toc32226"/>
      <w:r>
        <w:rPr>
          <w:rFonts w:hint="eastAsia" w:asciiTheme="minorEastAsia" w:hAnsiTheme="minorEastAsia" w:eastAsiaTheme="minorEastAsia"/>
          <w:b/>
          <w:color w:val="auto"/>
          <w:sz w:val="24"/>
          <w:highlight w:val="none"/>
          <w:lang w:val="en-US" w:eastAsia="zh-CN"/>
        </w:rPr>
        <w:t>五、响应</w:t>
      </w:r>
      <w:r>
        <w:rPr>
          <w:rFonts w:hint="eastAsia" w:asciiTheme="minorEastAsia" w:hAnsiTheme="minorEastAsia" w:eastAsiaTheme="minorEastAsia"/>
          <w:b/>
          <w:color w:val="auto"/>
          <w:sz w:val="24"/>
          <w:highlight w:val="none"/>
        </w:rPr>
        <w:t>表</w:t>
      </w:r>
      <w:bookmarkEnd w:id="208"/>
      <w:bookmarkEnd w:id="20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4"/>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1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六、中小企业声明函</w:t>
      </w:r>
      <w:bookmarkEnd w:id="210"/>
    </w:p>
    <w:p w14:paraId="22DD704D">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4"/>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4"/>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EAEBB9F">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keepNext w:val="0"/>
        <w:keepLines w:val="0"/>
        <w:pageBreakBefore w:val="0"/>
        <w:widowControl w:val="0"/>
        <w:tabs>
          <w:tab w:val="left" w:pos="4620"/>
        </w:tabs>
        <w:kinsoku/>
        <w:wordWrap w:val="0"/>
        <w:overflowPunct/>
        <w:topLinePunct w:val="0"/>
        <w:autoSpaceDE/>
        <w:autoSpaceDN/>
        <w:bidi w:val="0"/>
        <w:adjustRightInd/>
        <w:snapToGrid/>
        <w:spacing w:line="400" w:lineRule="exac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1" w:name="_Toc17315"/>
      <w:bookmarkStart w:id="212" w:name="_Toc16713"/>
      <w:r>
        <w:rPr>
          <w:rFonts w:hint="eastAsia" w:asciiTheme="minorEastAsia" w:hAnsiTheme="minorEastAsia" w:eastAsiaTheme="minorEastAsia"/>
          <w:b/>
          <w:color w:val="auto"/>
          <w:sz w:val="24"/>
          <w:highlight w:val="none"/>
          <w:lang w:val="en-US" w:eastAsia="zh-CN"/>
        </w:rPr>
        <w:t>七、残疾人福利性单位声明函</w:t>
      </w:r>
      <w:bookmarkEnd w:id="211"/>
      <w:bookmarkEnd w:id="212"/>
    </w:p>
    <w:p w14:paraId="790FF97C">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13" w:name="_Toc457768004"/>
      <w:bookmarkStart w:id="214" w:name="_Toc520299348"/>
      <w:bookmarkStart w:id="215" w:name="_Toc300210382"/>
      <w:bookmarkStart w:id="216" w:name="_Toc23860"/>
      <w:bookmarkStart w:id="217" w:name="_Toc26536"/>
      <w:bookmarkStart w:id="218" w:name="_Hlk11701496"/>
      <w:r>
        <w:rPr>
          <w:rFonts w:hint="eastAsia" w:asciiTheme="minorEastAsia" w:hAnsiTheme="minorEastAsia" w:eastAsiaTheme="minorEastAsia"/>
          <w:b/>
          <w:color w:val="auto"/>
          <w:sz w:val="24"/>
          <w:highlight w:val="none"/>
          <w:lang w:val="en-US" w:eastAsia="zh-CN"/>
        </w:rPr>
        <w:t>八、</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九、</w:t>
      </w:r>
      <w:bookmarkEnd w:id="213"/>
      <w:bookmarkEnd w:id="214"/>
      <w:bookmarkEnd w:id="215"/>
      <w:r>
        <w:rPr>
          <w:rFonts w:hint="eastAsia" w:asciiTheme="minorEastAsia" w:hAnsiTheme="minorEastAsia" w:eastAsiaTheme="minorEastAsia"/>
          <w:b/>
          <w:color w:val="auto"/>
          <w:sz w:val="24"/>
          <w:highlight w:val="none"/>
          <w:lang w:val="en-US" w:eastAsia="zh-CN"/>
        </w:rPr>
        <w:t>诚信履约承诺函</w:t>
      </w:r>
      <w:bookmarkEnd w:id="216"/>
      <w:bookmarkEnd w:id="21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1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9" w:name="_Toc31807"/>
      <w:bookmarkStart w:id="220" w:name="_Toc32633"/>
      <w:r>
        <w:rPr>
          <w:rFonts w:hint="eastAsia" w:asciiTheme="minorEastAsia" w:hAnsiTheme="minorEastAsia" w:eastAsiaTheme="minorEastAsia"/>
          <w:b/>
          <w:color w:val="auto"/>
          <w:sz w:val="24"/>
          <w:highlight w:val="none"/>
          <w:lang w:val="en-US" w:eastAsia="zh-CN"/>
        </w:rPr>
        <w:t>十、其他相关证明材料</w:t>
      </w:r>
      <w:bookmarkEnd w:id="219"/>
      <w:bookmarkEnd w:id="22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如营业执照、证书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技术标方案</w:t>
      </w:r>
      <w:r>
        <w:rPr>
          <w:rFonts w:asciiTheme="minorEastAsia" w:hAnsiTheme="minorEastAsia" w:eastAsiaTheme="minorEastAsia"/>
          <w:b/>
          <w:bCs/>
          <w:color w:val="auto"/>
          <w:sz w:val="24"/>
          <w:highlight w:val="none"/>
        </w:rPr>
        <w:t>等，应将上述证明材料制作成扫描件上传。</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21" w:name="_Toc20819"/>
      <w:bookmarkStart w:id="22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Theme="minorEastAsia" w:hAnsiTheme="minorEastAsia" w:eastAsiaTheme="minorEastAsia"/>
          <w:b/>
          <w:color w:val="auto"/>
          <w:sz w:val="28"/>
          <w:highlight w:val="none"/>
          <w:lang w:val="en-US" w:eastAsia="zh-CN"/>
        </w:rPr>
        <w:t xml:space="preserve"> </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1"/>
      <w:bookmarkEnd w:id="22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23" w:name="_Toc27159"/>
      <w:bookmarkStart w:id="224" w:name="_Toc6955"/>
      <w:r>
        <w:rPr>
          <w:rFonts w:hint="eastAsia" w:ascii="仿宋" w:hAnsi="仿宋" w:eastAsia="仿宋" w:cs="仿宋"/>
          <w:b/>
          <w:bCs/>
          <w:color w:val="auto"/>
          <w:sz w:val="32"/>
          <w:szCs w:val="44"/>
          <w:highlight w:val="none"/>
        </w:rPr>
        <w:t>询问函范本</w:t>
      </w:r>
      <w:bookmarkEnd w:id="223"/>
      <w:bookmarkEnd w:id="22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5" w:name="_Toc13899"/>
      <w:r>
        <w:rPr>
          <w:rFonts w:hint="eastAsia" w:cs="仿宋" w:asciiTheme="minorEastAsia" w:hAnsiTheme="minorEastAsia" w:eastAsiaTheme="minorEastAsia"/>
          <w:color w:val="auto"/>
          <w:sz w:val="24"/>
          <w:szCs w:val="24"/>
          <w:highlight w:val="none"/>
        </w:rPr>
        <w:t>一、(事项一)</w:t>
      </w:r>
      <w:bookmarkEnd w:id="22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6" w:name="_Toc3352"/>
      <w:r>
        <w:rPr>
          <w:rFonts w:hint="eastAsia" w:cs="仿宋" w:asciiTheme="minorEastAsia" w:hAnsiTheme="minorEastAsia" w:eastAsiaTheme="minorEastAsia"/>
          <w:color w:val="auto"/>
          <w:sz w:val="24"/>
          <w:szCs w:val="24"/>
          <w:highlight w:val="none"/>
        </w:rPr>
        <w:t>二、(事项二)</w:t>
      </w:r>
      <w:bookmarkEnd w:id="22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27" w:name="_Toc857"/>
      <w:bookmarkStart w:id="228" w:name="_Toc1575"/>
      <w:r>
        <w:rPr>
          <w:rFonts w:hint="eastAsia" w:ascii="仿宋" w:hAnsi="仿宋" w:eastAsia="仿宋" w:cs="仿宋"/>
          <w:b/>
          <w:bCs/>
          <w:color w:val="auto"/>
          <w:sz w:val="32"/>
          <w:szCs w:val="44"/>
          <w:highlight w:val="none"/>
        </w:rPr>
        <w:t>质疑函范本</w:t>
      </w:r>
      <w:bookmarkEnd w:id="227"/>
      <w:bookmarkEnd w:id="22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29" w:name="_Toc21381"/>
      <w:r>
        <w:rPr>
          <w:rFonts w:hint="eastAsia" w:cs="仿宋" w:asciiTheme="minorEastAsia" w:hAnsiTheme="minorEastAsia" w:eastAsiaTheme="minorEastAsia"/>
          <w:b/>
          <w:bCs/>
          <w:color w:val="auto"/>
          <w:sz w:val="24"/>
          <w:szCs w:val="24"/>
          <w:highlight w:val="none"/>
        </w:rPr>
        <w:t>一、质疑供应商基本信息</w:t>
      </w:r>
      <w:bookmarkEnd w:id="22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0" w:name="_Toc28415"/>
      <w:r>
        <w:rPr>
          <w:rFonts w:hint="eastAsia" w:cs="仿宋" w:asciiTheme="minorEastAsia" w:hAnsiTheme="minorEastAsia" w:eastAsiaTheme="minorEastAsia"/>
          <w:b/>
          <w:bCs/>
          <w:color w:val="auto"/>
          <w:sz w:val="24"/>
          <w:szCs w:val="24"/>
          <w:highlight w:val="none"/>
        </w:rPr>
        <w:t>二、质疑项目基本情况</w:t>
      </w:r>
      <w:bookmarkEnd w:id="23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1" w:name="_Toc19014"/>
      <w:r>
        <w:rPr>
          <w:rFonts w:hint="eastAsia" w:cs="仿宋" w:asciiTheme="minorEastAsia" w:hAnsiTheme="minorEastAsia" w:eastAsiaTheme="minorEastAsia"/>
          <w:b/>
          <w:bCs/>
          <w:color w:val="auto"/>
          <w:sz w:val="24"/>
          <w:szCs w:val="24"/>
          <w:highlight w:val="none"/>
        </w:rPr>
        <w:t>三、质疑事项具体内容</w:t>
      </w:r>
      <w:bookmarkEnd w:id="23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2" w:name="_Toc17919"/>
      <w:r>
        <w:rPr>
          <w:rFonts w:hint="eastAsia" w:cs="仿宋" w:asciiTheme="minorEastAsia" w:hAnsiTheme="minorEastAsia" w:eastAsiaTheme="minorEastAsia"/>
          <w:b/>
          <w:bCs/>
          <w:color w:val="auto"/>
          <w:sz w:val="24"/>
          <w:szCs w:val="24"/>
          <w:highlight w:val="none"/>
        </w:rPr>
        <w:t>四、与质疑事项相关的质疑请求</w:t>
      </w:r>
      <w:bookmarkEnd w:id="23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33" w:name="_Toc22239"/>
      <w:bookmarkStart w:id="234" w:name="_Toc9754"/>
      <w:r>
        <w:rPr>
          <w:rFonts w:hint="eastAsia" w:asciiTheme="minorEastAsia" w:hAnsiTheme="minorEastAsia" w:eastAsiaTheme="minorEastAsia"/>
          <w:b/>
          <w:color w:val="auto"/>
          <w:sz w:val="28"/>
          <w:szCs w:val="32"/>
          <w:highlight w:val="none"/>
        </w:rPr>
        <w:t>质疑函制作说明：</w:t>
      </w:r>
      <w:bookmarkEnd w:id="233"/>
      <w:bookmarkEnd w:id="23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C7104CB">
      <w:pPr>
        <w:pageBreakBefore w:val="0"/>
        <w:widowControl w:val="0"/>
        <w:kinsoku/>
        <w:wordWrap w:val="0"/>
        <w:topLinePunct w:val="0"/>
        <w:bidi w:val="0"/>
        <w:rPr>
          <w:color w:val="auto"/>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35AD691-D203-4DED-8C86-E6D8772C1721}"/>
  </w:font>
  <w:font w:name="Arial">
    <w:panose1 w:val="020B0604020202020204"/>
    <w:charset w:val="01"/>
    <w:family w:val="swiss"/>
    <w:pitch w:val="default"/>
    <w:sig w:usb0="E0002EFF" w:usb1="C000785B" w:usb2="00000009" w:usb3="00000000" w:csb0="400001FF" w:csb1="FFFF0000"/>
    <w:embedRegular r:id="rId2" w:fontKey="{738BEA49-3591-4D73-8A7E-872341C321E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95EC7FFF-F1A6-466D-AB3D-CECE42BC1191}"/>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4" w:fontKey="{28A51F1A-9FA6-4F04-9F0C-10496450C9FB}"/>
  </w:font>
  <w:font w:name="仿宋">
    <w:panose1 w:val="02010609060101010101"/>
    <w:charset w:val="86"/>
    <w:family w:val="auto"/>
    <w:pitch w:val="default"/>
    <w:sig w:usb0="800002BF" w:usb1="38CF7CFA" w:usb2="00000016" w:usb3="00000000" w:csb0="00040001" w:csb1="00000000"/>
    <w:embedRegular r:id="rId5" w:fontKey="{C36194A8-001D-4569-9427-3F807D69B6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39E55"/>
    <w:multiLevelType w:val="singleLevel"/>
    <w:tmpl w:val="B5839E55"/>
    <w:lvl w:ilvl="0" w:tentative="0">
      <w:start w:val="1"/>
      <w:numFmt w:val="decimal"/>
      <w:suff w:val="space"/>
      <w:lvlText w:val="%1."/>
      <w:lvlJc w:val="left"/>
    </w:lvl>
  </w:abstractNum>
  <w:abstractNum w:abstractNumId="1">
    <w:nsid w:val="00000003"/>
    <w:multiLevelType w:val="multilevel"/>
    <w:tmpl w:val="00000003"/>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7A3751"/>
    <w:multiLevelType w:val="singleLevel"/>
    <w:tmpl w:val="1D7A3751"/>
    <w:lvl w:ilvl="0" w:tentative="0">
      <w:start w:val="1"/>
      <w:numFmt w:val="decimal"/>
      <w:suff w:val="space"/>
      <w:lvlText w:val="%1."/>
      <w:lvlJc w:val="left"/>
    </w:lvl>
  </w:abstractNum>
  <w:abstractNum w:abstractNumId="3">
    <w:nsid w:val="2A064A37"/>
    <w:multiLevelType w:val="singleLevel"/>
    <w:tmpl w:val="2A064A37"/>
    <w:lvl w:ilvl="0" w:tentative="0">
      <w:start w:val="3"/>
      <w:numFmt w:val="chineseCounting"/>
      <w:suff w:val="space"/>
      <w:lvlText w:val="第%1章"/>
      <w:lvlJc w:val="left"/>
      <w:rPr>
        <w:rFonts w:hint="eastAsia"/>
      </w:rPr>
    </w:lvl>
  </w:abstractNum>
  <w:abstractNum w:abstractNumId="4">
    <w:nsid w:val="7F505099"/>
    <w:multiLevelType w:val="singleLevel"/>
    <w:tmpl w:val="7F505099"/>
    <w:lvl w:ilvl="0" w:tentative="0">
      <w:start w:val="1"/>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214602E"/>
    <w:rsid w:val="03223EF0"/>
    <w:rsid w:val="03486B27"/>
    <w:rsid w:val="035717DD"/>
    <w:rsid w:val="03575C81"/>
    <w:rsid w:val="040A094E"/>
    <w:rsid w:val="041C7B7F"/>
    <w:rsid w:val="044B7594"/>
    <w:rsid w:val="04E36C96"/>
    <w:rsid w:val="056800F4"/>
    <w:rsid w:val="056F201D"/>
    <w:rsid w:val="05B664D4"/>
    <w:rsid w:val="07076C01"/>
    <w:rsid w:val="071C12AC"/>
    <w:rsid w:val="074E231E"/>
    <w:rsid w:val="07A934B3"/>
    <w:rsid w:val="07BD6760"/>
    <w:rsid w:val="087B0CF3"/>
    <w:rsid w:val="08B15E54"/>
    <w:rsid w:val="092B1C76"/>
    <w:rsid w:val="0980799C"/>
    <w:rsid w:val="09C40B0E"/>
    <w:rsid w:val="0A0F6376"/>
    <w:rsid w:val="0A353CEA"/>
    <w:rsid w:val="0A6A18DB"/>
    <w:rsid w:val="0AEF3828"/>
    <w:rsid w:val="0BB62F04"/>
    <w:rsid w:val="0BBB665B"/>
    <w:rsid w:val="0C222B39"/>
    <w:rsid w:val="0CB7664E"/>
    <w:rsid w:val="0D5152A5"/>
    <w:rsid w:val="0E6C55F8"/>
    <w:rsid w:val="0E816EC5"/>
    <w:rsid w:val="0EEA6FC1"/>
    <w:rsid w:val="0F4277C2"/>
    <w:rsid w:val="0F954485"/>
    <w:rsid w:val="0FBA55CD"/>
    <w:rsid w:val="0FBF344F"/>
    <w:rsid w:val="0FD56B4E"/>
    <w:rsid w:val="101C30CB"/>
    <w:rsid w:val="10505F32"/>
    <w:rsid w:val="105A27E6"/>
    <w:rsid w:val="119B0711"/>
    <w:rsid w:val="12197477"/>
    <w:rsid w:val="121A05A5"/>
    <w:rsid w:val="12F933E5"/>
    <w:rsid w:val="13587E2C"/>
    <w:rsid w:val="1466407E"/>
    <w:rsid w:val="147677B7"/>
    <w:rsid w:val="14834E28"/>
    <w:rsid w:val="148E7D65"/>
    <w:rsid w:val="151D4243"/>
    <w:rsid w:val="15231BF9"/>
    <w:rsid w:val="15EA39A1"/>
    <w:rsid w:val="179F5278"/>
    <w:rsid w:val="18200F67"/>
    <w:rsid w:val="1A3B68AA"/>
    <w:rsid w:val="1A3E1C1E"/>
    <w:rsid w:val="1C141836"/>
    <w:rsid w:val="1CAB2C83"/>
    <w:rsid w:val="1E6B6A14"/>
    <w:rsid w:val="1E8079E2"/>
    <w:rsid w:val="1EBB53BC"/>
    <w:rsid w:val="1F7458BE"/>
    <w:rsid w:val="1FE741BD"/>
    <w:rsid w:val="202C350B"/>
    <w:rsid w:val="20550D9A"/>
    <w:rsid w:val="21714B53"/>
    <w:rsid w:val="218E2416"/>
    <w:rsid w:val="226915FE"/>
    <w:rsid w:val="22DC0F0C"/>
    <w:rsid w:val="22E14C32"/>
    <w:rsid w:val="247D172D"/>
    <w:rsid w:val="24B97929"/>
    <w:rsid w:val="2520252D"/>
    <w:rsid w:val="253908EB"/>
    <w:rsid w:val="26163BC1"/>
    <w:rsid w:val="262221C3"/>
    <w:rsid w:val="27906EE8"/>
    <w:rsid w:val="284F15D5"/>
    <w:rsid w:val="285F40CA"/>
    <w:rsid w:val="28701A4C"/>
    <w:rsid w:val="28C01ECB"/>
    <w:rsid w:val="28E90C12"/>
    <w:rsid w:val="28EC3ECC"/>
    <w:rsid w:val="29537E8E"/>
    <w:rsid w:val="29BF71E3"/>
    <w:rsid w:val="2A127B63"/>
    <w:rsid w:val="2AAA4765"/>
    <w:rsid w:val="2AC21606"/>
    <w:rsid w:val="2AF63C5E"/>
    <w:rsid w:val="2B2E0C3C"/>
    <w:rsid w:val="2B7E7608"/>
    <w:rsid w:val="2B7F04E9"/>
    <w:rsid w:val="2BCA5C66"/>
    <w:rsid w:val="2C305555"/>
    <w:rsid w:val="2C324425"/>
    <w:rsid w:val="2C9A21B9"/>
    <w:rsid w:val="2CDC6672"/>
    <w:rsid w:val="2CE20523"/>
    <w:rsid w:val="2D3D6E26"/>
    <w:rsid w:val="2D496D68"/>
    <w:rsid w:val="2E6672CB"/>
    <w:rsid w:val="2E7A48DE"/>
    <w:rsid w:val="2EDC3ED8"/>
    <w:rsid w:val="2F2D046C"/>
    <w:rsid w:val="2F6351B4"/>
    <w:rsid w:val="2FCF199E"/>
    <w:rsid w:val="302E4A7C"/>
    <w:rsid w:val="30483E83"/>
    <w:rsid w:val="30AA0E97"/>
    <w:rsid w:val="30BD4AC6"/>
    <w:rsid w:val="31FC1669"/>
    <w:rsid w:val="323B4877"/>
    <w:rsid w:val="330064C0"/>
    <w:rsid w:val="334E4CD8"/>
    <w:rsid w:val="33A67DCB"/>
    <w:rsid w:val="33AF6948"/>
    <w:rsid w:val="343C0775"/>
    <w:rsid w:val="34AA76A9"/>
    <w:rsid w:val="356C50EC"/>
    <w:rsid w:val="361108CD"/>
    <w:rsid w:val="3700166C"/>
    <w:rsid w:val="3727617F"/>
    <w:rsid w:val="375969FE"/>
    <w:rsid w:val="377260D5"/>
    <w:rsid w:val="38694EE9"/>
    <w:rsid w:val="38C12275"/>
    <w:rsid w:val="38F80D91"/>
    <w:rsid w:val="393C6E91"/>
    <w:rsid w:val="3AAF3166"/>
    <w:rsid w:val="3AAF722D"/>
    <w:rsid w:val="3B365CC9"/>
    <w:rsid w:val="3B813AFD"/>
    <w:rsid w:val="3B9A7B88"/>
    <w:rsid w:val="3BC114FF"/>
    <w:rsid w:val="3C114756"/>
    <w:rsid w:val="3C2660C6"/>
    <w:rsid w:val="3D2C7AC8"/>
    <w:rsid w:val="3D855D12"/>
    <w:rsid w:val="3D8B42FF"/>
    <w:rsid w:val="3D8C02DD"/>
    <w:rsid w:val="3D9409D6"/>
    <w:rsid w:val="3DC20089"/>
    <w:rsid w:val="3DF36A6E"/>
    <w:rsid w:val="3F1138E1"/>
    <w:rsid w:val="3F792F1E"/>
    <w:rsid w:val="3F7B0475"/>
    <w:rsid w:val="3FCF2A56"/>
    <w:rsid w:val="407A3E67"/>
    <w:rsid w:val="40824826"/>
    <w:rsid w:val="40E63923"/>
    <w:rsid w:val="411E0097"/>
    <w:rsid w:val="4140333C"/>
    <w:rsid w:val="42545C34"/>
    <w:rsid w:val="42B443F4"/>
    <w:rsid w:val="42F43FD4"/>
    <w:rsid w:val="433569A4"/>
    <w:rsid w:val="43A91E5B"/>
    <w:rsid w:val="44042543"/>
    <w:rsid w:val="44330E67"/>
    <w:rsid w:val="44BC3308"/>
    <w:rsid w:val="44C935E1"/>
    <w:rsid w:val="4574613B"/>
    <w:rsid w:val="45BA48DB"/>
    <w:rsid w:val="45BE11FB"/>
    <w:rsid w:val="463A3650"/>
    <w:rsid w:val="469F0116"/>
    <w:rsid w:val="47402999"/>
    <w:rsid w:val="475259B7"/>
    <w:rsid w:val="47544337"/>
    <w:rsid w:val="48831CF9"/>
    <w:rsid w:val="49845D76"/>
    <w:rsid w:val="49A165B8"/>
    <w:rsid w:val="49B1408D"/>
    <w:rsid w:val="49BE3444"/>
    <w:rsid w:val="4A7D4FD2"/>
    <w:rsid w:val="4A913C9A"/>
    <w:rsid w:val="4AE22D2F"/>
    <w:rsid w:val="4B1F70AC"/>
    <w:rsid w:val="4B240F94"/>
    <w:rsid w:val="4B386AE5"/>
    <w:rsid w:val="4B876D11"/>
    <w:rsid w:val="4BA75287"/>
    <w:rsid w:val="4BDC6EAE"/>
    <w:rsid w:val="4BED70D6"/>
    <w:rsid w:val="4C0E05BB"/>
    <w:rsid w:val="4C3C565C"/>
    <w:rsid w:val="4C936C5D"/>
    <w:rsid w:val="4CCC79C7"/>
    <w:rsid w:val="4D7555C7"/>
    <w:rsid w:val="4E2D13A4"/>
    <w:rsid w:val="4EAE6DA0"/>
    <w:rsid w:val="4EB15F74"/>
    <w:rsid w:val="4F002A5F"/>
    <w:rsid w:val="4F854DA4"/>
    <w:rsid w:val="4FB17138"/>
    <w:rsid w:val="4FD037EF"/>
    <w:rsid w:val="5016514B"/>
    <w:rsid w:val="502857C7"/>
    <w:rsid w:val="50476D3D"/>
    <w:rsid w:val="50F72CFD"/>
    <w:rsid w:val="51CB1C78"/>
    <w:rsid w:val="51FD6A51"/>
    <w:rsid w:val="526B680A"/>
    <w:rsid w:val="52AA4A52"/>
    <w:rsid w:val="52C90BE7"/>
    <w:rsid w:val="52FB705C"/>
    <w:rsid w:val="53150D15"/>
    <w:rsid w:val="5352083E"/>
    <w:rsid w:val="541A5D30"/>
    <w:rsid w:val="54A46A33"/>
    <w:rsid w:val="54F24195"/>
    <w:rsid w:val="54F66B38"/>
    <w:rsid w:val="552F56E3"/>
    <w:rsid w:val="553E632F"/>
    <w:rsid w:val="55F068CD"/>
    <w:rsid w:val="563165DB"/>
    <w:rsid w:val="565E1758"/>
    <w:rsid w:val="566C3136"/>
    <w:rsid w:val="568D04F2"/>
    <w:rsid w:val="57B9325C"/>
    <w:rsid w:val="57B976AF"/>
    <w:rsid w:val="588D6DD7"/>
    <w:rsid w:val="58943156"/>
    <w:rsid w:val="59246BE1"/>
    <w:rsid w:val="59930AE1"/>
    <w:rsid w:val="59AA13FC"/>
    <w:rsid w:val="5A282BA9"/>
    <w:rsid w:val="5A526582"/>
    <w:rsid w:val="5A5F5C77"/>
    <w:rsid w:val="5A933291"/>
    <w:rsid w:val="5B6534AE"/>
    <w:rsid w:val="5B900F3C"/>
    <w:rsid w:val="5BBE39CD"/>
    <w:rsid w:val="5BC11A60"/>
    <w:rsid w:val="5BD97645"/>
    <w:rsid w:val="5C7A4D54"/>
    <w:rsid w:val="5CD23B73"/>
    <w:rsid w:val="5D483260"/>
    <w:rsid w:val="5D997B0D"/>
    <w:rsid w:val="5F127819"/>
    <w:rsid w:val="5F63752A"/>
    <w:rsid w:val="5FD90934"/>
    <w:rsid w:val="60F1503F"/>
    <w:rsid w:val="60F905F7"/>
    <w:rsid w:val="61025188"/>
    <w:rsid w:val="61057D5F"/>
    <w:rsid w:val="614D4977"/>
    <w:rsid w:val="61A704EA"/>
    <w:rsid w:val="63962CDC"/>
    <w:rsid w:val="63C60FC0"/>
    <w:rsid w:val="642F2C68"/>
    <w:rsid w:val="64BA3D7A"/>
    <w:rsid w:val="64F179BC"/>
    <w:rsid w:val="65C94C55"/>
    <w:rsid w:val="665704D3"/>
    <w:rsid w:val="672A2FC6"/>
    <w:rsid w:val="673148E2"/>
    <w:rsid w:val="675445CD"/>
    <w:rsid w:val="675608AD"/>
    <w:rsid w:val="675A23DE"/>
    <w:rsid w:val="676F1E29"/>
    <w:rsid w:val="67C065A4"/>
    <w:rsid w:val="67D359C9"/>
    <w:rsid w:val="68DF53B3"/>
    <w:rsid w:val="68F14A8C"/>
    <w:rsid w:val="68F4200C"/>
    <w:rsid w:val="68FE36DD"/>
    <w:rsid w:val="694E60FC"/>
    <w:rsid w:val="69691254"/>
    <w:rsid w:val="69EF4042"/>
    <w:rsid w:val="6A465D34"/>
    <w:rsid w:val="6B2E0222"/>
    <w:rsid w:val="6C410A63"/>
    <w:rsid w:val="6C675CE6"/>
    <w:rsid w:val="6CEF35AF"/>
    <w:rsid w:val="6D0D7C60"/>
    <w:rsid w:val="6D0E49F2"/>
    <w:rsid w:val="6D4F4321"/>
    <w:rsid w:val="6DFF7360"/>
    <w:rsid w:val="6E7A5F73"/>
    <w:rsid w:val="6F2E3798"/>
    <w:rsid w:val="6F8455DF"/>
    <w:rsid w:val="6FA22640"/>
    <w:rsid w:val="6FAD5732"/>
    <w:rsid w:val="6FD74228"/>
    <w:rsid w:val="70074E3A"/>
    <w:rsid w:val="70B33744"/>
    <w:rsid w:val="70FE5EDF"/>
    <w:rsid w:val="71633091"/>
    <w:rsid w:val="72C76B74"/>
    <w:rsid w:val="72DA4450"/>
    <w:rsid w:val="73081CA5"/>
    <w:rsid w:val="73483525"/>
    <w:rsid w:val="736A5E0C"/>
    <w:rsid w:val="736D39CA"/>
    <w:rsid w:val="73754572"/>
    <w:rsid w:val="73C45C4A"/>
    <w:rsid w:val="74545B7C"/>
    <w:rsid w:val="7487762D"/>
    <w:rsid w:val="74BD640F"/>
    <w:rsid w:val="75385498"/>
    <w:rsid w:val="75EE3EFC"/>
    <w:rsid w:val="769962BD"/>
    <w:rsid w:val="76BC207F"/>
    <w:rsid w:val="76CA0F85"/>
    <w:rsid w:val="76EB4904"/>
    <w:rsid w:val="777378F5"/>
    <w:rsid w:val="777A2D3C"/>
    <w:rsid w:val="77F04406"/>
    <w:rsid w:val="78537BEA"/>
    <w:rsid w:val="78961451"/>
    <w:rsid w:val="79074B81"/>
    <w:rsid w:val="791C6B47"/>
    <w:rsid w:val="794F0939"/>
    <w:rsid w:val="79AF0FCA"/>
    <w:rsid w:val="79EF2560"/>
    <w:rsid w:val="7AD505CC"/>
    <w:rsid w:val="7AE658BA"/>
    <w:rsid w:val="7AF9279C"/>
    <w:rsid w:val="7C8A45E3"/>
    <w:rsid w:val="7CC51958"/>
    <w:rsid w:val="7CEC40B6"/>
    <w:rsid w:val="7E2936C3"/>
    <w:rsid w:val="7E2E365C"/>
    <w:rsid w:val="7E4347F3"/>
    <w:rsid w:val="7E6411B9"/>
    <w:rsid w:val="7E967741"/>
    <w:rsid w:val="7EA6509E"/>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82"/>
    <w:autoRedefine/>
    <w:qFormat/>
    <w:uiPriority w:val="0"/>
    <w:pPr>
      <w:spacing w:after="120"/>
    </w:pPr>
    <w:rPr>
      <w:rFonts w:ascii="@微软简标宋" w:hAnsi="@微软简标宋" w:eastAsia="@微软简标宋" w:cs="@微软简标宋"/>
      <w:szCs w:val="24"/>
      <w:lang w:val="zh-CN"/>
    </w:rPr>
  </w:style>
  <w:style w:type="paragraph" w:styleId="3">
    <w:name w:val="toc 5"/>
    <w:basedOn w:val="1"/>
    <w:next w:val="1"/>
    <w:qFormat/>
    <w:uiPriority w:val="0"/>
    <w:pPr>
      <w:ind w:left="1680"/>
    </w:p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60"/>
    <w:autoRedefine/>
    <w:qFormat/>
    <w:uiPriority w:val="0"/>
    <w:pPr>
      <w:jc w:val="left"/>
    </w:pPr>
    <w:rPr>
      <w:rFonts w:ascii="Arial" w:hAnsi="Arial" w:eastAsia="黑体" w:cs="Arial"/>
    </w:rPr>
  </w:style>
  <w:style w:type="paragraph" w:styleId="11">
    <w:name w:val="Body Text Indent"/>
    <w:basedOn w:val="1"/>
    <w:next w:val="12"/>
    <w:unhideWhenUsed/>
    <w:qFormat/>
    <w:uiPriority w:val="0"/>
    <w:pPr>
      <w:spacing w:after="120"/>
      <w:ind w:left="420" w:leftChars="200"/>
    </w:pPr>
    <w:rPr>
      <w:rFonts w:asciiTheme="minorHAnsi" w:hAnsiTheme="minorHAnsi"/>
      <w:szCs w:val="22"/>
    </w:rPr>
  </w:style>
  <w:style w:type="paragraph" w:styleId="12">
    <w:name w:val="envelope return"/>
    <w:basedOn w:val="1"/>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5">
    <w:name w:val="annotation subject"/>
    <w:basedOn w:val="10"/>
    <w:next w:val="10"/>
    <w:link w:val="71"/>
    <w:autoRedefine/>
    <w:semiHidden/>
    <w:unhideWhenUsed/>
    <w:qFormat/>
    <w:uiPriority w:val="99"/>
    <w:rPr>
      <w:rFonts w:ascii="@仿宋_GB2312" w:hAnsi="@仿宋_GB2312" w:eastAsia="@仿宋_GB2312" w:cs="@仿宋_GB2312"/>
      <w:b/>
      <w:bCs/>
    </w:rPr>
  </w:style>
  <w:style w:type="paragraph" w:styleId="26">
    <w:name w:val="Body Text First Indent"/>
    <w:basedOn w:val="2"/>
    <w:autoRedefine/>
    <w:unhideWhenUsed/>
    <w:qFormat/>
    <w:uiPriority w:val="99"/>
    <w:pPr>
      <w:ind w:firstLine="420" w:firstLineChars="100"/>
    </w:pPr>
  </w:style>
  <w:style w:type="paragraph" w:styleId="27">
    <w:name w:val="Body Text First Indent 2"/>
    <w:basedOn w:val="11"/>
    <w:next w:val="1"/>
    <w:qFormat/>
    <w:uiPriority w:val="0"/>
    <w:pPr>
      <w:spacing w:line="360" w:lineRule="auto"/>
      <w:ind w:firstLine="200"/>
    </w:p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bdr w:val="single" w:color="D6D6D6" w:sz="6" w:space="0"/>
      <w:shd w:val="clear" w:fill="FFFFFF"/>
    </w:rPr>
  </w:style>
  <w:style w:type="character" w:styleId="43">
    <w:name w:val="HTML Sample"/>
    <w:basedOn w:val="30"/>
    <w:semiHidden/>
    <w:unhideWhenUsed/>
    <w:qFormat/>
    <w:uiPriority w:val="99"/>
    <w:rPr>
      <w:rFonts w:hint="default" w:ascii="monospace" w:hAnsi="monospace" w:eastAsia="monospace" w:cs="monospace"/>
    </w:rPr>
  </w:style>
  <w:style w:type="character" w:customStyle="1" w:styleId="44">
    <w:name w:val="批注框文本 Char"/>
    <w:basedOn w:val="30"/>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8"/>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10"/>
    <w:autoRedefine/>
    <w:qFormat/>
    <w:uiPriority w:val="0"/>
    <w:rPr>
      <w:rFonts w:ascii="Arial" w:hAnsi="Arial" w:eastAsia="黑体" w:cs="Arial"/>
      <w:szCs w:val="20"/>
    </w:rPr>
  </w:style>
  <w:style w:type="character" w:customStyle="1" w:styleId="61">
    <w:name w:val="标题 1 Char"/>
    <w:basedOn w:val="30"/>
    <w:link w:val="4"/>
    <w:autoRedefine/>
    <w:qFormat/>
    <w:uiPriority w:val="9"/>
    <w:rPr>
      <w:rFonts w:ascii="@仿宋_GB2312" w:hAnsi="@仿宋_GB2312" w:eastAsia="@仿宋_GB2312" w:cs="@仿宋_GB2312"/>
      <w:b/>
      <w:bCs/>
      <w:kern w:val="44"/>
      <w:sz w:val="44"/>
      <w:szCs w:val="44"/>
    </w:rPr>
  </w:style>
  <w:style w:type="paragraph" w:customStyle="1" w:styleId="62">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6"/>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7"/>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30"/>
    <w:qFormat/>
    <w:uiPriority w:val="0"/>
    <w:rPr>
      <w:color w:val="2590EB"/>
    </w:rPr>
  </w:style>
  <w:style w:type="character" w:customStyle="1" w:styleId="76">
    <w:name w:val="hover1"/>
    <w:basedOn w:val="30"/>
    <w:qFormat/>
    <w:uiPriority w:val="0"/>
    <w:rPr>
      <w:color w:val="2590EB"/>
    </w:rPr>
  </w:style>
  <w:style w:type="character" w:customStyle="1" w:styleId="77">
    <w:name w:val="hover2"/>
    <w:basedOn w:val="30"/>
    <w:qFormat/>
    <w:uiPriority w:val="0"/>
  </w:style>
  <w:style w:type="character" w:customStyle="1" w:styleId="78">
    <w:name w:val="hover3"/>
    <w:basedOn w:val="30"/>
    <w:qFormat/>
    <w:uiPriority w:val="0"/>
    <w:rPr>
      <w:color w:val="2590EB"/>
      <w:shd w:val="clear" w:fill="E9F4FD"/>
    </w:rPr>
  </w:style>
  <w:style w:type="character" w:customStyle="1" w:styleId="79">
    <w:name w:val="hover4"/>
    <w:basedOn w:val="30"/>
    <w:qFormat/>
    <w:uiPriority w:val="0"/>
    <w:rPr>
      <w:color w:val="2590EB"/>
      <w:shd w:val="clear" w:fill="E9F4FD"/>
    </w:rPr>
  </w:style>
  <w:style w:type="character" w:customStyle="1" w:styleId="80">
    <w:name w:val="layui-this"/>
    <w:basedOn w:val="30"/>
    <w:qFormat/>
    <w:uiPriority w:val="0"/>
    <w:rPr>
      <w:bdr w:val="single" w:color="EEEEEE" w:sz="6" w:space="0"/>
      <w:shd w:val="clear" w:fill="FFFFFF"/>
    </w:rPr>
  </w:style>
  <w:style w:type="character" w:customStyle="1" w:styleId="81">
    <w:name w:val="first-child"/>
    <w:basedOn w:val="30"/>
    <w:qFormat/>
    <w:uiPriority w:val="0"/>
  </w:style>
  <w:style w:type="character" w:customStyle="1" w:styleId="82">
    <w:name w:val="正文文本 Char"/>
    <w:link w:val="2"/>
    <w:qFormat/>
    <w:uiPriority w:val="0"/>
    <w:rPr>
      <w:rFonts w:ascii="@微软简标宋" w:hAnsi="@微软简标宋" w:eastAsia="@微软简标宋" w:cs="@微软简标宋"/>
      <w:szCs w:val="24"/>
      <w:lang w:val="zh-CN"/>
    </w:rPr>
  </w:style>
  <w:style w:type="paragraph" w:styleId="83">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4">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6">
    <w:name w:val="card-title"/>
    <w:basedOn w:val="1"/>
    <w:qFormat/>
    <w:uiPriority w:val="0"/>
    <w:pPr>
      <w:spacing w:line="543" w:lineRule="atLeast"/>
      <w:ind w:right="679"/>
      <w:jc w:val="left"/>
    </w:pPr>
    <w:rPr>
      <w:color w:val="666666"/>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customXml/itemProps3.xml><?xml version="1.0" encoding="utf-8"?>
<ds:datastoreItem xmlns:ds="http://schemas.openxmlformats.org/officeDocument/2006/customXml" ds:itemID="{5932e229-fcc8-4271-b9d9-f02fd6c1427f}">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68</Pages>
  <Words>33112</Words>
  <Characters>35133</Characters>
  <Lines>244</Lines>
  <Paragraphs>68</Paragraphs>
  <TotalTime>4</TotalTime>
  <ScaleCrop>false</ScaleCrop>
  <LinksUpToDate>false</LinksUpToDate>
  <CharactersWithSpaces>35742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2019-12-07T15:18:00Z</cp:lastPrinted>
  <dcterms:modified xsi:type="dcterms:W3CDTF">2026-08-20T02:30:45Z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422BBB2F60EC4B708C2080A90CF66387_13</vt:lpwstr>
  </property>
  <property fmtid="{D5CDD505-2E9C-101B-9397-08002B2CF9AE}" pid="4" name="KSOTemplateDocerSaveRecord">
    <vt:lpwstr>eyJoZGlkIjoiOTc5MDNjMmIyODczM2YwMGZkZTNjYWY1NjIxZTY5YjciLCJ1c2VySWQiOiI1MDM3MjkwOTMifQ==</vt:lpwstr>
  </property>
</Properties>
</file>