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30F10">
      <w:pPr>
        <w:tabs>
          <w:tab w:val="left" w:pos="315"/>
          <w:tab w:val="left" w:pos="8820"/>
        </w:tabs>
        <w:spacing w:before="312" w:beforeLines="100" w:after="156" w:afterLines="50" w:line="500" w:lineRule="exact"/>
        <w:ind w:right="267" w:rightChars="127"/>
        <w:jc w:val="center"/>
        <w:rPr>
          <w:rFonts w:hint="eastAsia" w:ascii="仿宋" w:hAnsi="仿宋" w:eastAsia="仿宋" w:cs="仿宋"/>
          <w:b/>
          <w:bCs/>
          <w:color w:val="auto"/>
          <w:sz w:val="52"/>
          <w:szCs w:val="52"/>
          <w:highlight w:val="none"/>
        </w:rPr>
      </w:pPr>
    </w:p>
    <w:p w14:paraId="0772E0F1">
      <w:pPr>
        <w:tabs>
          <w:tab w:val="left" w:pos="315"/>
          <w:tab w:val="left" w:pos="8820"/>
        </w:tabs>
        <w:spacing w:before="312" w:beforeLines="100" w:after="156" w:afterLines="50" w:line="500" w:lineRule="exact"/>
        <w:ind w:right="267" w:rightChars="127"/>
        <w:jc w:val="center"/>
        <w:rPr>
          <w:rFonts w:hint="eastAsia" w:ascii="仿宋" w:hAnsi="仿宋" w:eastAsia="仿宋" w:cs="仿宋"/>
          <w:b/>
          <w:bCs/>
          <w:color w:val="auto"/>
          <w:sz w:val="52"/>
          <w:szCs w:val="52"/>
          <w:highlight w:val="none"/>
        </w:rPr>
      </w:pPr>
    </w:p>
    <w:p w14:paraId="63E84556">
      <w:pPr>
        <w:tabs>
          <w:tab w:val="left" w:pos="315"/>
          <w:tab w:val="left" w:pos="8820"/>
        </w:tabs>
        <w:spacing w:before="312" w:beforeLines="100" w:after="156" w:afterLines="50" w:line="500" w:lineRule="exact"/>
        <w:ind w:right="267" w:rightChars="127"/>
        <w:jc w:val="center"/>
        <w:rPr>
          <w:rFonts w:hint="eastAsia" w:ascii="仿宋" w:hAnsi="仿宋" w:eastAsia="仿宋" w:cs="仿宋"/>
          <w:b/>
          <w:bCs/>
          <w:color w:val="auto"/>
          <w:sz w:val="52"/>
          <w:szCs w:val="52"/>
          <w:highlight w:val="none"/>
        </w:rPr>
      </w:pPr>
      <w:bookmarkStart w:id="0" w:name="_Hlk9544796"/>
      <w:r>
        <w:rPr>
          <w:rFonts w:hint="eastAsia" w:ascii="仿宋" w:hAnsi="仿宋" w:eastAsia="仿宋" w:cs="仿宋"/>
          <w:b/>
          <w:bCs/>
          <w:color w:val="auto"/>
          <w:sz w:val="52"/>
          <w:szCs w:val="52"/>
          <w:highlight w:val="none"/>
        </w:rPr>
        <w:t>安徽省政府采购项目</w:t>
      </w:r>
    </w:p>
    <w:p w14:paraId="5D1DFFAD">
      <w:pPr>
        <w:tabs>
          <w:tab w:val="left" w:pos="315"/>
          <w:tab w:val="left" w:pos="8820"/>
        </w:tabs>
        <w:spacing w:before="312" w:beforeLines="100" w:after="156" w:afterLines="50" w:line="500" w:lineRule="exact"/>
        <w:ind w:right="267" w:rightChars="127"/>
        <w:jc w:val="center"/>
        <w:rPr>
          <w:rFonts w:hint="eastAsia" w:ascii="仿宋" w:hAnsi="仿宋" w:eastAsia="仿宋" w:cs="仿宋"/>
          <w:b/>
          <w:bCs/>
          <w:color w:val="auto"/>
          <w:sz w:val="52"/>
          <w:szCs w:val="52"/>
          <w:highlight w:val="none"/>
        </w:rPr>
      </w:pPr>
      <w:r>
        <w:rPr>
          <w:rFonts w:hint="eastAsia" w:ascii="仿宋" w:hAnsi="仿宋" w:eastAsia="仿宋" w:cs="仿宋"/>
          <w:b/>
          <w:bCs/>
          <w:color w:val="auto"/>
          <w:sz w:val="52"/>
          <w:szCs w:val="52"/>
          <w:highlight w:val="none"/>
        </w:rPr>
        <w:t>公开招标文件示范文本</w:t>
      </w:r>
      <w:bookmarkEnd w:id="0"/>
      <w:r>
        <w:rPr>
          <w:rFonts w:hint="eastAsia" w:ascii="仿宋" w:hAnsi="仿宋" w:eastAsia="仿宋" w:cs="仿宋"/>
          <w:b/>
          <w:bCs/>
          <w:color w:val="auto"/>
          <w:sz w:val="52"/>
          <w:szCs w:val="52"/>
          <w:highlight w:val="none"/>
        </w:rPr>
        <w:t>（货物类）</w:t>
      </w:r>
    </w:p>
    <w:p w14:paraId="0FDBB861">
      <w:pPr>
        <w:tabs>
          <w:tab w:val="left" w:pos="315"/>
          <w:tab w:val="left" w:pos="8820"/>
        </w:tabs>
        <w:spacing w:before="312" w:beforeLines="100" w:after="156" w:afterLines="50" w:line="500" w:lineRule="exact"/>
        <w:ind w:right="267" w:rightChars="127"/>
        <w:jc w:val="center"/>
        <w:rPr>
          <w:rFonts w:hint="eastAsia" w:ascii="仿宋" w:hAnsi="仿宋" w:eastAsia="仿宋" w:cs="仿宋"/>
          <w:b/>
          <w:bCs/>
          <w:color w:val="auto"/>
          <w:sz w:val="52"/>
          <w:szCs w:val="52"/>
          <w:highlight w:val="none"/>
        </w:rPr>
      </w:pPr>
      <w:r>
        <w:rPr>
          <w:rFonts w:hint="eastAsia" w:ascii="仿宋" w:hAnsi="仿宋" w:eastAsia="仿宋" w:cs="仿宋"/>
          <w:b/>
          <w:bCs/>
          <w:color w:val="auto"/>
          <w:sz w:val="52"/>
          <w:szCs w:val="52"/>
          <w:highlight w:val="none"/>
        </w:rPr>
        <w:t>（2026年版）</w:t>
      </w:r>
    </w:p>
    <w:p w14:paraId="5865BEC4">
      <w:pPr>
        <w:tabs>
          <w:tab w:val="left" w:pos="315"/>
          <w:tab w:val="left" w:pos="8820"/>
        </w:tabs>
        <w:spacing w:before="312" w:beforeLines="100" w:after="156" w:afterLines="50" w:line="500" w:lineRule="exact"/>
        <w:ind w:right="267" w:rightChars="127"/>
        <w:jc w:val="center"/>
        <w:rPr>
          <w:rFonts w:hint="eastAsia" w:ascii="仿宋" w:hAnsi="仿宋" w:eastAsia="仿宋" w:cs="仿宋"/>
          <w:b/>
          <w:bCs/>
          <w:color w:val="auto"/>
          <w:sz w:val="44"/>
          <w:szCs w:val="44"/>
          <w:highlight w:val="none"/>
        </w:rPr>
      </w:pPr>
    </w:p>
    <w:p w14:paraId="537EFDB0">
      <w:pPr>
        <w:tabs>
          <w:tab w:val="left" w:pos="315"/>
          <w:tab w:val="left" w:pos="8820"/>
        </w:tabs>
        <w:spacing w:before="312" w:beforeLines="100" w:after="156" w:afterLines="50" w:line="500" w:lineRule="exact"/>
        <w:ind w:right="267" w:rightChars="127"/>
        <w:jc w:val="center"/>
        <w:rPr>
          <w:rFonts w:hint="eastAsia" w:ascii="仿宋" w:hAnsi="仿宋" w:eastAsia="仿宋" w:cs="仿宋"/>
          <w:b/>
          <w:bCs/>
          <w:color w:val="auto"/>
          <w:sz w:val="44"/>
          <w:szCs w:val="44"/>
          <w:highlight w:val="none"/>
        </w:rPr>
      </w:pPr>
    </w:p>
    <w:p w14:paraId="4F6DA6FF">
      <w:pPr>
        <w:tabs>
          <w:tab w:val="left" w:pos="315"/>
          <w:tab w:val="left" w:pos="8820"/>
        </w:tabs>
        <w:spacing w:before="312" w:beforeLines="100" w:after="156" w:afterLines="50" w:line="500" w:lineRule="exact"/>
        <w:ind w:right="267" w:rightChars="127"/>
        <w:jc w:val="center"/>
        <w:rPr>
          <w:rFonts w:hint="eastAsia" w:ascii="仿宋" w:hAnsi="仿宋" w:eastAsia="仿宋" w:cs="仿宋"/>
          <w:b/>
          <w:bCs/>
          <w:color w:val="auto"/>
          <w:sz w:val="44"/>
          <w:szCs w:val="44"/>
          <w:highlight w:val="none"/>
        </w:rPr>
      </w:pPr>
    </w:p>
    <w:p w14:paraId="77245C16">
      <w:pPr>
        <w:tabs>
          <w:tab w:val="left" w:pos="315"/>
          <w:tab w:val="left" w:pos="8820"/>
        </w:tabs>
        <w:spacing w:before="312" w:beforeLines="100" w:after="156" w:afterLines="50" w:line="500" w:lineRule="exact"/>
        <w:ind w:right="267" w:rightChars="127"/>
        <w:jc w:val="center"/>
        <w:rPr>
          <w:rFonts w:hint="eastAsia" w:ascii="仿宋" w:hAnsi="仿宋" w:eastAsia="仿宋" w:cs="仿宋"/>
          <w:b/>
          <w:bCs/>
          <w:color w:val="auto"/>
          <w:sz w:val="44"/>
          <w:szCs w:val="44"/>
          <w:highlight w:val="none"/>
        </w:rPr>
      </w:pPr>
    </w:p>
    <w:p w14:paraId="3E7054F8">
      <w:pPr>
        <w:tabs>
          <w:tab w:val="left" w:pos="315"/>
          <w:tab w:val="left" w:pos="8820"/>
        </w:tabs>
        <w:spacing w:before="312" w:beforeLines="100" w:after="156" w:afterLines="50" w:line="500" w:lineRule="exact"/>
        <w:ind w:right="267" w:rightChars="127"/>
        <w:jc w:val="center"/>
        <w:rPr>
          <w:rFonts w:hint="eastAsia" w:ascii="仿宋" w:hAnsi="仿宋" w:eastAsia="仿宋" w:cs="仿宋"/>
          <w:b/>
          <w:bCs/>
          <w:color w:val="auto"/>
          <w:sz w:val="44"/>
          <w:szCs w:val="44"/>
          <w:highlight w:val="none"/>
        </w:rPr>
      </w:pPr>
    </w:p>
    <w:p w14:paraId="560AA65C">
      <w:pPr>
        <w:tabs>
          <w:tab w:val="left" w:pos="2410"/>
        </w:tabs>
        <w:autoSpaceDE w:val="0"/>
        <w:autoSpaceDN w:val="0"/>
        <w:adjustRightInd w:val="0"/>
        <w:snapToGrid w:val="0"/>
        <w:spacing w:line="360" w:lineRule="auto"/>
        <w:ind w:firstLine="723" w:firstLineChars="200"/>
        <w:rPr>
          <w:rFonts w:hint="eastAsia" w:ascii="仿宋" w:hAnsi="仿宋" w:eastAsia="仿宋" w:cs="仿宋"/>
          <w:b/>
          <w:color w:val="auto"/>
          <w:spacing w:val="20"/>
          <w:kern w:val="0"/>
          <w:sz w:val="32"/>
          <w:szCs w:val="32"/>
          <w:highlight w:val="none"/>
          <w:u w:val="single"/>
          <w:lang w:eastAsia="zh-CN"/>
        </w:rPr>
      </w:pPr>
      <w:r>
        <w:rPr>
          <w:rFonts w:hint="eastAsia" w:ascii="仿宋" w:hAnsi="仿宋" w:eastAsia="仿宋" w:cs="仿宋"/>
          <w:b/>
          <w:color w:val="auto"/>
          <w:spacing w:val="20"/>
          <w:kern w:val="0"/>
          <w:sz w:val="32"/>
          <w:szCs w:val="32"/>
          <w:highlight w:val="none"/>
        </w:rPr>
        <w:t>项目名称：</w:t>
      </w:r>
      <w:r>
        <w:rPr>
          <w:rFonts w:hint="eastAsia" w:ascii="仿宋" w:hAnsi="仿宋" w:eastAsia="仿宋" w:cs="仿宋"/>
          <w:b/>
          <w:color w:val="auto"/>
          <w:spacing w:val="20"/>
          <w:kern w:val="0"/>
          <w:sz w:val="32"/>
          <w:szCs w:val="32"/>
          <w:highlight w:val="none"/>
          <w:u w:val="single"/>
          <w:lang w:val="en-US" w:eastAsia="zh-CN"/>
        </w:rPr>
        <w:t>生活垃圾分类前端投放设施提标改造项目</w:t>
      </w:r>
    </w:p>
    <w:p w14:paraId="6DAF4F25">
      <w:pPr>
        <w:tabs>
          <w:tab w:val="left" w:pos="2410"/>
        </w:tabs>
        <w:autoSpaceDE w:val="0"/>
        <w:autoSpaceDN w:val="0"/>
        <w:adjustRightInd w:val="0"/>
        <w:snapToGrid w:val="0"/>
        <w:spacing w:line="360" w:lineRule="auto"/>
        <w:ind w:firstLine="723" w:firstLineChars="200"/>
        <w:rPr>
          <w:rFonts w:hint="eastAsia" w:ascii="仿宋" w:hAnsi="仿宋" w:eastAsia="仿宋" w:cs="仿宋"/>
          <w:b/>
          <w:color w:val="auto"/>
          <w:spacing w:val="20"/>
          <w:kern w:val="0"/>
          <w:sz w:val="32"/>
          <w:szCs w:val="32"/>
          <w:highlight w:val="none"/>
        </w:rPr>
      </w:pPr>
      <w:r>
        <w:rPr>
          <w:rFonts w:hint="eastAsia" w:ascii="仿宋" w:hAnsi="仿宋" w:eastAsia="仿宋" w:cs="仿宋"/>
          <w:b/>
          <w:color w:val="auto"/>
          <w:spacing w:val="20"/>
          <w:kern w:val="0"/>
          <w:sz w:val="32"/>
          <w:szCs w:val="32"/>
          <w:highlight w:val="none"/>
        </w:rPr>
        <w:t>项目编号：</w:t>
      </w:r>
      <w:r>
        <w:rPr>
          <w:rFonts w:hint="eastAsia" w:ascii="仿宋" w:hAnsi="仿宋" w:eastAsia="仿宋" w:cs="仿宋"/>
          <w:b/>
          <w:color w:val="auto"/>
          <w:spacing w:val="20"/>
          <w:kern w:val="0"/>
          <w:sz w:val="32"/>
          <w:szCs w:val="32"/>
          <w:highlight w:val="none"/>
          <w:u w:val="single"/>
          <w:lang w:val="en-US" w:eastAsia="zh-CN"/>
        </w:rPr>
        <w:t>czsjcg202608-012</w:t>
      </w:r>
    </w:p>
    <w:p w14:paraId="09C0C680">
      <w:pPr>
        <w:tabs>
          <w:tab w:val="left" w:pos="2410"/>
        </w:tabs>
        <w:autoSpaceDE w:val="0"/>
        <w:autoSpaceDN w:val="0"/>
        <w:adjustRightInd w:val="0"/>
        <w:snapToGrid w:val="0"/>
        <w:spacing w:line="360" w:lineRule="auto"/>
        <w:ind w:firstLine="723" w:firstLineChars="200"/>
        <w:rPr>
          <w:rFonts w:hint="eastAsia" w:ascii="仿宋" w:hAnsi="仿宋" w:eastAsia="仿宋" w:cs="仿宋"/>
          <w:b/>
          <w:color w:val="auto"/>
          <w:spacing w:val="20"/>
          <w:kern w:val="0"/>
          <w:sz w:val="32"/>
          <w:szCs w:val="32"/>
          <w:highlight w:val="none"/>
        </w:rPr>
      </w:pPr>
      <w:r>
        <w:rPr>
          <w:rFonts w:hint="eastAsia" w:ascii="仿宋" w:hAnsi="仿宋" w:eastAsia="仿宋" w:cs="仿宋"/>
          <w:b/>
          <w:color w:val="auto"/>
          <w:spacing w:val="20"/>
          <w:kern w:val="0"/>
          <w:sz w:val="32"/>
          <w:szCs w:val="32"/>
          <w:highlight w:val="none"/>
        </w:rPr>
        <w:t>采 购 人：</w:t>
      </w:r>
      <w:r>
        <w:rPr>
          <w:rFonts w:hint="eastAsia" w:ascii="仿宋" w:hAnsi="仿宋" w:eastAsia="仿宋" w:cs="仿宋"/>
          <w:b/>
          <w:color w:val="auto"/>
          <w:spacing w:val="20"/>
          <w:kern w:val="0"/>
          <w:sz w:val="32"/>
          <w:szCs w:val="32"/>
          <w:highlight w:val="none"/>
          <w:u w:val="single"/>
        </w:rPr>
        <w:t>滁州市</w:t>
      </w:r>
      <w:r>
        <w:rPr>
          <w:rFonts w:hint="eastAsia" w:ascii="仿宋" w:hAnsi="仿宋" w:eastAsia="仿宋" w:cs="仿宋"/>
          <w:b/>
          <w:color w:val="auto"/>
          <w:spacing w:val="20"/>
          <w:kern w:val="0"/>
          <w:sz w:val="32"/>
          <w:szCs w:val="32"/>
          <w:highlight w:val="none"/>
          <w:u w:val="single"/>
          <w:lang w:val="en-US" w:eastAsia="zh-CN"/>
        </w:rPr>
        <w:t>城市管理局</w:t>
      </w:r>
    </w:p>
    <w:p w14:paraId="08B7A31A">
      <w:pPr>
        <w:tabs>
          <w:tab w:val="left" w:pos="2410"/>
        </w:tabs>
        <w:autoSpaceDE w:val="0"/>
        <w:autoSpaceDN w:val="0"/>
        <w:adjustRightInd w:val="0"/>
        <w:snapToGrid w:val="0"/>
        <w:spacing w:line="360" w:lineRule="auto"/>
        <w:ind w:firstLine="723" w:firstLineChars="200"/>
        <w:rPr>
          <w:rFonts w:hint="eastAsia" w:ascii="仿宋" w:hAnsi="仿宋" w:eastAsia="仿宋" w:cs="仿宋"/>
          <w:b/>
          <w:color w:val="auto"/>
          <w:spacing w:val="20"/>
          <w:kern w:val="0"/>
          <w:sz w:val="32"/>
          <w:szCs w:val="32"/>
          <w:highlight w:val="none"/>
          <w:lang w:eastAsia="zh-CN"/>
        </w:rPr>
      </w:pPr>
      <w:r>
        <w:rPr>
          <w:rFonts w:hint="eastAsia" w:ascii="仿宋" w:hAnsi="仿宋" w:eastAsia="仿宋" w:cs="仿宋"/>
          <w:b/>
          <w:color w:val="auto"/>
          <w:spacing w:val="20"/>
          <w:kern w:val="0"/>
          <w:sz w:val="32"/>
          <w:szCs w:val="32"/>
          <w:highlight w:val="none"/>
        </w:rPr>
        <w:t>采购代理机构：</w:t>
      </w:r>
      <w:r>
        <w:rPr>
          <w:rFonts w:hint="eastAsia" w:ascii="仿宋" w:hAnsi="仿宋" w:eastAsia="仿宋" w:cs="仿宋"/>
          <w:b/>
          <w:color w:val="auto"/>
          <w:spacing w:val="20"/>
          <w:kern w:val="0"/>
          <w:sz w:val="32"/>
          <w:szCs w:val="32"/>
          <w:highlight w:val="none"/>
          <w:u w:val="single"/>
          <w:lang w:eastAsia="zh-CN"/>
        </w:rPr>
        <w:t>滁州市城投工程咨询管理有限公司</w:t>
      </w:r>
    </w:p>
    <w:p w14:paraId="4793DBB4">
      <w:pPr>
        <w:tabs>
          <w:tab w:val="left" w:pos="315"/>
          <w:tab w:val="left" w:pos="8820"/>
        </w:tabs>
        <w:spacing w:before="312" w:beforeLines="100" w:after="156" w:afterLines="50" w:line="500" w:lineRule="exact"/>
        <w:ind w:right="267" w:rightChars="127"/>
        <w:jc w:val="center"/>
        <w:rPr>
          <w:rFonts w:hint="eastAsia" w:ascii="仿宋" w:hAnsi="仿宋" w:eastAsia="仿宋" w:cs="仿宋"/>
          <w:b/>
          <w:bCs/>
          <w:color w:val="auto"/>
          <w:sz w:val="44"/>
          <w:szCs w:val="44"/>
          <w:highlight w:val="none"/>
        </w:rPr>
      </w:pPr>
    </w:p>
    <w:p w14:paraId="6F07552E">
      <w:pPr>
        <w:tabs>
          <w:tab w:val="left" w:pos="2410"/>
        </w:tabs>
        <w:autoSpaceDE w:val="0"/>
        <w:autoSpaceDN w:val="0"/>
        <w:adjustRightInd w:val="0"/>
        <w:snapToGrid w:val="0"/>
        <w:spacing w:line="360" w:lineRule="auto"/>
        <w:jc w:val="center"/>
        <w:rPr>
          <w:rFonts w:hint="eastAsia" w:ascii="仿宋" w:hAnsi="仿宋" w:eastAsia="仿宋" w:cs="仿宋"/>
          <w:b/>
          <w:color w:val="auto"/>
          <w:sz w:val="36"/>
          <w:highlight w:val="none"/>
        </w:rPr>
        <w:sectPr>
          <w:headerReference r:id="rId3" w:type="default"/>
          <w:footerReference r:id="rId4" w:type="default"/>
          <w:pgSz w:w="11906" w:h="16838"/>
          <w:pgMar w:top="1440" w:right="1417" w:bottom="1440" w:left="1417" w:header="851" w:footer="992" w:gutter="0"/>
          <w:cols w:space="0" w:num="1"/>
          <w:rtlGutter w:val="0"/>
          <w:docGrid w:type="lines" w:linePitch="312" w:charSpace="0"/>
        </w:sectPr>
      </w:pPr>
      <w:r>
        <w:rPr>
          <w:rFonts w:hint="eastAsia" w:ascii="仿宋" w:hAnsi="仿宋" w:eastAsia="仿宋" w:cs="仿宋"/>
          <w:b/>
          <w:color w:val="auto"/>
          <w:sz w:val="36"/>
          <w:highlight w:val="none"/>
          <w:u w:val="single"/>
        </w:rPr>
        <w:t>2026</w:t>
      </w:r>
      <w:r>
        <w:rPr>
          <w:rFonts w:hint="eastAsia" w:ascii="仿宋" w:hAnsi="仿宋" w:eastAsia="仿宋" w:cs="仿宋"/>
          <w:b/>
          <w:color w:val="auto"/>
          <w:sz w:val="36"/>
          <w:highlight w:val="none"/>
        </w:rPr>
        <w:t>年</w:t>
      </w:r>
      <w:r>
        <w:rPr>
          <w:rFonts w:hint="eastAsia" w:ascii="仿宋" w:hAnsi="仿宋" w:eastAsia="仿宋" w:cs="仿宋"/>
          <w:b/>
          <w:color w:val="auto"/>
          <w:sz w:val="36"/>
          <w:highlight w:val="none"/>
          <w:u w:val="single"/>
          <w:lang w:val="en-US" w:eastAsia="zh-CN"/>
        </w:rPr>
        <w:t>8</w:t>
      </w:r>
      <w:r>
        <w:rPr>
          <w:rFonts w:hint="eastAsia" w:ascii="仿宋" w:hAnsi="仿宋" w:eastAsia="仿宋" w:cs="仿宋"/>
          <w:b/>
          <w:color w:val="auto"/>
          <w:sz w:val="36"/>
          <w:highlight w:val="none"/>
        </w:rPr>
        <w:t>月</w:t>
      </w:r>
    </w:p>
    <w:p w14:paraId="158E9C5B">
      <w:pPr>
        <w:tabs>
          <w:tab w:val="left" w:pos="2410"/>
        </w:tabs>
        <w:autoSpaceDE w:val="0"/>
        <w:autoSpaceDN w:val="0"/>
        <w:adjustRightInd w:val="0"/>
        <w:snapToGrid w:val="0"/>
        <w:spacing w:line="360" w:lineRule="auto"/>
        <w:jc w:val="center"/>
        <w:rPr>
          <w:rFonts w:hint="eastAsia" w:ascii="仿宋" w:hAnsi="仿宋" w:eastAsia="仿宋" w:cs="仿宋"/>
          <w:b/>
          <w:color w:val="auto"/>
          <w:sz w:val="28"/>
          <w:highlight w:val="none"/>
        </w:rPr>
      </w:pPr>
      <w:r>
        <w:rPr>
          <w:rFonts w:hint="eastAsia" w:ascii="仿宋" w:hAnsi="仿宋" w:eastAsia="仿宋" w:cs="仿宋"/>
          <w:b/>
          <w:color w:val="auto"/>
          <w:sz w:val="28"/>
          <w:highlight w:val="none"/>
        </w:rPr>
        <w:t>目  录</w:t>
      </w:r>
    </w:p>
    <w:p w14:paraId="20B68E27">
      <w:pPr>
        <w:pStyle w:val="21"/>
        <w:tabs>
          <w:tab w:val="right" w:leader="dot" w:pos="9072"/>
        </w:tabs>
        <w:rPr>
          <w:color w:val="auto"/>
          <w:highlight w:val="none"/>
        </w:rPr>
      </w:pPr>
      <w:r>
        <w:rPr>
          <w:rFonts w:hint="eastAsia" w:ascii="仿宋" w:hAnsi="仿宋" w:eastAsia="仿宋" w:cs="仿宋"/>
          <w:b/>
          <w:color w:val="auto"/>
          <w:sz w:val="24"/>
          <w:szCs w:val="24"/>
          <w:highlight w:val="none"/>
        </w:rPr>
        <w:fldChar w:fldCharType="begin"/>
      </w:r>
      <w:r>
        <w:rPr>
          <w:rFonts w:hint="eastAsia" w:ascii="仿宋" w:hAnsi="仿宋" w:eastAsia="仿宋" w:cs="仿宋"/>
          <w:b/>
          <w:color w:val="auto"/>
          <w:sz w:val="24"/>
          <w:szCs w:val="24"/>
          <w:highlight w:val="none"/>
        </w:rPr>
        <w:instrText xml:space="preserve"> TOC \o "1-2" \h \z \u </w:instrText>
      </w:r>
      <w:r>
        <w:rPr>
          <w:rFonts w:hint="eastAsia" w:ascii="仿宋" w:hAnsi="仿宋" w:eastAsia="仿宋" w:cs="仿宋"/>
          <w:b/>
          <w:color w:val="auto"/>
          <w:sz w:val="24"/>
          <w:szCs w:val="24"/>
          <w:highlight w:val="none"/>
        </w:rPr>
        <w:fldChar w:fldCharType="separate"/>
      </w: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_Toc5839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第一章  投标邀请</w:t>
      </w:r>
      <w:r>
        <w:rPr>
          <w:color w:val="auto"/>
          <w:highlight w:val="none"/>
        </w:rPr>
        <w:tab/>
      </w:r>
      <w:r>
        <w:rPr>
          <w:color w:val="auto"/>
          <w:highlight w:val="none"/>
        </w:rPr>
        <w:fldChar w:fldCharType="begin"/>
      </w:r>
      <w:r>
        <w:rPr>
          <w:color w:val="auto"/>
          <w:highlight w:val="none"/>
        </w:rPr>
        <w:instrText xml:space="preserve"> PAGEREF _Toc5839 \h </w:instrText>
      </w:r>
      <w:r>
        <w:rPr>
          <w:color w:val="auto"/>
          <w:highlight w:val="none"/>
        </w:rPr>
        <w:fldChar w:fldCharType="separate"/>
      </w:r>
      <w:r>
        <w:rPr>
          <w:color w:val="auto"/>
          <w:highlight w:val="none"/>
        </w:rPr>
        <w:t>3</w:t>
      </w:r>
      <w:r>
        <w:rPr>
          <w:color w:val="auto"/>
          <w:highlight w:val="none"/>
        </w:rPr>
        <w:fldChar w:fldCharType="end"/>
      </w:r>
      <w:r>
        <w:rPr>
          <w:rFonts w:hint="eastAsia" w:ascii="仿宋" w:hAnsi="仿宋" w:eastAsia="仿宋" w:cs="仿宋"/>
          <w:color w:val="auto"/>
          <w:szCs w:val="24"/>
          <w:highlight w:val="none"/>
        </w:rPr>
        <w:fldChar w:fldCharType="end"/>
      </w:r>
    </w:p>
    <w:p w14:paraId="63108D20">
      <w:pPr>
        <w:pStyle w:val="21"/>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_Toc976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_Toc976 \h </w:instrText>
      </w:r>
      <w:r>
        <w:rPr>
          <w:color w:val="auto"/>
          <w:highlight w:val="none"/>
        </w:rPr>
        <w:fldChar w:fldCharType="separate"/>
      </w:r>
      <w:r>
        <w:rPr>
          <w:color w:val="auto"/>
          <w:highlight w:val="none"/>
        </w:rPr>
        <w:t>6</w:t>
      </w:r>
      <w:r>
        <w:rPr>
          <w:color w:val="auto"/>
          <w:highlight w:val="none"/>
        </w:rPr>
        <w:fldChar w:fldCharType="end"/>
      </w:r>
      <w:r>
        <w:rPr>
          <w:rFonts w:hint="eastAsia" w:ascii="仿宋" w:hAnsi="仿宋" w:eastAsia="仿宋" w:cs="仿宋"/>
          <w:color w:val="auto"/>
          <w:szCs w:val="24"/>
          <w:highlight w:val="none"/>
        </w:rPr>
        <w:fldChar w:fldCharType="end"/>
      </w:r>
    </w:p>
    <w:p w14:paraId="0EEC05DA">
      <w:pPr>
        <w:pStyle w:val="21"/>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_Toc7878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_Toc7878 \h </w:instrText>
      </w:r>
      <w:r>
        <w:rPr>
          <w:color w:val="auto"/>
          <w:highlight w:val="none"/>
        </w:rPr>
        <w:fldChar w:fldCharType="separate"/>
      </w:r>
      <w:r>
        <w:rPr>
          <w:color w:val="auto"/>
          <w:highlight w:val="none"/>
        </w:rPr>
        <w:t>25</w:t>
      </w:r>
      <w:r>
        <w:rPr>
          <w:color w:val="auto"/>
          <w:highlight w:val="none"/>
        </w:rPr>
        <w:fldChar w:fldCharType="end"/>
      </w:r>
      <w:r>
        <w:rPr>
          <w:rFonts w:hint="eastAsia" w:ascii="仿宋" w:hAnsi="仿宋" w:eastAsia="仿宋" w:cs="仿宋"/>
          <w:color w:val="auto"/>
          <w:szCs w:val="24"/>
          <w:highlight w:val="none"/>
        </w:rPr>
        <w:fldChar w:fldCharType="end"/>
      </w:r>
    </w:p>
    <w:p w14:paraId="6018BB52">
      <w:pPr>
        <w:pStyle w:val="21"/>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_Toc24775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第四章  评标方法和标准（综合评分法）</w:t>
      </w:r>
      <w:r>
        <w:rPr>
          <w:color w:val="auto"/>
          <w:highlight w:val="none"/>
        </w:rPr>
        <w:tab/>
      </w:r>
      <w:r>
        <w:rPr>
          <w:color w:val="auto"/>
          <w:highlight w:val="none"/>
        </w:rPr>
        <w:fldChar w:fldCharType="begin"/>
      </w:r>
      <w:r>
        <w:rPr>
          <w:color w:val="auto"/>
          <w:highlight w:val="none"/>
        </w:rPr>
        <w:instrText xml:space="preserve"> PAGEREF _Toc24775 \h </w:instrText>
      </w:r>
      <w:r>
        <w:rPr>
          <w:color w:val="auto"/>
          <w:highlight w:val="none"/>
        </w:rPr>
        <w:fldChar w:fldCharType="separate"/>
      </w:r>
      <w:r>
        <w:rPr>
          <w:color w:val="auto"/>
          <w:highlight w:val="none"/>
        </w:rPr>
        <w:t>56</w:t>
      </w:r>
      <w:r>
        <w:rPr>
          <w:color w:val="auto"/>
          <w:highlight w:val="none"/>
        </w:rPr>
        <w:fldChar w:fldCharType="end"/>
      </w:r>
      <w:r>
        <w:rPr>
          <w:rFonts w:hint="eastAsia" w:ascii="仿宋" w:hAnsi="仿宋" w:eastAsia="仿宋" w:cs="仿宋"/>
          <w:color w:val="auto"/>
          <w:szCs w:val="24"/>
          <w:highlight w:val="none"/>
        </w:rPr>
        <w:fldChar w:fldCharType="end"/>
      </w:r>
    </w:p>
    <w:p w14:paraId="74651074">
      <w:pPr>
        <w:pStyle w:val="21"/>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_Toc27175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第五章  政府采购合同</w:t>
      </w:r>
      <w:r>
        <w:rPr>
          <w:color w:val="auto"/>
          <w:highlight w:val="none"/>
        </w:rPr>
        <w:tab/>
      </w:r>
      <w:r>
        <w:rPr>
          <w:color w:val="auto"/>
          <w:highlight w:val="none"/>
        </w:rPr>
        <w:fldChar w:fldCharType="begin"/>
      </w:r>
      <w:r>
        <w:rPr>
          <w:color w:val="auto"/>
          <w:highlight w:val="none"/>
        </w:rPr>
        <w:instrText xml:space="preserve"> PAGEREF _Toc27175 \h </w:instrText>
      </w:r>
      <w:r>
        <w:rPr>
          <w:color w:val="auto"/>
          <w:highlight w:val="none"/>
        </w:rPr>
        <w:fldChar w:fldCharType="separate"/>
      </w:r>
      <w:r>
        <w:rPr>
          <w:color w:val="auto"/>
          <w:highlight w:val="none"/>
        </w:rPr>
        <w:t>67</w:t>
      </w:r>
      <w:r>
        <w:rPr>
          <w:color w:val="auto"/>
          <w:highlight w:val="none"/>
        </w:rPr>
        <w:fldChar w:fldCharType="end"/>
      </w:r>
      <w:r>
        <w:rPr>
          <w:rFonts w:hint="eastAsia" w:ascii="仿宋" w:hAnsi="仿宋" w:eastAsia="仿宋" w:cs="仿宋"/>
          <w:color w:val="auto"/>
          <w:szCs w:val="24"/>
          <w:highlight w:val="none"/>
        </w:rPr>
        <w:fldChar w:fldCharType="end"/>
      </w:r>
    </w:p>
    <w:p w14:paraId="7CB2CA98">
      <w:pPr>
        <w:pStyle w:val="21"/>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_Toc12152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_Toc12152 \h </w:instrText>
      </w:r>
      <w:r>
        <w:rPr>
          <w:color w:val="auto"/>
          <w:highlight w:val="none"/>
        </w:rPr>
        <w:fldChar w:fldCharType="separate"/>
      </w:r>
      <w:r>
        <w:rPr>
          <w:color w:val="auto"/>
          <w:highlight w:val="none"/>
        </w:rPr>
        <w:t>86</w:t>
      </w:r>
      <w:r>
        <w:rPr>
          <w:color w:val="auto"/>
          <w:highlight w:val="none"/>
        </w:rPr>
        <w:fldChar w:fldCharType="end"/>
      </w:r>
      <w:r>
        <w:rPr>
          <w:rFonts w:hint="eastAsia" w:ascii="仿宋" w:hAnsi="仿宋" w:eastAsia="仿宋" w:cs="仿宋"/>
          <w:color w:val="auto"/>
          <w:szCs w:val="24"/>
          <w:highlight w:val="none"/>
        </w:rPr>
        <w:fldChar w:fldCharType="end"/>
      </w:r>
    </w:p>
    <w:p w14:paraId="3976E400">
      <w:pPr>
        <w:pStyle w:val="21"/>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_Toc15403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第七章</w:t>
      </w:r>
      <w:r>
        <w:rPr>
          <w:rFonts w:hint="eastAsia" w:ascii="仿宋" w:hAnsi="仿宋" w:eastAsia="仿宋" w:cs="仿宋"/>
          <w:bCs/>
          <w:color w:val="auto"/>
          <w:highlight w:val="none"/>
        </w:rPr>
        <w:t xml:space="preserve">  政府采购</w:t>
      </w:r>
      <w:r>
        <w:rPr>
          <w:rFonts w:hint="eastAsia" w:ascii="仿宋" w:hAnsi="仿宋" w:eastAsia="仿宋" w:cs="仿宋"/>
          <w:color w:val="auto"/>
          <w:highlight w:val="none"/>
        </w:rPr>
        <w:t>供应</w:t>
      </w:r>
      <w:r>
        <w:rPr>
          <w:rFonts w:hint="eastAsia" w:ascii="仿宋" w:hAnsi="仿宋" w:eastAsia="仿宋" w:cs="仿宋"/>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_Toc15403 \h </w:instrText>
      </w:r>
      <w:r>
        <w:rPr>
          <w:color w:val="auto"/>
          <w:highlight w:val="none"/>
        </w:rPr>
        <w:fldChar w:fldCharType="separate"/>
      </w:r>
      <w:r>
        <w:rPr>
          <w:color w:val="auto"/>
          <w:highlight w:val="none"/>
        </w:rPr>
        <w:t>101</w:t>
      </w:r>
      <w:r>
        <w:rPr>
          <w:color w:val="auto"/>
          <w:highlight w:val="none"/>
        </w:rPr>
        <w:fldChar w:fldCharType="end"/>
      </w:r>
      <w:r>
        <w:rPr>
          <w:rFonts w:hint="eastAsia" w:ascii="仿宋" w:hAnsi="仿宋" w:eastAsia="仿宋" w:cs="仿宋"/>
          <w:color w:val="auto"/>
          <w:szCs w:val="24"/>
          <w:highlight w:val="none"/>
        </w:rPr>
        <w:fldChar w:fldCharType="end"/>
      </w:r>
    </w:p>
    <w:p w14:paraId="7E0DFBB1">
      <w:pPr>
        <w:spacing w:line="360" w:lineRule="auto"/>
        <w:jc w:val="center"/>
        <w:outlineLvl w:val="0"/>
        <w:rPr>
          <w:rFonts w:hint="eastAsia" w:ascii="仿宋" w:hAnsi="仿宋" w:eastAsia="仿宋" w:cs="仿宋"/>
          <w:color w:val="auto"/>
          <w:szCs w:val="24"/>
          <w:highlight w:val="none"/>
        </w:rPr>
      </w:pPr>
      <w:r>
        <w:rPr>
          <w:rFonts w:hint="eastAsia" w:ascii="仿宋" w:hAnsi="仿宋" w:eastAsia="仿宋" w:cs="仿宋"/>
          <w:color w:val="auto"/>
          <w:szCs w:val="24"/>
          <w:highlight w:val="none"/>
        </w:rPr>
        <w:fldChar w:fldCharType="end"/>
      </w:r>
    </w:p>
    <w:p w14:paraId="4673DDAF">
      <w:pPr>
        <w:pStyle w:val="21"/>
        <w:tabs>
          <w:tab w:val="right" w:leader="dot" w:pos="8306"/>
        </w:tabs>
        <w:rPr>
          <w:rFonts w:hint="eastAsia" w:ascii="仿宋" w:hAnsi="仿宋" w:eastAsia="仿宋" w:cs="仿宋"/>
          <w:b/>
          <w:color w:val="auto"/>
          <w:sz w:val="28"/>
          <w:highlight w:val="none"/>
        </w:rPr>
        <w:sectPr>
          <w:footerReference r:id="rId5" w:type="default"/>
          <w:pgSz w:w="11906" w:h="16838"/>
          <w:pgMar w:top="1440" w:right="1417" w:bottom="1440" w:left="1417" w:header="851" w:footer="992" w:gutter="0"/>
          <w:pgNumType w:fmt="decimal" w:start="1"/>
          <w:cols w:space="0" w:num="1"/>
          <w:rtlGutter w:val="0"/>
          <w:docGrid w:type="lines" w:linePitch="312" w:charSpace="0"/>
        </w:sectPr>
      </w:pPr>
    </w:p>
    <w:p w14:paraId="47381E79">
      <w:pPr>
        <w:spacing w:line="360" w:lineRule="auto"/>
        <w:jc w:val="center"/>
        <w:outlineLvl w:val="0"/>
        <w:rPr>
          <w:rFonts w:hint="eastAsia" w:ascii="仿宋" w:hAnsi="仿宋" w:eastAsia="仿宋" w:cs="仿宋"/>
          <w:b/>
          <w:color w:val="auto"/>
          <w:sz w:val="28"/>
          <w:highlight w:val="none"/>
        </w:rPr>
      </w:pPr>
      <w:bookmarkStart w:id="1" w:name="_Toc5839"/>
      <w:r>
        <w:rPr>
          <w:rFonts w:hint="eastAsia" w:ascii="仿宋" w:hAnsi="仿宋" w:eastAsia="仿宋" w:cs="仿宋"/>
          <w:b/>
          <w:color w:val="auto"/>
          <w:sz w:val="28"/>
          <w:highlight w:val="none"/>
        </w:rPr>
        <w:t>第一章  投标邀请</w:t>
      </w:r>
      <w:bookmarkEnd w:id="1"/>
    </w:p>
    <w:p w14:paraId="4D7AA65B">
      <w:pPr>
        <w:keepNext/>
        <w:keepLines/>
        <w:spacing w:line="4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项目概况</w:t>
      </w:r>
    </w:p>
    <w:p w14:paraId="11CBC11D">
      <w:pPr>
        <w:keepNext/>
        <w:keepLines/>
        <w:wordWrap w:val="0"/>
        <w:spacing w:line="4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bidi="ar"/>
        </w:rPr>
        <w:t>生活垃圾分类前端投放设施提标改造项目</w:t>
      </w:r>
      <w:r>
        <w:rPr>
          <w:rFonts w:hint="eastAsia" w:ascii="仿宋" w:hAnsi="仿宋" w:eastAsia="仿宋" w:cs="仿宋"/>
          <w:color w:val="auto"/>
          <w:sz w:val="24"/>
          <w:szCs w:val="24"/>
          <w:highlight w:val="none"/>
          <w:lang w:bidi="ar"/>
        </w:rPr>
        <w:t>的潜在投标人应在</w:t>
      </w:r>
      <w:r>
        <w:rPr>
          <w:rFonts w:hint="eastAsia" w:ascii="仿宋" w:hAnsi="仿宋" w:eastAsia="仿宋" w:cs="仿宋"/>
          <w:color w:val="auto"/>
          <w:sz w:val="24"/>
          <w:szCs w:val="24"/>
          <w:highlight w:val="none"/>
          <w:u w:val="single"/>
          <w:lang w:bidi="ar"/>
        </w:rPr>
        <w:t>滁州市公共资源交易中心网（http：//ggzy.chuzhou.gov.cn/）</w:t>
      </w:r>
      <w:r>
        <w:rPr>
          <w:rFonts w:hint="eastAsia" w:ascii="仿宋" w:hAnsi="仿宋" w:eastAsia="仿宋" w:cs="仿宋"/>
          <w:color w:val="auto"/>
          <w:sz w:val="24"/>
          <w:szCs w:val="24"/>
          <w:highlight w:val="none"/>
          <w:lang w:bidi="ar"/>
        </w:rPr>
        <w:t>获取招标文件，并于</w:t>
      </w:r>
      <w:r>
        <w:rPr>
          <w:rFonts w:hint="eastAsia" w:ascii="仿宋" w:hAnsi="仿宋" w:eastAsia="仿宋" w:cs="仿宋"/>
          <w:color w:val="auto"/>
          <w:sz w:val="24"/>
          <w:szCs w:val="24"/>
          <w:highlight w:val="none"/>
          <w:u w:val="single"/>
          <w:lang w:bidi="ar"/>
        </w:rPr>
        <w:t>2026年</w:t>
      </w:r>
      <w:r>
        <w:rPr>
          <w:rFonts w:hint="eastAsia" w:ascii="仿宋" w:hAnsi="仿宋" w:eastAsia="仿宋" w:cs="仿宋"/>
          <w:color w:val="auto"/>
          <w:sz w:val="24"/>
          <w:szCs w:val="24"/>
          <w:highlight w:val="none"/>
          <w:u w:val="single"/>
          <w:lang w:val="en-US" w:eastAsia="zh-CN" w:bidi="ar"/>
        </w:rPr>
        <w:t>9</w:t>
      </w:r>
      <w:r>
        <w:rPr>
          <w:rFonts w:hint="eastAsia" w:ascii="仿宋" w:hAnsi="仿宋" w:eastAsia="仿宋" w:cs="仿宋"/>
          <w:color w:val="auto"/>
          <w:sz w:val="24"/>
          <w:szCs w:val="24"/>
          <w:highlight w:val="none"/>
          <w:u w:val="single"/>
          <w:lang w:bidi="ar"/>
        </w:rPr>
        <w:t>月</w:t>
      </w:r>
      <w:r>
        <w:rPr>
          <w:rFonts w:hint="eastAsia" w:ascii="仿宋" w:hAnsi="仿宋" w:eastAsia="仿宋" w:cs="仿宋"/>
          <w:color w:val="auto"/>
          <w:sz w:val="24"/>
          <w:szCs w:val="24"/>
          <w:highlight w:val="none"/>
          <w:u w:val="single"/>
          <w:lang w:val="en-US" w:eastAsia="zh-CN" w:bidi="ar"/>
        </w:rPr>
        <w:t>2</w:t>
      </w:r>
      <w:r>
        <w:rPr>
          <w:rFonts w:hint="eastAsia" w:ascii="仿宋" w:hAnsi="仿宋" w:eastAsia="仿宋" w:cs="仿宋"/>
          <w:color w:val="auto"/>
          <w:sz w:val="24"/>
          <w:szCs w:val="24"/>
          <w:highlight w:val="none"/>
          <w:u w:val="single"/>
          <w:lang w:bidi="ar"/>
        </w:rPr>
        <w:t>日</w:t>
      </w:r>
      <w:r>
        <w:rPr>
          <w:rFonts w:hint="eastAsia" w:ascii="仿宋" w:hAnsi="仿宋" w:eastAsia="仿宋" w:cs="仿宋"/>
          <w:color w:val="auto"/>
          <w:sz w:val="24"/>
          <w:szCs w:val="24"/>
          <w:highlight w:val="none"/>
          <w:u w:val="single"/>
          <w:lang w:val="en-US" w:eastAsia="zh-CN" w:bidi="ar"/>
        </w:rPr>
        <w:t>8</w:t>
      </w:r>
      <w:r>
        <w:rPr>
          <w:rFonts w:hint="eastAsia" w:ascii="仿宋" w:hAnsi="仿宋" w:eastAsia="仿宋" w:cs="仿宋"/>
          <w:color w:val="auto"/>
          <w:sz w:val="24"/>
          <w:szCs w:val="24"/>
          <w:highlight w:val="none"/>
          <w:u w:val="single"/>
          <w:lang w:bidi="ar"/>
        </w:rPr>
        <w:t>点</w:t>
      </w:r>
      <w:r>
        <w:rPr>
          <w:rFonts w:hint="eastAsia" w:ascii="仿宋" w:hAnsi="仿宋" w:eastAsia="仿宋" w:cs="仿宋"/>
          <w:color w:val="auto"/>
          <w:sz w:val="24"/>
          <w:szCs w:val="24"/>
          <w:highlight w:val="none"/>
          <w:u w:val="single"/>
          <w:lang w:val="en-US" w:eastAsia="zh-CN" w:bidi="ar"/>
        </w:rPr>
        <w:t>3</w:t>
      </w:r>
      <w:r>
        <w:rPr>
          <w:rFonts w:hint="eastAsia" w:ascii="仿宋" w:hAnsi="仿宋" w:eastAsia="仿宋" w:cs="仿宋"/>
          <w:color w:val="auto"/>
          <w:sz w:val="24"/>
          <w:szCs w:val="24"/>
          <w:highlight w:val="none"/>
          <w:u w:val="single"/>
          <w:lang w:bidi="ar"/>
        </w:rPr>
        <w:t>0分</w:t>
      </w:r>
      <w:r>
        <w:rPr>
          <w:rFonts w:hint="eastAsia" w:ascii="仿宋" w:hAnsi="仿宋" w:eastAsia="仿宋" w:cs="仿宋"/>
          <w:color w:val="auto"/>
          <w:sz w:val="24"/>
          <w:szCs w:val="24"/>
          <w:highlight w:val="none"/>
          <w:lang w:bidi="ar"/>
        </w:rPr>
        <w:t>（北京时间）前递交投标文件。</w:t>
      </w:r>
    </w:p>
    <w:p w14:paraId="3D95B0E9">
      <w:pPr>
        <w:spacing w:line="420" w:lineRule="exact"/>
        <w:ind w:firstLine="437"/>
        <w:outlineLvl w:val="1"/>
        <w:rPr>
          <w:rFonts w:hint="eastAsia" w:ascii="仿宋" w:hAnsi="仿宋" w:eastAsia="仿宋" w:cs="仿宋"/>
          <w:b/>
          <w:color w:val="auto"/>
          <w:kern w:val="0"/>
          <w:sz w:val="24"/>
          <w:highlight w:val="none"/>
        </w:rPr>
      </w:pPr>
      <w:bookmarkStart w:id="2" w:name="_Toc19956"/>
      <w:r>
        <w:rPr>
          <w:rFonts w:hint="eastAsia" w:ascii="仿宋" w:hAnsi="仿宋" w:eastAsia="仿宋" w:cs="仿宋"/>
          <w:b/>
          <w:color w:val="auto"/>
          <w:kern w:val="0"/>
          <w:sz w:val="24"/>
          <w:highlight w:val="none"/>
        </w:rPr>
        <w:t>一、项目基本情况</w:t>
      </w:r>
      <w:bookmarkEnd w:id="2"/>
    </w:p>
    <w:p w14:paraId="71CEE13E">
      <w:pPr>
        <w:tabs>
          <w:tab w:val="left" w:pos="2410"/>
        </w:tabs>
        <w:autoSpaceDE w:val="0"/>
        <w:autoSpaceDN w:val="0"/>
        <w:adjustRightInd w:val="0"/>
        <w:snapToGrid w:val="0"/>
        <w:spacing w:line="420" w:lineRule="exact"/>
        <w:ind w:firstLine="480" w:firstLineChars="200"/>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bidi="ar"/>
        </w:rPr>
        <w:t>项目编号：czsjcg202608-01</w:t>
      </w:r>
      <w:r>
        <w:rPr>
          <w:rFonts w:hint="eastAsia" w:ascii="仿宋" w:hAnsi="仿宋" w:eastAsia="仿宋" w:cs="仿宋"/>
          <w:color w:val="auto"/>
          <w:sz w:val="24"/>
          <w:szCs w:val="24"/>
          <w:highlight w:val="none"/>
          <w:lang w:val="en-US" w:eastAsia="zh-CN" w:bidi="ar"/>
        </w:rPr>
        <w:t xml:space="preserve">2 </w:t>
      </w:r>
    </w:p>
    <w:p w14:paraId="0A83FB63">
      <w:pPr>
        <w:tabs>
          <w:tab w:val="left" w:pos="2410"/>
        </w:tabs>
        <w:autoSpaceDE w:val="0"/>
        <w:autoSpaceDN w:val="0"/>
        <w:adjustRightInd w:val="0"/>
        <w:snapToGrid w:val="0"/>
        <w:spacing w:line="420" w:lineRule="exact"/>
        <w:ind w:firstLine="480" w:firstLineChars="200"/>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bidi="ar"/>
        </w:rPr>
        <w:t>项目名称：</w:t>
      </w:r>
      <w:r>
        <w:rPr>
          <w:rFonts w:hint="eastAsia" w:ascii="仿宋" w:hAnsi="仿宋" w:eastAsia="仿宋" w:cs="仿宋"/>
          <w:color w:val="auto"/>
          <w:sz w:val="24"/>
          <w:szCs w:val="24"/>
          <w:highlight w:val="none"/>
          <w:lang w:val="en-US" w:eastAsia="zh-CN" w:bidi="ar"/>
        </w:rPr>
        <w:t>生活垃圾分类前端投放设施提标改造项目</w:t>
      </w:r>
    </w:p>
    <w:p w14:paraId="77EEF50D">
      <w:pPr>
        <w:tabs>
          <w:tab w:val="left" w:pos="2410"/>
        </w:tabs>
        <w:autoSpaceDE w:val="0"/>
        <w:autoSpaceDN w:val="0"/>
        <w:adjustRightInd w:val="0"/>
        <w:snapToGrid w:val="0"/>
        <w:spacing w:line="420" w:lineRule="exact"/>
        <w:ind w:firstLine="480" w:firstLineChars="200"/>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预算金额：</w:t>
      </w:r>
      <w:r>
        <w:rPr>
          <w:rFonts w:hint="eastAsia" w:ascii="仿宋" w:hAnsi="仿宋" w:eastAsia="仿宋" w:cs="仿宋"/>
          <w:color w:val="auto"/>
          <w:sz w:val="24"/>
          <w:szCs w:val="24"/>
          <w:highlight w:val="none"/>
          <w:lang w:val="en-US" w:eastAsia="zh-CN" w:bidi="ar"/>
        </w:rPr>
        <w:t>6294000元</w:t>
      </w:r>
    </w:p>
    <w:p w14:paraId="45A176AB">
      <w:pPr>
        <w:tabs>
          <w:tab w:val="left" w:pos="2410"/>
        </w:tabs>
        <w:autoSpaceDE w:val="0"/>
        <w:autoSpaceDN w:val="0"/>
        <w:adjustRightInd w:val="0"/>
        <w:snapToGrid w:val="0"/>
        <w:spacing w:line="420" w:lineRule="exact"/>
        <w:ind w:firstLine="480" w:firstLineChars="200"/>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最高限价：</w:t>
      </w:r>
      <w:r>
        <w:rPr>
          <w:rFonts w:hint="eastAsia" w:ascii="仿宋" w:hAnsi="仿宋" w:eastAsia="仿宋" w:cs="仿宋"/>
          <w:color w:val="auto"/>
          <w:sz w:val="24"/>
          <w:szCs w:val="24"/>
          <w:highlight w:val="none"/>
          <w:lang w:val="en-US" w:eastAsia="zh-CN" w:bidi="ar"/>
        </w:rPr>
        <w:t>投标总报价最高限价为6294000</w:t>
      </w:r>
      <w:r>
        <w:rPr>
          <w:rFonts w:hint="eastAsia" w:ascii="仿宋" w:hAnsi="仿宋" w:eastAsia="仿宋" w:cs="仿宋"/>
          <w:color w:val="auto"/>
          <w:sz w:val="24"/>
          <w:szCs w:val="24"/>
          <w:highlight w:val="none"/>
          <w:lang w:eastAsia="zh-CN" w:bidi="ar"/>
        </w:rPr>
        <w:t>元（</w:t>
      </w:r>
      <w:r>
        <w:rPr>
          <w:rFonts w:hint="eastAsia" w:ascii="仿宋" w:hAnsi="仿宋" w:eastAsia="仿宋" w:cs="仿宋"/>
          <w:color w:val="auto"/>
          <w:sz w:val="24"/>
          <w:szCs w:val="24"/>
          <w:highlight w:val="none"/>
          <w:lang w:val="en-US" w:eastAsia="zh-CN" w:bidi="ar"/>
        </w:rPr>
        <w:t>各单价最高限价详见投标报价分项表</w:t>
      </w:r>
      <w:r>
        <w:rPr>
          <w:rFonts w:hint="eastAsia" w:ascii="仿宋" w:hAnsi="仿宋" w:eastAsia="仿宋" w:cs="仿宋"/>
          <w:color w:val="auto"/>
          <w:sz w:val="24"/>
          <w:szCs w:val="24"/>
          <w:highlight w:val="none"/>
          <w:lang w:eastAsia="zh-CN" w:bidi="ar"/>
        </w:rPr>
        <w:t>），投标报价不得高于最高限价，否则按无效投标处理</w:t>
      </w:r>
      <w:r>
        <w:rPr>
          <w:rFonts w:hint="eastAsia" w:ascii="仿宋" w:hAnsi="仿宋" w:eastAsia="仿宋" w:cs="仿宋"/>
          <w:color w:val="auto"/>
          <w:sz w:val="24"/>
          <w:szCs w:val="24"/>
          <w:highlight w:val="none"/>
          <w:lang w:bidi="ar"/>
        </w:rPr>
        <w:t>。</w:t>
      </w:r>
    </w:p>
    <w:p w14:paraId="4E256BD6">
      <w:pPr>
        <w:tabs>
          <w:tab w:val="left" w:pos="2410"/>
        </w:tabs>
        <w:autoSpaceDE w:val="0"/>
        <w:autoSpaceDN w:val="0"/>
        <w:adjustRightInd w:val="0"/>
        <w:snapToGrid w:val="0"/>
        <w:spacing w:line="420" w:lineRule="exact"/>
        <w:ind w:firstLine="480" w:firstLineChars="200"/>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采购需求：生活垃圾分类投放设施</w:t>
      </w:r>
      <w:r>
        <w:rPr>
          <w:rFonts w:hint="eastAsia" w:ascii="仿宋" w:hAnsi="仿宋" w:eastAsia="仿宋" w:cs="仿宋"/>
          <w:color w:val="auto"/>
          <w:sz w:val="24"/>
          <w:szCs w:val="24"/>
          <w:highlight w:val="none"/>
          <w:lang w:val="en-US" w:eastAsia="zh-CN" w:bidi="ar"/>
        </w:rPr>
        <w:t>提标改造</w:t>
      </w:r>
      <w:r>
        <w:rPr>
          <w:rFonts w:hint="eastAsia" w:ascii="仿宋" w:hAnsi="仿宋" w:eastAsia="仿宋" w:cs="仿宋"/>
          <w:color w:val="auto"/>
          <w:sz w:val="24"/>
          <w:szCs w:val="24"/>
          <w:highlight w:val="none"/>
          <w:lang w:bidi="ar"/>
        </w:rPr>
        <w:t>采购及安装。</w:t>
      </w:r>
    </w:p>
    <w:p w14:paraId="082B4572">
      <w:pPr>
        <w:tabs>
          <w:tab w:val="left" w:pos="2410"/>
        </w:tabs>
        <w:autoSpaceDE w:val="0"/>
        <w:autoSpaceDN w:val="0"/>
        <w:adjustRightInd w:val="0"/>
        <w:snapToGrid w:val="0"/>
        <w:spacing w:line="420" w:lineRule="exact"/>
        <w:ind w:firstLine="480" w:firstLineChars="200"/>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合同履行期限：</w:t>
      </w:r>
      <w:r>
        <w:rPr>
          <w:rFonts w:hint="eastAsia" w:ascii="仿宋" w:hAnsi="仿宋" w:eastAsia="仿宋" w:cs="仿宋"/>
          <w:color w:val="auto"/>
          <w:sz w:val="24"/>
          <w:highlight w:val="none"/>
          <w:u w:val="none"/>
        </w:rPr>
        <w:t>自合同签订生效后，接到采购人通知之日起</w:t>
      </w:r>
      <w:r>
        <w:rPr>
          <w:rFonts w:hint="eastAsia" w:ascii="仿宋" w:hAnsi="仿宋" w:eastAsia="仿宋" w:cs="仿宋"/>
          <w:b w:val="0"/>
          <w:bCs w:val="0"/>
          <w:color w:val="auto"/>
          <w:sz w:val="24"/>
          <w:highlight w:val="none"/>
          <w:u w:val="none"/>
          <w:lang w:val="en-US" w:eastAsia="zh-CN"/>
        </w:rPr>
        <w:t>60</w:t>
      </w:r>
      <w:r>
        <w:rPr>
          <w:rFonts w:hint="eastAsia" w:ascii="仿宋" w:hAnsi="仿宋" w:eastAsia="仿宋" w:cs="仿宋"/>
          <w:b w:val="0"/>
          <w:bCs w:val="0"/>
          <w:color w:val="auto"/>
          <w:sz w:val="24"/>
          <w:highlight w:val="none"/>
          <w:u w:val="none"/>
        </w:rPr>
        <w:t>个</w:t>
      </w:r>
      <w:r>
        <w:rPr>
          <w:rFonts w:hint="eastAsia" w:ascii="仿宋" w:hAnsi="仿宋" w:eastAsia="仿宋" w:cs="仿宋"/>
          <w:color w:val="auto"/>
          <w:sz w:val="24"/>
          <w:highlight w:val="none"/>
          <w:u w:val="none"/>
        </w:rPr>
        <w:t>日历天内完成货物的供货、安装、调试工作，并验收合格交付使用</w:t>
      </w:r>
      <w:r>
        <w:rPr>
          <w:rFonts w:hint="eastAsia" w:ascii="仿宋" w:hAnsi="仿宋" w:eastAsia="仿宋" w:cs="仿宋"/>
          <w:color w:val="auto"/>
          <w:sz w:val="24"/>
          <w:szCs w:val="24"/>
          <w:highlight w:val="none"/>
          <w:lang w:bidi="ar"/>
        </w:rPr>
        <w:t>。</w:t>
      </w:r>
    </w:p>
    <w:p w14:paraId="4CFF1969">
      <w:pPr>
        <w:tabs>
          <w:tab w:val="left" w:pos="2410"/>
        </w:tabs>
        <w:autoSpaceDE w:val="0"/>
        <w:autoSpaceDN w:val="0"/>
        <w:adjustRightInd w:val="0"/>
        <w:snapToGrid w:val="0"/>
        <w:spacing w:line="420" w:lineRule="exact"/>
        <w:ind w:firstLine="480" w:firstLineChars="200"/>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本项目不接受联合体投标。</w:t>
      </w:r>
    </w:p>
    <w:p w14:paraId="17461FEF">
      <w:pPr>
        <w:spacing w:line="420" w:lineRule="exact"/>
        <w:ind w:firstLine="437"/>
        <w:outlineLvl w:val="1"/>
        <w:rPr>
          <w:rFonts w:hint="eastAsia" w:ascii="仿宋" w:hAnsi="仿宋" w:eastAsia="仿宋" w:cs="仿宋"/>
          <w:b/>
          <w:color w:val="auto"/>
          <w:kern w:val="0"/>
          <w:sz w:val="24"/>
          <w:highlight w:val="none"/>
        </w:rPr>
      </w:pPr>
      <w:bookmarkStart w:id="3" w:name="_Toc10122"/>
      <w:r>
        <w:rPr>
          <w:rFonts w:hint="eastAsia" w:ascii="仿宋" w:hAnsi="仿宋" w:eastAsia="仿宋" w:cs="仿宋"/>
          <w:b/>
          <w:color w:val="auto"/>
          <w:kern w:val="0"/>
          <w:sz w:val="24"/>
          <w:highlight w:val="none"/>
        </w:rPr>
        <w:t>二、申请人的资格要求</w:t>
      </w:r>
      <w:bookmarkEnd w:id="3"/>
    </w:p>
    <w:p w14:paraId="6FCC6FC9">
      <w:pPr>
        <w:spacing w:line="420" w:lineRule="exact"/>
        <w:ind w:firstLine="435"/>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1.满足《中华人民共和国政府采购法》第二十二条规定；</w:t>
      </w:r>
    </w:p>
    <w:p w14:paraId="5FEE56F9">
      <w:pPr>
        <w:spacing w:line="420" w:lineRule="exact"/>
        <w:ind w:firstLine="43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w:t>
      </w:r>
      <w:r>
        <w:rPr>
          <w:rFonts w:hint="eastAsia" w:ascii="仿宋" w:hAnsi="仿宋" w:eastAsia="仿宋" w:cs="仿宋"/>
          <w:color w:val="auto"/>
          <w:sz w:val="24"/>
          <w:szCs w:val="24"/>
          <w:highlight w:val="none"/>
          <w:lang w:eastAsia="zh-CN" w:bidi="ar"/>
        </w:rPr>
        <w:t>、</w:t>
      </w:r>
      <w:r>
        <w:rPr>
          <w:rFonts w:hint="eastAsia" w:ascii="仿宋" w:hAnsi="仿宋" w:eastAsia="仿宋" w:cs="仿宋"/>
          <w:color w:val="auto"/>
          <w:sz w:val="24"/>
          <w:szCs w:val="24"/>
          <w:highlight w:val="none"/>
          <w:lang w:bidi="ar"/>
        </w:rPr>
        <w:t>质疑和投诉操作手册；</w:t>
      </w:r>
    </w:p>
    <w:p w14:paraId="60676918">
      <w:pPr>
        <w:spacing w:line="420" w:lineRule="exact"/>
        <w:ind w:firstLine="480" w:firstLineChars="200"/>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bidi="ar"/>
        </w:rPr>
        <w:t>3.本项目的特定资格要求：/</w:t>
      </w:r>
      <w:r>
        <w:rPr>
          <w:rFonts w:hint="eastAsia" w:ascii="仿宋" w:hAnsi="仿宋" w:eastAsia="仿宋" w:cs="仿宋"/>
          <w:color w:val="auto"/>
          <w:sz w:val="24"/>
          <w:szCs w:val="24"/>
          <w:highlight w:val="none"/>
          <w:lang w:eastAsia="zh-CN" w:bidi="ar"/>
        </w:rPr>
        <w:t>。</w:t>
      </w:r>
    </w:p>
    <w:p w14:paraId="29EA48D9">
      <w:pPr>
        <w:spacing w:line="420" w:lineRule="exact"/>
        <w:ind w:firstLine="482" w:firstLineChars="2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三、获取招标文件</w:t>
      </w:r>
    </w:p>
    <w:p w14:paraId="00353423">
      <w:pPr>
        <w:spacing w:line="420" w:lineRule="exact"/>
        <w:ind w:firstLine="54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bidi="ar"/>
        </w:rPr>
        <w:t>时间：</w:t>
      </w:r>
      <w:r>
        <w:rPr>
          <w:rFonts w:hint="eastAsia" w:ascii="仿宋" w:hAnsi="仿宋" w:eastAsia="仿宋" w:cs="仿宋"/>
          <w:color w:val="auto"/>
          <w:sz w:val="24"/>
          <w:szCs w:val="24"/>
          <w:highlight w:val="none"/>
          <w:u w:val="single"/>
          <w:lang w:bidi="ar"/>
        </w:rPr>
        <w:t>2026年</w:t>
      </w:r>
      <w:r>
        <w:rPr>
          <w:rFonts w:hint="eastAsia" w:ascii="仿宋" w:hAnsi="仿宋" w:eastAsia="仿宋" w:cs="仿宋"/>
          <w:color w:val="auto"/>
          <w:sz w:val="24"/>
          <w:szCs w:val="24"/>
          <w:highlight w:val="none"/>
          <w:u w:val="single"/>
          <w:lang w:val="en-US" w:eastAsia="zh-CN" w:bidi="ar"/>
        </w:rPr>
        <w:t>8</w:t>
      </w:r>
      <w:r>
        <w:rPr>
          <w:rFonts w:hint="eastAsia" w:ascii="仿宋" w:hAnsi="仿宋" w:eastAsia="仿宋" w:cs="仿宋"/>
          <w:color w:val="auto"/>
          <w:sz w:val="24"/>
          <w:szCs w:val="24"/>
          <w:highlight w:val="none"/>
          <w:u w:val="single"/>
          <w:lang w:bidi="ar"/>
        </w:rPr>
        <w:t>月</w:t>
      </w:r>
      <w:r>
        <w:rPr>
          <w:rFonts w:hint="eastAsia" w:ascii="仿宋" w:hAnsi="仿宋" w:eastAsia="仿宋" w:cs="仿宋"/>
          <w:color w:val="auto"/>
          <w:sz w:val="24"/>
          <w:szCs w:val="24"/>
          <w:highlight w:val="none"/>
          <w:u w:val="single"/>
          <w:lang w:val="en-US" w:eastAsia="zh-CN" w:bidi="ar"/>
        </w:rPr>
        <w:t>12</w:t>
      </w:r>
      <w:r>
        <w:rPr>
          <w:rFonts w:hint="eastAsia" w:ascii="仿宋" w:hAnsi="仿宋" w:eastAsia="仿宋" w:cs="仿宋"/>
          <w:color w:val="auto"/>
          <w:sz w:val="24"/>
          <w:szCs w:val="24"/>
          <w:highlight w:val="none"/>
          <w:u w:val="single"/>
          <w:lang w:bidi="ar"/>
        </w:rPr>
        <w:t>日</w:t>
      </w:r>
      <w:r>
        <w:rPr>
          <w:rFonts w:hint="eastAsia" w:ascii="仿宋" w:hAnsi="仿宋" w:eastAsia="仿宋" w:cs="仿宋"/>
          <w:color w:val="auto"/>
          <w:sz w:val="24"/>
          <w:szCs w:val="24"/>
          <w:highlight w:val="none"/>
          <w:lang w:bidi="ar"/>
        </w:rPr>
        <w:t>至</w:t>
      </w:r>
      <w:r>
        <w:rPr>
          <w:rFonts w:hint="eastAsia" w:ascii="仿宋" w:hAnsi="仿宋" w:eastAsia="仿宋" w:cs="仿宋"/>
          <w:color w:val="auto"/>
          <w:sz w:val="24"/>
          <w:szCs w:val="24"/>
          <w:highlight w:val="none"/>
          <w:u w:val="single"/>
          <w:lang w:bidi="ar"/>
        </w:rPr>
        <w:t>2026年</w:t>
      </w:r>
      <w:r>
        <w:rPr>
          <w:rFonts w:hint="eastAsia" w:ascii="仿宋" w:hAnsi="仿宋" w:eastAsia="仿宋" w:cs="仿宋"/>
          <w:color w:val="auto"/>
          <w:sz w:val="24"/>
          <w:szCs w:val="24"/>
          <w:highlight w:val="none"/>
          <w:u w:val="single"/>
          <w:lang w:val="en-US" w:eastAsia="zh-CN" w:bidi="ar"/>
        </w:rPr>
        <w:t>9</w:t>
      </w:r>
      <w:r>
        <w:rPr>
          <w:rFonts w:hint="eastAsia" w:ascii="仿宋" w:hAnsi="仿宋" w:eastAsia="仿宋" w:cs="仿宋"/>
          <w:color w:val="auto"/>
          <w:sz w:val="24"/>
          <w:szCs w:val="24"/>
          <w:highlight w:val="none"/>
          <w:u w:val="single"/>
          <w:lang w:bidi="ar"/>
        </w:rPr>
        <w:t>月</w:t>
      </w:r>
      <w:r>
        <w:rPr>
          <w:rFonts w:hint="eastAsia" w:ascii="仿宋" w:hAnsi="仿宋" w:eastAsia="仿宋" w:cs="仿宋"/>
          <w:color w:val="auto"/>
          <w:sz w:val="24"/>
          <w:szCs w:val="24"/>
          <w:highlight w:val="none"/>
          <w:u w:val="single"/>
          <w:lang w:val="en-US" w:eastAsia="zh-CN" w:bidi="ar"/>
        </w:rPr>
        <w:t>2</w:t>
      </w:r>
      <w:r>
        <w:rPr>
          <w:rFonts w:hint="eastAsia" w:ascii="仿宋" w:hAnsi="仿宋" w:eastAsia="仿宋" w:cs="仿宋"/>
          <w:color w:val="auto"/>
          <w:sz w:val="24"/>
          <w:szCs w:val="24"/>
          <w:highlight w:val="none"/>
          <w:u w:val="single"/>
          <w:lang w:bidi="ar"/>
        </w:rPr>
        <w:t>日（提供期限自本公告发布之日起不得少于5个工作日）</w:t>
      </w:r>
    </w:p>
    <w:p w14:paraId="353483B2">
      <w:pPr>
        <w:spacing w:line="420" w:lineRule="exact"/>
        <w:ind w:firstLine="54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bidi="ar"/>
        </w:rPr>
        <w:t>地点：滁州市公共资源交易中心网</w:t>
      </w:r>
    </w:p>
    <w:p w14:paraId="01D87F9C">
      <w:pPr>
        <w:spacing w:line="420" w:lineRule="exact"/>
        <w:ind w:firstLine="54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bidi="ar"/>
        </w:rPr>
        <w:t>方式：网上下载</w:t>
      </w:r>
    </w:p>
    <w:p w14:paraId="04A5CADF">
      <w:pPr>
        <w:spacing w:line="420" w:lineRule="exact"/>
        <w:ind w:firstLine="54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售价：0元</w:t>
      </w:r>
    </w:p>
    <w:p w14:paraId="750FCB5D">
      <w:pPr>
        <w:spacing w:line="420" w:lineRule="exact"/>
        <w:ind w:firstLine="437"/>
        <w:outlineLvl w:val="1"/>
        <w:rPr>
          <w:rFonts w:hint="eastAsia" w:ascii="仿宋" w:hAnsi="仿宋" w:eastAsia="仿宋" w:cs="仿宋"/>
          <w:b/>
          <w:color w:val="auto"/>
          <w:kern w:val="0"/>
          <w:sz w:val="24"/>
          <w:highlight w:val="none"/>
        </w:rPr>
      </w:pPr>
      <w:bookmarkStart w:id="4" w:name="_Toc25070"/>
      <w:r>
        <w:rPr>
          <w:rFonts w:hint="eastAsia" w:ascii="仿宋" w:hAnsi="仿宋" w:eastAsia="仿宋" w:cs="仿宋"/>
          <w:b/>
          <w:color w:val="auto"/>
          <w:kern w:val="0"/>
          <w:sz w:val="24"/>
          <w:highlight w:val="none"/>
        </w:rPr>
        <w:t>四、提交投标文件截止时间、开标时间和地点</w:t>
      </w:r>
      <w:bookmarkEnd w:id="4"/>
    </w:p>
    <w:p w14:paraId="701D1D86">
      <w:pPr>
        <w:spacing w:line="42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u w:val="single"/>
          <w:lang w:bidi="ar"/>
        </w:rPr>
        <w:t>2026年</w:t>
      </w:r>
      <w:r>
        <w:rPr>
          <w:rFonts w:hint="eastAsia" w:ascii="仿宋" w:hAnsi="仿宋" w:eastAsia="仿宋" w:cs="仿宋"/>
          <w:color w:val="auto"/>
          <w:kern w:val="0"/>
          <w:sz w:val="24"/>
          <w:szCs w:val="24"/>
          <w:highlight w:val="none"/>
          <w:u w:val="single"/>
          <w:lang w:val="en-US" w:eastAsia="zh-CN" w:bidi="ar"/>
        </w:rPr>
        <w:t>9</w:t>
      </w:r>
      <w:r>
        <w:rPr>
          <w:rFonts w:hint="eastAsia" w:ascii="仿宋" w:hAnsi="仿宋" w:eastAsia="仿宋" w:cs="仿宋"/>
          <w:color w:val="auto"/>
          <w:kern w:val="0"/>
          <w:sz w:val="24"/>
          <w:szCs w:val="24"/>
          <w:highlight w:val="none"/>
          <w:u w:val="single"/>
          <w:lang w:bidi="ar"/>
        </w:rPr>
        <w:t>月</w:t>
      </w:r>
      <w:r>
        <w:rPr>
          <w:rFonts w:hint="eastAsia" w:ascii="仿宋" w:hAnsi="仿宋" w:eastAsia="仿宋" w:cs="仿宋"/>
          <w:color w:val="auto"/>
          <w:kern w:val="0"/>
          <w:sz w:val="24"/>
          <w:szCs w:val="24"/>
          <w:highlight w:val="none"/>
          <w:u w:val="single"/>
          <w:lang w:val="en-US" w:eastAsia="zh-CN" w:bidi="ar"/>
        </w:rPr>
        <w:t>2</w:t>
      </w:r>
      <w:r>
        <w:rPr>
          <w:rFonts w:hint="eastAsia" w:ascii="仿宋" w:hAnsi="仿宋" w:eastAsia="仿宋" w:cs="仿宋"/>
          <w:color w:val="auto"/>
          <w:kern w:val="0"/>
          <w:sz w:val="24"/>
          <w:szCs w:val="24"/>
          <w:highlight w:val="none"/>
          <w:u w:val="single"/>
          <w:lang w:bidi="ar"/>
        </w:rPr>
        <w:t>日</w:t>
      </w:r>
      <w:r>
        <w:rPr>
          <w:rFonts w:hint="eastAsia" w:ascii="仿宋" w:hAnsi="仿宋" w:eastAsia="仿宋" w:cs="仿宋"/>
          <w:color w:val="auto"/>
          <w:kern w:val="0"/>
          <w:sz w:val="24"/>
          <w:szCs w:val="24"/>
          <w:highlight w:val="none"/>
          <w:u w:val="single"/>
          <w:lang w:val="en-US" w:eastAsia="zh-CN" w:bidi="ar"/>
        </w:rPr>
        <w:t>08</w:t>
      </w:r>
      <w:r>
        <w:rPr>
          <w:rFonts w:hint="eastAsia" w:ascii="仿宋" w:hAnsi="仿宋" w:eastAsia="仿宋" w:cs="仿宋"/>
          <w:color w:val="auto"/>
          <w:kern w:val="0"/>
          <w:sz w:val="24"/>
          <w:szCs w:val="24"/>
          <w:highlight w:val="none"/>
          <w:u w:val="single"/>
          <w:lang w:bidi="ar"/>
        </w:rPr>
        <w:t>点</w:t>
      </w:r>
      <w:r>
        <w:rPr>
          <w:rFonts w:hint="eastAsia" w:ascii="仿宋" w:hAnsi="仿宋" w:eastAsia="仿宋" w:cs="仿宋"/>
          <w:color w:val="auto"/>
          <w:kern w:val="0"/>
          <w:sz w:val="24"/>
          <w:szCs w:val="24"/>
          <w:highlight w:val="none"/>
          <w:u w:val="single"/>
          <w:lang w:val="en-US" w:eastAsia="zh-CN" w:bidi="ar"/>
        </w:rPr>
        <w:t>30</w:t>
      </w:r>
      <w:r>
        <w:rPr>
          <w:rFonts w:hint="eastAsia" w:ascii="仿宋" w:hAnsi="仿宋" w:eastAsia="仿宋" w:cs="仿宋"/>
          <w:color w:val="auto"/>
          <w:kern w:val="0"/>
          <w:sz w:val="24"/>
          <w:szCs w:val="24"/>
          <w:highlight w:val="none"/>
          <w:u w:val="single"/>
          <w:lang w:bidi="ar"/>
        </w:rPr>
        <w:t>分</w:t>
      </w:r>
      <w:r>
        <w:rPr>
          <w:rFonts w:hint="eastAsia" w:ascii="仿宋" w:hAnsi="仿宋" w:eastAsia="仿宋" w:cs="仿宋"/>
          <w:color w:val="auto"/>
          <w:kern w:val="0"/>
          <w:sz w:val="24"/>
          <w:szCs w:val="24"/>
          <w:highlight w:val="none"/>
          <w:lang w:bidi="ar"/>
        </w:rPr>
        <w:t>（北京时间）（自招标文件开始发出之日起至投标人提交投标文件截止之日止，不得少于20日）</w:t>
      </w:r>
    </w:p>
    <w:p w14:paraId="40792BF0">
      <w:pPr>
        <w:spacing w:line="42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bidi="ar"/>
        </w:rPr>
        <w:t>地点：</w:t>
      </w:r>
      <w:r>
        <w:rPr>
          <w:rFonts w:hint="eastAsia" w:ascii="仿宋" w:hAnsi="仿宋" w:eastAsia="仿宋" w:cs="仿宋"/>
          <w:color w:val="auto"/>
          <w:sz w:val="24"/>
          <w:szCs w:val="24"/>
          <w:highlight w:val="none"/>
          <w:lang w:bidi="ar"/>
        </w:rPr>
        <w:t>滁州市公共资源交易平台电子交易系统</w:t>
      </w:r>
    </w:p>
    <w:p w14:paraId="07F6F324">
      <w:pPr>
        <w:spacing w:line="420" w:lineRule="exact"/>
        <w:ind w:firstLine="437"/>
        <w:outlineLvl w:val="1"/>
        <w:rPr>
          <w:rFonts w:hint="eastAsia" w:ascii="仿宋" w:hAnsi="仿宋" w:eastAsia="仿宋" w:cs="仿宋"/>
          <w:b/>
          <w:color w:val="auto"/>
          <w:kern w:val="0"/>
          <w:sz w:val="24"/>
          <w:highlight w:val="none"/>
        </w:rPr>
      </w:pPr>
      <w:bookmarkStart w:id="5" w:name="_Toc20671"/>
      <w:r>
        <w:rPr>
          <w:rFonts w:hint="eastAsia" w:ascii="仿宋" w:hAnsi="仿宋" w:eastAsia="仿宋" w:cs="仿宋"/>
          <w:b/>
          <w:color w:val="auto"/>
          <w:kern w:val="0"/>
          <w:sz w:val="24"/>
          <w:highlight w:val="none"/>
        </w:rPr>
        <w:t>五、公告期限</w:t>
      </w:r>
      <w:bookmarkEnd w:id="5"/>
    </w:p>
    <w:p w14:paraId="05E9DC10">
      <w:pPr>
        <w:spacing w:line="42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bidi="ar"/>
        </w:rPr>
        <w:t>自本公告发布之日起5个工作日。</w:t>
      </w:r>
    </w:p>
    <w:p w14:paraId="327B0B7A">
      <w:pPr>
        <w:spacing w:line="420" w:lineRule="exact"/>
        <w:ind w:firstLine="437"/>
        <w:outlineLvl w:val="1"/>
        <w:rPr>
          <w:rFonts w:hint="eastAsia" w:ascii="仿宋" w:hAnsi="仿宋" w:eastAsia="仿宋" w:cs="仿宋"/>
          <w:b/>
          <w:color w:val="auto"/>
          <w:kern w:val="0"/>
          <w:sz w:val="24"/>
          <w:highlight w:val="none"/>
        </w:rPr>
      </w:pPr>
      <w:bookmarkStart w:id="6" w:name="_Toc4098"/>
      <w:r>
        <w:rPr>
          <w:rFonts w:hint="eastAsia" w:ascii="仿宋" w:hAnsi="仿宋" w:eastAsia="仿宋" w:cs="仿宋"/>
          <w:b/>
          <w:color w:val="auto"/>
          <w:kern w:val="0"/>
          <w:sz w:val="24"/>
          <w:highlight w:val="none"/>
        </w:rPr>
        <w:t>六、其他补充事宜</w:t>
      </w:r>
      <w:bookmarkEnd w:id="6"/>
    </w:p>
    <w:p w14:paraId="2EDD9988">
      <w:pPr>
        <w:wordWrap w:val="0"/>
        <w:autoSpaceDE w:val="0"/>
        <w:spacing w:line="4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w:t>
      </w:r>
      <w:r>
        <w:rPr>
          <w:rFonts w:hint="eastAsia" w:ascii="仿宋" w:hAnsi="仿宋" w:eastAsia="仿宋" w:cs="仿宋"/>
          <w:color w:val="auto"/>
          <w:sz w:val="24"/>
          <w:szCs w:val="24"/>
          <w:highlight w:val="none"/>
        </w:rPr>
        <w:t>相关服务电话：（1）安徽省公共资源交易市场主体库使用相关问题（系统登录、信息登记、录入及提交、数字证书关联等）：010-86483801转5-2；（2）CA数字证书有关问题：安徽CA客服400-615-8899、0550-3019013（工作日）,CFCA客服025-66085508、0550-3801669（工作日）；（3）市场主体招标环节和投标环节系统使用问题：0512-58188516（8:00-21:00）、0550-3801701（工作日）</w:t>
      </w:r>
      <w:r>
        <w:rPr>
          <w:rFonts w:hint="eastAsia" w:ascii="仿宋" w:hAnsi="仿宋" w:eastAsia="仿宋" w:cs="仿宋"/>
          <w:color w:val="auto"/>
          <w:sz w:val="24"/>
          <w:szCs w:val="24"/>
          <w:highlight w:val="none"/>
          <w:lang w:bidi="ar"/>
        </w:rPr>
        <w:t>。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687170CA">
      <w:pPr>
        <w:spacing w:line="4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2.请投标人登录滁州市公共资源交易中心网站查看参加本项目的程序。（具体操作步骤和程序请参见服务指南&gt;交易须知&gt;投标人填写投标信息、下载文件及网上提问操作手册）。</w:t>
      </w:r>
    </w:p>
    <w:p w14:paraId="32970CD9">
      <w:pPr>
        <w:wordWrap w:val="0"/>
        <w:autoSpaceDE w:val="0"/>
        <w:spacing w:line="4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本项目采用不见面开标（远程解密)方式，开标时投标人无须至开标现场进行解密，开标采取远程解密方式解密投标文件，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260F71BB">
      <w:pPr>
        <w:autoSpaceDE w:val="0"/>
        <w:spacing w:line="420" w:lineRule="exact"/>
        <w:ind w:firstLine="480" w:firstLineChars="200"/>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p w14:paraId="17D610B1">
      <w:pPr>
        <w:spacing w:line="420" w:lineRule="exact"/>
        <w:ind w:firstLine="437"/>
        <w:outlineLvl w:val="1"/>
        <w:rPr>
          <w:rFonts w:hint="eastAsia" w:ascii="仿宋" w:hAnsi="仿宋" w:eastAsia="仿宋" w:cs="仿宋"/>
          <w:b/>
          <w:color w:val="auto"/>
          <w:kern w:val="0"/>
          <w:sz w:val="24"/>
          <w:highlight w:val="none"/>
        </w:rPr>
      </w:pPr>
      <w:bookmarkStart w:id="7" w:name="_Toc15875"/>
      <w:r>
        <w:rPr>
          <w:rFonts w:hint="eastAsia" w:ascii="仿宋" w:hAnsi="仿宋" w:eastAsia="仿宋" w:cs="仿宋"/>
          <w:b/>
          <w:color w:val="auto"/>
          <w:kern w:val="0"/>
          <w:sz w:val="24"/>
          <w:highlight w:val="none"/>
        </w:rPr>
        <w:t>七、对本次招标提出询问，请按以下方式联系</w:t>
      </w:r>
      <w:bookmarkEnd w:id="7"/>
    </w:p>
    <w:p w14:paraId="61D0BEEF">
      <w:pPr>
        <w:autoSpaceDE w:val="0"/>
        <w:spacing w:line="4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1.采购人信息</w:t>
      </w:r>
    </w:p>
    <w:p w14:paraId="55E7F17C">
      <w:pPr>
        <w:wordWrap w:val="0"/>
        <w:autoSpaceDE w:val="0"/>
        <w:spacing w:line="420" w:lineRule="exact"/>
        <w:ind w:firstLine="480" w:firstLineChars="200"/>
        <w:rPr>
          <w:rFonts w:hint="eastAsia" w:ascii="仿宋" w:hAnsi="仿宋" w:eastAsia="仿宋" w:cs="仿宋"/>
          <w:color w:val="auto"/>
          <w:sz w:val="24"/>
          <w:szCs w:val="18"/>
          <w:highlight w:val="none"/>
          <w:lang w:eastAsia="zh-CN"/>
        </w:rPr>
      </w:pPr>
      <w:r>
        <w:rPr>
          <w:rFonts w:hint="eastAsia" w:ascii="仿宋" w:hAnsi="仿宋" w:eastAsia="仿宋" w:cs="仿宋"/>
          <w:color w:val="auto"/>
          <w:sz w:val="24"/>
          <w:szCs w:val="18"/>
          <w:highlight w:val="none"/>
        </w:rPr>
        <w:t>名  称：</w:t>
      </w:r>
      <w:r>
        <w:rPr>
          <w:rFonts w:hint="eastAsia" w:ascii="仿宋" w:hAnsi="仿宋" w:eastAsia="仿宋" w:cs="仿宋"/>
          <w:color w:val="auto"/>
          <w:sz w:val="24"/>
          <w:szCs w:val="18"/>
          <w:highlight w:val="none"/>
          <w:lang w:eastAsia="zh-CN"/>
        </w:rPr>
        <w:t>滁州市城市管理局</w:t>
      </w:r>
    </w:p>
    <w:p w14:paraId="367774C5">
      <w:pPr>
        <w:wordWrap w:val="0"/>
        <w:autoSpaceDE w:val="0"/>
        <w:spacing w:line="420" w:lineRule="exact"/>
        <w:ind w:firstLine="480" w:firstLineChars="200"/>
        <w:rPr>
          <w:rFonts w:hint="eastAsia" w:ascii="仿宋" w:hAnsi="仿宋" w:eastAsia="仿宋" w:cs="仿宋"/>
          <w:color w:val="auto"/>
          <w:sz w:val="24"/>
          <w:szCs w:val="18"/>
          <w:highlight w:val="none"/>
        </w:rPr>
      </w:pPr>
      <w:r>
        <w:rPr>
          <w:rFonts w:hint="eastAsia" w:ascii="仿宋" w:hAnsi="仿宋" w:eastAsia="仿宋" w:cs="仿宋"/>
          <w:color w:val="auto"/>
          <w:sz w:val="24"/>
          <w:szCs w:val="18"/>
          <w:highlight w:val="none"/>
        </w:rPr>
        <w:t>地  址：</w:t>
      </w:r>
      <w:r>
        <w:rPr>
          <w:rFonts w:hint="eastAsia" w:ascii="仿宋" w:hAnsi="仿宋" w:eastAsia="仿宋" w:cs="仿宋"/>
          <w:color w:val="auto"/>
          <w:sz w:val="24"/>
          <w:szCs w:val="18"/>
          <w:highlight w:val="none"/>
          <w:lang w:val="en-US" w:eastAsia="zh-CN"/>
        </w:rPr>
        <w:t>滁州市琅琊区凤凰东路476号</w:t>
      </w:r>
    </w:p>
    <w:p w14:paraId="3E4E9EC9">
      <w:pPr>
        <w:wordWrap w:val="0"/>
        <w:autoSpaceDE w:val="0"/>
        <w:spacing w:line="420" w:lineRule="exact"/>
        <w:ind w:firstLine="480" w:firstLineChars="200"/>
        <w:rPr>
          <w:rFonts w:hint="eastAsia" w:ascii="仿宋" w:hAnsi="仿宋" w:eastAsia="仿宋" w:cs="仿宋"/>
          <w:color w:val="auto"/>
          <w:sz w:val="24"/>
          <w:szCs w:val="18"/>
          <w:highlight w:val="none"/>
          <w:lang w:eastAsia="zh-CN"/>
        </w:rPr>
      </w:pPr>
      <w:r>
        <w:rPr>
          <w:rFonts w:hint="eastAsia" w:ascii="仿宋" w:hAnsi="仿宋" w:eastAsia="仿宋" w:cs="仿宋"/>
          <w:color w:val="auto"/>
          <w:sz w:val="24"/>
          <w:szCs w:val="18"/>
          <w:highlight w:val="none"/>
        </w:rPr>
        <w:t>联系人：</w:t>
      </w:r>
      <w:r>
        <w:rPr>
          <w:rFonts w:hint="eastAsia" w:ascii="仿宋" w:hAnsi="仿宋" w:eastAsia="仿宋" w:cs="仿宋"/>
          <w:color w:val="auto"/>
          <w:sz w:val="24"/>
          <w:szCs w:val="18"/>
          <w:highlight w:val="none"/>
          <w:lang w:eastAsia="zh-CN"/>
        </w:rPr>
        <w:t>姜涛</w:t>
      </w:r>
    </w:p>
    <w:p w14:paraId="4BA58C15">
      <w:pPr>
        <w:wordWrap w:val="0"/>
        <w:autoSpaceDE w:val="0"/>
        <w:spacing w:line="420" w:lineRule="exact"/>
        <w:ind w:firstLine="480" w:firstLineChars="200"/>
        <w:rPr>
          <w:rFonts w:hint="default" w:ascii="仿宋" w:hAnsi="仿宋" w:eastAsia="仿宋" w:cs="仿宋"/>
          <w:color w:val="auto"/>
          <w:sz w:val="24"/>
          <w:szCs w:val="18"/>
          <w:highlight w:val="none"/>
          <w:u w:val="none"/>
          <w:lang w:val="en-US" w:eastAsia="zh-CN"/>
        </w:rPr>
      </w:pPr>
      <w:r>
        <w:rPr>
          <w:rFonts w:hint="eastAsia" w:ascii="仿宋" w:hAnsi="仿宋" w:eastAsia="仿宋" w:cs="仿宋"/>
          <w:color w:val="auto"/>
          <w:sz w:val="24"/>
          <w:szCs w:val="18"/>
          <w:highlight w:val="none"/>
        </w:rPr>
        <w:t>联系方式：</w:t>
      </w:r>
      <w:r>
        <w:rPr>
          <w:rFonts w:hint="eastAsia" w:ascii="仿宋" w:hAnsi="仿宋" w:eastAsia="仿宋" w:cs="仿宋"/>
          <w:b w:val="0"/>
          <w:color w:val="auto"/>
          <w:sz w:val="24"/>
          <w:szCs w:val="24"/>
          <w:highlight w:val="none"/>
          <w:u w:val="none"/>
          <w:lang w:val="en-US" w:eastAsia="zh-CN"/>
        </w:rPr>
        <w:t>0550-2591695</w:t>
      </w:r>
    </w:p>
    <w:p w14:paraId="5B6F470E">
      <w:pPr>
        <w:wordWrap w:val="0"/>
        <w:autoSpaceDE w:val="0"/>
        <w:spacing w:line="420" w:lineRule="exact"/>
        <w:ind w:firstLine="480" w:firstLineChars="200"/>
        <w:rPr>
          <w:rFonts w:hint="eastAsia" w:ascii="仿宋" w:hAnsi="仿宋" w:eastAsia="仿宋" w:cs="仿宋"/>
          <w:color w:val="auto"/>
          <w:sz w:val="24"/>
          <w:szCs w:val="18"/>
          <w:highlight w:val="none"/>
        </w:rPr>
      </w:pPr>
      <w:r>
        <w:rPr>
          <w:rFonts w:hint="eastAsia" w:ascii="仿宋" w:hAnsi="仿宋" w:eastAsia="仿宋" w:cs="仿宋"/>
          <w:color w:val="auto"/>
          <w:sz w:val="24"/>
          <w:szCs w:val="18"/>
          <w:highlight w:val="none"/>
        </w:rPr>
        <w:t>2.采购代理机构信息</w:t>
      </w:r>
    </w:p>
    <w:p w14:paraId="16C278E1">
      <w:pPr>
        <w:wordWrap w:val="0"/>
        <w:autoSpaceDE w:val="0"/>
        <w:spacing w:line="420" w:lineRule="exact"/>
        <w:ind w:firstLine="480" w:firstLineChars="200"/>
        <w:rPr>
          <w:rFonts w:hint="eastAsia" w:ascii="仿宋" w:hAnsi="仿宋" w:eastAsia="仿宋" w:cs="仿宋"/>
          <w:color w:val="auto"/>
          <w:sz w:val="24"/>
          <w:szCs w:val="18"/>
          <w:highlight w:val="none"/>
          <w:lang w:eastAsia="zh-CN"/>
        </w:rPr>
      </w:pPr>
      <w:r>
        <w:rPr>
          <w:rFonts w:hint="eastAsia" w:ascii="仿宋" w:hAnsi="仿宋" w:eastAsia="仿宋" w:cs="仿宋"/>
          <w:color w:val="auto"/>
          <w:sz w:val="24"/>
          <w:szCs w:val="18"/>
          <w:highlight w:val="none"/>
        </w:rPr>
        <w:t>名  称：</w:t>
      </w:r>
      <w:r>
        <w:rPr>
          <w:rFonts w:hint="eastAsia" w:ascii="仿宋" w:hAnsi="仿宋" w:eastAsia="仿宋" w:cs="仿宋"/>
          <w:color w:val="auto"/>
          <w:sz w:val="24"/>
          <w:szCs w:val="18"/>
          <w:highlight w:val="none"/>
          <w:lang w:eastAsia="zh-CN"/>
        </w:rPr>
        <w:t>滁州市城投工程咨询管理有限公司</w:t>
      </w:r>
    </w:p>
    <w:p w14:paraId="28948F38">
      <w:pPr>
        <w:wordWrap w:val="0"/>
        <w:autoSpaceDE w:val="0"/>
        <w:spacing w:line="420" w:lineRule="exact"/>
        <w:ind w:firstLine="480" w:firstLineChars="200"/>
        <w:rPr>
          <w:rFonts w:hint="eastAsia" w:ascii="仿宋" w:hAnsi="仿宋" w:eastAsia="仿宋" w:cs="仿宋"/>
          <w:color w:val="auto"/>
          <w:sz w:val="24"/>
          <w:szCs w:val="18"/>
          <w:highlight w:val="none"/>
        </w:rPr>
      </w:pPr>
      <w:r>
        <w:rPr>
          <w:rFonts w:hint="eastAsia" w:ascii="仿宋" w:hAnsi="仿宋" w:eastAsia="仿宋" w:cs="仿宋"/>
          <w:color w:val="auto"/>
          <w:sz w:val="24"/>
          <w:szCs w:val="18"/>
          <w:highlight w:val="none"/>
        </w:rPr>
        <w:t>地  址：滁州市龙蟠大道109号房产商务大厦</w:t>
      </w:r>
      <w:r>
        <w:rPr>
          <w:rFonts w:hint="eastAsia" w:ascii="仿宋" w:hAnsi="仿宋" w:eastAsia="仿宋" w:cs="仿宋"/>
          <w:color w:val="auto"/>
          <w:sz w:val="24"/>
          <w:szCs w:val="18"/>
          <w:highlight w:val="none"/>
          <w:lang w:val="en-US" w:eastAsia="zh-CN"/>
        </w:rPr>
        <w:t>6</w:t>
      </w:r>
      <w:r>
        <w:rPr>
          <w:rFonts w:hint="eastAsia" w:ascii="仿宋" w:hAnsi="仿宋" w:eastAsia="仿宋" w:cs="仿宋"/>
          <w:color w:val="auto"/>
          <w:sz w:val="24"/>
          <w:szCs w:val="18"/>
          <w:highlight w:val="none"/>
        </w:rPr>
        <w:t>楼</w:t>
      </w:r>
    </w:p>
    <w:p w14:paraId="7A68D83F">
      <w:pPr>
        <w:wordWrap w:val="0"/>
        <w:autoSpaceDE w:val="0"/>
        <w:spacing w:line="420" w:lineRule="exact"/>
        <w:ind w:firstLine="480" w:firstLineChars="200"/>
        <w:rPr>
          <w:rFonts w:hint="eastAsia" w:ascii="仿宋" w:hAnsi="仿宋" w:eastAsia="仿宋" w:cs="仿宋"/>
          <w:color w:val="auto"/>
          <w:sz w:val="24"/>
          <w:szCs w:val="18"/>
          <w:highlight w:val="none"/>
        </w:rPr>
      </w:pPr>
      <w:r>
        <w:rPr>
          <w:rFonts w:hint="eastAsia" w:ascii="仿宋" w:hAnsi="仿宋" w:eastAsia="仿宋" w:cs="仿宋"/>
          <w:color w:val="auto"/>
          <w:sz w:val="24"/>
          <w:szCs w:val="18"/>
          <w:highlight w:val="none"/>
        </w:rPr>
        <w:t>联系人：关勤勤</w:t>
      </w:r>
    </w:p>
    <w:p w14:paraId="7BF514C1">
      <w:pPr>
        <w:wordWrap w:val="0"/>
        <w:autoSpaceDE w:val="0"/>
        <w:spacing w:line="420" w:lineRule="exact"/>
        <w:ind w:firstLine="480" w:firstLineChars="200"/>
        <w:rPr>
          <w:rFonts w:hint="eastAsia" w:ascii="仿宋" w:hAnsi="仿宋" w:eastAsia="仿宋" w:cs="仿宋"/>
          <w:color w:val="auto"/>
          <w:sz w:val="24"/>
          <w:szCs w:val="18"/>
          <w:highlight w:val="none"/>
        </w:rPr>
      </w:pPr>
      <w:r>
        <w:rPr>
          <w:rFonts w:hint="eastAsia" w:ascii="仿宋" w:hAnsi="仿宋" w:eastAsia="仿宋" w:cs="仿宋"/>
          <w:color w:val="auto"/>
          <w:sz w:val="24"/>
          <w:szCs w:val="18"/>
          <w:highlight w:val="none"/>
        </w:rPr>
        <w:t>联系方式：0550-3519590 18909605753</w:t>
      </w:r>
    </w:p>
    <w:p w14:paraId="0AC02C78">
      <w:pPr>
        <w:autoSpaceDE w:val="0"/>
        <w:spacing w:line="4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3.政府采购监督管理部门信息</w:t>
      </w:r>
    </w:p>
    <w:p w14:paraId="567D8D16">
      <w:pPr>
        <w:wordWrap w:val="0"/>
        <w:autoSpaceDE w:val="0"/>
        <w:spacing w:line="420" w:lineRule="exact"/>
        <w:ind w:firstLine="480" w:firstLineChars="200"/>
        <w:rPr>
          <w:rFonts w:hint="eastAsia" w:ascii="仿宋" w:hAnsi="仿宋" w:eastAsia="仿宋" w:cs="仿宋"/>
          <w:color w:val="auto"/>
          <w:sz w:val="24"/>
          <w:szCs w:val="18"/>
          <w:highlight w:val="none"/>
        </w:rPr>
      </w:pPr>
      <w:r>
        <w:rPr>
          <w:rFonts w:hint="eastAsia" w:ascii="仿宋" w:hAnsi="仿宋" w:eastAsia="仿宋" w:cs="仿宋"/>
          <w:color w:val="auto"/>
          <w:sz w:val="24"/>
          <w:szCs w:val="18"/>
          <w:highlight w:val="none"/>
        </w:rPr>
        <w:t>名  称：滁州市公共资源交易监督管理局</w:t>
      </w:r>
    </w:p>
    <w:p w14:paraId="2C943A61">
      <w:pPr>
        <w:wordWrap w:val="0"/>
        <w:autoSpaceDE w:val="0"/>
        <w:spacing w:line="420" w:lineRule="exact"/>
        <w:ind w:firstLine="480" w:firstLineChars="200"/>
        <w:rPr>
          <w:rFonts w:hint="eastAsia" w:ascii="仿宋" w:hAnsi="仿宋" w:eastAsia="仿宋" w:cs="仿宋"/>
          <w:color w:val="auto"/>
          <w:sz w:val="24"/>
          <w:szCs w:val="18"/>
          <w:highlight w:val="none"/>
        </w:rPr>
      </w:pPr>
      <w:r>
        <w:rPr>
          <w:rFonts w:hint="eastAsia" w:ascii="仿宋" w:hAnsi="仿宋" w:eastAsia="仿宋" w:cs="仿宋"/>
          <w:color w:val="auto"/>
          <w:sz w:val="24"/>
          <w:szCs w:val="18"/>
          <w:highlight w:val="none"/>
        </w:rPr>
        <w:t>地  址：滁州市龙蟠大道109号房产大厦</w:t>
      </w:r>
      <w:r>
        <w:rPr>
          <w:rFonts w:hint="eastAsia" w:ascii="仿宋" w:hAnsi="仿宋" w:eastAsia="仿宋" w:cs="仿宋"/>
          <w:color w:val="auto"/>
          <w:sz w:val="24"/>
          <w:szCs w:val="18"/>
          <w:highlight w:val="none"/>
          <w:lang w:val="en-US" w:eastAsia="zh-CN"/>
        </w:rPr>
        <w:t>3</w:t>
      </w:r>
      <w:r>
        <w:rPr>
          <w:rFonts w:hint="eastAsia" w:ascii="仿宋" w:hAnsi="仿宋" w:eastAsia="仿宋" w:cs="仿宋"/>
          <w:color w:val="auto"/>
          <w:sz w:val="24"/>
          <w:szCs w:val="18"/>
          <w:highlight w:val="none"/>
        </w:rPr>
        <w:t>楼</w:t>
      </w:r>
    </w:p>
    <w:p w14:paraId="316EB83C">
      <w:pPr>
        <w:wordWrap w:val="0"/>
        <w:autoSpaceDE w:val="0"/>
        <w:spacing w:line="420" w:lineRule="exact"/>
        <w:ind w:firstLine="480" w:firstLineChars="200"/>
        <w:rPr>
          <w:rFonts w:hint="eastAsia" w:ascii="仿宋" w:hAnsi="仿宋" w:eastAsia="仿宋" w:cs="仿宋"/>
          <w:color w:val="auto"/>
          <w:sz w:val="24"/>
          <w:szCs w:val="18"/>
          <w:highlight w:val="none"/>
        </w:rPr>
      </w:pPr>
      <w:r>
        <w:rPr>
          <w:rFonts w:hint="eastAsia" w:ascii="仿宋" w:hAnsi="仿宋" w:eastAsia="仿宋" w:cs="仿宋"/>
          <w:color w:val="auto"/>
          <w:sz w:val="24"/>
          <w:szCs w:val="18"/>
          <w:highlight w:val="none"/>
        </w:rPr>
        <w:t>联系方式：0550-3801631</w:t>
      </w:r>
    </w:p>
    <w:p w14:paraId="385EFC1D">
      <w:pPr>
        <w:spacing w:line="360" w:lineRule="auto"/>
        <w:ind w:firstLine="437"/>
        <w:outlineLvl w:val="2"/>
        <w:rPr>
          <w:rFonts w:hint="eastAsia" w:ascii="仿宋" w:hAnsi="仿宋" w:eastAsia="仿宋" w:cs="仿宋"/>
          <w:color w:val="auto"/>
          <w:sz w:val="24"/>
          <w:szCs w:val="18"/>
          <w:highlight w:val="none"/>
        </w:rPr>
      </w:pPr>
      <w:r>
        <w:rPr>
          <w:rFonts w:hint="eastAsia" w:ascii="仿宋" w:hAnsi="仿宋" w:eastAsia="仿宋" w:cs="仿宋"/>
          <w:color w:val="auto"/>
          <w:sz w:val="24"/>
          <w:szCs w:val="18"/>
          <w:highlight w:val="none"/>
        </w:rPr>
        <w:br w:type="page"/>
      </w:r>
    </w:p>
    <w:p w14:paraId="03D9B895">
      <w:pPr>
        <w:spacing w:line="360" w:lineRule="auto"/>
        <w:jc w:val="center"/>
        <w:outlineLvl w:val="0"/>
        <w:rPr>
          <w:rFonts w:hint="eastAsia" w:ascii="仿宋" w:hAnsi="仿宋" w:eastAsia="仿宋" w:cs="仿宋"/>
          <w:b/>
          <w:color w:val="auto"/>
          <w:sz w:val="28"/>
          <w:highlight w:val="none"/>
        </w:rPr>
      </w:pPr>
      <w:bookmarkStart w:id="8" w:name="_Toc976"/>
      <w:r>
        <w:rPr>
          <w:rFonts w:hint="eastAsia" w:ascii="仿宋" w:hAnsi="仿宋" w:eastAsia="仿宋" w:cs="仿宋"/>
          <w:b/>
          <w:color w:val="auto"/>
          <w:sz w:val="28"/>
          <w:highlight w:val="none"/>
        </w:rPr>
        <w:t>第二章  投标人须知</w:t>
      </w:r>
      <w:bookmarkEnd w:id="8"/>
    </w:p>
    <w:p w14:paraId="74C52708">
      <w:pPr>
        <w:spacing w:line="360" w:lineRule="auto"/>
        <w:jc w:val="center"/>
        <w:outlineLvl w:val="1"/>
        <w:rPr>
          <w:rFonts w:hint="eastAsia" w:ascii="仿宋" w:hAnsi="仿宋" w:eastAsia="仿宋" w:cs="仿宋"/>
          <w:b/>
          <w:color w:val="auto"/>
          <w:sz w:val="24"/>
          <w:highlight w:val="none"/>
        </w:rPr>
      </w:pPr>
      <w:bookmarkStart w:id="9" w:name="_Toc18796"/>
      <w:bookmarkStart w:id="10" w:name="_Toc3114"/>
      <w:bookmarkStart w:id="11" w:name="_Toc7178"/>
      <w:r>
        <w:rPr>
          <w:rFonts w:hint="eastAsia" w:ascii="仿宋" w:hAnsi="仿宋" w:eastAsia="仿宋" w:cs="仿宋"/>
          <w:b/>
          <w:color w:val="auto"/>
          <w:sz w:val="24"/>
          <w:highlight w:val="none"/>
        </w:rPr>
        <w:t>一、投标人须知前附表</w:t>
      </w:r>
      <w:bookmarkEnd w:id="9"/>
      <w:bookmarkEnd w:id="10"/>
      <w:bookmarkEnd w:id="11"/>
    </w:p>
    <w:p w14:paraId="0D529ADE">
      <w:pPr>
        <w:spacing w:line="360" w:lineRule="auto"/>
        <w:ind w:firstLine="435"/>
        <w:rPr>
          <w:rFonts w:hint="eastAsia" w:ascii="仿宋" w:hAnsi="仿宋" w:eastAsia="仿宋" w:cs="仿宋"/>
          <w:color w:val="auto"/>
          <w:sz w:val="24"/>
          <w:szCs w:val="18"/>
          <w:highlight w:val="none"/>
        </w:rPr>
      </w:pPr>
      <w:r>
        <w:rPr>
          <w:rFonts w:hint="eastAsia" w:ascii="仿宋" w:hAnsi="仿宋" w:eastAsia="仿宋" w:cs="仿宋"/>
          <w:b/>
          <w:bCs/>
          <w:color w:val="auto"/>
          <w:sz w:val="24"/>
          <w:szCs w:val="18"/>
          <w:highlight w:val="none"/>
        </w:rPr>
        <w:t>注：</w:t>
      </w:r>
      <w:r>
        <w:rPr>
          <w:rFonts w:hint="eastAsia" w:ascii="仿宋" w:hAnsi="仿宋" w:eastAsia="仿宋" w:cs="仿宋"/>
          <w:color w:val="auto"/>
          <w:sz w:val="24"/>
          <w:szCs w:val="18"/>
          <w:highlight w:val="none"/>
        </w:rPr>
        <w:t>本表是本项目的具体要求，是对投标人须知的具体补充和修改，如有不一致，以本表为准。</w:t>
      </w:r>
    </w:p>
    <w:tbl>
      <w:tblPr>
        <w:tblStyle w:val="27"/>
        <w:tblW w:w="53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7"/>
        <w:gridCol w:w="2398"/>
        <w:gridCol w:w="6310"/>
      </w:tblGrid>
      <w:tr w14:paraId="5C38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648" w:type="pct"/>
            <w:vAlign w:val="center"/>
          </w:tcPr>
          <w:p w14:paraId="0CEF0EB5">
            <w:pPr>
              <w:pStyle w:val="46"/>
              <w:widowControl w:val="0"/>
              <w:spacing w:before="0" w:beforeAutospacing="0" w:after="0" w:afterAutospacing="0"/>
              <w:rPr>
                <w:rFonts w:hint="eastAsia" w:ascii="仿宋" w:hAnsi="仿宋" w:eastAsia="仿宋" w:cs="仿宋"/>
                <w:bCs w:val="0"/>
                <w:color w:val="auto"/>
                <w:kern w:val="2"/>
                <w:sz w:val="24"/>
                <w:szCs w:val="20"/>
                <w:highlight w:val="none"/>
              </w:rPr>
            </w:pPr>
            <w:r>
              <w:rPr>
                <w:rFonts w:hint="eastAsia" w:ascii="仿宋" w:hAnsi="仿宋" w:eastAsia="仿宋" w:cs="仿宋"/>
                <w:bCs w:val="0"/>
                <w:color w:val="auto"/>
                <w:kern w:val="2"/>
                <w:sz w:val="24"/>
                <w:szCs w:val="20"/>
                <w:highlight w:val="none"/>
              </w:rPr>
              <w:t>条款号</w:t>
            </w:r>
          </w:p>
        </w:tc>
        <w:tc>
          <w:tcPr>
            <w:tcW w:w="1198" w:type="pct"/>
            <w:vAlign w:val="center"/>
          </w:tcPr>
          <w:p w14:paraId="7488A347">
            <w:pPr>
              <w:pStyle w:val="46"/>
              <w:widowControl w:val="0"/>
              <w:spacing w:before="0" w:beforeAutospacing="0" w:after="0" w:afterAutospacing="0"/>
              <w:rPr>
                <w:rFonts w:hint="eastAsia" w:ascii="仿宋" w:hAnsi="仿宋" w:eastAsia="仿宋" w:cs="仿宋"/>
                <w:bCs w:val="0"/>
                <w:color w:val="auto"/>
                <w:kern w:val="2"/>
                <w:sz w:val="24"/>
                <w:szCs w:val="20"/>
                <w:highlight w:val="none"/>
              </w:rPr>
            </w:pPr>
            <w:r>
              <w:rPr>
                <w:rFonts w:hint="eastAsia" w:ascii="仿宋" w:hAnsi="仿宋" w:eastAsia="仿宋" w:cs="仿宋"/>
                <w:bCs w:val="0"/>
                <w:color w:val="auto"/>
                <w:kern w:val="2"/>
                <w:sz w:val="24"/>
                <w:szCs w:val="20"/>
                <w:highlight w:val="none"/>
              </w:rPr>
              <w:t>条款名称</w:t>
            </w:r>
          </w:p>
        </w:tc>
        <w:tc>
          <w:tcPr>
            <w:tcW w:w="3152" w:type="pct"/>
            <w:vAlign w:val="center"/>
          </w:tcPr>
          <w:p w14:paraId="312B2D5D">
            <w:pPr>
              <w:pStyle w:val="46"/>
              <w:widowControl w:val="0"/>
              <w:spacing w:before="0" w:beforeAutospacing="0" w:after="0" w:afterAutospacing="0"/>
              <w:rPr>
                <w:rFonts w:hint="eastAsia" w:ascii="仿宋" w:hAnsi="仿宋" w:eastAsia="仿宋" w:cs="仿宋"/>
                <w:bCs w:val="0"/>
                <w:color w:val="auto"/>
                <w:kern w:val="2"/>
                <w:sz w:val="24"/>
                <w:szCs w:val="20"/>
                <w:highlight w:val="none"/>
              </w:rPr>
            </w:pPr>
            <w:r>
              <w:rPr>
                <w:rFonts w:hint="eastAsia" w:ascii="仿宋" w:hAnsi="仿宋" w:eastAsia="仿宋" w:cs="仿宋"/>
                <w:bCs w:val="0"/>
                <w:color w:val="auto"/>
                <w:kern w:val="2"/>
                <w:sz w:val="24"/>
                <w:szCs w:val="20"/>
                <w:highlight w:val="none"/>
              </w:rPr>
              <w:t>内容、说明与要求</w:t>
            </w:r>
          </w:p>
        </w:tc>
      </w:tr>
      <w:tr w14:paraId="36D2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0B61BC38">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5.2</w:t>
            </w:r>
          </w:p>
        </w:tc>
        <w:tc>
          <w:tcPr>
            <w:tcW w:w="1198" w:type="pct"/>
            <w:vAlign w:val="center"/>
          </w:tcPr>
          <w:p w14:paraId="3674CE93">
            <w:pPr>
              <w:pStyle w:val="46"/>
              <w:widowControl w:val="0"/>
              <w:spacing w:before="0" w:beforeAutospacing="0" w:after="0" w:afterAutospacing="0" w:line="360" w:lineRule="auto"/>
              <w:jc w:val="left"/>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现场考察或标前答疑会</w:t>
            </w:r>
          </w:p>
        </w:tc>
        <w:tc>
          <w:tcPr>
            <w:tcW w:w="3152" w:type="pct"/>
            <w:vAlign w:val="center"/>
          </w:tcPr>
          <w:p w14:paraId="0B49F5C7">
            <w:pPr>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szCs w:val="24"/>
                <w:highlight w:val="none"/>
              </w:rPr>
              <w:t>☑</w:t>
            </w:r>
            <w:r>
              <w:rPr>
                <w:rFonts w:hint="eastAsia" w:ascii="仿宋" w:hAnsi="仿宋" w:eastAsia="仿宋" w:cs="仿宋"/>
                <w:color w:val="auto"/>
                <w:sz w:val="24"/>
                <w:highlight w:val="none"/>
              </w:rPr>
              <w:t>不组织或不召开</w:t>
            </w:r>
          </w:p>
          <w:p w14:paraId="03AF9C6A">
            <w:pPr>
              <w:spacing w:line="360" w:lineRule="auto"/>
              <w:rPr>
                <w:rFonts w:hint="eastAsia" w:ascii="仿宋" w:hAnsi="仿宋" w:eastAsia="仿宋" w:cs="仿宋"/>
                <w:bCs/>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统一组织或统一召开</w:t>
            </w:r>
          </w:p>
          <w:p w14:paraId="78074ACB">
            <w:pPr>
              <w:spacing w:line="360" w:lineRule="auto"/>
              <w:rPr>
                <w:rFonts w:hint="eastAsia" w:ascii="仿宋" w:hAnsi="仿宋" w:eastAsia="仿宋" w:cs="仿宋"/>
                <w:bCs/>
                <w:color w:val="auto"/>
                <w:sz w:val="24"/>
                <w:highlight w:val="none"/>
                <w:u w:val="single"/>
              </w:rPr>
            </w:pPr>
            <w:r>
              <w:rPr>
                <w:rFonts w:hint="eastAsia" w:ascii="仿宋" w:hAnsi="仿宋" w:eastAsia="仿宋" w:cs="仿宋"/>
                <w:bCs/>
                <w:color w:val="auto"/>
                <w:sz w:val="24"/>
                <w:highlight w:val="none"/>
              </w:rPr>
              <w:t>时间：</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日</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时</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分</w:t>
            </w:r>
          </w:p>
          <w:p w14:paraId="402C28CA">
            <w:pPr>
              <w:spacing w:line="360" w:lineRule="auto"/>
              <w:rPr>
                <w:rFonts w:hint="eastAsia" w:ascii="仿宋" w:hAnsi="仿宋" w:eastAsia="仿宋" w:cs="仿宋"/>
                <w:bCs/>
                <w:color w:val="auto"/>
                <w:sz w:val="24"/>
                <w:highlight w:val="none"/>
                <w:u w:val="single"/>
              </w:rPr>
            </w:pPr>
            <w:r>
              <w:rPr>
                <w:rFonts w:hint="eastAsia" w:ascii="仿宋" w:hAnsi="仿宋" w:eastAsia="仿宋" w:cs="仿宋"/>
                <w:bCs/>
                <w:color w:val="auto"/>
                <w:sz w:val="24"/>
                <w:highlight w:val="none"/>
              </w:rPr>
              <w:t>地点：</w:t>
            </w:r>
            <w:r>
              <w:rPr>
                <w:rFonts w:hint="eastAsia" w:ascii="仿宋" w:hAnsi="仿宋" w:eastAsia="仿宋" w:cs="仿宋"/>
                <w:bCs/>
                <w:color w:val="auto"/>
                <w:sz w:val="24"/>
                <w:highlight w:val="none"/>
                <w:u w:val="single"/>
              </w:rPr>
              <w:t xml:space="preserve">                       </w:t>
            </w:r>
          </w:p>
          <w:p w14:paraId="29BEE29F">
            <w:pPr>
              <w:spacing w:line="360" w:lineRule="auto"/>
              <w:rPr>
                <w:rFonts w:hint="eastAsia" w:ascii="仿宋" w:hAnsi="仿宋" w:eastAsia="仿宋" w:cs="仿宋"/>
                <w:bCs/>
                <w:color w:val="auto"/>
                <w:sz w:val="24"/>
                <w:highlight w:val="none"/>
                <w:u w:val="single"/>
              </w:rPr>
            </w:pPr>
            <w:r>
              <w:rPr>
                <w:rFonts w:hint="eastAsia" w:ascii="仿宋" w:hAnsi="仿宋" w:eastAsia="仿宋" w:cs="仿宋"/>
                <w:bCs/>
                <w:color w:val="auto"/>
                <w:sz w:val="24"/>
                <w:highlight w:val="none"/>
              </w:rPr>
              <w:t>联系人及联系电话：</w:t>
            </w:r>
            <w:r>
              <w:rPr>
                <w:rFonts w:hint="eastAsia" w:ascii="仿宋" w:hAnsi="仿宋" w:eastAsia="仿宋" w:cs="仿宋"/>
                <w:bCs/>
                <w:color w:val="auto"/>
                <w:sz w:val="24"/>
                <w:highlight w:val="none"/>
                <w:u w:val="single"/>
              </w:rPr>
              <w:t xml:space="preserve">           </w:t>
            </w:r>
          </w:p>
          <w:p w14:paraId="7DF7FCCD">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5F98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6FE6FC75">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6.1</w:t>
            </w:r>
          </w:p>
        </w:tc>
        <w:tc>
          <w:tcPr>
            <w:tcW w:w="1198" w:type="pct"/>
            <w:vAlign w:val="center"/>
          </w:tcPr>
          <w:p w14:paraId="4C200739">
            <w:pPr>
              <w:pStyle w:val="46"/>
              <w:widowControl w:val="0"/>
              <w:spacing w:before="0" w:beforeAutospacing="0" w:after="0" w:afterAutospacing="0"/>
              <w:jc w:val="left"/>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网上询问截止时间</w:t>
            </w:r>
          </w:p>
        </w:tc>
        <w:tc>
          <w:tcPr>
            <w:tcW w:w="3152" w:type="pct"/>
            <w:vAlign w:val="center"/>
          </w:tcPr>
          <w:p w14:paraId="4772CA1C">
            <w:pPr>
              <w:pStyle w:val="46"/>
              <w:widowControl w:val="0"/>
              <w:spacing w:before="0" w:beforeAutospacing="0" w:after="0" w:afterAutospacing="0"/>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u w:val="single"/>
              </w:rPr>
              <w:t>2026</w:t>
            </w:r>
            <w:r>
              <w:rPr>
                <w:rFonts w:hint="eastAsia" w:ascii="仿宋" w:hAnsi="仿宋" w:eastAsia="仿宋" w:cs="仿宋"/>
                <w:b w:val="0"/>
                <w:color w:val="auto"/>
                <w:sz w:val="24"/>
                <w:highlight w:val="none"/>
              </w:rPr>
              <w:t>年</w:t>
            </w:r>
            <w:r>
              <w:rPr>
                <w:rFonts w:hint="eastAsia" w:ascii="仿宋" w:hAnsi="仿宋" w:eastAsia="仿宋" w:cs="仿宋"/>
                <w:b w:val="0"/>
                <w:color w:val="auto"/>
                <w:sz w:val="24"/>
                <w:highlight w:val="none"/>
                <w:u w:val="single"/>
                <w:lang w:val="en-US" w:eastAsia="zh-CN"/>
              </w:rPr>
              <w:t>8</w:t>
            </w:r>
            <w:r>
              <w:rPr>
                <w:rFonts w:hint="eastAsia" w:ascii="仿宋" w:hAnsi="仿宋" w:eastAsia="仿宋" w:cs="仿宋"/>
                <w:b w:val="0"/>
                <w:color w:val="auto"/>
                <w:sz w:val="24"/>
                <w:highlight w:val="none"/>
              </w:rPr>
              <w:t>月</w:t>
            </w:r>
            <w:r>
              <w:rPr>
                <w:rFonts w:hint="eastAsia" w:ascii="仿宋" w:hAnsi="仿宋" w:eastAsia="仿宋" w:cs="仿宋"/>
                <w:b w:val="0"/>
                <w:color w:val="auto"/>
                <w:sz w:val="24"/>
                <w:highlight w:val="none"/>
                <w:u w:val="single"/>
                <w:lang w:val="en-US" w:eastAsia="zh-CN"/>
              </w:rPr>
              <w:t>19</w:t>
            </w:r>
            <w:r>
              <w:rPr>
                <w:rFonts w:hint="eastAsia" w:ascii="仿宋" w:hAnsi="仿宋" w:eastAsia="仿宋" w:cs="仿宋"/>
                <w:b w:val="0"/>
                <w:color w:val="auto"/>
                <w:sz w:val="24"/>
                <w:highlight w:val="none"/>
              </w:rPr>
              <w:t>日</w:t>
            </w:r>
            <w:r>
              <w:rPr>
                <w:rFonts w:hint="eastAsia" w:ascii="仿宋" w:hAnsi="仿宋" w:eastAsia="仿宋" w:cs="仿宋"/>
                <w:b w:val="0"/>
                <w:color w:val="auto"/>
                <w:sz w:val="24"/>
                <w:highlight w:val="none"/>
                <w:u w:val="single"/>
              </w:rPr>
              <w:t>17</w:t>
            </w:r>
            <w:r>
              <w:rPr>
                <w:rFonts w:hint="eastAsia" w:ascii="仿宋" w:hAnsi="仿宋" w:eastAsia="仿宋" w:cs="仿宋"/>
                <w:b w:val="0"/>
                <w:color w:val="auto"/>
                <w:sz w:val="24"/>
                <w:highlight w:val="none"/>
              </w:rPr>
              <w:t>时</w:t>
            </w:r>
            <w:r>
              <w:rPr>
                <w:rFonts w:hint="eastAsia" w:ascii="仿宋" w:hAnsi="仿宋" w:eastAsia="仿宋" w:cs="仿宋"/>
                <w:b w:val="0"/>
                <w:color w:val="auto"/>
                <w:sz w:val="24"/>
                <w:highlight w:val="none"/>
                <w:u w:val="single"/>
              </w:rPr>
              <w:t>30</w:t>
            </w:r>
            <w:r>
              <w:rPr>
                <w:rFonts w:hint="eastAsia" w:ascii="仿宋" w:hAnsi="仿宋" w:eastAsia="仿宋" w:cs="仿宋"/>
                <w:b w:val="0"/>
                <w:color w:val="auto"/>
                <w:sz w:val="24"/>
                <w:highlight w:val="none"/>
              </w:rPr>
              <w:t>分</w:t>
            </w:r>
          </w:p>
        </w:tc>
      </w:tr>
      <w:tr w14:paraId="60DB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790FBD43">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7.1</w:t>
            </w:r>
          </w:p>
        </w:tc>
        <w:tc>
          <w:tcPr>
            <w:tcW w:w="1198" w:type="pct"/>
            <w:vAlign w:val="center"/>
          </w:tcPr>
          <w:p w14:paraId="5D1E3225">
            <w:pPr>
              <w:pStyle w:val="46"/>
              <w:widowControl w:val="0"/>
              <w:spacing w:before="0" w:beforeAutospacing="0" w:after="0" w:afterAutospacing="0"/>
              <w:jc w:val="left"/>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包别划分</w:t>
            </w:r>
          </w:p>
        </w:tc>
        <w:tc>
          <w:tcPr>
            <w:tcW w:w="3152" w:type="pct"/>
            <w:vAlign w:val="center"/>
          </w:tcPr>
          <w:p w14:paraId="4C6FFB02">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bCs w:val="0"/>
                <w:color w:val="auto"/>
                <w:sz w:val="24"/>
                <w:szCs w:val="24"/>
                <w:highlight w:val="none"/>
              </w:rPr>
              <w:t>☑</w:t>
            </w:r>
            <w:r>
              <w:rPr>
                <w:rFonts w:hint="eastAsia" w:ascii="仿宋" w:hAnsi="仿宋" w:eastAsia="仿宋" w:cs="仿宋"/>
                <w:b w:val="0"/>
                <w:color w:val="auto"/>
                <w:sz w:val="24"/>
                <w:highlight w:val="none"/>
              </w:rPr>
              <w:t>不分包     □分为  个包</w:t>
            </w:r>
          </w:p>
          <w:p w14:paraId="3B69309D">
            <w:pPr>
              <w:pStyle w:val="46"/>
              <w:widowControl w:val="0"/>
              <w:spacing w:before="0" w:beforeAutospacing="0" w:after="0" w:afterAutospacing="0"/>
              <w:jc w:val="both"/>
              <w:rPr>
                <w:rFonts w:hint="eastAsia" w:ascii="仿宋" w:hAnsi="仿宋" w:eastAsia="仿宋" w:cs="仿宋"/>
                <w:b w:val="0"/>
                <w:color w:val="auto"/>
                <w:sz w:val="24"/>
                <w:highlight w:val="none"/>
                <w:u w:val="single"/>
              </w:rPr>
            </w:pPr>
            <w:r>
              <w:rPr>
                <w:rFonts w:hint="eastAsia" w:ascii="仿宋" w:hAnsi="仿宋" w:eastAsia="仿宋" w:cs="仿宋"/>
                <w:b w:val="0"/>
                <w:color w:val="auto"/>
                <w:sz w:val="24"/>
                <w:highlight w:val="none"/>
              </w:rPr>
              <w:t>投标人对多个包进行投标的中标包数规定：</w:t>
            </w:r>
            <w:r>
              <w:rPr>
                <w:rFonts w:hint="eastAsia" w:ascii="仿宋" w:hAnsi="仿宋" w:eastAsia="仿宋" w:cs="仿宋"/>
                <w:b w:val="0"/>
                <w:bCs w:val="0"/>
                <w:color w:val="auto"/>
                <w:sz w:val="24"/>
                <w:szCs w:val="18"/>
                <w:highlight w:val="none"/>
                <w:u w:val="single"/>
              </w:rPr>
              <w:t xml:space="preserve">        </w:t>
            </w:r>
          </w:p>
        </w:tc>
      </w:tr>
      <w:tr w14:paraId="7176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48" w:type="pct"/>
            <w:vAlign w:val="center"/>
          </w:tcPr>
          <w:p w14:paraId="6CA34F5D">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10.1</w:t>
            </w:r>
          </w:p>
        </w:tc>
        <w:tc>
          <w:tcPr>
            <w:tcW w:w="1198" w:type="pct"/>
            <w:vAlign w:val="center"/>
          </w:tcPr>
          <w:p w14:paraId="117EF1A2">
            <w:pPr>
              <w:pStyle w:val="46"/>
              <w:widowControl w:val="0"/>
              <w:spacing w:before="0" w:beforeAutospacing="0" w:after="0" w:afterAutospacing="0" w:line="360" w:lineRule="auto"/>
              <w:jc w:val="left"/>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投标保证金</w:t>
            </w:r>
          </w:p>
        </w:tc>
        <w:tc>
          <w:tcPr>
            <w:tcW w:w="3152" w:type="pct"/>
            <w:vAlign w:val="center"/>
          </w:tcPr>
          <w:p w14:paraId="76424FBB">
            <w:pPr>
              <w:spacing w:line="360" w:lineRule="auto"/>
              <w:rPr>
                <w:rFonts w:hint="eastAsia" w:ascii="仿宋" w:hAnsi="仿宋" w:eastAsia="仿宋" w:cs="仿宋"/>
                <w:color w:val="auto"/>
                <w:highlight w:val="none"/>
              </w:rPr>
            </w:pPr>
            <w:r>
              <w:rPr>
                <w:rFonts w:hint="eastAsia" w:ascii="仿宋" w:hAnsi="仿宋" w:eastAsia="仿宋" w:cs="仿宋"/>
                <w:bCs/>
                <w:color w:val="auto"/>
                <w:kern w:val="0"/>
                <w:sz w:val="24"/>
                <w:szCs w:val="28"/>
                <w:highlight w:val="none"/>
              </w:rPr>
              <w:t>不收取</w:t>
            </w:r>
          </w:p>
        </w:tc>
      </w:tr>
      <w:tr w14:paraId="00F3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2A3B88B0">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11.1</w:t>
            </w:r>
          </w:p>
        </w:tc>
        <w:tc>
          <w:tcPr>
            <w:tcW w:w="1198" w:type="pct"/>
            <w:vAlign w:val="center"/>
          </w:tcPr>
          <w:p w14:paraId="12DB1317">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投标有效期</w:t>
            </w:r>
          </w:p>
        </w:tc>
        <w:tc>
          <w:tcPr>
            <w:tcW w:w="3152" w:type="pct"/>
            <w:vAlign w:val="center"/>
          </w:tcPr>
          <w:p w14:paraId="344C98B2">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u w:val="single"/>
              </w:rPr>
              <w:t xml:space="preserve"> 90 </w:t>
            </w:r>
            <w:r>
              <w:rPr>
                <w:rFonts w:hint="eastAsia" w:ascii="仿宋" w:hAnsi="仿宋" w:eastAsia="仿宋" w:cs="仿宋"/>
                <w:b w:val="0"/>
                <w:color w:val="auto"/>
                <w:sz w:val="24"/>
                <w:highlight w:val="none"/>
              </w:rPr>
              <w:t>日历日</w:t>
            </w:r>
          </w:p>
        </w:tc>
      </w:tr>
      <w:tr w14:paraId="544F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5661590D">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13.1</w:t>
            </w:r>
          </w:p>
        </w:tc>
        <w:tc>
          <w:tcPr>
            <w:tcW w:w="1198" w:type="pct"/>
            <w:vAlign w:val="center"/>
          </w:tcPr>
          <w:p w14:paraId="4B62C793">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投标文件解密时间</w:t>
            </w:r>
          </w:p>
        </w:tc>
        <w:tc>
          <w:tcPr>
            <w:tcW w:w="3152" w:type="pct"/>
            <w:vAlign w:val="center"/>
          </w:tcPr>
          <w:p w14:paraId="247CFE03">
            <w:pPr>
              <w:pStyle w:val="46"/>
              <w:widowControl w:val="0"/>
              <w:spacing w:before="0" w:beforeAutospacing="0" w:after="0" w:afterAutospacing="0" w:line="360" w:lineRule="auto"/>
              <w:jc w:val="both"/>
              <w:rPr>
                <w:rFonts w:hint="eastAsia" w:ascii="仿宋" w:hAnsi="仿宋" w:eastAsia="仿宋" w:cs="仿宋"/>
                <w:b w:val="0"/>
                <w:color w:val="auto"/>
                <w:sz w:val="24"/>
                <w:highlight w:val="none"/>
                <w:u w:val="single"/>
              </w:rPr>
            </w:pPr>
            <w:r>
              <w:rPr>
                <w:rFonts w:hint="eastAsia" w:ascii="仿宋" w:hAnsi="仿宋" w:eastAsia="仿宋" w:cs="仿宋"/>
                <w:b w:val="0"/>
                <w:color w:val="auto"/>
                <w:sz w:val="24"/>
                <w:highlight w:val="none"/>
              </w:rPr>
              <w:t>投标截止时间后</w:t>
            </w:r>
            <w:r>
              <w:rPr>
                <w:rFonts w:hint="eastAsia" w:ascii="仿宋" w:hAnsi="仿宋" w:eastAsia="仿宋" w:cs="仿宋"/>
                <w:b w:val="0"/>
                <w:color w:val="auto"/>
                <w:sz w:val="24"/>
                <w:highlight w:val="none"/>
                <w:u w:val="single"/>
              </w:rPr>
              <w:t xml:space="preserve"> 60 </w:t>
            </w:r>
            <w:r>
              <w:rPr>
                <w:rFonts w:hint="eastAsia" w:ascii="仿宋" w:hAnsi="仿宋" w:eastAsia="仿宋" w:cs="仿宋"/>
                <w:b w:val="0"/>
                <w:color w:val="auto"/>
                <w:sz w:val="24"/>
                <w:highlight w:val="none"/>
              </w:rPr>
              <w:t>分钟内</w:t>
            </w:r>
          </w:p>
        </w:tc>
      </w:tr>
      <w:tr w14:paraId="6911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3DD1665C">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14.1</w:t>
            </w:r>
          </w:p>
        </w:tc>
        <w:tc>
          <w:tcPr>
            <w:tcW w:w="1198" w:type="pct"/>
            <w:vAlign w:val="center"/>
          </w:tcPr>
          <w:p w14:paraId="3AF97A4E">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资格审查</w:t>
            </w:r>
          </w:p>
        </w:tc>
        <w:tc>
          <w:tcPr>
            <w:tcW w:w="3152" w:type="pct"/>
            <w:vAlign w:val="center"/>
          </w:tcPr>
          <w:p w14:paraId="375B2258">
            <w:pPr>
              <w:pStyle w:val="46"/>
              <w:widowControl w:val="0"/>
              <w:spacing w:before="0" w:beforeAutospacing="0" w:after="0" w:afterAutospacing="0" w:line="360" w:lineRule="auto"/>
              <w:jc w:val="both"/>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highlight w:val="none"/>
              </w:rPr>
              <w:t>采购人审查</w:t>
            </w:r>
          </w:p>
          <w:p w14:paraId="1742288C">
            <w:pPr>
              <w:pStyle w:val="46"/>
              <w:widowControl w:val="0"/>
              <w:spacing w:before="0" w:beforeAutospacing="0" w:after="0" w:afterAutospacing="0" w:line="360" w:lineRule="auto"/>
              <w:jc w:val="both"/>
              <w:rPr>
                <w:rFonts w:hint="eastAsia" w:ascii="仿宋" w:hAnsi="仿宋" w:eastAsia="仿宋" w:cs="仿宋"/>
                <w:b w:val="0"/>
                <w:color w:val="auto"/>
                <w:sz w:val="24"/>
                <w:highlight w:val="none"/>
                <w:u w:val="single"/>
              </w:rPr>
            </w:pP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highlight w:val="none"/>
              </w:rPr>
              <w:t>采购人出具委托函委托采购代理机构进行审查</w:t>
            </w:r>
          </w:p>
        </w:tc>
      </w:tr>
      <w:tr w14:paraId="2CBD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pct"/>
            <w:vAlign w:val="center"/>
          </w:tcPr>
          <w:p w14:paraId="3370DAF2">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17.2</w:t>
            </w:r>
          </w:p>
        </w:tc>
        <w:tc>
          <w:tcPr>
            <w:tcW w:w="1198" w:type="pct"/>
            <w:vAlign w:val="center"/>
          </w:tcPr>
          <w:p w14:paraId="719004A1">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评标方法</w:t>
            </w:r>
          </w:p>
        </w:tc>
        <w:tc>
          <w:tcPr>
            <w:tcW w:w="3152" w:type="pct"/>
            <w:vAlign w:val="center"/>
          </w:tcPr>
          <w:p w14:paraId="04163E6D">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bCs w:val="0"/>
                <w:color w:val="auto"/>
                <w:sz w:val="24"/>
                <w:szCs w:val="24"/>
                <w:highlight w:val="none"/>
              </w:rPr>
              <w:t>□</w:t>
            </w:r>
            <w:r>
              <w:rPr>
                <w:rFonts w:hint="eastAsia" w:ascii="仿宋" w:hAnsi="仿宋" w:eastAsia="仿宋" w:cs="仿宋"/>
                <w:b w:val="0"/>
                <w:color w:val="auto"/>
                <w:sz w:val="24"/>
                <w:highlight w:val="none"/>
              </w:rPr>
              <w:t>最低评标价法</w:t>
            </w:r>
          </w:p>
          <w:p w14:paraId="7321BCCE">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bCs w:val="0"/>
                <w:color w:val="auto"/>
                <w:sz w:val="24"/>
                <w:szCs w:val="24"/>
                <w:highlight w:val="none"/>
              </w:rPr>
              <w:t>☑</w:t>
            </w:r>
            <w:r>
              <w:rPr>
                <w:rFonts w:hint="eastAsia" w:ascii="仿宋" w:hAnsi="仿宋" w:eastAsia="仿宋" w:cs="仿宋"/>
                <w:b w:val="0"/>
                <w:color w:val="auto"/>
                <w:sz w:val="24"/>
                <w:highlight w:val="none"/>
              </w:rPr>
              <w:t>综合评分法</w:t>
            </w:r>
          </w:p>
        </w:tc>
      </w:tr>
      <w:tr w14:paraId="25E0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36EB6E5F">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17.3</w:t>
            </w:r>
          </w:p>
        </w:tc>
        <w:tc>
          <w:tcPr>
            <w:tcW w:w="1198" w:type="pct"/>
            <w:vAlign w:val="center"/>
          </w:tcPr>
          <w:p w14:paraId="67AB4431">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报价扣除</w:t>
            </w:r>
          </w:p>
          <w:p w14:paraId="3F5F0FE1">
            <w:pPr>
              <w:pStyle w:val="46"/>
              <w:widowControl w:val="0"/>
              <w:spacing w:before="0" w:beforeAutospacing="0" w:after="0" w:afterAutospacing="0" w:line="360" w:lineRule="auto"/>
              <w:jc w:val="both"/>
              <w:rPr>
                <w:rFonts w:hint="eastAsia" w:ascii="仿宋" w:hAnsi="仿宋" w:eastAsia="仿宋" w:cs="仿宋"/>
                <w:b w:val="0"/>
                <w:i/>
                <w:color w:val="auto"/>
                <w:sz w:val="24"/>
                <w:highlight w:val="none"/>
              </w:rPr>
            </w:pPr>
            <w:r>
              <w:rPr>
                <w:rFonts w:hint="eastAsia" w:ascii="仿宋" w:hAnsi="仿宋" w:eastAsia="仿宋" w:cs="仿宋"/>
                <w:b w:val="0"/>
                <w:i/>
                <w:color w:val="auto"/>
                <w:sz w:val="24"/>
                <w:highlight w:val="none"/>
              </w:rPr>
              <w:t>（非专门面向中小企业采购项目适用）</w:t>
            </w:r>
          </w:p>
        </w:tc>
        <w:tc>
          <w:tcPr>
            <w:tcW w:w="3152" w:type="pct"/>
            <w:vAlign w:val="center"/>
          </w:tcPr>
          <w:p w14:paraId="41948DD5">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（1）小型和微型企业价格扣除：</w:t>
            </w:r>
            <w:r>
              <w:rPr>
                <w:rFonts w:hint="eastAsia" w:ascii="仿宋" w:hAnsi="仿宋" w:eastAsia="仿宋" w:cs="仿宋"/>
                <w:b/>
                <w:bCs w:val="0"/>
                <w:color w:val="auto"/>
                <w:sz w:val="24"/>
                <w:highlight w:val="none"/>
                <w:u w:val="single"/>
              </w:rPr>
              <w:t>对小型和微型企业的价格给予10%的扣除后参与评审</w:t>
            </w:r>
            <w:r>
              <w:rPr>
                <w:rFonts w:hint="eastAsia" w:ascii="仿宋" w:hAnsi="仿宋" w:eastAsia="仿宋" w:cs="仿宋"/>
                <w:b w:val="0"/>
                <w:color w:val="auto"/>
                <w:sz w:val="24"/>
                <w:highlight w:val="none"/>
              </w:rPr>
              <w:t>。</w:t>
            </w:r>
          </w:p>
          <w:p w14:paraId="698FF84C">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（2）监狱企业价格扣除：</w:t>
            </w:r>
            <w:r>
              <w:rPr>
                <w:rFonts w:hint="eastAsia" w:ascii="仿宋" w:hAnsi="仿宋" w:eastAsia="仿宋" w:cs="仿宋"/>
                <w:b w:val="0"/>
                <w:color w:val="auto"/>
                <w:sz w:val="24"/>
                <w:highlight w:val="none"/>
                <w:u w:val="none"/>
              </w:rPr>
              <w:t>同小型和微型企业</w:t>
            </w:r>
            <w:r>
              <w:rPr>
                <w:rFonts w:hint="eastAsia" w:ascii="仿宋" w:hAnsi="仿宋" w:eastAsia="仿宋" w:cs="仿宋"/>
                <w:b w:val="0"/>
                <w:color w:val="auto"/>
                <w:sz w:val="24"/>
                <w:highlight w:val="none"/>
              </w:rPr>
              <w:t>。</w:t>
            </w:r>
          </w:p>
          <w:p w14:paraId="4EC25D5B">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（3）残疾人福利性单位价格扣除：</w:t>
            </w:r>
            <w:r>
              <w:rPr>
                <w:rFonts w:hint="eastAsia" w:ascii="仿宋" w:hAnsi="仿宋" w:eastAsia="仿宋" w:cs="仿宋"/>
                <w:b w:val="0"/>
                <w:color w:val="auto"/>
                <w:sz w:val="24"/>
                <w:highlight w:val="none"/>
                <w:u w:val="none"/>
              </w:rPr>
              <w:t>同小型和微型企业</w:t>
            </w:r>
            <w:r>
              <w:rPr>
                <w:rFonts w:hint="eastAsia" w:ascii="仿宋" w:hAnsi="仿宋" w:eastAsia="仿宋" w:cs="仿宋"/>
                <w:b w:val="0"/>
                <w:color w:val="auto"/>
                <w:sz w:val="24"/>
                <w:highlight w:val="none"/>
              </w:rPr>
              <w:t>。</w:t>
            </w:r>
          </w:p>
          <w:p w14:paraId="1930B1B1">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（4）符合条件的联合体价格扣除：</w:t>
            </w:r>
            <w:r>
              <w:rPr>
                <w:rFonts w:hint="eastAsia" w:ascii="仿宋" w:hAnsi="仿宋" w:eastAsia="仿宋" w:cs="仿宋"/>
                <w:b w:val="0"/>
                <w:color w:val="auto"/>
                <w:sz w:val="24"/>
                <w:highlight w:val="none"/>
                <w:u w:val="single"/>
                <w:lang w:val="en-US" w:eastAsia="zh-CN"/>
              </w:rPr>
              <w:t>/</w:t>
            </w:r>
            <w:r>
              <w:rPr>
                <w:rFonts w:hint="eastAsia" w:ascii="仿宋" w:hAnsi="仿宋" w:eastAsia="仿宋" w:cs="仿宋"/>
                <w:b w:val="0"/>
                <w:color w:val="auto"/>
                <w:sz w:val="24"/>
                <w:highlight w:val="none"/>
              </w:rPr>
              <w:t>。</w:t>
            </w:r>
          </w:p>
          <w:p w14:paraId="7AAAEBA2">
            <w:pPr>
              <w:pStyle w:val="46"/>
              <w:widowControl w:val="0"/>
              <w:spacing w:before="0" w:beforeAutospacing="0" w:after="0" w:afterAutospacing="0" w:line="360" w:lineRule="auto"/>
              <w:jc w:val="both"/>
              <w:rPr>
                <w:rFonts w:hint="eastAsia" w:ascii="仿宋" w:hAnsi="仿宋" w:eastAsia="仿宋" w:cs="仿宋"/>
                <w:b w:val="0"/>
                <w:i/>
                <w:color w:val="auto"/>
                <w:sz w:val="24"/>
                <w:highlight w:val="none"/>
              </w:rPr>
            </w:pPr>
            <w:r>
              <w:rPr>
                <w:rFonts w:hint="eastAsia" w:ascii="仿宋" w:hAnsi="仿宋" w:eastAsia="仿宋" w:cs="仿宋"/>
                <w:b w:val="0"/>
                <w:color w:val="auto"/>
                <w:sz w:val="24"/>
                <w:highlight w:val="none"/>
              </w:rPr>
              <w:t>（5）符合条件的向小微企业分包的大中型企业价格扣除：</w:t>
            </w:r>
            <w:r>
              <w:rPr>
                <w:rFonts w:hint="eastAsia" w:ascii="仿宋" w:hAnsi="仿宋" w:eastAsia="仿宋" w:cs="仿宋"/>
                <w:b w:val="0"/>
                <w:color w:val="auto"/>
                <w:sz w:val="24"/>
                <w:highlight w:val="none"/>
                <w:u w:val="single"/>
                <w:lang w:val="en-US" w:eastAsia="zh-CN"/>
              </w:rPr>
              <w:t>/</w:t>
            </w:r>
            <w:r>
              <w:rPr>
                <w:rFonts w:hint="eastAsia" w:ascii="仿宋" w:hAnsi="仿宋" w:eastAsia="仿宋" w:cs="仿宋"/>
                <w:b w:val="0"/>
                <w:color w:val="auto"/>
                <w:sz w:val="24"/>
                <w:highlight w:val="none"/>
              </w:rPr>
              <w:t>。</w:t>
            </w:r>
          </w:p>
        </w:tc>
      </w:tr>
      <w:tr w14:paraId="2E78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559F12EB">
            <w:pPr>
              <w:pStyle w:val="47"/>
              <w:pBdr>
                <w:bottom w:val="none" w:color="auto" w:sz="0" w:space="0"/>
              </w:pBdr>
              <w:tabs>
                <w:tab w:val="clear" w:pos="4153"/>
                <w:tab w:val="clear" w:pos="8306"/>
              </w:tabs>
              <w:adjustRightInd/>
              <w:spacing w:line="36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17.4</w:t>
            </w:r>
          </w:p>
        </w:tc>
        <w:tc>
          <w:tcPr>
            <w:tcW w:w="1198" w:type="pct"/>
            <w:vAlign w:val="center"/>
          </w:tcPr>
          <w:p w14:paraId="0A4C160E">
            <w:pPr>
              <w:spacing w:line="360" w:lineRule="auto"/>
              <w:rPr>
                <w:rFonts w:hint="eastAsia" w:ascii="仿宋" w:hAnsi="仿宋" w:eastAsia="仿宋" w:cs="仿宋"/>
                <w:i/>
                <w:color w:val="auto"/>
                <w:sz w:val="24"/>
                <w:highlight w:val="none"/>
              </w:rPr>
            </w:pPr>
            <w:r>
              <w:rPr>
                <w:rFonts w:hint="eastAsia" w:ascii="仿宋" w:hAnsi="仿宋" w:eastAsia="仿宋" w:cs="仿宋"/>
                <w:color w:val="auto"/>
                <w:sz w:val="24"/>
                <w:highlight w:val="none"/>
              </w:rPr>
              <w:t>本国产品价格扣除</w:t>
            </w:r>
            <w:r>
              <w:rPr>
                <w:rFonts w:hint="eastAsia" w:ascii="仿宋" w:hAnsi="仿宋" w:eastAsia="仿宋" w:cs="仿宋"/>
                <w:i/>
                <w:iCs/>
                <w:color w:val="auto"/>
                <w:sz w:val="24"/>
                <w:highlight w:val="none"/>
              </w:rPr>
              <w:t>（适用于</w:t>
            </w:r>
            <w:r>
              <w:rPr>
                <w:rFonts w:hint="eastAsia" w:ascii="仿宋" w:hAnsi="仿宋" w:eastAsia="仿宋" w:cs="仿宋"/>
                <w:i/>
                <w:iCs/>
                <w:color w:val="auto"/>
                <w:sz w:val="24"/>
                <w:szCs w:val="24"/>
                <w:highlight w:val="none"/>
                <w:shd w:val="clear" w:color="auto" w:fill="FFFFFF"/>
              </w:rPr>
              <w:t>既有本国产品又有非本国产品参与竞争的货物项目</w:t>
            </w:r>
            <w:r>
              <w:rPr>
                <w:rFonts w:hint="eastAsia" w:ascii="仿宋" w:hAnsi="仿宋" w:eastAsia="仿宋" w:cs="仿宋"/>
                <w:i/>
                <w:iCs/>
                <w:color w:val="auto"/>
                <w:sz w:val="24"/>
                <w:highlight w:val="none"/>
              </w:rPr>
              <w:t>）</w:t>
            </w:r>
          </w:p>
        </w:tc>
        <w:tc>
          <w:tcPr>
            <w:tcW w:w="3152" w:type="pct"/>
            <w:vAlign w:val="center"/>
          </w:tcPr>
          <w:p w14:paraId="0447F166">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（1）项目或者采购包中采购内容为单一产品的，既有本国产品又有非本国产品参与竞争的，对本国产品给予价格扣除</w:t>
            </w:r>
            <w:r>
              <w:rPr>
                <w:rFonts w:hint="eastAsia" w:ascii="仿宋" w:hAnsi="仿宋" w:eastAsia="仿宋" w:cs="仿宋"/>
                <w:b w:val="0"/>
                <w:color w:val="auto"/>
                <w:sz w:val="24"/>
                <w:highlight w:val="none"/>
                <w:u w:val="single"/>
              </w:rPr>
              <w:t>20%</w:t>
            </w:r>
            <w:r>
              <w:rPr>
                <w:rFonts w:hint="eastAsia" w:ascii="仿宋" w:hAnsi="仿宋" w:eastAsia="仿宋" w:cs="仿宋"/>
                <w:b w:val="0"/>
                <w:color w:val="auto"/>
                <w:sz w:val="24"/>
                <w:highlight w:val="none"/>
              </w:rPr>
              <w:t>。</w:t>
            </w:r>
          </w:p>
          <w:p w14:paraId="3411EB15">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（2）项目或者采购包中含有多种产品的，符合本国产品标准的产品成本之和占该投标人提供的全部产品成本之和的比例≥80%，所有产品价格扣除</w:t>
            </w:r>
            <w:r>
              <w:rPr>
                <w:rFonts w:hint="eastAsia" w:ascii="仿宋" w:hAnsi="仿宋" w:eastAsia="仿宋" w:cs="仿宋"/>
                <w:b w:val="0"/>
                <w:color w:val="auto"/>
                <w:sz w:val="24"/>
                <w:highlight w:val="none"/>
                <w:u w:val="single"/>
              </w:rPr>
              <w:t>20%</w:t>
            </w:r>
            <w:r>
              <w:rPr>
                <w:rFonts w:hint="eastAsia" w:ascii="仿宋" w:hAnsi="仿宋" w:eastAsia="仿宋" w:cs="仿宋"/>
                <w:b w:val="0"/>
                <w:color w:val="auto"/>
                <w:sz w:val="24"/>
                <w:highlight w:val="none"/>
              </w:rPr>
              <w:t>。</w:t>
            </w:r>
          </w:p>
        </w:tc>
      </w:tr>
      <w:tr w14:paraId="3BED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38CB36B5">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21.1</w:t>
            </w:r>
          </w:p>
        </w:tc>
        <w:tc>
          <w:tcPr>
            <w:tcW w:w="1198" w:type="pct"/>
            <w:vAlign w:val="center"/>
          </w:tcPr>
          <w:p w14:paraId="68043E09">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评标委员会推荐中标候选人的数量</w:t>
            </w:r>
          </w:p>
        </w:tc>
        <w:tc>
          <w:tcPr>
            <w:tcW w:w="3152" w:type="pct"/>
            <w:vAlign w:val="center"/>
          </w:tcPr>
          <w:p w14:paraId="1CE2CEBB">
            <w:pPr>
              <w:pStyle w:val="46"/>
              <w:widowControl w:val="0"/>
              <w:spacing w:before="0" w:beforeAutospacing="0" w:after="0" w:afterAutospacing="0" w:line="360" w:lineRule="auto"/>
              <w:jc w:val="both"/>
              <w:rPr>
                <w:rFonts w:hint="eastAsia" w:ascii="仿宋" w:hAnsi="仿宋" w:eastAsia="仿宋" w:cs="仿宋"/>
                <w:b w:val="0"/>
                <w:color w:val="auto"/>
                <w:sz w:val="24"/>
                <w:highlight w:val="none"/>
                <w:u w:val="single"/>
              </w:rPr>
            </w:pPr>
            <w:r>
              <w:rPr>
                <w:rFonts w:hint="eastAsia" w:ascii="仿宋" w:hAnsi="仿宋" w:eastAsia="仿宋" w:cs="仿宋"/>
                <w:b w:val="0"/>
                <w:color w:val="auto"/>
                <w:sz w:val="24"/>
                <w:highlight w:val="none"/>
                <w:u w:val="none"/>
              </w:rPr>
              <w:t>评</w:t>
            </w:r>
            <w:r>
              <w:rPr>
                <w:rFonts w:hint="eastAsia" w:ascii="仿宋" w:hAnsi="仿宋" w:eastAsia="仿宋" w:cs="仿宋"/>
                <w:b w:val="0"/>
                <w:color w:val="auto"/>
                <w:sz w:val="24"/>
                <w:highlight w:val="none"/>
              </w:rPr>
              <w:t>标委员会推荐3名中标候选人</w:t>
            </w:r>
          </w:p>
        </w:tc>
      </w:tr>
      <w:tr w14:paraId="72DD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12D5B3EE">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21.2</w:t>
            </w:r>
          </w:p>
        </w:tc>
        <w:tc>
          <w:tcPr>
            <w:tcW w:w="1198" w:type="pct"/>
            <w:vAlign w:val="center"/>
          </w:tcPr>
          <w:p w14:paraId="45B9F55D">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确定中标人</w:t>
            </w:r>
          </w:p>
        </w:tc>
        <w:tc>
          <w:tcPr>
            <w:tcW w:w="3152" w:type="pct"/>
            <w:vAlign w:val="center"/>
          </w:tcPr>
          <w:p w14:paraId="11266900">
            <w:pPr>
              <w:spacing w:line="360" w:lineRule="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sym w:font="Wingdings" w:char="00A8"/>
            </w:r>
            <w:r>
              <w:rPr>
                <w:rFonts w:hint="eastAsia" w:ascii="仿宋" w:hAnsi="仿宋" w:eastAsia="仿宋" w:cs="仿宋"/>
                <w:color w:val="auto"/>
                <w:kern w:val="0"/>
                <w:sz w:val="24"/>
                <w:szCs w:val="24"/>
                <w:highlight w:val="none"/>
              </w:rPr>
              <w:t>采购人委托评标委员会确定</w:t>
            </w:r>
          </w:p>
          <w:p w14:paraId="7A1CFF9B">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bCs w:val="0"/>
                <w:color w:val="auto"/>
                <w:kern w:val="2"/>
                <w:sz w:val="24"/>
                <w:szCs w:val="24"/>
                <w:highlight w:val="none"/>
                <w:lang w:eastAsia="zh-CN"/>
              </w:rPr>
              <w:t>☑</w:t>
            </w:r>
            <w:r>
              <w:rPr>
                <w:rFonts w:hint="eastAsia" w:ascii="仿宋" w:hAnsi="仿宋" w:eastAsia="仿宋" w:cs="仿宋"/>
                <w:b w:val="0"/>
                <w:bCs w:val="0"/>
                <w:color w:val="auto"/>
                <w:kern w:val="2"/>
                <w:sz w:val="24"/>
                <w:szCs w:val="24"/>
                <w:highlight w:val="none"/>
              </w:rPr>
              <w:t>采购人确定</w:t>
            </w:r>
          </w:p>
        </w:tc>
      </w:tr>
      <w:tr w14:paraId="2261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1573823A">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23.3</w:t>
            </w:r>
          </w:p>
        </w:tc>
        <w:tc>
          <w:tcPr>
            <w:tcW w:w="1198" w:type="pct"/>
            <w:vAlign w:val="center"/>
          </w:tcPr>
          <w:p w14:paraId="043A56DF">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随中标结果公告同时公告的内容</w:t>
            </w:r>
          </w:p>
        </w:tc>
        <w:tc>
          <w:tcPr>
            <w:tcW w:w="3152" w:type="pct"/>
            <w:vAlign w:val="center"/>
          </w:tcPr>
          <w:p w14:paraId="41570B3F">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（1）中小企业声明函；</w:t>
            </w:r>
          </w:p>
          <w:p w14:paraId="7CD359E3">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（2）残疾人福利性单位声明函；</w:t>
            </w:r>
            <w:r>
              <w:rPr>
                <w:rFonts w:hint="eastAsia" w:ascii="仿宋" w:hAnsi="仿宋" w:eastAsia="仿宋" w:cs="仿宋"/>
                <w:b w:val="0"/>
                <w:i/>
                <w:iCs/>
                <w:color w:val="auto"/>
                <w:sz w:val="24"/>
                <w:highlight w:val="none"/>
              </w:rPr>
              <w:t>（如有）</w:t>
            </w:r>
          </w:p>
          <w:p w14:paraId="35FAE77E">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（3）中标（成交）供应商的评审总得分</w:t>
            </w:r>
          </w:p>
          <w:p w14:paraId="138D31AE">
            <w:pPr>
              <w:pStyle w:val="46"/>
              <w:widowControl w:val="0"/>
              <w:spacing w:before="0" w:beforeAutospacing="0" w:after="0" w:afterAutospacing="0" w:line="36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color w:val="auto"/>
                <w:sz w:val="24"/>
                <w:highlight w:val="none"/>
              </w:rPr>
              <w:t>（4）</w:t>
            </w:r>
            <w:r>
              <w:rPr>
                <w:rFonts w:hint="eastAsia" w:ascii="仿宋" w:hAnsi="仿宋" w:eastAsia="仿宋" w:cs="仿宋"/>
                <w:b w:val="0"/>
                <w:bCs w:val="0"/>
                <w:color w:val="auto"/>
                <w:sz w:val="24"/>
                <w:szCs w:val="20"/>
                <w:highlight w:val="none"/>
              </w:rPr>
              <w:t>符合本国产品标准的声明函；</w:t>
            </w:r>
            <w:r>
              <w:rPr>
                <w:rFonts w:hint="eastAsia" w:ascii="仿宋" w:hAnsi="仿宋" w:eastAsia="仿宋" w:cs="仿宋"/>
                <w:b w:val="0"/>
                <w:bCs w:val="0"/>
                <w:i/>
                <w:iCs/>
                <w:color w:val="auto"/>
                <w:sz w:val="24"/>
                <w:szCs w:val="20"/>
                <w:highlight w:val="none"/>
              </w:rPr>
              <w:t>（如有）</w:t>
            </w:r>
          </w:p>
        </w:tc>
      </w:tr>
      <w:tr w14:paraId="5140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5B917585">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24.1</w:t>
            </w:r>
          </w:p>
        </w:tc>
        <w:tc>
          <w:tcPr>
            <w:tcW w:w="1198" w:type="pct"/>
            <w:vAlign w:val="center"/>
          </w:tcPr>
          <w:p w14:paraId="439A1081">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中标通知书发出的形式</w:t>
            </w:r>
          </w:p>
        </w:tc>
        <w:tc>
          <w:tcPr>
            <w:tcW w:w="3152" w:type="pct"/>
            <w:vAlign w:val="center"/>
          </w:tcPr>
          <w:p w14:paraId="14A8AE01">
            <w:pPr>
              <w:pStyle w:val="46"/>
              <w:widowControl w:val="0"/>
              <w:spacing w:before="0" w:beforeAutospacing="0" w:after="0" w:afterAutospacing="0" w:line="36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□书面     </w:t>
            </w:r>
            <w:r>
              <w:rPr>
                <w:rFonts w:hint="eastAsia" w:ascii="仿宋" w:hAnsi="仿宋" w:eastAsia="仿宋" w:cs="仿宋"/>
                <w:b w:val="0"/>
                <w:bCs w:val="0"/>
                <w:color w:val="auto"/>
                <w:sz w:val="24"/>
                <w:szCs w:val="24"/>
                <w:highlight w:val="none"/>
              </w:rPr>
              <w:sym w:font="Wingdings" w:char="00FE"/>
            </w:r>
            <w:r>
              <w:rPr>
                <w:rFonts w:hint="eastAsia" w:ascii="仿宋" w:hAnsi="仿宋" w:eastAsia="仿宋" w:cs="仿宋"/>
                <w:b w:val="0"/>
                <w:bCs w:val="0"/>
                <w:color w:val="auto"/>
                <w:sz w:val="24"/>
                <w:szCs w:val="24"/>
                <w:highlight w:val="none"/>
              </w:rPr>
              <w:t>数据电文</w:t>
            </w:r>
          </w:p>
        </w:tc>
      </w:tr>
      <w:tr w14:paraId="4FC4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4203C137">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25.1</w:t>
            </w:r>
          </w:p>
        </w:tc>
        <w:tc>
          <w:tcPr>
            <w:tcW w:w="1198" w:type="pct"/>
            <w:vAlign w:val="center"/>
          </w:tcPr>
          <w:p w14:paraId="63184148">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告知招标结果的形式</w:t>
            </w:r>
          </w:p>
        </w:tc>
        <w:tc>
          <w:tcPr>
            <w:tcW w:w="3152" w:type="pct"/>
            <w:vAlign w:val="center"/>
          </w:tcPr>
          <w:p w14:paraId="6C8D9837">
            <w:pPr>
              <w:spacing w:line="360" w:lineRule="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sym w:font="Wingdings" w:char="00FE"/>
            </w:r>
            <w:r>
              <w:rPr>
                <w:rFonts w:hint="eastAsia" w:ascii="仿宋" w:hAnsi="仿宋" w:eastAsia="仿宋" w:cs="仿宋"/>
                <w:color w:val="auto"/>
                <w:kern w:val="0"/>
                <w:sz w:val="24"/>
                <w:szCs w:val="24"/>
                <w:highlight w:val="none"/>
              </w:rPr>
              <w:t>投标人自行登录电子</w:t>
            </w:r>
            <w:r>
              <w:rPr>
                <w:rFonts w:hint="eastAsia" w:ascii="仿宋" w:hAnsi="仿宋" w:eastAsia="仿宋" w:cs="仿宋"/>
                <w:color w:val="auto"/>
                <w:sz w:val="24"/>
                <w:szCs w:val="24"/>
                <w:highlight w:val="none"/>
              </w:rPr>
              <w:t>交易</w:t>
            </w:r>
            <w:r>
              <w:rPr>
                <w:rFonts w:hint="eastAsia" w:ascii="仿宋" w:hAnsi="仿宋" w:eastAsia="仿宋" w:cs="仿宋"/>
                <w:color w:val="auto"/>
                <w:kern w:val="0"/>
                <w:sz w:val="24"/>
                <w:szCs w:val="24"/>
                <w:highlight w:val="none"/>
              </w:rPr>
              <w:t>系统查看</w:t>
            </w:r>
          </w:p>
          <w:p w14:paraId="182D63CA">
            <w:pPr>
              <w:pStyle w:val="46"/>
              <w:widowControl w:val="0"/>
              <w:spacing w:before="0" w:beforeAutospacing="0" w:after="0" w:afterAutospacing="0" w:line="360" w:lineRule="auto"/>
              <w:jc w:val="both"/>
              <w:rPr>
                <w:rFonts w:hint="eastAsia" w:ascii="仿宋" w:hAnsi="仿宋" w:eastAsia="仿宋" w:cs="仿宋"/>
                <w:b w:val="0"/>
                <w:bCs w:val="0"/>
                <w:color w:val="auto"/>
                <w:kern w:val="2"/>
                <w:sz w:val="24"/>
                <w:szCs w:val="24"/>
                <w:highlight w:val="none"/>
              </w:rPr>
            </w:pPr>
            <w:r>
              <w:rPr>
                <w:rFonts w:hint="eastAsia" w:ascii="仿宋" w:hAnsi="仿宋" w:eastAsia="仿宋" w:cs="仿宋"/>
                <w:b w:val="0"/>
                <w:bCs w:val="0"/>
                <w:color w:val="auto"/>
                <w:kern w:val="2"/>
                <w:sz w:val="24"/>
                <w:szCs w:val="24"/>
                <w:highlight w:val="none"/>
              </w:rPr>
              <w:t>□评标现场告知</w:t>
            </w:r>
          </w:p>
        </w:tc>
      </w:tr>
      <w:tr w14:paraId="32D7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48" w:type="pct"/>
            <w:vAlign w:val="center"/>
          </w:tcPr>
          <w:p w14:paraId="19085879">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26.1</w:t>
            </w:r>
          </w:p>
        </w:tc>
        <w:tc>
          <w:tcPr>
            <w:tcW w:w="1198" w:type="pct"/>
            <w:vAlign w:val="center"/>
          </w:tcPr>
          <w:p w14:paraId="0A228799">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履约保证金</w:t>
            </w:r>
          </w:p>
        </w:tc>
        <w:tc>
          <w:tcPr>
            <w:tcW w:w="3152" w:type="pct"/>
          </w:tcPr>
          <w:p w14:paraId="74CBB3DD">
            <w:pPr>
              <w:spacing w:line="360" w:lineRule="auto"/>
              <w:rPr>
                <w:rFonts w:hint="eastAsia" w:ascii="仿宋" w:hAnsi="仿宋" w:eastAsia="仿宋" w:cs="仿宋"/>
                <w:bCs/>
                <w:color w:val="auto"/>
                <w:kern w:val="0"/>
                <w:sz w:val="24"/>
                <w:szCs w:val="28"/>
                <w:highlight w:val="none"/>
              </w:rPr>
            </w:pPr>
            <w:r>
              <w:rPr>
                <w:rFonts w:hint="eastAsia" w:ascii="仿宋" w:hAnsi="仿宋" w:eastAsia="仿宋" w:cs="仿宋"/>
                <w:bCs/>
                <w:color w:val="auto"/>
                <w:kern w:val="0"/>
                <w:sz w:val="24"/>
                <w:szCs w:val="28"/>
                <w:highlight w:val="none"/>
              </w:rPr>
              <w:t>（1）金额：</w:t>
            </w:r>
          </w:p>
          <w:p w14:paraId="53AFDB78">
            <w:pPr>
              <w:spacing w:line="360" w:lineRule="auto"/>
              <w:rPr>
                <w:rFonts w:hint="eastAsia" w:ascii="仿宋" w:hAnsi="仿宋" w:eastAsia="仿宋" w:cs="仿宋"/>
                <w:bCs/>
                <w:color w:val="auto"/>
                <w:kern w:val="0"/>
                <w:sz w:val="24"/>
                <w:szCs w:val="28"/>
                <w:highlight w:val="none"/>
              </w:rPr>
            </w:pPr>
            <w:r>
              <w:rPr>
                <w:rFonts w:hint="eastAsia" w:ascii="仿宋" w:hAnsi="仿宋" w:eastAsia="仿宋" w:cs="仿宋"/>
                <w:bCs/>
                <w:color w:val="auto"/>
                <w:kern w:val="0"/>
                <w:sz w:val="24"/>
                <w:szCs w:val="28"/>
                <w:highlight w:val="none"/>
              </w:rPr>
              <w:t>□免收</w:t>
            </w:r>
          </w:p>
          <w:p w14:paraId="3FBC6810">
            <w:pPr>
              <w:spacing w:line="360" w:lineRule="auto"/>
              <w:rPr>
                <w:rFonts w:hint="eastAsia" w:ascii="仿宋" w:hAnsi="仿宋" w:eastAsia="仿宋" w:cs="仿宋"/>
                <w:bCs/>
                <w:color w:val="auto"/>
                <w:kern w:val="0"/>
                <w:sz w:val="24"/>
                <w:szCs w:val="28"/>
                <w:highlight w:val="none"/>
              </w:rPr>
            </w:pPr>
            <w:r>
              <w:rPr>
                <w:rFonts w:hint="eastAsia" w:ascii="仿宋" w:hAnsi="仿宋" w:eastAsia="仿宋" w:cs="仿宋"/>
                <w:bCs/>
                <w:color w:val="auto"/>
                <w:kern w:val="0"/>
                <w:sz w:val="24"/>
                <w:szCs w:val="28"/>
                <w:highlight w:val="none"/>
              </w:rPr>
              <w:t>☑合同价的</w:t>
            </w:r>
            <w:r>
              <w:rPr>
                <w:rFonts w:hint="eastAsia" w:ascii="仿宋" w:hAnsi="仿宋" w:eastAsia="仿宋" w:cs="仿宋"/>
                <w:bCs/>
                <w:color w:val="auto"/>
                <w:kern w:val="0"/>
                <w:sz w:val="24"/>
                <w:szCs w:val="28"/>
                <w:highlight w:val="none"/>
                <w:u w:val="single"/>
              </w:rPr>
              <w:t>2.5</w:t>
            </w:r>
            <w:r>
              <w:rPr>
                <w:rFonts w:hint="eastAsia" w:ascii="仿宋" w:hAnsi="仿宋" w:eastAsia="仿宋" w:cs="仿宋"/>
                <w:bCs/>
                <w:color w:val="auto"/>
                <w:kern w:val="0"/>
                <w:sz w:val="24"/>
                <w:szCs w:val="28"/>
                <w:highlight w:val="none"/>
              </w:rPr>
              <w:t>%</w:t>
            </w:r>
          </w:p>
          <w:p w14:paraId="7BA1B37F">
            <w:pPr>
              <w:spacing w:line="360" w:lineRule="auto"/>
              <w:rPr>
                <w:rFonts w:hint="eastAsia" w:ascii="仿宋" w:hAnsi="仿宋" w:eastAsia="仿宋" w:cs="仿宋"/>
                <w:bCs/>
                <w:color w:val="auto"/>
                <w:kern w:val="0"/>
                <w:sz w:val="24"/>
                <w:szCs w:val="28"/>
                <w:highlight w:val="none"/>
              </w:rPr>
            </w:pPr>
            <w:r>
              <w:rPr>
                <w:rFonts w:hint="eastAsia" w:ascii="仿宋" w:hAnsi="仿宋" w:eastAsia="仿宋" w:cs="仿宋"/>
                <w:bCs/>
                <w:color w:val="auto"/>
                <w:kern w:val="0"/>
                <w:sz w:val="24"/>
                <w:szCs w:val="28"/>
                <w:highlight w:val="none"/>
              </w:rPr>
              <w:t>□定额收取：人民币</w:t>
            </w:r>
            <w:r>
              <w:rPr>
                <w:rFonts w:hint="eastAsia" w:ascii="仿宋" w:hAnsi="仿宋" w:eastAsia="仿宋" w:cs="仿宋"/>
                <w:bCs/>
                <w:color w:val="auto"/>
                <w:kern w:val="0"/>
                <w:sz w:val="24"/>
                <w:szCs w:val="28"/>
                <w:highlight w:val="none"/>
                <w:u w:val="single"/>
              </w:rPr>
              <w:t xml:space="preserve">         </w:t>
            </w:r>
            <w:r>
              <w:rPr>
                <w:rFonts w:hint="eastAsia" w:ascii="仿宋" w:hAnsi="仿宋" w:eastAsia="仿宋" w:cs="仿宋"/>
                <w:bCs/>
                <w:color w:val="auto"/>
                <w:kern w:val="0"/>
                <w:sz w:val="24"/>
                <w:szCs w:val="28"/>
                <w:highlight w:val="none"/>
              </w:rPr>
              <w:t>元</w:t>
            </w:r>
          </w:p>
          <w:p w14:paraId="5C8A8F5E">
            <w:pPr>
              <w:spacing w:line="360" w:lineRule="auto"/>
              <w:rPr>
                <w:rFonts w:hint="eastAsia" w:ascii="仿宋" w:hAnsi="仿宋" w:eastAsia="仿宋" w:cs="仿宋"/>
                <w:bCs/>
                <w:color w:val="auto"/>
                <w:kern w:val="0"/>
                <w:sz w:val="24"/>
                <w:szCs w:val="28"/>
                <w:highlight w:val="none"/>
              </w:rPr>
            </w:pPr>
            <w:r>
              <w:rPr>
                <w:rFonts w:hint="eastAsia" w:ascii="仿宋" w:hAnsi="仿宋" w:eastAsia="仿宋" w:cs="仿宋"/>
                <w:bCs/>
                <w:color w:val="auto"/>
                <w:kern w:val="0"/>
                <w:sz w:val="24"/>
                <w:szCs w:val="28"/>
                <w:highlight w:val="none"/>
              </w:rPr>
              <w:t>（2）支付方式：</w:t>
            </w:r>
          </w:p>
          <w:p w14:paraId="68375B66">
            <w:pPr>
              <w:spacing w:line="360" w:lineRule="auto"/>
              <w:rPr>
                <w:rFonts w:hint="eastAsia" w:ascii="仿宋" w:hAnsi="仿宋" w:eastAsia="仿宋" w:cs="仿宋"/>
                <w:bCs/>
                <w:color w:val="auto"/>
                <w:kern w:val="0"/>
                <w:sz w:val="24"/>
                <w:szCs w:val="28"/>
                <w:highlight w:val="none"/>
              </w:rPr>
            </w:pPr>
            <w:r>
              <w:rPr>
                <w:rFonts w:hint="eastAsia" w:ascii="仿宋" w:hAnsi="仿宋" w:eastAsia="仿宋" w:cs="仿宋"/>
                <w:bCs/>
                <w:color w:val="auto"/>
                <w:kern w:val="0"/>
                <w:sz w:val="24"/>
                <w:szCs w:val="28"/>
                <w:highlight w:val="none"/>
              </w:rPr>
              <w:sym w:font="Wingdings" w:char="00FE"/>
            </w:r>
            <w:r>
              <w:rPr>
                <w:rFonts w:hint="eastAsia" w:ascii="仿宋" w:hAnsi="仿宋" w:eastAsia="仿宋" w:cs="仿宋"/>
                <w:bCs/>
                <w:color w:val="auto"/>
                <w:kern w:val="0"/>
                <w:sz w:val="24"/>
                <w:szCs w:val="28"/>
                <w:highlight w:val="none"/>
              </w:rPr>
              <w:t xml:space="preserve">转账/电汇 </w:t>
            </w:r>
            <w:r>
              <w:rPr>
                <w:rFonts w:hint="eastAsia" w:ascii="仿宋" w:hAnsi="仿宋" w:eastAsia="仿宋" w:cs="仿宋"/>
                <w:bCs/>
                <w:color w:val="auto"/>
                <w:kern w:val="0"/>
                <w:sz w:val="24"/>
                <w:szCs w:val="28"/>
                <w:highlight w:val="none"/>
              </w:rPr>
              <w:sym w:font="Wingdings" w:char="00FE"/>
            </w:r>
            <w:r>
              <w:rPr>
                <w:rFonts w:hint="eastAsia" w:ascii="仿宋" w:hAnsi="仿宋" w:eastAsia="仿宋" w:cs="仿宋"/>
                <w:bCs/>
                <w:color w:val="auto"/>
                <w:kern w:val="0"/>
                <w:sz w:val="24"/>
                <w:szCs w:val="28"/>
                <w:highlight w:val="none"/>
              </w:rPr>
              <w:t xml:space="preserve">支票 </w:t>
            </w:r>
            <w:r>
              <w:rPr>
                <w:rFonts w:hint="eastAsia" w:ascii="仿宋" w:hAnsi="仿宋" w:eastAsia="仿宋" w:cs="仿宋"/>
                <w:bCs/>
                <w:color w:val="auto"/>
                <w:kern w:val="0"/>
                <w:sz w:val="24"/>
                <w:szCs w:val="28"/>
                <w:highlight w:val="none"/>
              </w:rPr>
              <w:sym w:font="Wingdings" w:char="00FE"/>
            </w:r>
            <w:r>
              <w:rPr>
                <w:rFonts w:hint="eastAsia" w:ascii="仿宋" w:hAnsi="仿宋" w:eastAsia="仿宋" w:cs="仿宋"/>
                <w:bCs/>
                <w:color w:val="auto"/>
                <w:kern w:val="0"/>
                <w:sz w:val="24"/>
                <w:szCs w:val="28"/>
                <w:highlight w:val="none"/>
              </w:rPr>
              <w:t xml:space="preserve">汇票 </w:t>
            </w:r>
            <w:r>
              <w:rPr>
                <w:rFonts w:hint="eastAsia" w:ascii="仿宋" w:hAnsi="仿宋" w:eastAsia="仿宋" w:cs="仿宋"/>
                <w:bCs/>
                <w:color w:val="auto"/>
                <w:kern w:val="0"/>
                <w:sz w:val="24"/>
                <w:szCs w:val="28"/>
                <w:highlight w:val="none"/>
              </w:rPr>
              <w:sym w:font="Wingdings" w:char="00FE"/>
            </w:r>
            <w:r>
              <w:rPr>
                <w:rFonts w:hint="eastAsia" w:ascii="仿宋" w:hAnsi="仿宋" w:eastAsia="仿宋" w:cs="仿宋"/>
                <w:bCs/>
                <w:color w:val="auto"/>
                <w:kern w:val="0"/>
                <w:sz w:val="24"/>
                <w:szCs w:val="28"/>
                <w:highlight w:val="none"/>
              </w:rPr>
              <w:t xml:space="preserve">本票 </w:t>
            </w:r>
            <w:r>
              <w:rPr>
                <w:rFonts w:hint="eastAsia" w:ascii="仿宋" w:hAnsi="仿宋" w:eastAsia="仿宋" w:cs="仿宋"/>
                <w:bCs/>
                <w:color w:val="auto"/>
                <w:kern w:val="0"/>
                <w:sz w:val="24"/>
                <w:szCs w:val="28"/>
                <w:highlight w:val="none"/>
              </w:rPr>
              <w:sym w:font="Wingdings" w:char="00FE"/>
            </w:r>
            <w:r>
              <w:rPr>
                <w:rFonts w:hint="eastAsia" w:ascii="仿宋" w:hAnsi="仿宋" w:eastAsia="仿宋" w:cs="仿宋"/>
                <w:bCs/>
                <w:color w:val="auto"/>
                <w:kern w:val="0"/>
                <w:sz w:val="24"/>
                <w:szCs w:val="28"/>
                <w:highlight w:val="none"/>
              </w:rPr>
              <w:t xml:space="preserve">保险 </w:t>
            </w:r>
            <w:r>
              <w:rPr>
                <w:rFonts w:hint="eastAsia" w:ascii="仿宋" w:hAnsi="仿宋" w:eastAsia="仿宋" w:cs="仿宋"/>
                <w:bCs/>
                <w:color w:val="auto"/>
                <w:kern w:val="0"/>
                <w:sz w:val="24"/>
                <w:szCs w:val="28"/>
                <w:highlight w:val="none"/>
              </w:rPr>
              <w:sym w:font="Wingdings" w:char="00FE"/>
            </w:r>
            <w:r>
              <w:rPr>
                <w:rFonts w:hint="eastAsia" w:ascii="仿宋" w:hAnsi="仿宋" w:eastAsia="仿宋" w:cs="仿宋"/>
                <w:bCs/>
                <w:color w:val="auto"/>
                <w:kern w:val="0"/>
                <w:sz w:val="24"/>
                <w:szCs w:val="28"/>
                <w:highlight w:val="none"/>
              </w:rPr>
              <w:t>保函</w:t>
            </w:r>
          </w:p>
          <w:p w14:paraId="541C9056">
            <w:pPr>
              <w:spacing w:line="360" w:lineRule="auto"/>
              <w:rPr>
                <w:rFonts w:hint="eastAsia" w:ascii="仿宋" w:hAnsi="仿宋" w:eastAsia="仿宋" w:cs="仿宋"/>
                <w:bCs/>
                <w:color w:val="auto"/>
                <w:kern w:val="0"/>
                <w:sz w:val="24"/>
                <w:szCs w:val="28"/>
                <w:highlight w:val="none"/>
              </w:rPr>
            </w:pPr>
            <w:r>
              <w:rPr>
                <w:rFonts w:hint="eastAsia" w:ascii="仿宋" w:hAnsi="仿宋" w:eastAsia="仿宋" w:cs="仿宋"/>
                <w:bCs/>
                <w:color w:val="auto"/>
                <w:kern w:val="0"/>
                <w:sz w:val="24"/>
                <w:szCs w:val="28"/>
                <w:highlight w:val="none"/>
              </w:rPr>
              <w:t>（3）收取单位：</w:t>
            </w:r>
            <w:r>
              <w:rPr>
                <w:rFonts w:hint="eastAsia" w:ascii="仿宋" w:hAnsi="仿宋" w:eastAsia="仿宋" w:cs="仿宋"/>
                <w:bCs/>
                <w:color w:val="auto"/>
                <w:kern w:val="0"/>
                <w:sz w:val="24"/>
                <w:szCs w:val="28"/>
                <w:highlight w:val="none"/>
                <w:u w:val="single"/>
              </w:rPr>
              <w:t>另行通知</w:t>
            </w:r>
            <w:r>
              <w:rPr>
                <w:rFonts w:hint="eastAsia" w:ascii="仿宋" w:hAnsi="仿宋" w:eastAsia="仿宋" w:cs="仿宋"/>
                <w:bCs/>
                <w:color w:val="auto"/>
                <w:kern w:val="0"/>
                <w:sz w:val="24"/>
                <w:szCs w:val="28"/>
                <w:highlight w:val="none"/>
              </w:rPr>
              <w:t xml:space="preserve"> </w:t>
            </w:r>
          </w:p>
          <w:p w14:paraId="2136CCEF">
            <w:pPr>
              <w:spacing w:line="360" w:lineRule="auto"/>
              <w:rPr>
                <w:rFonts w:hint="eastAsia" w:ascii="仿宋" w:hAnsi="仿宋" w:eastAsia="仿宋" w:cs="仿宋"/>
                <w:bCs/>
                <w:color w:val="auto"/>
                <w:kern w:val="0"/>
                <w:sz w:val="24"/>
                <w:szCs w:val="28"/>
                <w:highlight w:val="none"/>
              </w:rPr>
            </w:pPr>
            <w:r>
              <w:rPr>
                <w:rFonts w:hint="eastAsia" w:ascii="仿宋" w:hAnsi="仿宋" w:eastAsia="仿宋" w:cs="仿宋"/>
                <w:bCs/>
                <w:color w:val="auto"/>
                <w:kern w:val="0"/>
                <w:sz w:val="24"/>
                <w:szCs w:val="28"/>
                <w:highlight w:val="none"/>
              </w:rPr>
              <w:t>（4）收取账号：</w:t>
            </w:r>
            <w:r>
              <w:rPr>
                <w:rFonts w:hint="eastAsia" w:ascii="仿宋" w:hAnsi="仿宋" w:eastAsia="仿宋" w:cs="仿宋"/>
                <w:bCs/>
                <w:color w:val="auto"/>
                <w:kern w:val="0"/>
                <w:sz w:val="24"/>
                <w:szCs w:val="28"/>
                <w:highlight w:val="none"/>
                <w:u w:val="single"/>
              </w:rPr>
              <w:t>另行通知</w:t>
            </w:r>
          </w:p>
          <w:p w14:paraId="63E27FE6">
            <w:pPr>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bCs/>
                <w:color w:val="auto"/>
                <w:kern w:val="0"/>
                <w:sz w:val="24"/>
                <w:szCs w:val="28"/>
                <w:highlight w:val="none"/>
              </w:rPr>
              <w:t>（5）</w:t>
            </w:r>
            <w:r>
              <w:rPr>
                <w:rFonts w:hint="eastAsia" w:ascii="仿宋" w:hAnsi="仿宋" w:eastAsia="仿宋" w:cs="仿宋"/>
                <w:color w:val="auto"/>
                <w:sz w:val="24"/>
                <w:highlight w:val="none"/>
              </w:rPr>
              <w:t>退还时间：</w:t>
            </w:r>
            <w:r>
              <w:rPr>
                <w:rFonts w:hint="eastAsia" w:ascii="仿宋" w:hAnsi="仿宋" w:eastAsia="仿宋" w:cs="仿宋"/>
                <w:color w:val="auto"/>
                <w:sz w:val="24"/>
                <w:highlight w:val="none"/>
                <w:u w:val="single"/>
              </w:rPr>
              <w:t>验收合格，一次性退还</w:t>
            </w:r>
            <w:r>
              <w:rPr>
                <w:rFonts w:hint="eastAsia" w:ascii="仿宋" w:hAnsi="仿宋" w:eastAsia="仿宋" w:cs="仿宋"/>
                <w:color w:val="auto"/>
                <w:sz w:val="24"/>
                <w:highlight w:val="none"/>
                <w:u w:val="single"/>
                <w:lang w:eastAsia="zh-CN"/>
              </w:rPr>
              <w:t>。</w:t>
            </w:r>
          </w:p>
          <w:p w14:paraId="39FC7836">
            <w:pPr>
              <w:spacing w:line="360" w:lineRule="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注意事项：</w:t>
            </w:r>
          </w:p>
          <w:p w14:paraId="1DD73C52">
            <w:pPr>
              <w:spacing w:line="360" w:lineRule="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（1）以上各类机构出具的以担保函、保证保险承担责任的方式均须满足无条件见索即付条件。</w:t>
            </w:r>
          </w:p>
          <w:p w14:paraId="40A1A969">
            <w:pPr>
              <w:spacing w:line="360" w:lineRule="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（2）以担保函、保证保险形式缴纳履约保证金的，受益人和收取单位须为采购人。</w:t>
            </w:r>
          </w:p>
        </w:tc>
      </w:tr>
      <w:tr w14:paraId="70E9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648" w:type="pct"/>
            <w:vAlign w:val="center"/>
          </w:tcPr>
          <w:p w14:paraId="5F29B51F">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27.1</w:t>
            </w:r>
          </w:p>
        </w:tc>
        <w:tc>
          <w:tcPr>
            <w:tcW w:w="1198" w:type="pct"/>
            <w:vAlign w:val="center"/>
          </w:tcPr>
          <w:p w14:paraId="16CC2BE5">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签订合同和合同公告时间</w:t>
            </w:r>
          </w:p>
        </w:tc>
        <w:tc>
          <w:tcPr>
            <w:tcW w:w="3152" w:type="pct"/>
          </w:tcPr>
          <w:p w14:paraId="21A55260">
            <w:pPr>
              <w:pStyle w:val="23"/>
              <w:widowControl/>
              <w:spacing w:before="0" w:beforeAutospacing="0" w:after="0" w:afterAutospacing="0" w:line="360" w:lineRule="auto"/>
              <w:rPr>
                <w:rFonts w:hint="eastAsia" w:ascii="仿宋" w:hAnsi="仿宋" w:eastAsia="仿宋" w:cs="仿宋"/>
                <w:color w:val="auto"/>
                <w:szCs w:val="24"/>
                <w:highlight w:val="none"/>
              </w:rPr>
            </w:pPr>
            <w:r>
              <w:rPr>
                <w:rFonts w:hint="eastAsia" w:ascii="仿宋" w:hAnsi="仿宋" w:eastAsia="仿宋" w:cs="仿宋"/>
                <w:color w:val="auto"/>
                <w:szCs w:val="24"/>
                <w:highlight w:val="none"/>
              </w:rPr>
              <w:t>（1）采购人与中标人应当自发出中标通知书之日起7个工作日内签订合同，采购合同签订之日起2个工作日内完成政府采购合同公开。</w:t>
            </w:r>
          </w:p>
          <w:p w14:paraId="0977D000">
            <w:pPr>
              <w:pStyle w:val="23"/>
              <w:widowControl/>
              <w:spacing w:before="0" w:beforeAutospacing="0" w:after="0" w:afterAutospacing="0" w:line="360" w:lineRule="auto"/>
              <w:rPr>
                <w:rFonts w:hint="eastAsia" w:ascii="仿宋" w:hAnsi="仿宋" w:eastAsia="仿宋" w:cs="仿宋"/>
                <w:b/>
                <w:bCs/>
                <w:color w:val="auto"/>
                <w:szCs w:val="24"/>
                <w:highlight w:val="none"/>
              </w:rPr>
            </w:pPr>
            <w:r>
              <w:rPr>
                <w:rFonts w:hint="eastAsia" w:ascii="仿宋" w:hAnsi="仿宋" w:eastAsia="仿宋" w:cs="仿宋"/>
                <w:color w:val="auto"/>
                <w:szCs w:val="24"/>
                <w:highlight w:val="none"/>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5EF2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208B2732">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28.1</w:t>
            </w:r>
          </w:p>
        </w:tc>
        <w:tc>
          <w:tcPr>
            <w:tcW w:w="1198" w:type="pct"/>
            <w:vAlign w:val="center"/>
          </w:tcPr>
          <w:p w14:paraId="07C66F1A">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代理费用</w:t>
            </w:r>
          </w:p>
        </w:tc>
        <w:tc>
          <w:tcPr>
            <w:tcW w:w="3152" w:type="pct"/>
            <w:vAlign w:val="center"/>
          </w:tcPr>
          <w:p w14:paraId="4C5C5768">
            <w:pPr>
              <w:spacing w:before="39" w:line="360" w:lineRule="auto"/>
              <w:rPr>
                <w:rFonts w:hint="eastAsia" w:ascii="仿宋" w:hAnsi="仿宋" w:eastAsia="仿宋" w:cs="仿宋"/>
                <w:color w:val="auto"/>
                <w:sz w:val="24"/>
                <w:szCs w:val="24"/>
                <w:highlight w:val="none"/>
              </w:rPr>
            </w:pPr>
            <w:r>
              <w:rPr>
                <w:rFonts w:hint="eastAsia" w:ascii="仿宋" w:hAnsi="仿宋" w:eastAsia="仿宋" w:cs="仿宋"/>
                <w:bCs/>
                <w:color w:val="auto"/>
                <w:kern w:val="0"/>
                <w:sz w:val="24"/>
                <w:szCs w:val="28"/>
                <w:highlight w:val="none"/>
              </w:rPr>
              <w:t>（1）收费对象</w:t>
            </w:r>
            <w:r>
              <w:rPr>
                <w:rFonts w:hint="eastAsia" w:ascii="仿宋" w:hAnsi="仿宋" w:eastAsia="仿宋" w:cs="仿宋"/>
                <w:color w:val="auto"/>
                <w:spacing w:val="-12"/>
                <w:sz w:val="24"/>
                <w:szCs w:val="24"/>
                <w:highlight w:val="none"/>
              </w:rPr>
              <w:t>：</w:t>
            </w:r>
            <w:r>
              <w:rPr>
                <w:rFonts w:hint="eastAsia" w:ascii="仿宋" w:hAnsi="仿宋" w:eastAsia="仿宋" w:cs="仿宋"/>
                <w:bCs/>
                <w:color w:val="auto"/>
                <w:kern w:val="0"/>
                <w:sz w:val="24"/>
                <w:szCs w:val="28"/>
                <w:highlight w:val="none"/>
              </w:rPr>
              <w:sym w:font="Wingdings" w:char="00A8"/>
            </w:r>
            <w:r>
              <w:rPr>
                <w:rFonts w:hint="eastAsia" w:ascii="仿宋" w:hAnsi="仿宋" w:eastAsia="仿宋" w:cs="仿宋"/>
                <w:color w:val="auto"/>
                <w:spacing w:val="14"/>
                <w:sz w:val="24"/>
                <w:szCs w:val="24"/>
                <w:highlight w:val="none"/>
              </w:rPr>
              <w:t xml:space="preserve">采购人   </w:t>
            </w:r>
            <w:r>
              <w:rPr>
                <w:rFonts w:hint="eastAsia" w:ascii="仿宋" w:hAnsi="仿宋" w:eastAsia="仿宋" w:cs="仿宋"/>
                <w:bCs/>
                <w:color w:val="auto"/>
                <w:kern w:val="0"/>
                <w:sz w:val="24"/>
                <w:szCs w:val="28"/>
                <w:highlight w:val="none"/>
              </w:rPr>
              <w:sym w:font="Wingdings" w:char="00FE"/>
            </w:r>
            <w:r>
              <w:rPr>
                <w:rFonts w:hint="eastAsia" w:ascii="仿宋" w:hAnsi="仿宋" w:eastAsia="仿宋" w:cs="仿宋"/>
                <w:color w:val="auto"/>
                <w:spacing w:val="14"/>
                <w:sz w:val="24"/>
                <w:szCs w:val="24"/>
                <w:highlight w:val="none"/>
              </w:rPr>
              <w:t>中标人</w:t>
            </w:r>
          </w:p>
          <w:p w14:paraId="323CC0FC">
            <w:pPr>
              <w:spacing w:before="24" w:line="360" w:lineRule="auto"/>
              <w:rPr>
                <w:rFonts w:hint="default" w:ascii="仿宋" w:hAnsi="仿宋" w:eastAsia="仿宋" w:cs="仿宋"/>
                <w:bCs/>
                <w:color w:val="auto"/>
                <w:kern w:val="0"/>
                <w:sz w:val="24"/>
                <w:szCs w:val="28"/>
                <w:highlight w:val="none"/>
                <w:u w:val="single"/>
                <w:lang w:val="en-US" w:eastAsia="zh-CN"/>
              </w:rPr>
            </w:pPr>
            <w:r>
              <w:rPr>
                <w:rFonts w:hint="eastAsia" w:ascii="仿宋" w:hAnsi="仿宋" w:eastAsia="仿宋" w:cs="仿宋"/>
                <w:bCs/>
                <w:color w:val="auto"/>
                <w:kern w:val="0"/>
                <w:sz w:val="24"/>
                <w:szCs w:val="28"/>
                <w:highlight w:val="none"/>
              </w:rPr>
              <w:t>（2）收取方式</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银行转账</w:t>
            </w:r>
          </w:p>
          <w:p w14:paraId="0C327115">
            <w:pPr>
              <w:pStyle w:val="46"/>
              <w:widowControl w:val="0"/>
              <w:spacing w:before="0" w:beforeAutospacing="0" w:after="0" w:afterAutospacing="0" w:line="360" w:lineRule="auto"/>
              <w:jc w:val="both"/>
              <w:rPr>
                <w:rFonts w:hint="eastAsia" w:ascii="仿宋" w:hAnsi="仿宋" w:eastAsia="仿宋" w:cs="仿宋"/>
                <w:b w:val="0"/>
                <w:color w:val="auto"/>
                <w:sz w:val="24"/>
                <w:highlight w:val="none"/>
                <w:lang w:eastAsia="zh-CN"/>
              </w:rPr>
            </w:pPr>
            <w:r>
              <w:rPr>
                <w:rFonts w:hint="eastAsia" w:ascii="仿宋" w:hAnsi="仿宋" w:eastAsia="仿宋" w:cs="仿宋"/>
                <w:b w:val="0"/>
                <w:bCs w:val="0"/>
                <w:color w:val="auto"/>
                <w:sz w:val="24"/>
                <w:highlight w:val="none"/>
              </w:rPr>
              <w:t>（3）</w:t>
            </w:r>
            <w:r>
              <w:rPr>
                <w:rFonts w:hint="eastAsia" w:ascii="仿宋" w:hAnsi="仿宋" w:eastAsia="仿宋" w:cs="仿宋"/>
                <w:b w:val="0"/>
                <w:color w:val="auto"/>
                <w:sz w:val="24"/>
                <w:highlight w:val="none"/>
              </w:rPr>
              <w:t>收费标准：</w:t>
            </w:r>
            <w:r>
              <w:rPr>
                <w:rFonts w:hint="eastAsia" w:ascii="仿宋" w:hAnsi="仿宋" w:eastAsia="仿宋" w:cs="仿宋"/>
                <w:b w:val="0"/>
                <w:color w:val="auto"/>
                <w:sz w:val="24"/>
                <w:highlight w:val="none"/>
                <w:u w:val="single"/>
                <w:lang w:val="en-US" w:eastAsia="zh-CN"/>
              </w:rPr>
              <w:t>参考滁公管综【2023】19号《关于进一步明确代理费计取标准的通知》文件</w:t>
            </w:r>
            <w:r>
              <w:rPr>
                <w:rFonts w:hint="eastAsia" w:ascii="仿宋" w:hAnsi="仿宋" w:eastAsia="仿宋" w:cs="仿宋"/>
                <w:b w:val="0"/>
                <w:color w:val="auto"/>
                <w:sz w:val="24"/>
                <w:highlight w:val="none"/>
                <w:u w:val="single"/>
              </w:rPr>
              <w:t>（</w:t>
            </w:r>
            <w:r>
              <w:rPr>
                <w:rFonts w:hint="eastAsia" w:ascii="仿宋" w:hAnsi="仿宋" w:eastAsia="仿宋" w:cs="仿宋"/>
                <w:b w:val="0"/>
                <w:color w:val="auto"/>
                <w:sz w:val="24"/>
                <w:highlight w:val="none"/>
                <w:u w:val="single"/>
                <w:lang w:val="en-US" w:eastAsia="zh-CN"/>
              </w:rPr>
              <w:t>30000</w:t>
            </w:r>
            <w:r>
              <w:rPr>
                <w:rFonts w:hint="eastAsia" w:ascii="仿宋" w:hAnsi="仿宋" w:eastAsia="仿宋" w:cs="仿宋"/>
                <w:b w:val="0"/>
                <w:color w:val="auto"/>
                <w:sz w:val="24"/>
                <w:highlight w:val="none"/>
                <w:u w:val="single"/>
              </w:rPr>
              <w:t>元）</w:t>
            </w:r>
            <w:r>
              <w:rPr>
                <w:rFonts w:hint="eastAsia" w:ascii="仿宋" w:hAnsi="仿宋" w:eastAsia="仿宋" w:cs="仿宋"/>
                <w:b w:val="0"/>
                <w:color w:val="auto"/>
                <w:sz w:val="24"/>
                <w:highlight w:val="none"/>
                <w:u w:val="single"/>
                <w:lang w:eastAsia="zh-CN"/>
              </w:rPr>
              <w:t>。</w:t>
            </w:r>
          </w:p>
        </w:tc>
      </w:tr>
      <w:tr w14:paraId="0E19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131EB35D">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31.3</w:t>
            </w:r>
          </w:p>
        </w:tc>
        <w:tc>
          <w:tcPr>
            <w:tcW w:w="1198" w:type="pct"/>
            <w:vAlign w:val="center"/>
          </w:tcPr>
          <w:p w14:paraId="3343C0AA">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质疑函递交方式、接收部门、联系电话和通讯地址</w:t>
            </w:r>
          </w:p>
        </w:tc>
        <w:tc>
          <w:tcPr>
            <w:tcW w:w="3152" w:type="pct"/>
            <w:vAlign w:val="center"/>
          </w:tcPr>
          <w:p w14:paraId="550EA4BF">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递交方式：</w:t>
            </w:r>
            <w:r>
              <w:rPr>
                <w:rFonts w:hint="eastAsia" w:ascii="仿宋" w:hAnsi="仿宋" w:eastAsia="仿宋" w:cs="仿宋"/>
                <w:b w:val="0"/>
                <w:color w:val="auto"/>
                <w:sz w:val="24"/>
                <w:highlight w:val="none"/>
                <w:u w:val="single"/>
              </w:rPr>
              <w:t>供应商可以通过书面形式提出，也可以通过线上</w:t>
            </w:r>
            <w:r>
              <w:rPr>
                <w:rFonts w:hint="eastAsia" w:ascii="仿宋" w:hAnsi="仿宋" w:eastAsia="仿宋" w:cs="仿宋"/>
                <w:b w:val="0"/>
                <w:color w:val="auto"/>
                <w:sz w:val="24"/>
                <w:highlight w:val="none"/>
                <w:u w:val="single"/>
                <w:lang w:eastAsia="zh-CN"/>
              </w:rPr>
              <w:t>质疑</w:t>
            </w:r>
            <w:r>
              <w:rPr>
                <w:rFonts w:hint="eastAsia" w:ascii="仿宋" w:hAnsi="仿宋" w:eastAsia="仿宋" w:cs="仿宋"/>
                <w:b w:val="0"/>
                <w:color w:val="auto"/>
                <w:sz w:val="24"/>
                <w:highlight w:val="none"/>
                <w:u w:val="single"/>
              </w:rPr>
              <w:t>【通过线上向滁州市公共资源交易中心网电子交易系统提出质疑(具体操作步骤和程序请参见服务指南&gt;交易须知&gt;在线异议、质疑和投诉操作手册)】。一份质疑函只能针对一个项目</w:t>
            </w:r>
            <w:r>
              <w:rPr>
                <w:rFonts w:hint="eastAsia" w:ascii="仿宋" w:hAnsi="仿宋" w:eastAsia="仿宋" w:cs="仿宋"/>
                <w:b w:val="0"/>
                <w:color w:val="auto"/>
                <w:sz w:val="24"/>
                <w:highlight w:val="none"/>
                <w:u w:val="single"/>
                <w:lang w:eastAsia="zh-CN"/>
              </w:rPr>
              <w:t>质疑</w:t>
            </w:r>
            <w:r>
              <w:rPr>
                <w:rFonts w:hint="eastAsia" w:ascii="仿宋" w:hAnsi="仿宋" w:eastAsia="仿宋" w:cs="仿宋"/>
                <w:b w:val="0"/>
                <w:color w:val="auto"/>
                <w:sz w:val="24"/>
                <w:highlight w:val="none"/>
                <w:u w:val="single"/>
              </w:rPr>
              <w:t>，且针对同一采购程序环节的质疑应当一次性提出。</w:t>
            </w:r>
          </w:p>
          <w:p w14:paraId="7EB90E54">
            <w:pPr>
              <w:pStyle w:val="46"/>
              <w:widowControl w:val="0"/>
              <w:spacing w:before="0" w:beforeAutospacing="0" w:after="0" w:afterAutospacing="0" w:line="360" w:lineRule="auto"/>
              <w:jc w:val="both"/>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b w:val="0"/>
                <w:color w:val="auto"/>
                <w:sz w:val="24"/>
                <w:highlight w:val="none"/>
              </w:rPr>
              <w:t>接收部门：</w:t>
            </w:r>
            <w:r>
              <w:rPr>
                <w:rFonts w:hint="eastAsia" w:ascii="仿宋" w:hAnsi="仿宋" w:eastAsia="仿宋" w:cs="仿宋"/>
                <w:b w:val="0"/>
                <w:bCs w:val="0"/>
                <w:color w:val="auto"/>
                <w:sz w:val="24"/>
                <w:szCs w:val="24"/>
                <w:highlight w:val="none"/>
                <w:u w:val="single"/>
                <w:lang w:eastAsia="zh-CN"/>
              </w:rPr>
              <w:t>滁州市城市管理局</w:t>
            </w:r>
            <w:r>
              <w:rPr>
                <w:rFonts w:hint="eastAsia" w:ascii="仿宋" w:hAnsi="仿宋" w:eastAsia="仿宋" w:cs="仿宋"/>
                <w:b w:val="0"/>
                <w:bCs w:val="0"/>
                <w:color w:val="auto"/>
                <w:sz w:val="24"/>
                <w:szCs w:val="24"/>
                <w:highlight w:val="none"/>
                <w:u w:val="single"/>
              </w:rPr>
              <w:t>、</w:t>
            </w:r>
            <w:r>
              <w:rPr>
                <w:rFonts w:hint="eastAsia" w:ascii="仿宋" w:hAnsi="仿宋" w:eastAsia="仿宋" w:cs="仿宋"/>
                <w:b w:val="0"/>
                <w:bCs w:val="0"/>
                <w:color w:val="auto"/>
                <w:sz w:val="24"/>
                <w:szCs w:val="24"/>
                <w:highlight w:val="none"/>
                <w:u w:val="single"/>
                <w:lang w:eastAsia="zh-CN"/>
              </w:rPr>
              <w:t>滁州市城投工程咨询管理有限公司</w:t>
            </w:r>
          </w:p>
          <w:p w14:paraId="56DDA2A8">
            <w:pPr>
              <w:pStyle w:val="46"/>
              <w:widowControl w:val="0"/>
              <w:spacing w:before="0" w:beforeAutospacing="0" w:after="0" w:afterAutospacing="0" w:line="360" w:lineRule="auto"/>
              <w:jc w:val="both"/>
              <w:rPr>
                <w:rFonts w:hint="eastAsia" w:ascii="仿宋" w:hAnsi="仿宋" w:eastAsia="仿宋" w:cs="仿宋"/>
                <w:b w:val="0"/>
                <w:bCs w:val="0"/>
                <w:color w:val="auto"/>
                <w:sz w:val="24"/>
                <w:szCs w:val="18"/>
                <w:highlight w:val="none"/>
              </w:rPr>
            </w:pPr>
            <w:r>
              <w:rPr>
                <w:rFonts w:hint="eastAsia" w:ascii="仿宋" w:hAnsi="仿宋" w:eastAsia="仿宋" w:cs="仿宋"/>
                <w:b w:val="0"/>
                <w:color w:val="auto"/>
                <w:sz w:val="24"/>
                <w:highlight w:val="none"/>
              </w:rPr>
              <w:t>联系电话：</w:t>
            </w:r>
            <w:r>
              <w:rPr>
                <w:rFonts w:hint="eastAsia" w:ascii="仿宋" w:hAnsi="仿宋" w:eastAsia="仿宋" w:cs="仿宋"/>
                <w:b w:val="0"/>
                <w:color w:val="auto"/>
                <w:sz w:val="24"/>
                <w:highlight w:val="none"/>
                <w:u w:val="single"/>
                <w:lang w:val="en-US" w:eastAsia="zh-CN"/>
              </w:rPr>
              <w:t>0550-2591695</w:t>
            </w:r>
            <w:r>
              <w:rPr>
                <w:rFonts w:hint="eastAsia" w:ascii="仿宋" w:hAnsi="仿宋" w:eastAsia="仿宋" w:cs="仿宋"/>
                <w:b w:val="0"/>
                <w:color w:val="auto"/>
                <w:sz w:val="24"/>
                <w:szCs w:val="24"/>
                <w:highlight w:val="none"/>
                <w:u w:val="single"/>
              </w:rPr>
              <w:t>、0550-3519519</w:t>
            </w:r>
          </w:p>
          <w:p w14:paraId="0EBCF682">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通讯地址：</w:t>
            </w:r>
            <w:r>
              <w:rPr>
                <w:rFonts w:hint="eastAsia" w:ascii="仿宋" w:hAnsi="仿宋" w:eastAsia="仿宋" w:cs="仿宋"/>
                <w:b w:val="0"/>
                <w:color w:val="auto"/>
                <w:sz w:val="24"/>
                <w:highlight w:val="none"/>
                <w:u w:val="single"/>
                <w:lang w:val="en-US" w:eastAsia="zh-CN"/>
              </w:rPr>
              <w:t>滁州市琅琊区凤凰东路476号</w:t>
            </w:r>
            <w:r>
              <w:rPr>
                <w:rFonts w:hint="eastAsia" w:ascii="仿宋" w:hAnsi="仿宋" w:eastAsia="仿宋" w:cs="仿宋"/>
                <w:b w:val="0"/>
                <w:color w:val="auto"/>
                <w:sz w:val="24"/>
                <w:szCs w:val="24"/>
                <w:highlight w:val="none"/>
                <w:u w:val="single"/>
              </w:rPr>
              <w:t>、滁州市龙蟠大道109号房产大厦2楼</w:t>
            </w:r>
          </w:p>
        </w:tc>
      </w:tr>
      <w:tr w14:paraId="2CF1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7EC58681">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32</w:t>
            </w:r>
          </w:p>
        </w:tc>
        <w:tc>
          <w:tcPr>
            <w:tcW w:w="1198" w:type="pct"/>
            <w:vAlign w:val="center"/>
          </w:tcPr>
          <w:p w14:paraId="783F90CF">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其他内容</w:t>
            </w:r>
          </w:p>
        </w:tc>
        <w:tc>
          <w:tcPr>
            <w:tcW w:w="3152" w:type="pct"/>
            <w:vAlign w:val="center"/>
          </w:tcPr>
          <w:p w14:paraId="0DE204C0">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1、解释权：</w:t>
            </w:r>
          </w:p>
          <w:p w14:paraId="17AAA1BB">
            <w:pPr>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（1）构成本招标文件的各个组成文件应互为解释，互为说明；</w:t>
            </w:r>
          </w:p>
          <w:p w14:paraId="307EE5C2">
            <w:pPr>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（2）同一组成文件中就同一事项的规定或约定不一致的，以编排顺序在后者为准；</w:t>
            </w:r>
          </w:p>
          <w:p w14:paraId="2649E507">
            <w:pPr>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（3）如有不明确或不一致，构成合同文件组成内容的，以合同文件约定内容为准，且以专用合同条款约定的合同文件优先顺序解释；</w:t>
            </w:r>
          </w:p>
          <w:p w14:paraId="00E64A57">
            <w:pPr>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（4）除招标文件中有特别规定外，仅适用于招标投标阶段的规定，按招标公告、投标邀请、投标人须知、评标方法和标准、投标文件格式的先后顺序解释；</w:t>
            </w:r>
          </w:p>
          <w:p w14:paraId="03D46FEF">
            <w:pPr>
              <w:pStyle w:val="46"/>
              <w:widowControl w:val="0"/>
              <w:spacing w:before="0" w:beforeAutospacing="0" w:after="0" w:afterAutospacing="0" w:line="360" w:lineRule="auto"/>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（5）按本款前述规定仍不能形成结论的，由采购人负责解释。</w:t>
            </w:r>
          </w:p>
          <w:p w14:paraId="4A29B624">
            <w:pPr>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2、“政采贷”融资指引：有融资需求的</w:t>
            </w:r>
            <w:r>
              <w:rPr>
                <w:rFonts w:hint="eastAsia" w:ascii="仿宋" w:hAnsi="仿宋" w:eastAsia="仿宋" w:cs="仿宋"/>
                <w:color w:val="auto"/>
                <w:sz w:val="24"/>
                <w:szCs w:val="24"/>
                <w:highlight w:val="none"/>
              </w:rPr>
              <w:t>中标人</w:t>
            </w:r>
            <w:r>
              <w:rPr>
                <w:rFonts w:hint="eastAsia" w:ascii="仿宋" w:hAnsi="仿宋" w:eastAsia="仿宋" w:cs="仿宋"/>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仿宋" w:hAnsi="仿宋" w:eastAsia="仿宋" w:cs="仿宋"/>
                <w:color w:val="auto"/>
                <w:sz w:val="24"/>
                <w:szCs w:val="24"/>
                <w:highlight w:val="none"/>
              </w:rPr>
              <w:t>中标人</w:t>
            </w:r>
            <w:r>
              <w:rPr>
                <w:rFonts w:hint="eastAsia" w:ascii="仿宋" w:hAnsi="仿宋" w:eastAsia="仿宋" w:cs="仿宋"/>
                <w:bCs/>
                <w:color w:val="auto"/>
                <w:sz w:val="24"/>
                <w:szCs w:val="24"/>
                <w:highlight w:val="none"/>
              </w:rPr>
              <w:t>签署政府采购中标（成交）合同后，登录“徽采云”金融服务模块，选择意向产品进行申请，并填写相关信息，“徽采云”金融服务模块将</w:t>
            </w:r>
            <w:r>
              <w:rPr>
                <w:rFonts w:hint="eastAsia" w:ascii="仿宋" w:hAnsi="仿宋" w:eastAsia="仿宋" w:cs="仿宋"/>
                <w:color w:val="auto"/>
                <w:sz w:val="24"/>
                <w:szCs w:val="24"/>
                <w:highlight w:val="none"/>
              </w:rPr>
              <w:t>中标人</w:t>
            </w:r>
            <w:r>
              <w:rPr>
                <w:rFonts w:hint="eastAsia" w:ascii="仿宋" w:hAnsi="仿宋" w:eastAsia="仿宋" w:cs="仿宋"/>
                <w:bCs/>
                <w:color w:val="auto"/>
                <w:sz w:val="24"/>
                <w:szCs w:val="24"/>
                <w:highlight w:val="none"/>
              </w:rPr>
              <w:t>融资申请信息推送第三方平台、意向金融机构。</w:t>
            </w:r>
          </w:p>
          <w:p w14:paraId="2BAC9AEF">
            <w:pPr>
              <w:pStyle w:val="46"/>
              <w:widowControl w:val="0"/>
              <w:spacing w:before="0" w:beforeAutospacing="0" w:after="0" w:afterAutospacing="0" w:line="360" w:lineRule="auto"/>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3、电子保函指引：中标人可访问安徽省政府采购网“融资/保函”栏目，申请办理电子保函（包括：履约保函、预付款保函）。</w:t>
            </w:r>
          </w:p>
          <w:p w14:paraId="20992C3D">
            <w:pPr>
              <w:pStyle w:val="46"/>
              <w:widowControl w:val="0"/>
              <w:spacing w:before="0" w:beforeAutospacing="0" w:after="0" w:afterAutospacing="0" w:line="360" w:lineRule="auto"/>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4、部分可提供线下政采贷的金融机构</w:t>
            </w:r>
          </w:p>
          <w:p w14:paraId="1846866D">
            <w:pPr>
              <w:pStyle w:val="46"/>
              <w:widowControl w:val="0"/>
              <w:spacing w:before="0" w:beforeAutospacing="0" w:after="0" w:afterAutospacing="0" w:line="360" w:lineRule="auto"/>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市本级</w:t>
            </w:r>
          </w:p>
          <w:p w14:paraId="659B034B">
            <w:pPr>
              <w:pStyle w:val="46"/>
              <w:widowControl w:val="0"/>
              <w:spacing w:before="0" w:beforeAutospacing="0" w:after="0" w:afterAutospacing="0" w:line="360" w:lineRule="auto"/>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金融机构名称：兴业银行滁州分行</w:t>
            </w:r>
          </w:p>
          <w:p w14:paraId="45ED218A">
            <w:pPr>
              <w:pStyle w:val="46"/>
              <w:widowControl w:val="0"/>
              <w:spacing w:before="0" w:beforeAutospacing="0" w:after="0" w:afterAutospacing="0" w:line="360" w:lineRule="auto"/>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安徽省滁州市琅琊区丰乐大道1090号</w:t>
            </w:r>
          </w:p>
          <w:p w14:paraId="3BD2A77F">
            <w:pPr>
              <w:pStyle w:val="46"/>
              <w:widowControl w:val="0"/>
              <w:spacing w:before="0" w:beforeAutospacing="0" w:after="0" w:afterAutospacing="0" w:line="360" w:lineRule="auto"/>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lang w:val="en-US" w:eastAsia="zh-CN"/>
              </w:rPr>
              <w:t>俞冉</w:t>
            </w:r>
            <w:r>
              <w:rPr>
                <w:rFonts w:hint="eastAsia" w:ascii="仿宋" w:hAnsi="仿宋" w:eastAsia="仿宋" w:cs="仿宋"/>
                <w:b w:val="0"/>
                <w:color w:val="auto"/>
                <w:kern w:val="2"/>
                <w:sz w:val="24"/>
                <w:szCs w:val="24"/>
                <w:highlight w:val="none"/>
              </w:rPr>
              <w:t>：18256950224</w:t>
            </w:r>
          </w:p>
          <w:p w14:paraId="7153381A">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5、特别提示：</w:t>
            </w:r>
          </w:p>
          <w:p w14:paraId="0D425AA6">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（1）投标人应填写投标信息并下载招标文件，否则无法上传投标文件。</w:t>
            </w:r>
          </w:p>
          <w:p w14:paraId="0CF76A81">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注：投标人如为联合体的，牵头人必须完善投标人信息，并在上传投标文件环节添加联合体投标信息。</w:t>
            </w:r>
          </w:p>
          <w:p w14:paraId="749BD4B1">
            <w:pPr>
              <w:pStyle w:val="46"/>
              <w:widowControl w:val="0"/>
              <w:wordWrap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p>
          <w:p w14:paraId="2F384DCA">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（3）如果过程中出现招标文件更改，应以最后发布的招标答疑澄清文件中的模板制作本项目最新投标文件。</w:t>
            </w:r>
          </w:p>
          <w:p w14:paraId="08029EA7">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 xml:space="preserve">（4）投标人应当用本单位CA数字证书制作投标文件，制作成功后进行投标文件上传。 </w:t>
            </w:r>
          </w:p>
          <w:p w14:paraId="2385D1FC">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49F3F184">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（6）请投标人注意加密投标文件CA数字证书的有效期，不在有效期的CA数字证书无法解密投标文件。</w:t>
            </w:r>
          </w:p>
          <w:p w14:paraId="71548923">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（7）投标人投标MAC地址或投标人联系人或联系电话相同的，由评标委员会否决其投标，并报告监管部门作不良行为处理和进一步调查。</w:t>
            </w:r>
          </w:p>
          <w:p w14:paraId="3BBAE2B0">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（8）投标人单方面出现其他投标人材料的，由评标委员会否决其投标。</w:t>
            </w:r>
          </w:p>
          <w:p w14:paraId="2501C56B">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5C7DFB54">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27CB3A64">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6、评标过程中的澄清、说明或补正：</w:t>
            </w:r>
          </w:p>
          <w:p w14:paraId="17A04EBE">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0B0C7285">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0E307738">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7、同义词语：</w:t>
            </w:r>
          </w:p>
          <w:p w14:paraId="345663E4">
            <w:pPr>
              <w:pStyle w:val="46"/>
              <w:widowControl w:val="0"/>
              <w:spacing w:before="0" w:beforeAutospacing="0" w:after="0" w:afterAutospacing="0" w:line="440" w:lineRule="exact"/>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招标文件第六章 投标文件格式、附件1“关于联合惩戒失信行为 加强信用查询管理的通知”等章节中 “招标人”、“供应商”，等同于“采购人”、“投标人”。</w:t>
            </w:r>
          </w:p>
          <w:p w14:paraId="53CFFD09">
            <w:pPr>
              <w:pStyle w:val="46"/>
              <w:widowControl w:val="0"/>
              <w:spacing w:before="0" w:beforeAutospacing="0" w:after="0" w:afterAutospacing="0" w:line="360" w:lineRule="auto"/>
              <w:jc w:val="both"/>
              <w:rPr>
                <w:rFonts w:hint="eastAsia" w:ascii="仿宋" w:hAnsi="仿宋" w:eastAsia="仿宋" w:cs="仿宋"/>
                <w:b w:val="0"/>
                <w:color w:val="auto"/>
                <w:kern w:val="2"/>
                <w:sz w:val="24"/>
                <w:szCs w:val="24"/>
                <w:highlight w:val="none"/>
              </w:rPr>
            </w:pPr>
            <w:r>
              <w:rPr>
                <w:rFonts w:hint="eastAsia" w:ascii="仿宋" w:hAnsi="仿宋" w:eastAsia="仿宋" w:cs="仿宋"/>
                <w:b w:val="0"/>
                <w:color w:val="auto"/>
                <w:kern w:val="2"/>
                <w:sz w:val="24"/>
                <w:szCs w:val="24"/>
                <w:highlight w:val="none"/>
              </w:rPr>
              <w:t>8、落实政府采购支持节能产品、环境标志产品政策。</w:t>
            </w:r>
          </w:p>
        </w:tc>
      </w:tr>
    </w:tbl>
    <w:p w14:paraId="72F54041">
      <w:pPr>
        <w:spacing w:line="360" w:lineRule="auto"/>
        <w:jc w:val="center"/>
        <w:outlineLvl w:val="1"/>
        <w:rPr>
          <w:rFonts w:hint="eastAsia" w:ascii="仿宋" w:hAnsi="仿宋" w:eastAsia="仿宋" w:cs="仿宋"/>
          <w:b/>
          <w:color w:val="auto"/>
          <w:sz w:val="24"/>
          <w:highlight w:val="none"/>
        </w:rPr>
      </w:pPr>
      <w:r>
        <w:rPr>
          <w:rFonts w:hint="eastAsia" w:ascii="仿宋" w:hAnsi="仿宋" w:eastAsia="仿宋" w:cs="仿宋"/>
          <w:b/>
          <w:color w:val="auto"/>
          <w:sz w:val="28"/>
          <w:highlight w:val="none"/>
        </w:rPr>
        <w:br w:type="page"/>
      </w:r>
      <w:bookmarkStart w:id="12" w:name="_Toc14880"/>
      <w:bookmarkStart w:id="13" w:name="_Toc24882"/>
      <w:bookmarkStart w:id="14" w:name="_Toc24638"/>
      <w:r>
        <w:rPr>
          <w:rFonts w:hint="eastAsia" w:ascii="仿宋" w:hAnsi="仿宋" w:eastAsia="仿宋" w:cs="仿宋"/>
          <w:b/>
          <w:color w:val="auto"/>
          <w:sz w:val="24"/>
          <w:szCs w:val="24"/>
          <w:highlight w:val="none"/>
        </w:rPr>
        <w:t>二、投标人须知正文</w:t>
      </w:r>
      <w:bookmarkEnd w:id="12"/>
      <w:bookmarkEnd w:id="13"/>
      <w:bookmarkEnd w:id="14"/>
    </w:p>
    <w:p w14:paraId="7083EA3B">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1.采购人、采购代理机构及投标人</w:t>
      </w:r>
    </w:p>
    <w:p w14:paraId="44E8AE39">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1.1采购人：是指依法开展政府采购活动的国家机关、事业单位、团体组织。</w:t>
      </w:r>
    </w:p>
    <w:p w14:paraId="151888E2">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1.2采购代理机构：是指集中采购机构或从事采购代理业务的社会中介机构。</w:t>
      </w:r>
    </w:p>
    <w:p w14:paraId="0C3B8602">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1.3政府采购监督管理部门：各级人民政府指定的有关部门依法履行与政府采购活动有关的监督管理职责。</w:t>
      </w:r>
    </w:p>
    <w:p w14:paraId="13964BFE">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1.4投标人：是指向采购人提供货物、工程或者服务的法人、其他组织或者自然人。分支机构不得参加政府采购活动，但银行、保险、石油石化、电力、电信等特殊行业除外。本项目的投标人须满足以下条件：</w:t>
      </w:r>
    </w:p>
    <w:p w14:paraId="7A592CE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1.4.1具备《中华人民共和国政府采购法》第二十二条关于供应商条件的规定，遵守本项目采购人本级和上级财政部门政府采购的有关规定。</w:t>
      </w:r>
    </w:p>
    <w:p w14:paraId="50BB3BAA">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1.4.2以采购代理机构认可的方式获得了本项目的招标文件。</w:t>
      </w:r>
    </w:p>
    <w:p w14:paraId="5C6A35F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1.4.3若采购需求中写明允许采购进口产品，投标人应保证所投产品可履行合法报通关手续进入中国关境内。</w:t>
      </w:r>
    </w:p>
    <w:p w14:paraId="43E9F37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若采购需求中未写明允许采购进口产品，如投标人所投产品为进口产品，其投标将被认定为</w:t>
      </w:r>
      <w:r>
        <w:rPr>
          <w:rFonts w:hint="eastAsia" w:ascii="仿宋" w:hAnsi="仿宋" w:eastAsia="仿宋" w:cs="仿宋"/>
          <w:b/>
          <w:color w:val="auto"/>
          <w:sz w:val="24"/>
          <w:highlight w:val="none"/>
        </w:rPr>
        <w:t>投标无效</w:t>
      </w:r>
      <w:r>
        <w:rPr>
          <w:rFonts w:hint="eastAsia" w:ascii="仿宋" w:hAnsi="仿宋" w:eastAsia="仿宋" w:cs="仿宋"/>
          <w:color w:val="auto"/>
          <w:sz w:val="24"/>
          <w:highlight w:val="none"/>
        </w:rPr>
        <w:t>。</w:t>
      </w:r>
    </w:p>
    <w:p w14:paraId="11AED549">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1.5若招标公告中允许联合体投标，对联合体规定如下：</w:t>
      </w:r>
    </w:p>
    <w:p w14:paraId="42CBD7B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1.5.1两个以上供应商可以组成一个投标联合体，以一个投标人的身份投标。联合体投标的，招标文件获取手续由联合体中任一成员单位办理均可。</w:t>
      </w:r>
    </w:p>
    <w:p w14:paraId="26C64FCE">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1.5.2联合体各方均应符合《中华人民共和国政府采购法》第二十二条规定的条件。</w:t>
      </w:r>
    </w:p>
    <w:p w14:paraId="24E8F2E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1.5.3采购人根据采购项目对投标人的特殊要求，联合体中至少应当有一方符合相关规定。</w:t>
      </w:r>
    </w:p>
    <w:p w14:paraId="6C3F32A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1.5.4联合体各方应签订联合协议，明确约定联合体各方承担的工作和相应的责任，并将联合协议作为投标文件的一部分提交。</w:t>
      </w:r>
    </w:p>
    <w:p w14:paraId="753B9880">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1.5.5大中型企业、其他自然人、法人或者非法人组织与小型、微型企业组成联合体共同参加投标，联合协议中应写明小型、微型企业的协议合同金额占到联合协议投标总金额的比例。</w:t>
      </w:r>
    </w:p>
    <w:p w14:paraId="4AB75D7A">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1.5.6联合体中有同类资质的供应商按照联合体分工承担相同工作的，应当按照资质等级较低的供应商确定资质等级。</w:t>
      </w:r>
    </w:p>
    <w:p w14:paraId="4EA91A8F">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1.5.7以联合体形式参加政府采购活动的，联合体各方不得再单独参加或者与其他供应商另外组成联合体参加本项目投标，否则相关投标将被认定为</w:t>
      </w:r>
      <w:r>
        <w:rPr>
          <w:rFonts w:hint="eastAsia" w:ascii="仿宋" w:hAnsi="仿宋" w:eastAsia="仿宋" w:cs="仿宋"/>
          <w:b/>
          <w:color w:val="auto"/>
          <w:sz w:val="24"/>
          <w:highlight w:val="none"/>
        </w:rPr>
        <w:t>投标无效</w:t>
      </w:r>
      <w:r>
        <w:rPr>
          <w:rFonts w:hint="eastAsia" w:ascii="仿宋" w:hAnsi="仿宋" w:eastAsia="仿宋" w:cs="仿宋"/>
          <w:color w:val="auto"/>
          <w:sz w:val="24"/>
          <w:highlight w:val="none"/>
        </w:rPr>
        <w:t>。</w:t>
      </w:r>
    </w:p>
    <w:p w14:paraId="76DF6C6D">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1.5.8对联合体投标的其他资格要求见申请人的资格要求。</w:t>
      </w:r>
    </w:p>
    <w:p w14:paraId="6DA5E5D3">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2.资金落实情况</w:t>
      </w:r>
    </w:p>
    <w:p w14:paraId="5CB107E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2.1本项目的采购人已获得足以支付本次招标后所签订的合同项下的资金。</w:t>
      </w:r>
    </w:p>
    <w:p w14:paraId="7DC8A1EF">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3.投标费用</w:t>
      </w:r>
    </w:p>
    <w:p w14:paraId="256A119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不论投标的结果如何，投标人应承担所有与准备和参加投标有关的费用。</w:t>
      </w:r>
    </w:p>
    <w:p w14:paraId="45561CE3">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4.适用法律</w:t>
      </w:r>
    </w:p>
    <w:p w14:paraId="1A5EE1BE">
      <w:pPr>
        <w:spacing w:line="360" w:lineRule="auto"/>
        <w:ind w:firstLine="435"/>
        <w:rPr>
          <w:rFonts w:hint="eastAsia" w:ascii="仿宋" w:hAnsi="仿宋" w:eastAsia="仿宋" w:cs="仿宋"/>
          <w:b/>
          <w:color w:val="auto"/>
          <w:sz w:val="24"/>
          <w:highlight w:val="none"/>
        </w:rPr>
      </w:pPr>
      <w:r>
        <w:rPr>
          <w:rFonts w:hint="eastAsia" w:ascii="仿宋" w:hAnsi="仿宋" w:eastAsia="仿宋" w:cs="仿宋"/>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5609930C">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5.招标文件构成</w:t>
      </w:r>
    </w:p>
    <w:p w14:paraId="720AE763">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5.1招标文件包括下列内容：</w:t>
      </w:r>
    </w:p>
    <w:p w14:paraId="38B32072">
      <w:pPr>
        <w:spacing w:line="360" w:lineRule="auto"/>
        <w:ind w:firstLine="840" w:firstLine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第一章  投标邀请</w:t>
      </w:r>
    </w:p>
    <w:p w14:paraId="6F063BD9">
      <w:pPr>
        <w:spacing w:line="360" w:lineRule="auto"/>
        <w:ind w:firstLine="840" w:firstLine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第二章  投标人须知</w:t>
      </w:r>
    </w:p>
    <w:p w14:paraId="7B1672E5">
      <w:pPr>
        <w:spacing w:line="360" w:lineRule="auto"/>
        <w:ind w:firstLine="840" w:firstLine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第三章  采购需求</w:t>
      </w:r>
    </w:p>
    <w:p w14:paraId="2679207C">
      <w:pPr>
        <w:spacing w:line="360" w:lineRule="auto"/>
        <w:ind w:firstLine="840" w:firstLine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第四章  评标方法和标准</w:t>
      </w:r>
    </w:p>
    <w:p w14:paraId="3DBD3448">
      <w:pPr>
        <w:spacing w:line="360" w:lineRule="auto"/>
        <w:ind w:firstLine="840" w:firstLine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第五章  政府采购合同</w:t>
      </w:r>
    </w:p>
    <w:p w14:paraId="7825479E">
      <w:pPr>
        <w:spacing w:line="360" w:lineRule="auto"/>
        <w:ind w:firstLine="840" w:firstLine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第六章  投标文件格式</w:t>
      </w:r>
    </w:p>
    <w:p w14:paraId="37AC5700">
      <w:pPr>
        <w:spacing w:line="360" w:lineRule="auto"/>
        <w:ind w:firstLine="840" w:firstLine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第七章  政府采购询问函和质疑函范本</w:t>
      </w:r>
    </w:p>
    <w:p w14:paraId="757E68F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5.2现场考察（标前答疑会）及相关事项见</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w:t>
      </w:r>
    </w:p>
    <w:p w14:paraId="7B81BF02">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5.3原则上采购人、采购代理机构不要求投标人提供样品。仅凭书面方式不能准确描述采购需求，或者需要对样品进行主观判断以确认是否满足采购需求等特殊情况除外。</w:t>
      </w:r>
    </w:p>
    <w:p w14:paraId="68954ED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如需提供样品，对样品相关要求见采购需求，对样品的评审方法及评审标准见招标文件第四章。</w:t>
      </w:r>
    </w:p>
    <w:p w14:paraId="4F51F13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5.4投标人应认真阅读招标文件所有的事项、格式、条款和技术规范等。</w:t>
      </w:r>
    </w:p>
    <w:p w14:paraId="0FD8A0F7">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6.招标文件的澄清与修改</w:t>
      </w:r>
    </w:p>
    <w:p w14:paraId="2DF8635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6.1投标人如对招标文件内容有疑问，必须在</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规定的网上询问截止时间前以网上提问形式（电子交易系统）提交给采购代理机构。</w:t>
      </w:r>
    </w:p>
    <w:p w14:paraId="7E0C59A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6.2采购人可主动地或在答复投标人提出的询问时对招标文件进行澄清与修改。采购代理机构将在安徽省政府采购网以发布更正公告的方式，澄清或修改招标文件，更正公告的内容作为招标文件的组成部分，对投标人起约束作用。投标人应主动上网查询。采购代理机构不承担投标人未及时关注相关信息引发的相关责任。</w:t>
      </w:r>
    </w:p>
    <w:p w14:paraId="14A5C244">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4F282A76">
      <w:pPr>
        <w:spacing w:line="360" w:lineRule="auto"/>
        <w:ind w:firstLine="435"/>
        <w:rPr>
          <w:rFonts w:hint="eastAsia" w:ascii="仿宋" w:hAnsi="仿宋" w:eastAsia="仿宋" w:cs="仿宋"/>
          <w:i/>
          <w:iCs/>
          <w:color w:val="auto"/>
          <w:sz w:val="24"/>
          <w:highlight w:val="none"/>
        </w:rPr>
      </w:pPr>
      <w:r>
        <w:rPr>
          <w:rFonts w:hint="eastAsia" w:ascii="仿宋" w:hAnsi="仿宋" w:eastAsia="仿宋" w:cs="仿宋"/>
          <w:color w:val="auto"/>
          <w:sz w:val="24"/>
          <w:highlight w:val="none"/>
        </w:rPr>
        <w:t>6.4对于没有提出疑问又参与了本项目投标的投标人将被视为完全认同本招标文件（含更正公告的内容）</w:t>
      </w:r>
      <w:r>
        <w:rPr>
          <w:rFonts w:hint="eastAsia" w:ascii="仿宋" w:hAnsi="仿宋" w:eastAsia="仿宋" w:cs="仿宋"/>
          <w:i/>
          <w:color w:val="auto"/>
          <w:sz w:val="24"/>
          <w:highlight w:val="none"/>
        </w:rPr>
        <w:t>。</w:t>
      </w:r>
    </w:p>
    <w:p w14:paraId="5BD30A1B">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7.投标范围及投标文件中标准和计量单位的使用</w:t>
      </w:r>
    </w:p>
    <w:p w14:paraId="42BBDB7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7.1项目有分包的，投标人可对招标文件其中某一个或几个分包进行投标，除非在</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中另有规定。</w:t>
      </w:r>
    </w:p>
    <w:p w14:paraId="1B542AD2">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7.2投标人应当对所投分包招标文件中“采购需求”所列的所有内容进行投标，如仅响应所投包别中的部分内容，其所投包别的投标将被认定为</w:t>
      </w:r>
      <w:r>
        <w:rPr>
          <w:rFonts w:hint="eastAsia" w:ascii="仿宋" w:hAnsi="仿宋" w:eastAsia="仿宋" w:cs="仿宋"/>
          <w:b/>
          <w:color w:val="auto"/>
          <w:sz w:val="24"/>
          <w:highlight w:val="none"/>
        </w:rPr>
        <w:t>投标无效</w:t>
      </w:r>
      <w:r>
        <w:rPr>
          <w:rFonts w:hint="eastAsia" w:ascii="仿宋" w:hAnsi="仿宋" w:eastAsia="仿宋" w:cs="仿宋"/>
          <w:color w:val="auto"/>
          <w:sz w:val="24"/>
          <w:highlight w:val="none"/>
        </w:rPr>
        <w:t>。</w:t>
      </w:r>
    </w:p>
    <w:p w14:paraId="1205BA93">
      <w:pPr>
        <w:spacing w:line="360" w:lineRule="auto"/>
        <w:ind w:firstLine="435"/>
        <w:rPr>
          <w:rFonts w:hint="eastAsia" w:ascii="仿宋" w:hAnsi="仿宋" w:eastAsia="仿宋" w:cs="仿宋"/>
          <w:color w:val="auto"/>
          <w:sz w:val="24"/>
          <w:highlight w:val="none"/>
        </w:rPr>
      </w:pPr>
      <w:bookmarkStart w:id="15" w:name="_Hlk16458980"/>
      <w:r>
        <w:rPr>
          <w:rFonts w:hint="eastAsia" w:ascii="仿宋" w:hAnsi="仿宋" w:eastAsia="仿宋" w:cs="仿宋"/>
          <w:color w:val="auto"/>
          <w:sz w:val="24"/>
          <w:highlight w:val="none"/>
        </w:rPr>
        <w:t>7.3无论招标文件中是否要求，投标人所投货物及伴随的服务和工程均应符合国家强制性标准。</w:t>
      </w:r>
    </w:p>
    <w:bookmarkEnd w:id="15"/>
    <w:p w14:paraId="54FF2373">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7.4投标人与采购代理机构之间与投标有关的所有往来通知、函件和投标文件均用中文表述。投标人随投标文件提供的证明文件和资料可以为其它语言，但必须附中文译文。翻译的中文资料与外文资料出现差异时，以中文为准。</w:t>
      </w:r>
    </w:p>
    <w:p w14:paraId="6969D66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7.5除招标文件中有特殊要求外，投标文件中所使用的计量单位，应采用中华人民共和国法定计量单位。</w:t>
      </w:r>
    </w:p>
    <w:p w14:paraId="5F2FB2BE">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8.投标文件构成</w:t>
      </w:r>
    </w:p>
    <w:p w14:paraId="6CA7821A">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8.1投标人应完整地按招标文件提供的投标文件格式及要求编写投标文件，具体内容详见本项目投标文件格式的相关内容。</w:t>
      </w:r>
    </w:p>
    <w:p w14:paraId="2489C6E2">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8.2投标人应提交招标文件要求的证明文件，证明其投标内容符合招标文件规定，该证明文件是投标文件的一部分。证明文件形式可以是文字资料、图纸和数据</w:t>
      </w:r>
      <w:bookmarkStart w:id="16" w:name="_Hlk11703583"/>
      <w:r>
        <w:rPr>
          <w:rFonts w:hint="eastAsia" w:ascii="仿宋" w:hAnsi="仿宋" w:eastAsia="仿宋" w:cs="仿宋"/>
          <w:color w:val="auto"/>
          <w:sz w:val="24"/>
          <w:highlight w:val="none"/>
        </w:rPr>
        <w:t>等。</w:t>
      </w:r>
    </w:p>
    <w:bookmarkEnd w:id="16"/>
    <w:p w14:paraId="4DD3E469">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8.3为保证公平公正，除非另有规定或说明，投标人对同一项目投标时，不得同时提供备选投标方案。</w:t>
      </w:r>
    </w:p>
    <w:p w14:paraId="381ECCCF">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9.投标报价</w:t>
      </w:r>
    </w:p>
    <w:p w14:paraId="03A9C180">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9.1投标人的报价应当包括满足本次招标全部采购需求。除招标文件另有规定外，所有投标均应以人民币报价。投标人的投标报价应遵守《中华人民共和国价格法》。</w:t>
      </w:r>
    </w:p>
    <w:p w14:paraId="0E011556">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9.2投标人报价超过招标文件规定的预算金额或者分项、分包最高限价，其投标将被认定为</w:t>
      </w:r>
      <w:r>
        <w:rPr>
          <w:rFonts w:hint="eastAsia" w:ascii="仿宋" w:hAnsi="仿宋" w:eastAsia="仿宋" w:cs="仿宋"/>
          <w:b/>
          <w:bCs/>
          <w:color w:val="auto"/>
          <w:sz w:val="24"/>
          <w:highlight w:val="none"/>
        </w:rPr>
        <w:t>投标无效</w:t>
      </w:r>
      <w:r>
        <w:rPr>
          <w:rFonts w:hint="eastAsia" w:ascii="仿宋" w:hAnsi="仿宋" w:eastAsia="仿宋" w:cs="仿宋"/>
          <w:color w:val="auto"/>
          <w:sz w:val="24"/>
          <w:highlight w:val="none"/>
        </w:rPr>
        <w:t>。</w:t>
      </w:r>
    </w:p>
    <w:p w14:paraId="20760D5A">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9.3投标报价在合同履行过程中是固定不变的，不得以任何理由予以变更。任何包含价格调整要求的投标，其投标将被认定为</w:t>
      </w:r>
      <w:r>
        <w:rPr>
          <w:rFonts w:hint="eastAsia" w:ascii="仿宋" w:hAnsi="仿宋" w:eastAsia="仿宋" w:cs="仿宋"/>
          <w:b/>
          <w:color w:val="auto"/>
          <w:sz w:val="24"/>
          <w:highlight w:val="none"/>
        </w:rPr>
        <w:t>投标无效</w:t>
      </w:r>
      <w:r>
        <w:rPr>
          <w:rFonts w:hint="eastAsia" w:ascii="仿宋" w:hAnsi="仿宋" w:eastAsia="仿宋" w:cs="仿宋"/>
          <w:color w:val="auto"/>
          <w:sz w:val="24"/>
          <w:highlight w:val="none"/>
        </w:rPr>
        <w:t>。</w:t>
      </w:r>
    </w:p>
    <w:p w14:paraId="5A530246">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9.4采购人不接受具有附加条件的报价。</w:t>
      </w:r>
    </w:p>
    <w:p w14:paraId="7858843A">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10.投标保证金</w:t>
      </w:r>
    </w:p>
    <w:p w14:paraId="6121010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10.1本项目不收取投标保证金。</w:t>
      </w:r>
    </w:p>
    <w:p w14:paraId="5164FC0E">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11.投标有效期</w:t>
      </w:r>
    </w:p>
    <w:p w14:paraId="07FF663F">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11.1投标有效期为从投标截止之日算起的日历天数，投标有效期详见</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w:t>
      </w:r>
    </w:p>
    <w:p w14:paraId="79AF1B1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11.2在投标有效期内，投标人的投标保持有效，投标人不得要求撤销或修改其投标文件。投标有效期不满足要求的投标，其投标将被认定为</w:t>
      </w:r>
      <w:r>
        <w:rPr>
          <w:rFonts w:hint="eastAsia" w:ascii="仿宋" w:hAnsi="仿宋" w:eastAsia="仿宋" w:cs="仿宋"/>
          <w:b/>
          <w:color w:val="auto"/>
          <w:sz w:val="24"/>
          <w:highlight w:val="none"/>
        </w:rPr>
        <w:t>投标无效</w:t>
      </w:r>
      <w:r>
        <w:rPr>
          <w:rFonts w:hint="eastAsia" w:ascii="仿宋" w:hAnsi="仿宋" w:eastAsia="仿宋" w:cs="仿宋"/>
          <w:color w:val="auto"/>
          <w:sz w:val="24"/>
          <w:highlight w:val="none"/>
        </w:rPr>
        <w:t>。</w:t>
      </w:r>
    </w:p>
    <w:p w14:paraId="185148C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11.3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68FFDCC">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12.投标文件的递交、修改与撤回</w:t>
      </w:r>
    </w:p>
    <w:p w14:paraId="03A22BE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12.1投标人应当在招标公告规定的投标截止时间前，将加密的投标文件在电子交易系统上传。</w:t>
      </w:r>
    </w:p>
    <w:p w14:paraId="679D3992">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37D023EF">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13.开标</w:t>
      </w:r>
    </w:p>
    <w:p w14:paraId="39A3A24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13.1开标时，</w:t>
      </w:r>
      <w:r>
        <w:rPr>
          <w:rFonts w:hint="eastAsia" w:ascii="仿宋" w:hAnsi="仿宋" w:eastAsia="仿宋" w:cs="仿宋"/>
          <w:color w:val="auto"/>
          <w:sz w:val="24"/>
          <w:szCs w:val="24"/>
          <w:highlight w:val="none"/>
        </w:rPr>
        <w:t>各投标人应在</w:t>
      </w:r>
      <w:r>
        <w:rPr>
          <w:rFonts w:hint="eastAsia" w:ascii="仿宋" w:hAnsi="仿宋" w:eastAsia="仿宋" w:cs="仿宋"/>
          <w:color w:val="auto"/>
          <w:sz w:val="24"/>
          <w:szCs w:val="24"/>
          <w:highlight w:val="none"/>
          <w:u w:val="single"/>
        </w:rPr>
        <w:t>投标人须知前附表</w:t>
      </w:r>
      <w:r>
        <w:rPr>
          <w:rFonts w:hint="eastAsia" w:ascii="仿宋" w:hAnsi="仿宋" w:eastAsia="仿宋" w:cs="仿宋"/>
          <w:color w:val="auto"/>
          <w:sz w:val="24"/>
          <w:szCs w:val="24"/>
          <w:highlight w:val="none"/>
        </w:rPr>
        <w:t>规定的解密时间前</w:t>
      </w:r>
      <w:r>
        <w:rPr>
          <w:rFonts w:hint="eastAsia" w:ascii="仿宋" w:hAnsi="仿宋" w:eastAsia="仿宋" w:cs="仿宋"/>
          <w:color w:val="auto"/>
          <w:sz w:val="24"/>
          <w:highlight w:val="none"/>
        </w:rPr>
        <w:t>对</w:t>
      </w:r>
      <w:r>
        <w:rPr>
          <w:rFonts w:hint="eastAsia" w:ascii="仿宋" w:hAnsi="仿宋" w:eastAsia="仿宋" w:cs="仿宋"/>
          <w:color w:val="auto"/>
          <w:sz w:val="24"/>
          <w:szCs w:val="24"/>
          <w:highlight w:val="none"/>
        </w:rPr>
        <w:t>其</w:t>
      </w:r>
      <w:r>
        <w:rPr>
          <w:rFonts w:hint="eastAsia" w:ascii="仿宋" w:hAnsi="仿宋" w:eastAsia="仿宋" w:cs="仿宋"/>
          <w:color w:val="auto"/>
          <w:sz w:val="24"/>
          <w:highlight w:val="none"/>
        </w:rPr>
        <w:t>投标文件进行解密。</w:t>
      </w:r>
    </w:p>
    <w:p w14:paraId="23334B86">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13.2开标时，采购代理机构将通过网上开标系统公布开标结果，公布内容包括投标人名称、投标价格及招标文件规定的内容。</w:t>
      </w:r>
    </w:p>
    <w:p w14:paraId="33EFC53B">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13.3采购人或采购代理机构将对开标过程进行记录，由参加开标的各投标人代表和相关工作人员签字确认，并存档备查。</w:t>
      </w:r>
    </w:p>
    <w:p w14:paraId="0A68C346">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投标人未派代表参加开标的，视同投标人认可开标结果。</w:t>
      </w:r>
    </w:p>
    <w:p w14:paraId="725EEEFC">
      <w:pPr>
        <w:spacing w:line="360" w:lineRule="auto"/>
        <w:ind w:firstLine="435"/>
        <w:rPr>
          <w:rFonts w:hint="eastAsia" w:ascii="仿宋" w:hAnsi="仿宋" w:eastAsia="仿宋" w:cs="仿宋"/>
          <w:color w:val="auto"/>
          <w:sz w:val="28"/>
          <w:highlight w:val="none"/>
        </w:rPr>
      </w:pPr>
      <w:r>
        <w:rPr>
          <w:rFonts w:hint="eastAsia" w:ascii="仿宋" w:hAnsi="仿宋" w:eastAsia="仿宋" w:cs="仿宋"/>
          <w:color w:val="auto"/>
          <w:sz w:val="24"/>
          <w:highlight w:val="none"/>
        </w:rPr>
        <w:t>13.4投标人代表对开标过程和开标记录有疑义，以及认为采购人、采购代理机构相关工作人员有需要回避的情形的，应当场提出询问或者回避申请。</w:t>
      </w:r>
    </w:p>
    <w:p w14:paraId="7AA907B1">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14.资格审查及组建评标委员会</w:t>
      </w:r>
    </w:p>
    <w:p w14:paraId="5BB3A02E">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.1采购人或采购代理机构依据法律法规和招标文件中规定的内容，对投标人资格进行审查，未通过资格审查的投标人不进入评标。</w:t>
      </w:r>
    </w:p>
    <w:p w14:paraId="0BF0D09B">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仿宋" w:hAnsi="仿宋" w:eastAsia="仿宋" w:cs="仿宋"/>
          <w:color w:val="auto"/>
          <w:sz w:val="24"/>
          <w:highlight w:val="none"/>
        </w:rPr>
      </w:pPr>
      <w:bookmarkStart w:id="17" w:name="_Hlk24663244"/>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.2采购人或采购代理机构将在投标截止时间后至评审结束前通过“信用中国”网站(www.creditchina.gov.cn)、中国政府采购网(www.ccgp.gov.cn)查询相关投标人信用记录，并对</w:t>
      </w:r>
      <w:r>
        <w:rPr>
          <w:rFonts w:hint="eastAsia" w:ascii="仿宋" w:hAnsi="仿宋" w:eastAsia="仿宋" w:cs="仿宋"/>
          <w:color w:val="auto"/>
          <w:sz w:val="24"/>
          <w:highlight w:val="none"/>
          <w:lang w:val="en-US" w:eastAsia="zh-CN"/>
        </w:rPr>
        <w:t>投标人</w:t>
      </w:r>
      <w:r>
        <w:rPr>
          <w:rFonts w:hint="eastAsia" w:ascii="仿宋" w:hAnsi="仿宋" w:eastAsia="仿宋" w:cs="仿宋"/>
          <w:color w:val="auto"/>
          <w:sz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投标无效。</w:t>
      </w:r>
    </w:p>
    <w:p w14:paraId="5956C386">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以联合体形式参加投标的，联合体成员存在以上不良信用记录的，联合体投标将被认定为投标无效。</w:t>
      </w:r>
    </w:p>
    <w:p w14:paraId="2700666F">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17"/>
    <w:p w14:paraId="00252CA2">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.3按照《中华人民共和国政府采购法》、《中华人民共和国政府采购法实施条例》及本项目本级和上级财政部门、政府采购监督管理部门的有关规定依法组建的评标委员会，负责本项目评标工作。</w:t>
      </w:r>
    </w:p>
    <w:p w14:paraId="7A6D3DC7">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15.投标文件符合性审查与澄清</w:t>
      </w:r>
    </w:p>
    <w:p w14:paraId="768505C6">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15.1符合性审查是指依据招标文件的规定，从投标文件的有效性和完整性对招标文件的响应程度进行审查，以确定是否对招标文件的实质性要求做出响应。</w:t>
      </w:r>
    </w:p>
    <w:p w14:paraId="75D00E0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15.2如一个分包内只有一种产品，不同投标人所投产品为同一品牌的，按如下方式处理：</w:t>
      </w:r>
    </w:p>
    <w:p w14:paraId="35DEB18D">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15.2.1如本项目使用最低评标价法，提供相同品牌产品的不同投标人以其中通过资格审查、符合性审查、异常低价投标审查且报价最低的参加评标；报价相同的，由采购人或者采购人委托评标委员会按照招标文件中评标方法和标准规定的方式确定一个参加评标的投标人；未规定的采取随机抽取方式确定，其他投标将被认定为</w:t>
      </w:r>
      <w:r>
        <w:rPr>
          <w:rFonts w:hint="eastAsia" w:ascii="仿宋" w:hAnsi="仿宋" w:eastAsia="仿宋" w:cs="仿宋"/>
          <w:b/>
          <w:color w:val="auto"/>
          <w:sz w:val="24"/>
          <w:highlight w:val="none"/>
        </w:rPr>
        <w:t>投标无效</w:t>
      </w:r>
      <w:r>
        <w:rPr>
          <w:rFonts w:hint="eastAsia" w:ascii="仿宋" w:hAnsi="仿宋" w:eastAsia="仿宋" w:cs="仿宋"/>
          <w:color w:val="auto"/>
          <w:sz w:val="24"/>
          <w:highlight w:val="none"/>
        </w:rPr>
        <w:t>。</w:t>
      </w:r>
    </w:p>
    <w:p w14:paraId="0C167F4D">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15.2.2如本项目使用综合评分法，提供相同品牌产品且通过资格审查、符合性审查、异常低价投标审查的不同投标人，按一家投标人计算，评审后得分最高的同品牌投标人获得中标人推荐资格；评审得分相同的，由采购人或者采购人委托评标委员会按照招标文件中评标方法和标准规定的方式确定一个投标人获得中标人推荐资格；未规定的采取随机抽取方式确定，其他同品牌投标人不作为中标候选人。</w:t>
      </w:r>
    </w:p>
    <w:p w14:paraId="25B2731E">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15.3如一个分包内包含多种产品的，采购人或采购代理机构将在采购需求中载明核心产品，多家投标人提供的核心产品品牌相同的，按第15.2款规定处理。</w:t>
      </w:r>
    </w:p>
    <w:p w14:paraId="3E053DBB">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15.4投标文件的澄清</w:t>
      </w:r>
    </w:p>
    <w:p w14:paraId="307FB6F0">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15.4.1为有助于投标文件的审查、评价和比较，在评标期间，评标委员会将以书面方式（询标）要求投标人对其投标文件中含义不明确、对同类问题表述不一致或者有明显文字和计算错误的内容等作必要的澄清、说明或补正。投标人的澄清、说明或补正应在评标委员会规定的时间内以书面方式进行，并不得超出投标文件范围或者改变投标文件的实质性内容。</w:t>
      </w:r>
    </w:p>
    <w:p w14:paraId="492F9B99">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69CB1B0A">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15.4.2投标人的澄清、说明或补正将作为投标文件的一部分。</w:t>
      </w:r>
    </w:p>
    <w:p w14:paraId="741D7DD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15.4.3评标委员会对投标人提交的澄清、说明或补正有疑问的，可以要求投标人进一步澄清、说明或补正，直至满足评标委员会的要求。</w:t>
      </w:r>
    </w:p>
    <w:p w14:paraId="6ACA7BFA">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15.5投标文件报价出现前后不一致的，按照下列规定修正：</w:t>
      </w:r>
    </w:p>
    <w:p w14:paraId="0AB22984">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（1）投标文件中开标一览表内容与投标文件中相应内容不一致的，以开标一览表为准；</w:t>
      </w:r>
    </w:p>
    <w:p w14:paraId="3187B18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（2）大写金额和小写金额不一致的，以大写金额为准；</w:t>
      </w:r>
    </w:p>
    <w:p w14:paraId="33B276B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（3）单价金额小数点或者百分比有明显错位的，以开标一览表的总价为准，并修改单价；</w:t>
      </w:r>
    </w:p>
    <w:p w14:paraId="5A9DF3B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（4）总价金额与按单价汇总金额不一致的，以单价金额计算结果为准。</w:t>
      </w:r>
    </w:p>
    <w:p w14:paraId="16DCBAC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同时出现两种以上不一致的，按照前款规定的顺序修正。修正后的报价按照第15.4条的规定经投标人确认后产生约束力，投标人不确认的，其投标将被认定为</w:t>
      </w:r>
      <w:r>
        <w:rPr>
          <w:rFonts w:hint="eastAsia" w:ascii="仿宋" w:hAnsi="仿宋" w:eastAsia="仿宋" w:cs="仿宋"/>
          <w:b/>
          <w:color w:val="auto"/>
          <w:sz w:val="24"/>
          <w:highlight w:val="none"/>
        </w:rPr>
        <w:t>投标无效</w:t>
      </w:r>
      <w:r>
        <w:rPr>
          <w:rFonts w:hint="eastAsia" w:ascii="仿宋" w:hAnsi="仿宋" w:eastAsia="仿宋" w:cs="仿宋"/>
          <w:color w:val="auto"/>
          <w:sz w:val="24"/>
          <w:highlight w:val="none"/>
        </w:rPr>
        <w:t>。</w:t>
      </w:r>
    </w:p>
    <w:p w14:paraId="6467E7A6">
      <w:pPr>
        <w:spacing w:line="360" w:lineRule="auto"/>
        <w:ind w:firstLine="435"/>
        <w:rPr>
          <w:rFonts w:hint="eastAsia" w:ascii="仿宋" w:hAnsi="仿宋" w:eastAsia="仿宋" w:cs="仿宋"/>
          <w:b/>
          <w:color w:val="auto"/>
          <w:sz w:val="24"/>
          <w:highlight w:val="none"/>
        </w:rPr>
      </w:pPr>
      <w:r>
        <w:rPr>
          <w:rFonts w:hint="eastAsia" w:ascii="仿宋" w:hAnsi="仿宋" w:eastAsia="仿宋" w:cs="仿宋"/>
          <w:color w:val="auto"/>
          <w:sz w:val="24"/>
          <w:highlight w:val="none"/>
        </w:rPr>
        <w:t>对不同文字文本投标文件的解释发生异议的，以中文文本为准。</w:t>
      </w:r>
    </w:p>
    <w:p w14:paraId="4D82F490">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16.投标无效</w:t>
      </w:r>
    </w:p>
    <w:p w14:paraId="5C4B4FAF">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16.1根据本招标文件的规定，评标委员会要审查每份投标文件是否实质上响应了招标文件的要求。投标人不得通过修正或撤销不符合要求的偏离，从而使其投标成为实质上响应的投标。</w:t>
      </w:r>
    </w:p>
    <w:p w14:paraId="2C45CF5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评标委员会决定投标的响应性只根据招标文件要求和投标文件内容。</w:t>
      </w:r>
    </w:p>
    <w:p w14:paraId="6FD35606">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无论何种原因，即使投标人投标时携带了证书材料的原件，但投标文件中未提供与之内容完全一致的扫描件的，评标委员会视同其未提供。</w:t>
      </w:r>
    </w:p>
    <w:p w14:paraId="6CDBD11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16.2如发现下列情况之一的，其投标将被认定为</w:t>
      </w:r>
      <w:r>
        <w:rPr>
          <w:rFonts w:hint="eastAsia" w:ascii="仿宋" w:hAnsi="仿宋" w:eastAsia="仿宋" w:cs="仿宋"/>
          <w:b/>
          <w:color w:val="auto"/>
          <w:sz w:val="24"/>
          <w:highlight w:val="none"/>
        </w:rPr>
        <w:t>投标无效</w:t>
      </w:r>
      <w:r>
        <w:rPr>
          <w:rFonts w:hint="eastAsia" w:ascii="仿宋" w:hAnsi="仿宋" w:eastAsia="仿宋" w:cs="仿宋"/>
          <w:color w:val="auto"/>
          <w:sz w:val="24"/>
          <w:highlight w:val="none"/>
        </w:rPr>
        <w:t>：</w:t>
      </w:r>
    </w:p>
    <w:p w14:paraId="41FA0FA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（1）投标文件未按照招标文件规定要求签署、盖章的；</w:t>
      </w:r>
    </w:p>
    <w:p w14:paraId="0628E5D0">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（2）不具备招标文件中规定的资格要求的；</w:t>
      </w:r>
    </w:p>
    <w:p w14:paraId="7D73908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（3）报价超过招标文件中规定的预算金额或者最高限价的；</w:t>
      </w:r>
    </w:p>
    <w:p w14:paraId="1F4C251B">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（4）投标文件含有采购人不能接受的附加条件的；</w:t>
      </w:r>
    </w:p>
    <w:p w14:paraId="4FD96B26">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（5）法律、法规和招标文件规定的其他无效情形。</w:t>
      </w:r>
    </w:p>
    <w:p w14:paraId="4B6D1C40">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17.比较与评价</w:t>
      </w:r>
    </w:p>
    <w:p w14:paraId="4564F8D3">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17.1经符合性审查合格并通过异常低价投标审查的投标文件，评标委员会将根据招标文件确定的评标方法和标准，对其投标文件作进一步的比较与评价。</w:t>
      </w:r>
    </w:p>
    <w:p w14:paraId="5861338F">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17.2评标严格按照招标文件的要求和条件进行。根据实际情况，在</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中规定采用下列一种评标方法，详细评标方法和标准见招标文件第四章：</w:t>
      </w:r>
    </w:p>
    <w:p w14:paraId="48F8467B">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（1）最低评标价法，是指投标文件满足招标文件全部实质性要求，且投标报价最低的投标人为中标候选人的评标方法。</w:t>
      </w:r>
    </w:p>
    <w:p w14:paraId="2DA4422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（2）综合评分法，是指投标文件满足招标文件全部实质性要求，且按照评审因素的量化指标评审得分最高的投标人为中标候选人的评标方法。</w:t>
      </w:r>
    </w:p>
    <w:p w14:paraId="29AEDFDE">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17.3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中规定的标准扣除后的价格参与评审。对于同时属于小微企业、监狱企业或残疾人福利性单位的，不重复进行投标报价扣除。</w:t>
      </w:r>
    </w:p>
    <w:p w14:paraId="7A02818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接受大中型企业与小微企业组成联合体或者允许大中型企业向一家或者多家小微企业分包的，对于联合协议或者分包意向协议约定小微企业的合同份额占到合同总金额30%以上的，可给予联合体或者大中型企业的投标报价按照</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5868273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以联合体形式参加政府采购活动，联合体各方均为中小企业的，联合体视同中小企业。其中，联合体各方均为小微企业的，联合体视同小微企业。</w:t>
      </w:r>
    </w:p>
    <w:p w14:paraId="5C92699D">
      <w:pPr>
        <w:pStyle w:val="46"/>
        <w:widowControl w:val="0"/>
        <w:spacing w:before="0" w:beforeAutospacing="0" w:after="0" w:afterAutospacing="0" w:line="360" w:lineRule="auto"/>
        <w:ind w:firstLine="480" w:firstLineChars="200"/>
        <w:jc w:val="both"/>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23F2086D">
      <w:pPr>
        <w:pStyle w:val="46"/>
        <w:widowControl w:val="0"/>
        <w:spacing w:before="0" w:beforeAutospacing="0" w:after="0" w:afterAutospacing="0" w:line="360" w:lineRule="auto"/>
        <w:ind w:firstLine="480" w:firstLineChars="200"/>
        <w:jc w:val="both"/>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3F9FA847">
      <w:pPr>
        <w:pStyle w:val="46"/>
        <w:widowControl w:val="0"/>
        <w:spacing w:before="0" w:beforeAutospacing="0" w:after="0" w:afterAutospacing="0" w:line="360" w:lineRule="auto"/>
        <w:ind w:firstLine="480" w:firstLineChars="200"/>
        <w:jc w:val="both"/>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56829F">
      <w:pPr>
        <w:pStyle w:val="46"/>
        <w:widowControl w:val="0"/>
        <w:spacing w:before="0" w:beforeAutospacing="0" w:after="0" w:afterAutospacing="0" w:line="360" w:lineRule="auto"/>
        <w:ind w:firstLine="480" w:firstLineChars="200"/>
        <w:jc w:val="both"/>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17.5同时符合17.3和17.4的价格评审优惠时，评标价为投标报价分别扣除促进中小企业发展政策的价格评审优惠和本国产品支持政策的价格评审优惠后的价格。</w:t>
      </w:r>
    </w:p>
    <w:p w14:paraId="721527E3">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18.废标、重新招标与变更采购方式</w:t>
      </w:r>
    </w:p>
    <w:p w14:paraId="6D6BA1D2">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18.1出现下列情形之一，将导致项目废标：</w:t>
      </w:r>
    </w:p>
    <w:p w14:paraId="4E18A419">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（1）符合专业条件的供应商或者对招标文件做实质性响应的供应商不足规定数量的；</w:t>
      </w:r>
    </w:p>
    <w:p w14:paraId="53D9D434">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（2）出现影响采购公正的违法、违规行为的；</w:t>
      </w:r>
    </w:p>
    <w:p w14:paraId="7884E626">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（3）投标人的报价均超过了采购预算，采购人不能支付的；</w:t>
      </w:r>
    </w:p>
    <w:p w14:paraId="131B901F">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（4）因重大变故，采购任务取消的。</w:t>
      </w:r>
    </w:p>
    <w:p w14:paraId="7E7C0CD9">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18.2公开招标数额标准以上的采购项目，投标截止后投标人不足3家或者通过资格审查或符合性审查或异常低价投标审查的投标人不足3家的，除采购任务取消情形外，按照以下方式处理：</w:t>
      </w:r>
    </w:p>
    <w:p w14:paraId="77793132">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（1）招标文件存在不合理条款或者招标程序不符合规定的，采购人、采购代理机构改正后依法重新招标；</w:t>
      </w:r>
    </w:p>
    <w:p w14:paraId="1F716FC9">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（2）招标文件没有不合理条款、招标程序符合规定，需要采用其他采购方式采购的，采购人应当依法报</w:t>
      </w:r>
      <w:r>
        <w:rPr>
          <w:rFonts w:hint="eastAsia" w:ascii="仿宋" w:hAnsi="仿宋" w:eastAsia="仿宋" w:cs="仿宋"/>
          <w:color w:val="auto"/>
          <w:sz w:val="24"/>
          <w:szCs w:val="24"/>
          <w:highlight w:val="none"/>
        </w:rPr>
        <w:t>政府采购监督管理部门</w:t>
      </w:r>
      <w:r>
        <w:rPr>
          <w:rFonts w:hint="eastAsia" w:ascii="仿宋" w:hAnsi="仿宋" w:eastAsia="仿宋" w:cs="仿宋"/>
          <w:color w:val="auto"/>
          <w:sz w:val="24"/>
          <w:highlight w:val="none"/>
        </w:rPr>
        <w:t>批准。</w:t>
      </w:r>
    </w:p>
    <w:p w14:paraId="6E508D37">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19.保密要求</w:t>
      </w:r>
    </w:p>
    <w:p w14:paraId="4EA9D6AA">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19.1评标将在严格保密的情况下进行。</w:t>
      </w:r>
    </w:p>
    <w:p w14:paraId="35FF7BC3">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19.2有关人员应当遵守评标工作纪律，不得泄露评标文件、评标情况和评标中获悉的国家秘密、商业秘密。</w:t>
      </w:r>
    </w:p>
    <w:p w14:paraId="20692239">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20.中标候选人的确定原则及标准</w:t>
      </w:r>
    </w:p>
    <w:p w14:paraId="5AFF99F6">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20.1评标委员会依据本项目招标文件所约定的评标方法，对实质上响应招标文件的投标人按下列方法进行排序，确定中标候选人：</w:t>
      </w:r>
    </w:p>
    <w:p w14:paraId="6C5D920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1832FB0D">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采用综合评分法的，评标结果按评审后得分由高到低顺序排列。得分相同的，按投标报价由低到高顺序排列。得分与投标报价均相同的，则所投产品为节能产品、环境标志产品、不发达地区或少数民族地区产品者优先；若得分与投标报价均相同且所投产品同为节能产品、环境标志产品、不发达地区或少数民族地区产品的，则采取评标委员会随机抽取的方式确定中标候选顺序。</w:t>
      </w:r>
    </w:p>
    <w:p w14:paraId="45E12507">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21.确定中标候选人和中标人</w:t>
      </w:r>
    </w:p>
    <w:p w14:paraId="2AE0947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21.1评标委员会将根据评标标准，按</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中规定数量推荐中标候选人。</w:t>
      </w:r>
    </w:p>
    <w:p w14:paraId="2077120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21.2按</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中规定，由评标委员会或采购人确定中标人。</w:t>
      </w:r>
    </w:p>
    <w:p w14:paraId="0E728E30">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21.3因重大变故采购任务取消时，采购人有权拒绝任何投标人中标，且对受影响的投标人不承担任何责任。</w:t>
      </w:r>
    </w:p>
    <w:p w14:paraId="390A2E0F">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22.编写评标报告</w:t>
      </w:r>
    </w:p>
    <w:p w14:paraId="35DA837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05699851">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23.中标结果公告</w:t>
      </w:r>
    </w:p>
    <w:p w14:paraId="70C2B960">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23.1除</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规定由评标委员会直接确定中标人外，在评标结束后2个工作日内，采购代理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1154F35">
      <w:pPr>
        <w:keepNext w:val="0"/>
        <w:keepLines w:val="0"/>
        <w:pageBreakBefore w:val="0"/>
        <w:widowControl w:val="0"/>
        <w:kinsoku/>
        <w:wordWrap w:val="0"/>
        <w:overflowPunct w:val="0"/>
        <w:topLinePunct w:val="0"/>
        <w:autoSpaceDE/>
        <w:autoSpaceDN/>
        <w:bidi w:val="0"/>
        <w:adjustRightInd/>
        <w:snapToGrid/>
        <w:spacing w:line="360" w:lineRule="auto"/>
        <w:ind w:firstLine="437"/>
        <w:textAlignment w:val="auto"/>
        <w:rPr>
          <w:rFonts w:hint="eastAsia" w:ascii="仿宋" w:hAnsi="仿宋" w:eastAsia="仿宋" w:cs="仿宋"/>
          <w:color w:val="auto"/>
          <w:sz w:val="24"/>
          <w:szCs w:val="18"/>
          <w:highlight w:val="none"/>
        </w:rPr>
      </w:pPr>
      <w:r>
        <w:rPr>
          <w:rFonts w:hint="eastAsia" w:ascii="仿宋" w:hAnsi="仿宋" w:eastAsia="仿宋" w:cs="仿宋"/>
          <w:color w:val="auto"/>
          <w:sz w:val="24"/>
          <w:highlight w:val="none"/>
        </w:rPr>
        <w:t>23.2</w:t>
      </w:r>
      <w:r>
        <w:rPr>
          <w:rFonts w:hint="eastAsia" w:ascii="仿宋" w:hAnsi="仿宋" w:eastAsia="仿宋" w:cs="仿宋"/>
          <w:color w:val="auto"/>
          <w:sz w:val="24"/>
          <w:szCs w:val="18"/>
          <w:highlight w:val="none"/>
        </w:rPr>
        <w:t>自中标人确定之日起2个工作日内，采购代理机构将在安徽省政府采购网（www.ccgp-anhui.gov.cn）上发布中标结果公告。</w:t>
      </w:r>
    </w:p>
    <w:p w14:paraId="5BBD145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23.3中标结果公告内容应当包括采购人及其委托的采购代理机构的名称、地址、联系方式，项目名称和项目编号，中标人名称、地址和中标金额，主要中标标的的名称、规格型号、数量、单价、中标公告期限、评审专家名单以及</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中约定进行公告的内容。中标公告期限为1个工作日。</w:t>
      </w:r>
    </w:p>
    <w:p w14:paraId="24C0FD3D">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24.中标通知书</w:t>
      </w:r>
    </w:p>
    <w:p w14:paraId="00B7DBDF">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24.1采购代理机构发布中标结果公告</w:t>
      </w:r>
      <w:r>
        <w:rPr>
          <w:rFonts w:hint="eastAsia" w:ascii="仿宋" w:hAnsi="仿宋" w:eastAsia="仿宋" w:cs="仿宋"/>
          <w:iCs/>
          <w:color w:val="auto"/>
          <w:sz w:val="24"/>
          <w:highlight w:val="none"/>
        </w:rPr>
        <w:t>的</w:t>
      </w:r>
      <w:r>
        <w:rPr>
          <w:rFonts w:hint="eastAsia" w:ascii="仿宋" w:hAnsi="仿宋" w:eastAsia="仿宋" w:cs="仿宋"/>
          <w:color w:val="auto"/>
          <w:sz w:val="24"/>
          <w:highlight w:val="none"/>
        </w:rPr>
        <w:t>同时以</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规定的形式向中标人发出中标通知书。</w:t>
      </w:r>
    </w:p>
    <w:p w14:paraId="6944ADF0">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24.2中标通知书对采购人和中标人具有同等法律效力。中标通知书发出以后，采购人改变中标结果或者中标人放弃中标，应当承担相应的法律责任。</w:t>
      </w:r>
    </w:p>
    <w:p w14:paraId="35D13C93">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24.3中标通知书是合同的组成部分。</w:t>
      </w:r>
    </w:p>
    <w:p w14:paraId="00F0EA7D">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25.告知招标结果</w:t>
      </w:r>
    </w:p>
    <w:p w14:paraId="57B009DA">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25.1在公告中标结果的同时，采购代理机构同时以</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规定的形式告知未通过资格审查的投标人未通过的原因；采用综合评分法评审的，还将告知未中标人本人的评审得分和排序。</w:t>
      </w:r>
    </w:p>
    <w:p w14:paraId="0B679CF7">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26.履约保证金</w:t>
      </w:r>
    </w:p>
    <w:p w14:paraId="65C9E584">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26.1中标人应按照</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规定缴纳履约保证金。</w:t>
      </w:r>
    </w:p>
    <w:p w14:paraId="00A9DE82">
      <w:pPr>
        <w:spacing w:line="360" w:lineRule="auto"/>
        <w:ind w:firstLine="435"/>
        <w:rPr>
          <w:rFonts w:hint="eastAsia" w:ascii="仿宋" w:hAnsi="仿宋" w:eastAsia="仿宋" w:cs="仿宋"/>
          <w:b/>
          <w:color w:val="auto"/>
          <w:sz w:val="24"/>
          <w:highlight w:val="none"/>
        </w:rPr>
      </w:pPr>
      <w:r>
        <w:rPr>
          <w:rFonts w:hint="eastAsia" w:ascii="仿宋" w:hAnsi="仿宋" w:eastAsia="仿宋" w:cs="仿宋"/>
          <w:color w:val="auto"/>
          <w:sz w:val="24"/>
          <w:highlight w:val="none"/>
        </w:rPr>
        <w:t>26.2如果中标人没有按照上述履约保证金的规定执行，将视为放弃中标资格。在此情况下，采购人可确定下一中标候选人为中标人，也可以重新开展采购活动。</w:t>
      </w:r>
    </w:p>
    <w:p w14:paraId="469555A3">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27.签订合同</w:t>
      </w:r>
    </w:p>
    <w:p w14:paraId="3B3273AB">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27.1</w:t>
      </w:r>
      <w:r>
        <w:rPr>
          <w:rFonts w:hint="eastAsia" w:ascii="仿宋" w:hAnsi="仿宋" w:eastAsia="仿宋" w:cs="仿宋"/>
          <w:color w:val="auto"/>
          <w:sz w:val="24"/>
          <w:szCs w:val="24"/>
          <w:highlight w:val="none"/>
        </w:rPr>
        <w:t>采购人与中标人应当按照</w:t>
      </w:r>
      <w:r>
        <w:rPr>
          <w:rFonts w:hint="eastAsia" w:ascii="仿宋" w:hAnsi="仿宋" w:eastAsia="仿宋" w:cs="仿宋"/>
          <w:color w:val="auto"/>
          <w:sz w:val="24"/>
          <w:szCs w:val="24"/>
          <w:highlight w:val="none"/>
          <w:u w:val="single"/>
        </w:rPr>
        <w:t>投标人须知前附表</w:t>
      </w:r>
      <w:r>
        <w:rPr>
          <w:rFonts w:hint="eastAsia" w:ascii="仿宋" w:hAnsi="仿宋" w:eastAsia="仿宋" w:cs="仿宋"/>
          <w:color w:val="auto"/>
          <w:sz w:val="24"/>
          <w:szCs w:val="24"/>
          <w:highlight w:val="none"/>
        </w:rPr>
        <w:t>规定的时间内完成政府采购合同签订及合同公告。</w:t>
      </w:r>
    </w:p>
    <w:p w14:paraId="2E6376D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27.2招标文件、中标人的投标文件及其澄清文件等，均为签订合同的依据。</w:t>
      </w:r>
    </w:p>
    <w:p w14:paraId="66C4F766">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27.3中标人拒绝与采购人签订合同的，采购人可以按照评审报告推荐的中标候选人名单排序，确定下一中标候选人为中标人，也可以重新开展政府采购活动。</w:t>
      </w:r>
    </w:p>
    <w:p w14:paraId="02EB4FA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27.4依据《政府采购促进中小企业发展管理办法》（财库〔2020〕46号）规定享受扶持政策获得政府采购合同的，小微企业不得将合同分包给大中型企业，中型企业不得将合同分包给大型企业。</w:t>
      </w:r>
    </w:p>
    <w:p w14:paraId="255F4DD5">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28.代理费用</w:t>
      </w:r>
    </w:p>
    <w:p w14:paraId="7A12378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28.1本项目代理费用的收取按</w:t>
      </w:r>
      <w:r>
        <w:rPr>
          <w:rFonts w:hint="eastAsia" w:ascii="仿宋" w:hAnsi="仿宋" w:eastAsia="仿宋" w:cs="仿宋"/>
          <w:color w:val="auto"/>
          <w:sz w:val="24"/>
          <w:highlight w:val="none"/>
          <w:u w:val="single"/>
        </w:rPr>
        <w:t>投标人须知前附表的</w:t>
      </w:r>
      <w:r>
        <w:rPr>
          <w:rFonts w:hint="eastAsia" w:ascii="仿宋" w:hAnsi="仿宋" w:eastAsia="仿宋" w:cs="仿宋"/>
          <w:color w:val="auto"/>
          <w:sz w:val="24"/>
          <w:highlight w:val="none"/>
        </w:rPr>
        <w:t>规定执行。</w:t>
      </w:r>
    </w:p>
    <w:p w14:paraId="26EE5B26">
      <w:pPr>
        <w:spacing w:line="360" w:lineRule="auto"/>
        <w:ind w:firstLine="437"/>
        <w:outlineLvl w:val="2"/>
        <w:rPr>
          <w:rFonts w:hint="eastAsia" w:ascii="仿宋" w:hAnsi="仿宋" w:eastAsia="仿宋" w:cs="仿宋"/>
          <w:b/>
          <w:color w:val="auto"/>
          <w:sz w:val="24"/>
          <w:highlight w:val="none"/>
        </w:rPr>
      </w:pPr>
      <w:bookmarkStart w:id="18" w:name="_Toc2583661"/>
      <w:bookmarkStart w:id="19" w:name="_Toc518923100"/>
      <w:r>
        <w:rPr>
          <w:rFonts w:hint="eastAsia" w:ascii="仿宋" w:hAnsi="仿宋" w:eastAsia="仿宋" w:cs="仿宋"/>
          <w:b/>
          <w:color w:val="auto"/>
          <w:sz w:val="24"/>
          <w:highlight w:val="none"/>
        </w:rPr>
        <w:t>29.廉洁自律规定</w:t>
      </w:r>
      <w:bookmarkEnd w:id="18"/>
      <w:bookmarkEnd w:id="19"/>
    </w:p>
    <w:p w14:paraId="13632C9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29.1采购代理机构工作人员不得以不正当手段获取政府采购代理业务，不得与采购人、供应商恶意串通。</w:t>
      </w:r>
    </w:p>
    <w:p w14:paraId="4D03276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29.2采购代理机构工作人员不得接受采购人或者供应商组织的宴请、旅游、娱乐，不得收受礼品、现金、有价证券等，不得向采购人或者供应商报销应当由个人承担的费用。</w:t>
      </w:r>
    </w:p>
    <w:p w14:paraId="12C541BA">
      <w:pPr>
        <w:spacing w:line="360" w:lineRule="auto"/>
        <w:ind w:firstLine="437"/>
        <w:outlineLvl w:val="2"/>
        <w:rPr>
          <w:rFonts w:hint="eastAsia" w:ascii="仿宋" w:hAnsi="仿宋" w:eastAsia="仿宋" w:cs="仿宋"/>
          <w:b/>
          <w:color w:val="auto"/>
          <w:sz w:val="24"/>
          <w:highlight w:val="none"/>
        </w:rPr>
      </w:pPr>
      <w:bookmarkStart w:id="20" w:name="_Toc518923101"/>
      <w:bookmarkStart w:id="21" w:name="_Toc2583662"/>
      <w:r>
        <w:rPr>
          <w:rFonts w:hint="eastAsia" w:ascii="仿宋" w:hAnsi="仿宋" w:eastAsia="仿宋" w:cs="仿宋"/>
          <w:b/>
          <w:color w:val="auto"/>
          <w:sz w:val="24"/>
          <w:highlight w:val="none"/>
        </w:rPr>
        <w:t>30.人员回避</w:t>
      </w:r>
      <w:bookmarkEnd w:id="20"/>
      <w:bookmarkEnd w:id="21"/>
    </w:p>
    <w:p w14:paraId="7C19F97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投标人认为采购人员及其相关人员有法律法规所列与其他供应商有利害关系的，可以向采购人或采购代理机构书面提出回避申请，并说明理由。</w:t>
      </w:r>
    </w:p>
    <w:p w14:paraId="093C7722">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31.质疑的提出与接收</w:t>
      </w:r>
    </w:p>
    <w:p w14:paraId="35AFC9A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1C213D2B">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2A3DB86F">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31.3采购代理机构质疑函接收部门、联系电话和通讯地址，见</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w:t>
      </w:r>
    </w:p>
    <w:p w14:paraId="22DBF26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注：上述条款中所要求的书面形式包含通过电子交易系统递交方式。</w:t>
      </w:r>
    </w:p>
    <w:p w14:paraId="6CAF78E7">
      <w:pPr>
        <w:wordWrap w:val="0"/>
        <w:spacing w:line="360" w:lineRule="auto"/>
        <w:ind w:firstLine="437"/>
        <w:outlineLvl w:val="2"/>
        <w:rPr>
          <w:rFonts w:hint="eastAsia" w:ascii="仿宋" w:hAnsi="仿宋" w:eastAsia="仿宋" w:cs="仿宋"/>
          <w:b/>
          <w:color w:val="auto"/>
          <w:sz w:val="24"/>
          <w:szCs w:val="24"/>
          <w:highlight w:val="none"/>
        </w:rPr>
      </w:pPr>
      <w:r>
        <w:rPr>
          <w:rFonts w:hint="eastAsia" w:ascii="仿宋" w:hAnsi="仿宋" w:eastAsia="仿宋" w:cs="仿宋"/>
          <w:b/>
          <w:color w:val="auto"/>
          <w:sz w:val="24"/>
          <w:highlight w:val="none"/>
        </w:rPr>
        <w:t>32.</w:t>
      </w:r>
      <w:r>
        <w:rPr>
          <w:rFonts w:hint="eastAsia" w:ascii="仿宋" w:hAnsi="仿宋" w:eastAsia="仿宋" w:cs="仿宋"/>
          <w:b/>
          <w:color w:val="auto"/>
          <w:sz w:val="24"/>
          <w:szCs w:val="24"/>
          <w:highlight w:val="none"/>
          <w:lang w:bidi="ar"/>
        </w:rPr>
        <w:t>投诉</w:t>
      </w:r>
    </w:p>
    <w:p w14:paraId="0ED563AB">
      <w:pPr>
        <w:wordWrap w:val="0"/>
        <w:autoSpaceDE w:val="0"/>
        <w:spacing w:line="360" w:lineRule="auto"/>
        <w:ind w:firstLine="43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7CFF55E7">
      <w:pPr>
        <w:wordWrap w:val="0"/>
        <w:autoSpaceDE w:val="0"/>
        <w:spacing w:line="360" w:lineRule="auto"/>
        <w:ind w:firstLine="43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367CADFA">
      <w:pPr>
        <w:wordWrap w:val="0"/>
        <w:autoSpaceDE w:val="0"/>
        <w:spacing w:line="360" w:lineRule="auto"/>
        <w:ind w:firstLine="43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32.3政府采购监督管理部门在处理投诉事项期间，可以视具体情况书面通知采购人暂停采购活动，但暂停时间最长不得超过30日。</w:t>
      </w:r>
    </w:p>
    <w:p w14:paraId="467C8CF0">
      <w:pPr>
        <w:spacing w:line="360" w:lineRule="auto"/>
        <w:ind w:firstLine="437"/>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33.需要补充的其他内容</w:t>
      </w:r>
    </w:p>
    <w:p w14:paraId="509B6253">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需要补充的其他内容，见</w:t>
      </w:r>
      <w:r>
        <w:rPr>
          <w:rFonts w:hint="eastAsia" w:ascii="仿宋" w:hAnsi="仿宋" w:eastAsia="仿宋" w:cs="仿宋"/>
          <w:color w:val="auto"/>
          <w:sz w:val="24"/>
          <w:highlight w:val="none"/>
          <w:u w:val="single"/>
        </w:rPr>
        <w:t>投标人须知前附表</w:t>
      </w:r>
      <w:r>
        <w:rPr>
          <w:rFonts w:hint="eastAsia" w:ascii="仿宋" w:hAnsi="仿宋" w:eastAsia="仿宋" w:cs="仿宋"/>
          <w:color w:val="auto"/>
          <w:sz w:val="24"/>
          <w:highlight w:val="none"/>
        </w:rPr>
        <w:t>。</w:t>
      </w:r>
    </w:p>
    <w:p w14:paraId="4EDA1EEA">
      <w:pPr>
        <w:widowControl/>
        <w:jc w:val="left"/>
        <w:rPr>
          <w:rFonts w:hint="eastAsia" w:ascii="仿宋" w:hAnsi="仿宋" w:eastAsia="仿宋" w:cs="仿宋"/>
          <w:b/>
          <w:color w:val="auto"/>
          <w:sz w:val="28"/>
          <w:highlight w:val="none"/>
        </w:rPr>
      </w:pPr>
      <w:r>
        <w:rPr>
          <w:rFonts w:hint="eastAsia" w:ascii="仿宋" w:hAnsi="仿宋" w:eastAsia="仿宋" w:cs="仿宋"/>
          <w:color w:val="auto"/>
          <w:sz w:val="24"/>
          <w:highlight w:val="none"/>
        </w:rPr>
        <w:br w:type="page"/>
      </w:r>
    </w:p>
    <w:p w14:paraId="54264D55">
      <w:pPr>
        <w:spacing w:line="360" w:lineRule="auto"/>
        <w:jc w:val="center"/>
        <w:outlineLvl w:val="0"/>
        <w:rPr>
          <w:rFonts w:hint="eastAsia" w:ascii="仿宋" w:hAnsi="仿宋" w:eastAsia="仿宋" w:cs="仿宋"/>
          <w:b/>
          <w:color w:val="auto"/>
          <w:sz w:val="28"/>
          <w:highlight w:val="none"/>
        </w:rPr>
      </w:pPr>
      <w:bookmarkStart w:id="22" w:name="_Toc7878"/>
      <w:r>
        <w:rPr>
          <w:rFonts w:hint="eastAsia" w:ascii="仿宋" w:hAnsi="仿宋" w:eastAsia="仿宋" w:cs="仿宋"/>
          <w:b/>
          <w:color w:val="auto"/>
          <w:sz w:val="28"/>
          <w:highlight w:val="none"/>
        </w:rPr>
        <w:t>第三章  采购需求</w:t>
      </w:r>
      <w:bookmarkEnd w:id="22"/>
    </w:p>
    <w:p w14:paraId="0FEF21C6">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前注：</w:t>
      </w:r>
    </w:p>
    <w:p w14:paraId="747978D7">
      <w:pPr>
        <w:spacing w:line="360" w:lineRule="auto"/>
        <w:ind w:firstLine="435"/>
        <w:rPr>
          <w:rFonts w:hint="eastAsia" w:ascii="仿宋" w:hAnsi="仿宋" w:eastAsia="仿宋" w:cs="仿宋"/>
          <w:color w:val="auto"/>
          <w:sz w:val="24"/>
          <w:szCs w:val="18"/>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szCs w:val="18"/>
          <w:highlight w:val="none"/>
        </w:rPr>
        <w:t>根据《政府采购进口产品管理办法》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14:paraId="641525E3">
      <w:pPr>
        <w:spacing w:line="360" w:lineRule="auto"/>
        <w:ind w:firstLine="435"/>
        <w:rPr>
          <w:rFonts w:hint="eastAsia" w:ascii="仿宋" w:hAnsi="仿宋" w:eastAsia="仿宋" w:cs="仿宋"/>
          <w:color w:val="auto"/>
          <w:sz w:val="24"/>
          <w:szCs w:val="18"/>
          <w:highlight w:val="none"/>
        </w:rPr>
      </w:pPr>
      <w:r>
        <w:rPr>
          <w:rFonts w:hint="eastAsia" w:ascii="仿宋" w:hAnsi="仿宋" w:eastAsia="仿宋" w:cs="仿宋"/>
          <w:color w:val="auto"/>
          <w:sz w:val="24"/>
          <w:szCs w:val="18"/>
          <w:highlight w:val="none"/>
        </w:rPr>
        <w:t>2.</w:t>
      </w:r>
      <w:r>
        <w:rPr>
          <w:rFonts w:hint="eastAsia" w:ascii="仿宋" w:hAnsi="仿宋" w:eastAsia="仿宋" w:cs="仿宋"/>
          <w:color w:val="auto"/>
          <w:sz w:val="24"/>
          <w:szCs w:val="24"/>
          <w:highlight w:val="none"/>
        </w:rPr>
        <w:t>政府采购政策（包括但不限于下列具体政策要求）</w:t>
      </w:r>
      <w:r>
        <w:rPr>
          <w:rFonts w:hint="eastAsia" w:ascii="仿宋" w:hAnsi="仿宋" w:eastAsia="仿宋" w:cs="仿宋"/>
          <w:color w:val="auto"/>
          <w:sz w:val="24"/>
          <w:szCs w:val="18"/>
          <w:highlight w:val="none"/>
        </w:rPr>
        <w:t>：</w:t>
      </w:r>
    </w:p>
    <w:p w14:paraId="5F4AD340">
      <w:pPr>
        <w:spacing w:line="360" w:lineRule="auto"/>
        <w:ind w:firstLine="43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如属于《节能产品政府采购品目清单》中政府强制采购的节能产品，则在投标文件中提供所投产品须具有市场监管总局公布的《参与实施政府采购节能产品认证机构目录》中的认证机构出具的、处于有效期内的节能产品认证证书。</w:t>
      </w:r>
    </w:p>
    <w:p w14:paraId="3FD1E10F">
      <w:pPr>
        <w:spacing w:line="360" w:lineRule="auto"/>
        <w:ind w:firstLine="43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931FFBB">
      <w:pPr>
        <w:spacing w:line="360" w:lineRule="auto"/>
        <w:ind w:firstLine="435"/>
        <w:rPr>
          <w:rFonts w:hint="eastAsia" w:ascii="仿宋" w:hAnsi="仿宋" w:eastAsia="仿宋" w:cs="仿宋"/>
          <w:color w:val="auto"/>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18"/>
          <w:highlight w:val="none"/>
        </w:rPr>
        <w:t>如采购人允许采用分包方式履行合同的，应当明确可以分包履行的相关内容：</w:t>
      </w:r>
      <w:r>
        <w:rPr>
          <w:rFonts w:hint="eastAsia" w:ascii="仿宋" w:hAnsi="仿宋" w:eastAsia="仿宋" w:cs="仿宋"/>
          <w:b/>
          <w:bCs/>
          <w:color w:val="auto"/>
          <w:sz w:val="24"/>
          <w:szCs w:val="24"/>
          <w:highlight w:val="none"/>
        </w:rPr>
        <w:t>本项目不允许分包</w:t>
      </w:r>
      <w:r>
        <w:rPr>
          <w:rFonts w:hint="eastAsia" w:ascii="仿宋" w:hAnsi="仿宋" w:eastAsia="仿宋" w:cs="仿宋"/>
          <w:color w:val="auto"/>
          <w:sz w:val="24"/>
          <w:szCs w:val="24"/>
          <w:highlight w:val="none"/>
        </w:rPr>
        <w:t>。</w:t>
      </w:r>
    </w:p>
    <w:p w14:paraId="63F08604">
      <w:pPr>
        <w:spacing w:line="360" w:lineRule="auto"/>
        <w:ind w:firstLine="437"/>
        <w:outlineLvl w:val="1"/>
        <w:rPr>
          <w:rFonts w:hint="eastAsia" w:ascii="仿宋" w:hAnsi="仿宋" w:eastAsia="仿宋" w:cs="仿宋"/>
          <w:b/>
          <w:color w:val="auto"/>
          <w:sz w:val="24"/>
          <w:szCs w:val="18"/>
          <w:highlight w:val="none"/>
        </w:rPr>
      </w:pPr>
      <w:bookmarkStart w:id="23" w:name="_Toc27746"/>
      <w:bookmarkStart w:id="24" w:name="_Toc32151"/>
      <w:bookmarkStart w:id="25" w:name="_Toc2554"/>
      <w:r>
        <w:rPr>
          <w:rFonts w:hint="eastAsia" w:ascii="仿宋" w:hAnsi="仿宋" w:eastAsia="仿宋" w:cs="仿宋"/>
          <w:b/>
          <w:color w:val="auto"/>
          <w:sz w:val="24"/>
          <w:szCs w:val="18"/>
          <w:highlight w:val="none"/>
        </w:rPr>
        <w:t>一、采购需求前附表</w:t>
      </w:r>
      <w:bookmarkEnd w:id="23"/>
      <w:bookmarkEnd w:id="24"/>
      <w:bookmarkEnd w:id="25"/>
    </w:p>
    <w:tbl>
      <w:tblPr>
        <w:tblStyle w:val="27"/>
        <w:tblW w:w="52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917"/>
        <w:gridCol w:w="7187"/>
      </w:tblGrid>
      <w:tr w14:paraId="17B0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73" w:type="pct"/>
            <w:vAlign w:val="center"/>
          </w:tcPr>
          <w:p w14:paraId="0534D828">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
                <w:color w:val="auto"/>
                <w:kern w:val="2"/>
                <w:highlight w:val="none"/>
              </w:rPr>
            </w:pPr>
            <w:r>
              <w:rPr>
                <w:rFonts w:hint="eastAsia" w:ascii="仿宋" w:hAnsi="仿宋" w:eastAsia="仿宋" w:cs="仿宋"/>
                <w:b/>
                <w:color w:val="auto"/>
                <w:kern w:val="2"/>
                <w:highlight w:val="none"/>
              </w:rPr>
              <w:t>序号</w:t>
            </w:r>
          </w:p>
        </w:tc>
        <w:tc>
          <w:tcPr>
            <w:tcW w:w="974" w:type="pct"/>
            <w:vAlign w:val="center"/>
          </w:tcPr>
          <w:p w14:paraId="75126718">
            <w:pPr>
              <w:pStyle w:val="46"/>
              <w:widowControl w:val="0"/>
              <w:spacing w:before="0" w:beforeAutospacing="0" w:after="0" w:afterAutospacing="0" w:line="360" w:lineRule="auto"/>
              <w:rPr>
                <w:rFonts w:hint="eastAsia" w:ascii="仿宋" w:hAnsi="仿宋" w:eastAsia="仿宋" w:cs="仿宋"/>
                <w:bCs w:val="0"/>
                <w:color w:val="auto"/>
                <w:sz w:val="24"/>
                <w:highlight w:val="none"/>
              </w:rPr>
            </w:pPr>
            <w:r>
              <w:rPr>
                <w:rFonts w:hint="eastAsia" w:ascii="仿宋" w:hAnsi="仿宋" w:eastAsia="仿宋" w:cs="仿宋"/>
                <w:bCs w:val="0"/>
                <w:color w:val="auto"/>
                <w:sz w:val="24"/>
                <w:highlight w:val="none"/>
              </w:rPr>
              <w:t>条款名称</w:t>
            </w:r>
          </w:p>
        </w:tc>
        <w:tc>
          <w:tcPr>
            <w:tcW w:w="3652" w:type="pct"/>
            <w:vAlign w:val="center"/>
          </w:tcPr>
          <w:p w14:paraId="269F0EE2">
            <w:pPr>
              <w:pStyle w:val="46"/>
              <w:widowControl w:val="0"/>
              <w:spacing w:before="0" w:beforeAutospacing="0" w:after="0" w:afterAutospacing="0" w:line="360" w:lineRule="auto"/>
              <w:rPr>
                <w:rFonts w:hint="eastAsia" w:ascii="仿宋" w:hAnsi="仿宋" w:eastAsia="仿宋" w:cs="仿宋"/>
                <w:bCs w:val="0"/>
                <w:color w:val="auto"/>
                <w:sz w:val="24"/>
                <w:highlight w:val="none"/>
              </w:rPr>
            </w:pPr>
            <w:r>
              <w:rPr>
                <w:rFonts w:hint="eastAsia" w:ascii="仿宋" w:hAnsi="仿宋" w:eastAsia="仿宋" w:cs="仿宋"/>
                <w:bCs w:val="0"/>
                <w:color w:val="auto"/>
                <w:sz w:val="24"/>
                <w:highlight w:val="none"/>
              </w:rPr>
              <w:t>内容、说明与要求</w:t>
            </w:r>
          </w:p>
        </w:tc>
      </w:tr>
      <w:tr w14:paraId="43A0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73" w:type="pct"/>
            <w:vAlign w:val="center"/>
          </w:tcPr>
          <w:p w14:paraId="5CD08A27">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1</w:t>
            </w:r>
          </w:p>
        </w:tc>
        <w:tc>
          <w:tcPr>
            <w:tcW w:w="974" w:type="pct"/>
            <w:vAlign w:val="center"/>
          </w:tcPr>
          <w:p w14:paraId="66F28B63">
            <w:pPr>
              <w:pStyle w:val="46"/>
              <w:widowControl w:val="0"/>
              <w:spacing w:before="0" w:beforeAutospacing="0" w:after="0" w:afterAutospacing="0" w:line="360" w:lineRule="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付款方式</w:t>
            </w:r>
          </w:p>
        </w:tc>
        <w:tc>
          <w:tcPr>
            <w:tcW w:w="3652" w:type="pct"/>
            <w:vAlign w:val="center"/>
          </w:tcPr>
          <w:p w14:paraId="261700F9">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Cs w:val="0"/>
                <w:color w:val="auto"/>
                <w:sz w:val="24"/>
                <w:highlight w:val="none"/>
                <w:u w:val="single"/>
              </w:rPr>
              <w:t>合同签订且具备实施条件后，支付合同价的40%预付款（预付款支付前，中标人须提供同等金额的见索即付保函），全部供货安装调试完毕并由采购人验收合格后</w:t>
            </w:r>
            <w:r>
              <w:rPr>
                <w:rFonts w:hint="eastAsia" w:ascii="仿宋" w:hAnsi="仿宋" w:eastAsia="仿宋" w:cs="仿宋"/>
                <w:bCs w:val="0"/>
                <w:color w:val="auto"/>
                <w:sz w:val="24"/>
                <w:highlight w:val="none"/>
                <w:u w:val="single"/>
                <w:lang w:eastAsia="zh-CN"/>
              </w:rPr>
              <w:t>，</w:t>
            </w:r>
            <w:r>
              <w:rPr>
                <w:rFonts w:hint="eastAsia" w:ascii="仿宋" w:hAnsi="仿宋" w:eastAsia="仿宋" w:cs="仿宋"/>
                <w:bCs w:val="0"/>
                <w:color w:val="auto"/>
                <w:sz w:val="24"/>
                <w:highlight w:val="none"/>
                <w:u w:val="single"/>
              </w:rPr>
              <w:t>采购人请款额度须在政府资金调度会批准且发票送达后完成支付。</w:t>
            </w:r>
          </w:p>
        </w:tc>
      </w:tr>
      <w:tr w14:paraId="2159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73" w:type="pct"/>
            <w:vAlign w:val="center"/>
          </w:tcPr>
          <w:p w14:paraId="0B10CC3C">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2</w:t>
            </w:r>
          </w:p>
        </w:tc>
        <w:tc>
          <w:tcPr>
            <w:tcW w:w="974" w:type="pct"/>
            <w:vAlign w:val="center"/>
          </w:tcPr>
          <w:p w14:paraId="4F1024F2">
            <w:pPr>
              <w:pStyle w:val="46"/>
              <w:widowControl w:val="0"/>
              <w:spacing w:before="0" w:beforeAutospacing="0" w:after="0" w:afterAutospacing="0" w:line="360" w:lineRule="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供货及安装地点</w:t>
            </w:r>
          </w:p>
        </w:tc>
        <w:tc>
          <w:tcPr>
            <w:tcW w:w="3652" w:type="pct"/>
            <w:vAlign w:val="center"/>
          </w:tcPr>
          <w:p w14:paraId="36279F6E">
            <w:pPr>
              <w:pStyle w:val="46"/>
              <w:widowControl w:val="0"/>
              <w:spacing w:before="0" w:beforeAutospacing="0" w:after="0" w:afterAutospacing="0" w:line="360" w:lineRule="auto"/>
              <w:jc w:val="both"/>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采购人指定地点。</w:t>
            </w:r>
          </w:p>
        </w:tc>
      </w:tr>
      <w:tr w14:paraId="06E3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73" w:type="pct"/>
            <w:vAlign w:val="center"/>
          </w:tcPr>
          <w:p w14:paraId="3C3CE18C">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3</w:t>
            </w:r>
          </w:p>
        </w:tc>
        <w:tc>
          <w:tcPr>
            <w:tcW w:w="974" w:type="pct"/>
            <w:vAlign w:val="center"/>
          </w:tcPr>
          <w:p w14:paraId="40A08CD1">
            <w:pPr>
              <w:pStyle w:val="46"/>
              <w:widowControl w:val="0"/>
              <w:spacing w:before="0" w:beforeAutospacing="0" w:after="0" w:afterAutospacing="0" w:line="360" w:lineRule="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供货及安装期限</w:t>
            </w:r>
          </w:p>
        </w:tc>
        <w:tc>
          <w:tcPr>
            <w:tcW w:w="3652" w:type="pct"/>
            <w:vAlign w:val="center"/>
          </w:tcPr>
          <w:p w14:paraId="46375380">
            <w:pPr>
              <w:pStyle w:val="46"/>
              <w:widowControl w:val="0"/>
              <w:spacing w:before="0" w:beforeAutospacing="0" w:after="0" w:afterAutospacing="0" w:line="360" w:lineRule="auto"/>
              <w:jc w:val="both"/>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1、自合同签订之日起60日历天内，完成所有生活垃圾分类设施提标改造及验收交付。</w:t>
            </w:r>
          </w:p>
          <w:p w14:paraId="0DD9CC2A">
            <w:pPr>
              <w:pStyle w:val="46"/>
              <w:widowControl w:val="0"/>
              <w:spacing w:before="0" w:beforeAutospacing="0" w:after="0" w:afterAutospacing="0" w:line="360" w:lineRule="auto"/>
              <w:jc w:val="both"/>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2、自</w:t>
            </w:r>
            <w:r>
              <w:rPr>
                <w:rFonts w:hint="eastAsia" w:ascii="仿宋" w:hAnsi="仿宋" w:eastAsia="仿宋" w:cs="仿宋"/>
                <w:color w:val="auto"/>
                <w:kern w:val="2"/>
                <w:sz w:val="24"/>
                <w:szCs w:val="24"/>
                <w:highlight w:val="none"/>
                <w:lang w:bidi="ar"/>
              </w:rPr>
              <w:t>合同签订</w:t>
            </w:r>
            <w:r>
              <w:rPr>
                <w:rFonts w:hint="eastAsia" w:ascii="仿宋" w:hAnsi="仿宋" w:eastAsia="仿宋" w:cs="仿宋"/>
                <w:color w:val="auto"/>
                <w:kern w:val="2"/>
                <w:sz w:val="24"/>
                <w:szCs w:val="24"/>
                <w:highlight w:val="none"/>
                <w:lang w:val="en-US" w:eastAsia="zh-CN" w:bidi="ar"/>
              </w:rPr>
              <w:t>之日起30日历天内至少完成300台再生资源智能回收箱铺设，60</w:t>
            </w:r>
            <w:r>
              <w:rPr>
                <w:rFonts w:hint="eastAsia" w:ascii="仿宋" w:hAnsi="仿宋" w:eastAsia="仿宋" w:cs="仿宋"/>
                <w:color w:val="auto"/>
                <w:kern w:val="2"/>
                <w:sz w:val="24"/>
                <w:szCs w:val="24"/>
                <w:highlight w:val="none"/>
                <w:lang w:bidi="ar"/>
              </w:rPr>
              <w:t>日历天内</w:t>
            </w:r>
            <w:r>
              <w:rPr>
                <w:rFonts w:hint="eastAsia" w:ascii="仿宋" w:hAnsi="仿宋" w:eastAsia="仿宋" w:cs="仿宋"/>
                <w:color w:val="auto"/>
                <w:kern w:val="2"/>
                <w:sz w:val="24"/>
                <w:szCs w:val="24"/>
                <w:highlight w:val="none"/>
                <w:lang w:val="en-US" w:eastAsia="zh-CN" w:bidi="ar"/>
              </w:rPr>
              <w:t>需完成全部500台再生资源智能回收箱铺设、收运车辆配备、服务团队上岗、分拣中心建设、再生资源全流程</w:t>
            </w:r>
            <w:r>
              <w:rPr>
                <w:rFonts w:hint="eastAsia" w:ascii="仿宋" w:hAnsi="仿宋" w:eastAsia="仿宋" w:cs="仿宋"/>
                <w:color w:val="auto"/>
                <w:kern w:val="2"/>
                <w:sz w:val="24"/>
                <w:szCs w:val="24"/>
                <w:highlight w:val="none"/>
                <w:lang w:bidi="ar"/>
              </w:rPr>
              <w:t>数字化</w:t>
            </w:r>
            <w:r>
              <w:rPr>
                <w:rFonts w:hint="eastAsia" w:ascii="仿宋" w:hAnsi="仿宋" w:eastAsia="仿宋" w:cs="仿宋"/>
                <w:color w:val="auto"/>
                <w:kern w:val="2"/>
                <w:sz w:val="24"/>
                <w:szCs w:val="24"/>
                <w:highlight w:val="none"/>
                <w:lang w:val="en-US" w:eastAsia="zh-CN" w:bidi="ar"/>
              </w:rPr>
              <w:t>管理</w:t>
            </w:r>
            <w:r>
              <w:rPr>
                <w:rFonts w:hint="eastAsia" w:ascii="仿宋" w:hAnsi="仿宋" w:eastAsia="仿宋" w:cs="仿宋"/>
                <w:color w:val="auto"/>
                <w:kern w:val="2"/>
                <w:sz w:val="24"/>
                <w:szCs w:val="24"/>
                <w:highlight w:val="none"/>
                <w:lang w:bidi="ar"/>
              </w:rPr>
              <w:t>平台</w:t>
            </w:r>
            <w:r>
              <w:rPr>
                <w:rFonts w:hint="eastAsia" w:ascii="仿宋" w:hAnsi="仿宋" w:eastAsia="仿宋" w:cs="仿宋"/>
                <w:color w:val="auto"/>
                <w:kern w:val="2"/>
                <w:sz w:val="24"/>
                <w:szCs w:val="24"/>
                <w:highlight w:val="none"/>
                <w:lang w:val="en-US" w:eastAsia="zh-CN" w:bidi="ar"/>
              </w:rPr>
              <w:t>配备，正式投入运营工作</w:t>
            </w:r>
            <w:r>
              <w:rPr>
                <w:rFonts w:hint="eastAsia" w:ascii="仿宋" w:hAnsi="仿宋" w:eastAsia="仿宋" w:cs="仿宋"/>
                <w:color w:val="auto"/>
                <w:kern w:val="2"/>
                <w:sz w:val="24"/>
                <w:szCs w:val="24"/>
                <w:highlight w:val="none"/>
                <w:lang w:bidi="ar"/>
              </w:rPr>
              <w:t>。</w:t>
            </w:r>
          </w:p>
        </w:tc>
      </w:tr>
      <w:tr w14:paraId="0DBB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73" w:type="pct"/>
            <w:vAlign w:val="center"/>
          </w:tcPr>
          <w:p w14:paraId="00C2D1DA">
            <w:pPr>
              <w:pStyle w:val="47"/>
              <w:pBdr>
                <w:bottom w:val="none" w:color="auto" w:sz="0" w:space="0"/>
              </w:pBdr>
              <w:tabs>
                <w:tab w:val="clear" w:pos="4153"/>
                <w:tab w:val="clear" w:pos="8306"/>
              </w:tabs>
              <w:adjustRightInd/>
              <w:spacing w:line="240" w:lineRule="auto"/>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4</w:t>
            </w:r>
          </w:p>
        </w:tc>
        <w:tc>
          <w:tcPr>
            <w:tcW w:w="974" w:type="pct"/>
            <w:vAlign w:val="center"/>
          </w:tcPr>
          <w:p w14:paraId="6E7BB870">
            <w:pPr>
              <w:pStyle w:val="46"/>
              <w:widowControl w:val="0"/>
              <w:spacing w:before="0" w:beforeAutospacing="0" w:after="0" w:afterAutospacing="0" w:line="360" w:lineRule="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免费质保期</w:t>
            </w:r>
          </w:p>
        </w:tc>
        <w:tc>
          <w:tcPr>
            <w:tcW w:w="3652" w:type="pct"/>
            <w:vAlign w:val="center"/>
          </w:tcPr>
          <w:p w14:paraId="06EA5EDC">
            <w:pPr>
              <w:pStyle w:val="46"/>
              <w:widowControl w:val="0"/>
              <w:spacing w:before="0" w:beforeAutospacing="0" w:after="0" w:afterAutospacing="0" w:line="360" w:lineRule="auto"/>
              <w:jc w:val="both"/>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验收合格之日起不少于3年的免费质保服务，具体期限以中标人投标承诺为准。</w:t>
            </w:r>
          </w:p>
        </w:tc>
      </w:tr>
    </w:tbl>
    <w:p w14:paraId="4C51C728">
      <w:pPr>
        <w:pageBreakBefore w:val="0"/>
        <w:widowControl w:val="0"/>
        <w:numPr>
          <w:ilvl w:val="0"/>
          <w:numId w:val="2"/>
        </w:numPr>
        <w:kinsoku/>
        <w:wordWrap/>
        <w:overflowPunct/>
        <w:topLinePunct w:val="0"/>
        <w:autoSpaceDE/>
        <w:autoSpaceDN/>
        <w:bidi w:val="0"/>
        <w:adjustRightInd/>
        <w:snapToGrid/>
        <w:spacing w:line="500" w:lineRule="exact"/>
        <w:ind w:firstLine="437"/>
        <w:textAlignment w:val="auto"/>
        <w:outlineLvl w:val="1"/>
        <w:rPr>
          <w:rFonts w:hint="eastAsia" w:ascii="仿宋" w:hAnsi="仿宋" w:eastAsia="仿宋" w:cs="仿宋"/>
          <w:b/>
          <w:bCs/>
          <w:color w:val="auto"/>
          <w:sz w:val="24"/>
          <w:szCs w:val="18"/>
          <w:highlight w:val="none"/>
        </w:rPr>
      </w:pPr>
      <w:bookmarkStart w:id="26" w:name="_Toc7671"/>
      <w:bookmarkStart w:id="27" w:name="_Toc5944"/>
      <w:bookmarkStart w:id="28" w:name="_Toc29029"/>
      <w:r>
        <w:rPr>
          <w:rFonts w:hint="eastAsia" w:ascii="仿宋" w:hAnsi="仿宋" w:eastAsia="仿宋" w:cs="仿宋"/>
          <w:b/>
          <w:color w:val="auto"/>
          <w:sz w:val="24"/>
          <w:szCs w:val="18"/>
          <w:highlight w:val="none"/>
          <w:lang w:val="en-US" w:eastAsia="zh-CN"/>
        </w:rPr>
        <w:t>采购</w:t>
      </w:r>
      <w:r>
        <w:rPr>
          <w:rFonts w:hint="eastAsia" w:ascii="仿宋" w:hAnsi="仿宋" w:eastAsia="仿宋" w:cs="仿宋"/>
          <w:b/>
          <w:bCs/>
          <w:color w:val="auto"/>
          <w:sz w:val="24"/>
          <w:szCs w:val="18"/>
          <w:highlight w:val="none"/>
        </w:rPr>
        <w:t>需求</w:t>
      </w:r>
      <w:bookmarkEnd w:id="26"/>
      <w:bookmarkEnd w:id="27"/>
      <w:bookmarkEnd w:id="28"/>
    </w:p>
    <w:p w14:paraId="395E4170">
      <w:pPr>
        <w:pStyle w:val="6"/>
        <w:pageBreakBefore w:val="0"/>
        <w:widowControl w:val="0"/>
        <w:kinsoku/>
        <w:wordWrap/>
        <w:overflowPunct/>
        <w:topLinePunct w:val="0"/>
        <w:autoSpaceDE/>
        <w:autoSpaceDN/>
        <w:bidi w:val="0"/>
        <w:adjustRightInd/>
        <w:snapToGrid/>
        <w:spacing w:before="0" w:after="0" w:line="500" w:lineRule="exact"/>
        <w:ind w:firstLine="470" w:firstLineChars="200"/>
        <w:textAlignment w:val="auto"/>
        <w:rPr>
          <w:rFonts w:hint="eastAsia" w:ascii="仿宋" w:hAnsi="仿宋" w:eastAsia="仿宋" w:cs="仿宋"/>
          <w:b/>
          <w:bCs/>
          <w:color w:val="auto"/>
          <w:spacing w:val="-3"/>
          <w:kern w:val="2"/>
          <w:sz w:val="24"/>
          <w:szCs w:val="24"/>
          <w:highlight w:val="none"/>
          <w:lang w:val="zh-CN" w:eastAsia="zh-CN" w:bidi="ar-SA"/>
        </w:rPr>
      </w:pPr>
      <w:r>
        <w:rPr>
          <w:rFonts w:hint="eastAsia" w:ascii="仿宋" w:hAnsi="仿宋" w:eastAsia="仿宋" w:cs="仿宋"/>
          <w:b/>
          <w:bCs/>
          <w:color w:val="auto"/>
          <w:spacing w:val="-3"/>
          <w:kern w:val="2"/>
          <w:sz w:val="24"/>
          <w:szCs w:val="24"/>
          <w:highlight w:val="none"/>
          <w:lang w:val="en-US" w:eastAsia="zh-CN" w:bidi="ar-SA"/>
        </w:rPr>
        <w:t>1.</w:t>
      </w:r>
      <w:r>
        <w:rPr>
          <w:rFonts w:hint="eastAsia" w:ascii="仿宋" w:hAnsi="仿宋" w:eastAsia="仿宋" w:cs="仿宋"/>
          <w:b/>
          <w:bCs/>
          <w:color w:val="auto"/>
          <w:spacing w:val="-3"/>
          <w:kern w:val="2"/>
          <w:sz w:val="24"/>
          <w:szCs w:val="24"/>
          <w:highlight w:val="none"/>
          <w:lang w:val="zh-CN" w:eastAsia="zh-CN" w:bidi="ar-SA"/>
        </w:rPr>
        <w:t>项目背景</w:t>
      </w:r>
    </w:p>
    <w:p w14:paraId="10AFA6BC">
      <w:pPr>
        <w:numPr>
          <w:ilvl w:val="0"/>
          <w:numId w:val="0"/>
        </w:num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为深入贯彻落实国家、省、市关于生活垃圾分类工作的各项决策部署，持续深化滁州市生活垃圾分类治理成效，加快构建科学化、规范化、常态化的垃圾分类治理体系</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依据《</w:t>
      </w:r>
      <w:r>
        <w:rPr>
          <w:rFonts w:hint="eastAsia" w:ascii="仿宋" w:hAnsi="仿宋" w:eastAsia="仿宋" w:cs="仿宋"/>
          <w:color w:val="auto"/>
          <w:sz w:val="24"/>
          <w:szCs w:val="24"/>
          <w:highlight w:val="none"/>
          <w:lang w:val="en-US" w:eastAsia="zh-CN"/>
        </w:rPr>
        <w:t>安徽省生活垃圾分类投放站点技术规程</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关于加快健全生活垃圾可回收物体系建设推动“两网融合”促进资源化利用的通知</w:t>
      </w:r>
      <w:r>
        <w:rPr>
          <w:rFonts w:hint="eastAsia" w:ascii="仿宋" w:hAnsi="仿宋" w:eastAsia="仿宋" w:cs="仿宋"/>
          <w:color w:val="auto"/>
          <w:sz w:val="24"/>
          <w:szCs w:val="24"/>
          <w:highlight w:val="none"/>
        </w:rPr>
        <w:t>》等相关政策文件要求，结合滁州市生活垃圾分类工作推进现状及实际发展需求，本次拟实施滁州市生活垃圾分类设施</w:t>
      </w:r>
      <w:r>
        <w:rPr>
          <w:rFonts w:hint="eastAsia" w:ascii="仿宋" w:hAnsi="仿宋" w:eastAsia="仿宋" w:cs="仿宋"/>
          <w:color w:val="auto"/>
          <w:sz w:val="24"/>
          <w:szCs w:val="24"/>
          <w:highlight w:val="none"/>
          <w:lang w:val="en-US" w:eastAsia="zh-CN"/>
        </w:rPr>
        <w:t>提标改造及</w:t>
      </w:r>
      <w:r>
        <w:rPr>
          <w:rFonts w:hint="eastAsia" w:ascii="仿宋" w:hAnsi="仿宋" w:eastAsia="仿宋" w:cs="仿宋"/>
          <w:color w:val="auto"/>
          <w:sz w:val="24"/>
          <w:szCs w:val="24"/>
          <w:highlight w:val="none"/>
        </w:rPr>
        <w:t>再生资源回收体系搭建运营服务项目。项目主要涵盖生活垃圾分类设施</w:t>
      </w:r>
      <w:r>
        <w:rPr>
          <w:rFonts w:hint="eastAsia" w:ascii="仿宋" w:hAnsi="仿宋" w:eastAsia="仿宋" w:cs="仿宋"/>
          <w:color w:val="auto"/>
          <w:sz w:val="24"/>
          <w:szCs w:val="24"/>
          <w:highlight w:val="none"/>
          <w:lang w:val="en-US" w:eastAsia="zh-CN"/>
        </w:rPr>
        <w:t>提标改造</w:t>
      </w:r>
      <w:r>
        <w:rPr>
          <w:rFonts w:hint="eastAsia" w:ascii="仿宋" w:hAnsi="仿宋" w:eastAsia="仿宋" w:cs="仿宋"/>
          <w:color w:val="auto"/>
          <w:sz w:val="24"/>
          <w:szCs w:val="24"/>
          <w:highlight w:val="none"/>
        </w:rPr>
        <w:t>、再生资源回收体系建设及专业化运营</w:t>
      </w:r>
      <w:r>
        <w:rPr>
          <w:rFonts w:hint="eastAsia" w:ascii="仿宋" w:hAnsi="仿宋" w:eastAsia="仿宋" w:cs="仿宋"/>
          <w:color w:val="auto"/>
          <w:sz w:val="24"/>
          <w:szCs w:val="24"/>
          <w:highlight w:val="none"/>
          <w:lang w:val="en-US" w:eastAsia="zh-CN"/>
        </w:rPr>
        <w:t>等核心工作</w:t>
      </w:r>
      <w:r>
        <w:rPr>
          <w:rFonts w:hint="eastAsia" w:ascii="仿宋" w:hAnsi="仿宋" w:eastAsia="仿宋" w:cs="仿宋"/>
          <w:color w:val="auto"/>
          <w:sz w:val="24"/>
          <w:szCs w:val="24"/>
          <w:highlight w:val="none"/>
        </w:rPr>
        <w:t>。</w:t>
      </w:r>
    </w:p>
    <w:p w14:paraId="5113F22F">
      <w:pPr>
        <w:pStyle w:val="6"/>
        <w:pageBreakBefore w:val="0"/>
        <w:widowControl w:val="0"/>
        <w:numPr>
          <w:ilvl w:val="0"/>
          <w:numId w:val="0"/>
        </w:numPr>
        <w:kinsoku/>
        <w:wordWrap/>
        <w:overflowPunct/>
        <w:topLinePunct w:val="0"/>
        <w:autoSpaceDE/>
        <w:autoSpaceDN/>
        <w:bidi w:val="0"/>
        <w:adjustRightInd/>
        <w:snapToGrid/>
        <w:spacing w:before="0" w:after="0" w:line="500" w:lineRule="exact"/>
        <w:ind w:firstLine="470" w:firstLineChars="200"/>
        <w:textAlignment w:val="auto"/>
        <w:rPr>
          <w:rFonts w:hint="eastAsia" w:ascii="仿宋" w:hAnsi="仿宋" w:eastAsia="仿宋" w:cs="仿宋"/>
          <w:b/>
          <w:bCs/>
          <w:color w:val="auto"/>
          <w:spacing w:val="-3"/>
          <w:kern w:val="2"/>
          <w:sz w:val="24"/>
          <w:szCs w:val="24"/>
          <w:highlight w:val="none"/>
          <w:lang w:val="en-US" w:eastAsia="zh-CN" w:bidi="ar-SA"/>
        </w:rPr>
      </w:pPr>
      <w:r>
        <w:rPr>
          <w:rFonts w:hint="eastAsia" w:ascii="仿宋" w:hAnsi="仿宋" w:eastAsia="仿宋" w:cs="仿宋"/>
          <w:b/>
          <w:bCs/>
          <w:color w:val="auto"/>
          <w:spacing w:val="-3"/>
          <w:kern w:val="2"/>
          <w:sz w:val="24"/>
          <w:szCs w:val="24"/>
          <w:highlight w:val="none"/>
          <w:lang w:val="en-US" w:eastAsia="zh-CN" w:bidi="ar-SA"/>
        </w:rPr>
        <w:t>2.货物需求清单</w:t>
      </w:r>
    </w:p>
    <w:p w14:paraId="309CD804">
      <w:pPr>
        <w:pStyle w:val="6"/>
        <w:pageBreakBefore w:val="0"/>
        <w:widowControl w:val="0"/>
        <w:numPr>
          <w:ilvl w:val="0"/>
          <w:numId w:val="0"/>
        </w:numPr>
        <w:kinsoku/>
        <w:wordWrap/>
        <w:overflowPunct/>
        <w:topLinePunct w:val="0"/>
        <w:autoSpaceDE/>
        <w:autoSpaceDN/>
        <w:bidi w:val="0"/>
        <w:adjustRightInd/>
        <w:snapToGrid/>
        <w:spacing w:before="0" w:after="0" w:line="500" w:lineRule="exact"/>
        <w:ind w:firstLine="470" w:firstLineChars="200"/>
        <w:textAlignment w:val="auto"/>
        <w:rPr>
          <w:rFonts w:hint="eastAsia" w:ascii="仿宋" w:hAnsi="仿宋" w:eastAsia="仿宋" w:cs="仿宋"/>
          <w:b/>
          <w:bCs/>
          <w:color w:val="auto"/>
          <w:spacing w:val="-3"/>
          <w:kern w:val="2"/>
          <w:sz w:val="24"/>
          <w:szCs w:val="24"/>
          <w:highlight w:val="none"/>
          <w:lang w:val="en-US" w:eastAsia="zh-CN" w:bidi="ar-SA"/>
        </w:rPr>
      </w:pPr>
      <w:r>
        <w:rPr>
          <w:rFonts w:hint="eastAsia" w:ascii="仿宋" w:hAnsi="仿宋" w:eastAsia="仿宋" w:cs="仿宋"/>
          <w:b/>
          <w:bCs/>
          <w:color w:val="auto"/>
          <w:spacing w:val="-3"/>
          <w:kern w:val="2"/>
          <w:sz w:val="24"/>
          <w:szCs w:val="24"/>
          <w:highlight w:val="none"/>
          <w:lang w:val="en-US" w:eastAsia="zh-CN" w:bidi="ar-SA"/>
        </w:rPr>
        <w:t>2.1、生活垃圾分类设施提标改造（含点位智能监控设备及3年运维）</w:t>
      </w:r>
    </w:p>
    <w:p w14:paraId="514032FC">
      <w:pPr>
        <w:numPr>
          <w:ilvl w:val="0"/>
          <w:numId w:val="0"/>
        </w:numPr>
        <w:jc w:val="center"/>
        <w:rPr>
          <w:rFonts w:hint="eastAsia" w:ascii="仿宋" w:hAnsi="仿宋" w:eastAsia="仿宋" w:cs="仿宋"/>
          <w:b/>
          <w:bCs/>
          <w:color w:val="auto"/>
          <w:spacing w:val="-3"/>
          <w:kern w:val="2"/>
          <w:sz w:val="24"/>
          <w:szCs w:val="24"/>
          <w:highlight w:val="none"/>
          <w:lang w:val="en-US" w:eastAsia="zh-CN" w:bidi="ar-SA"/>
        </w:rPr>
      </w:pPr>
      <w:r>
        <w:rPr>
          <w:rFonts w:hint="eastAsia" w:ascii="仿宋" w:hAnsi="仿宋" w:eastAsia="仿宋" w:cs="仿宋"/>
          <w:b/>
          <w:bCs/>
          <w:color w:val="auto"/>
          <w:spacing w:val="-3"/>
          <w:kern w:val="2"/>
          <w:sz w:val="24"/>
          <w:szCs w:val="24"/>
          <w:highlight w:val="none"/>
          <w:lang w:val="en-US" w:eastAsia="zh-CN" w:bidi="ar-SA"/>
        </w:rPr>
        <w:t>2.1.1采购清单</w:t>
      </w:r>
    </w:p>
    <w:p w14:paraId="7C07392D">
      <w:pPr>
        <w:spacing w:line="69" w:lineRule="exact"/>
        <w:rPr>
          <w:rFonts w:hint="eastAsia" w:ascii="仿宋" w:hAnsi="仿宋" w:eastAsia="仿宋" w:cs="仿宋"/>
          <w:color w:val="auto"/>
          <w:sz w:val="24"/>
          <w:szCs w:val="24"/>
          <w:highlight w:val="none"/>
        </w:rPr>
      </w:pPr>
    </w:p>
    <w:tbl>
      <w:tblPr>
        <w:tblStyle w:val="72"/>
        <w:tblW w:w="9788" w:type="dxa"/>
        <w:tblInd w:w="-3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3"/>
        <w:gridCol w:w="5199"/>
        <w:gridCol w:w="668"/>
        <w:gridCol w:w="905"/>
        <w:gridCol w:w="929"/>
        <w:gridCol w:w="1204"/>
      </w:tblGrid>
      <w:tr w14:paraId="4BDF3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83" w:type="dxa"/>
            <w:vAlign w:val="center"/>
          </w:tcPr>
          <w:p w14:paraId="3547788C">
            <w:pPr>
              <w:widowControl/>
              <w:jc w:val="center"/>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序号</w:t>
            </w:r>
          </w:p>
        </w:tc>
        <w:tc>
          <w:tcPr>
            <w:tcW w:w="5199" w:type="dxa"/>
            <w:vAlign w:val="center"/>
          </w:tcPr>
          <w:p w14:paraId="2B4E8AA4">
            <w:pPr>
              <w:widowControl/>
              <w:jc w:val="center"/>
              <w:textAlignment w:val="auto"/>
              <w:rPr>
                <w:rFonts w:hint="eastAsia" w:ascii="仿宋" w:hAnsi="仿宋" w:eastAsia="仿宋" w:cs="仿宋"/>
                <w:color w:val="auto"/>
                <w:sz w:val="24"/>
                <w:szCs w:val="24"/>
                <w:highlight w:val="none"/>
                <w:lang w:val="en-US"/>
              </w:rPr>
            </w:pPr>
            <w:r>
              <w:rPr>
                <w:rFonts w:hint="eastAsia" w:ascii="仿宋" w:hAnsi="仿宋" w:eastAsia="仿宋" w:cs="仿宋"/>
                <w:b/>
                <w:bCs/>
                <w:color w:val="auto"/>
                <w:sz w:val="24"/>
                <w:szCs w:val="24"/>
                <w:highlight w:val="none"/>
                <w:lang w:val="en-US" w:eastAsia="zh-CN"/>
              </w:rPr>
              <w:t>货物名称（采购标的）</w:t>
            </w:r>
          </w:p>
        </w:tc>
        <w:tc>
          <w:tcPr>
            <w:tcW w:w="668" w:type="dxa"/>
            <w:tcBorders>
              <w:right w:val="single" w:color="auto" w:sz="4" w:space="0"/>
            </w:tcBorders>
            <w:vAlign w:val="center"/>
          </w:tcPr>
          <w:p w14:paraId="066E5197">
            <w:pPr>
              <w:widowControl/>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数量</w:t>
            </w:r>
          </w:p>
        </w:tc>
        <w:tc>
          <w:tcPr>
            <w:tcW w:w="905" w:type="dxa"/>
            <w:tcBorders>
              <w:left w:val="single" w:color="auto" w:sz="4" w:space="0"/>
              <w:right w:val="single" w:color="auto" w:sz="4" w:space="0"/>
            </w:tcBorders>
            <w:vAlign w:val="center"/>
          </w:tcPr>
          <w:p w14:paraId="6CE08CDF">
            <w:pPr>
              <w:widowControl/>
              <w:jc w:val="center"/>
              <w:textAlignment w:val="auto"/>
              <w:rPr>
                <w:rFonts w:hint="eastAsia" w:ascii="仿宋" w:hAnsi="仿宋" w:eastAsia="仿宋" w:cs="仿宋"/>
                <w:b/>
                <w:bCs/>
                <w:color w:val="auto"/>
                <w:spacing w:val="2"/>
                <w:sz w:val="24"/>
                <w:szCs w:val="24"/>
                <w:highlight w:val="none"/>
                <w:lang w:val="en-US" w:eastAsia="zh-CN"/>
              </w:rPr>
            </w:pPr>
            <w:r>
              <w:rPr>
                <w:rFonts w:hint="eastAsia" w:ascii="仿宋" w:hAnsi="仿宋" w:eastAsia="仿宋" w:cs="仿宋"/>
                <w:b/>
                <w:bCs/>
                <w:color w:val="auto"/>
                <w:sz w:val="24"/>
                <w:szCs w:val="24"/>
                <w:highlight w:val="none"/>
              </w:rPr>
              <w:t>单位</w:t>
            </w:r>
          </w:p>
        </w:tc>
        <w:tc>
          <w:tcPr>
            <w:tcW w:w="929" w:type="dxa"/>
            <w:tcBorders>
              <w:left w:val="single" w:color="auto" w:sz="4" w:space="0"/>
              <w:right w:val="single" w:color="auto" w:sz="4" w:space="0"/>
            </w:tcBorders>
            <w:vAlign w:val="center"/>
          </w:tcPr>
          <w:p w14:paraId="414C68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sz w:val="24"/>
                <w:szCs w:val="18"/>
                <w:highlight w:val="none"/>
              </w:rPr>
            </w:pPr>
            <w:r>
              <w:rPr>
                <w:rFonts w:hint="eastAsia" w:ascii="仿宋" w:hAnsi="仿宋" w:eastAsia="仿宋" w:cs="仿宋"/>
                <w:b/>
                <w:bCs/>
                <w:color w:val="auto"/>
                <w:sz w:val="24"/>
                <w:szCs w:val="18"/>
                <w:highlight w:val="none"/>
              </w:rPr>
              <w:t>所属</w:t>
            </w:r>
          </w:p>
          <w:p w14:paraId="55AC8B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18"/>
                <w:highlight w:val="none"/>
              </w:rPr>
              <w:t>行业</w:t>
            </w:r>
          </w:p>
        </w:tc>
        <w:tc>
          <w:tcPr>
            <w:tcW w:w="1204" w:type="dxa"/>
            <w:tcBorders>
              <w:left w:val="single" w:color="auto" w:sz="4" w:space="0"/>
            </w:tcBorders>
            <w:vAlign w:val="center"/>
          </w:tcPr>
          <w:p w14:paraId="469A2A8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18"/>
                <w:highlight w:val="none"/>
              </w:rPr>
              <w:t>是否为核心产品</w:t>
            </w:r>
          </w:p>
        </w:tc>
      </w:tr>
      <w:tr w14:paraId="5DF6E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883" w:type="dxa"/>
            <w:vAlign w:val="center"/>
          </w:tcPr>
          <w:p w14:paraId="5D56B218">
            <w:pPr>
              <w:widowControl/>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5199" w:type="dxa"/>
            <w:vAlign w:val="center"/>
          </w:tcPr>
          <w:p w14:paraId="735614A3">
            <w:pPr>
              <w:widowControl/>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生活垃圾分类集中投放站点改造（四投口</w:t>
            </w:r>
            <w:r>
              <w:rPr>
                <w:rFonts w:hint="eastAsia" w:ascii="仿宋" w:hAnsi="仿宋" w:eastAsia="仿宋" w:cs="仿宋"/>
                <w:color w:val="auto"/>
                <w:sz w:val="24"/>
                <w:szCs w:val="24"/>
                <w:highlight w:val="none"/>
              </w:rPr>
              <w:t>分类箱</w:t>
            </w:r>
            <w:r>
              <w:rPr>
                <w:rFonts w:hint="eastAsia" w:ascii="仿宋" w:hAnsi="仿宋" w:eastAsia="仿宋" w:cs="仿宋"/>
                <w:color w:val="auto"/>
                <w:sz w:val="24"/>
                <w:szCs w:val="24"/>
                <w:highlight w:val="none"/>
                <w:lang w:val="en-US" w:eastAsia="zh-CN"/>
              </w:rPr>
              <w:t>）</w:t>
            </w:r>
          </w:p>
        </w:tc>
        <w:tc>
          <w:tcPr>
            <w:tcW w:w="668" w:type="dxa"/>
            <w:tcBorders>
              <w:right w:val="single" w:color="auto" w:sz="4" w:space="0"/>
            </w:tcBorders>
            <w:vAlign w:val="center"/>
          </w:tcPr>
          <w:p w14:paraId="604370CD">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300</w:t>
            </w:r>
          </w:p>
        </w:tc>
        <w:tc>
          <w:tcPr>
            <w:tcW w:w="905" w:type="dxa"/>
            <w:tcBorders>
              <w:left w:val="single" w:color="auto" w:sz="4" w:space="0"/>
              <w:right w:val="single" w:color="auto" w:sz="4" w:space="0"/>
            </w:tcBorders>
            <w:vAlign w:val="center"/>
          </w:tcPr>
          <w:p w14:paraId="34E11BA5">
            <w:pPr>
              <w:widowControl/>
              <w:jc w:val="center"/>
              <w:textAlignment w:val="auto"/>
              <w:rPr>
                <w:rFonts w:hint="eastAsia" w:ascii="仿宋" w:hAnsi="仿宋" w:eastAsia="仿宋" w:cs="仿宋"/>
                <w:color w:val="auto"/>
                <w:spacing w:val="6"/>
                <w:sz w:val="24"/>
                <w:szCs w:val="24"/>
                <w:highlight w:val="none"/>
              </w:rPr>
            </w:pPr>
            <w:r>
              <w:rPr>
                <w:rFonts w:hint="eastAsia" w:ascii="仿宋" w:hAnsi="仿宋" w:eastAsia="仿宋" w:cs="仿宋"/>
                <w:color w:val="auto"/>
                <w:sz w:val="24"/>
                <w:szCs w:val="24"/>
                <w:highlight w:val="none"/>
              </w:rPr>
              <w:t>座</w:t>
            </w:r>
          </w:p>
        </w:tc>
        <w:tc>
          <w:tcPr>
            <w:tcW w:w="929" w:type="dxa"/>
            <w:tcBorders>
              <w:left w:val="single" w:color="auto" w:sz="4" w:space="0"/>
              <w:right w:val="single" w:color="auto" w:sz="4" w:space="0"/>
            </w:tcBorders>
            <w:shd w:val="clear" w:color="auto" w:fill="auto"/>
            <w:vAlign w:val="center"/>
          </w:tcPr>
          <w:p w14:paraId="552B1761">
            <w:pPr>
              <w:widowControl/>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工业</w:t>
            </w:r>
          </w:p>
        </w:tc>
        <w:tc>
          <w:tcPr>
            <w:tcW w:w="1204" w:type="dxa"/>
            <w:tcBorders>
              <w:left w:val="single" w:color="auto" w:sz="4" w:space="0"/>
            </w:tcBorders>
            <w:shd w:val="clear" w:color="auto" w:fill="auto"/>
            <w:vAlign w:val="center"/>
          </w:tcPr>
          <w:p w14:paraId="08F6CD9B">
            <w:pPr>
              <w:widowControl/>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是</w:t>
            </w:r>
          </w:p>
        </w:tc>
      </w:tr>
      <w:tr w14:paraId="5624F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883" w:type="dxa"/>
            <w:vAlign w:val="center"/>
          </w:tcPr>
          <w:p w14:paraId="0287B257">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5199" w:type="dxa"/>
            <w:vAlign w:val="center"/>
          </w:tcPr>
          <w:p w14:paraId="71E32405">
            <w:pPr>
              <w:widowControl/>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生活垃圾分类集中投放站点改造（三投口</w:t>
            </w:r>
            <w:r>
              <w:rPr>
                <w:rFonts w:hint="eastAsia" w:ascii="仿宋" w:hAnsi="仿宋" w:eastAsia="仿宋" w:cs="仿宋"/>
                <w:color w:val="auto"/>
                <w:sz w:val="24"/>
                <w:szCs w:val="24"/>
                <w:highlight w:val="none"/>
              </w:rPr>
              <w:t>分类箱</w:t>
            </w:r>
            <w:r>
              <w:rPr>
                <w:rFonts w:hint="eastAsia" w:ascii="仿宋" w:hAnsi="仿宋" w:eastAsia="仿宋" w:cs="仿宋"/>
                <w:color w:val="auto"/>
                <w:sz w:val="24"/>
                <w:szCs w:val="24"/>
                <w:highlight w:val="none"/>
                <w:lang w:val="en-US" w:eastAsia="zh-CN"/>
              </w:rPr>
              <w:t>）</w:t>
            </w:r>
          </w:p>
        </w:tc>
        <w:tc>
          <w:tcPr>
            <w:tcW w:w="668" w:type="dxa"/>
            <w:tcBorders>
              <w:right w:val="single" w:color="auto" w:sz="4" w:space="0"/>
            </w:tcBorders>
            <w:vAlign w:val="center"/>
          </w:tcPr>
          <w:p w14:paraId="22B8C0AB">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w:t>
            </w:r>
          </w:p>
        </w:tc>
        <w:tc>
          <w:tcPr>
            <w:tcW w:w="905" w:type="dxa"/>
            <w:tcBorders>
              <w:left w:val="single" w:color="auto" w:sz="4" w:space="0"/>
              <w:right w:val="single" w:color="auto" w:sz="4" w:space="0"/>
            </w:tcBorders>
            <w:vAlign w:val="center"/>
          </w:tcPr>
          <w:p w14:paraId="0F7B3079">
            <w:pPr>
              <w:widowControl/>
              <w:jc w:val="center"/>
              <w:textAlignment w:val="auto"/>
              <w:rPr>
                <w:rFonts w:hint="eastAsia" w:ascii="仿宋" w:hAnsi="仿宋" w:eastAsia="仿宋" w:cs="仿宋"/>
                <w:color w:val="auto"/>
                <w:spacing w:val="7"/>
                <w:sz w:val="24"/>
                <w:szCs w:val="24"/>
                <w:highlight w:val="none"/>
              </w:rPr>
            </w:pPr>
            <w:r>
              <w:rPr>
                <w:rFonts w:hint="eastAsia" w:ascii="仿宋" w:hAnsi="仿宋" w:eastAsia="仿宋" w:cs="仿宋"/>
                <w:color w:val="auto"/>
                <w:sz w:val="24"/>
                <w:szCs w:val="24"/>
                <w:highlight w:val="none"/>
              </w:rPr>
              <w:t>座</w:t>
            </w:r>
          </w:p>
        </w:tc>
        <w:tc>
          <w:tcPr>
            <w:tcW w:w="929" w:type="dxa"/>
            <w:tcBorders>
              <w:left w:val="single" w:color="auto" w:sz="4" w:space="0"/>
              <w:right w:val="single" w:color="auto" w:sz="4" w:space="0"/>
            </w:tcBorders>
            <w:shd w:val="clear" w:color="auto" w:fill="auto"/>
            <w:vAlign w:val="center"/>
          </w:tcPr>
          <w:p w14:paraId="3AD28488">
            <w:pPr>
              <w:widowControl/>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工业</w:t>
            </w:r>
          </w:p>
        </w:tc>
        <w:tc>
          <w:tcPr>
            <w:tcW w:w="1204" w:type="dxa"/>
            <w:tcBorders>
              <w:left w:val="single" w:color="auto" w:sz="4" w:space="0"/>
            </w:tcBorders>
            <w:shd w:val="clear" w:color="auto" w:fill="auto"/>
            <w:vAlign w:val="center"/>
          </w:tcPr>
          <w:p w14:paraId="66373464">
            <w:pPr>
              <w:widowControl/>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否</w:t>
            </w:r>
          </w:p>
        </w:tc>
      </w:tr>
      <w:tr w14:paraId="4B6E8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883" w:type="dxa"/>
            <w:vAlign w:val="center"/>
          </w:tcPr>
          <w:p w14:paraId="256981E1">
            <w:pPr>
              <w:widowControl/>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p>
        </w:tc>
        <w:tc>
          <w:tcPr>
            <w:tcW w:w="5199" w:type="dxa"/>
            <w:vAlign w:val="center"/>
          </w:tcPr>
          <w:p w14:paraId="4C91139F">
            <w:pPr>
              <w:widowControl/>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生活垃圾分类集中投放站点改造（二投口</w:t>
            </w:r>
            <w:r>
              <w:rPr>
                <w:rFonts w:hint="eastAsia" w:ascii="仿宋" w:hAnsi="仿宋" w:eastAsia="仿宋" w:cs="仿宋"/>
                <w:color w:val="auto"/>
                <w:sz w:val="24"/>
                <w:szCs w:val="24"/>
                <w:highlight w:val="none"/>
              </w:rPr>
              <w:t>分类箱</w:t>
            </w:r>
            <w:r>
              <w:rPr>
                <w:rFonts w:hint="eastAsia" w:ascii="仿宋" w:hAnsi="仿宋" w:eastAsia="仿宋" w:cs="仿宋"/>
                <w:color w:val="auto"/>
                <w:sz w:val="24"/>
                <w:szCs w:val="24"/>
                <w:highlight w:val="none"/>
                <w:lang w:val="en-US" w:eastAsia="zh-CN"/>
              </w:rPr>
              <w:t>）</w:t>
            </w:r>
          </w:p>
        </w:tc>
        <w:tc>
          <w:tcPr>
            <w:tcW w:w="668" w:type="dxa"/>
            <w:tcBorders>
              <w:right w:val="single" w:color="auto" w:sz="4" w:space="0"/>
            </w:tcBorders>
            <w:vAlign w:val="center"/>
          </w:tcPr>
          <w:p w14:paraId="0F7600BD">
            <w:pPr>
              <w:widowControl/>
              <w:jc w:val="center"/>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eastAsia="zh-CN"/>
              </w:rPr>
              <w:t>30</w:t>
            </w:r>
          </w:p>
        </w:tc>
        <w:tc>
          <w:tcPr>
            <w:tcW w:w="905" w:type="dxa"/>
            <w:tcBorders>
              <w:left w:val="single" w:color="auto" w:sz="4" w:space="0"/>
              <w:right w:val="single" w:color="auto" w:sz="4" w:space="0"/>
            </w:tcBorders>
            <w:vAlign w:val="center"/>
          </w:tcPr>
          <w:p w14:paraId="6957AC04">
            <w:pPr>
              <w:widowControl/>
              <w:jc w:val="center"/>
              <w:textAlignment w:val="auto"/>
              <w:rPr>
                <w:rFonts w:hint="eastAsia" w:ascii="仿宋" w:hAnsi="仿宋" w:eastAsia="仿宋" w:cs="仿宋"/>
                <w:color w:val="auto"/>
                <w:spacing w:val="8"/>
                <w:sz w:val="24"/>
                <w:szCs w:val="24"/>
                <w:highlight w:val="none"/>
              </w:rPr>
            </w:pPr>
            <w:r>
              <w:rPr>
                <w:rFonts w:hint="eastAsia" w:ascii="仿宋" w:hAnsi="仿宋" w:eastAsia="仿宋" w:cs="仿宋"/>
                <w:color w:val="auto"/>
                <w:sz w:val="24"/>
                <w:szCs w:val="24"/>
                <w:highlight w:val="none"/>
              </w:rPr>
              <w:t>座</w:t>
            </w:r>
          </w:p>
        </w:tc>
        <w:tc>
          <w:tcPr>
            <w:tcW w:w="929" w:type="dxa"/>
            <w:tcBorders>
              <w:left w:val="single" w:color="auto" w:sz="4" w:space="0"/>
              <w:right w:val="single" w:color="auto" w:sz="4" w:space="0"/>
            </w:tcBorders>
            <w:shd w:val="clear" w:color="auto" w:fill="auto"/>
            <w:vAlign w:val="center"/>
          </w:tcPr>
          <w:p w14:paraId="1996CA7D">
            <w:pPr>
              <w:widowControl/>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工业</w:t>
            </w:r>
          </w:p>
        </w:tc>
        <w:tc>
          <w:tcPr>
            <w:tcW w:w="1204" w:type="dxa"/>
            <w:tcBorders>
              <w:left w:val="single" w:color="auto" w:sz="4" w:space="0"/>
            </w:tcBorders>
            <w:shd w:val="clear" w:color="auto" w:fill="auto"/>
            <w:vAlign w:val="center"/>
          </w:tcPr>
          <w:p w14:paraId="2EBF92A4">
            <w:pPr>
              <w:widowControl/>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否</w:t>
            </w:r>
          </w:p>
        </w:tc>
      </w:tr>
      <w:tr w14:paraId="7B7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883" w:type="dxa"/>
            <w:vAlign w:val="center"/>
          </w:tcPr>
          <w:p w14:paraId="3C89B088">
            <w:pPr>
              <w:widowControl/>
              <w:jc w:val="center"/>
              <w:textAlignment w:val="auto"/>
              <w:rPr>
                <w:rFonts w:hint="eastAsia" w:ascii="仿宋" w:hAnsi="仿宋" w:eastAsia="仿宋" w:cs="仿宋"/>
                <w:color w:val="auto"/>
                <w:position w:val="1"/>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5199" w:type="dxa"/>
            <w:vAlign w:val="center"/>
          </w:tcPr>
          <w:p w14:paraId="6674A2C0">
            <w:pPr>
              <w:widowControl/>
              <w:jc w:val="center"/>
              <w:textAlignment w:val="auto"/>
              <w:rPr>
                <w:rFonts w:hint="eastAsia" w:ascii="仿宋" w:hAnsi="仿宋" w:eastAsia="仿宋" w:cs="仿宋"/>
                <w:color w:val="auto"/>
                <w:spacing w:val="4"/>
                <w:sz w:val="24"/>
                <w:szCs w:val="24"/>
                <w:highlight w:val="none"/>
              </w:rPr>
            </w:pPr>
            <w:r>
              <w:rPr>
                <w:rFonts w:hint="eastAsia" w:ascii="仿宋" w:hAnsi="仿宋" w:eastAsia="仿宋" w:cs="仿宋"/>
                <w:color w:val="auto"/>
                <w:sz w:val="24"/>
                <w:szCs w:val="24"/>
                <w:highlight w:val="none"/>
                <w:lang w:val="en-US" w:eastAsia="zh-CN"/>
              </w:rPr>
              <w:t>生活垃圾分类集中投放站点提标（四投口</w:t>
            </w:r>
            <w:r>
              <w:rPr>
                <w:rFonts w:hint="eastAsia" w:ascii="仿宋" w:hAnsi="仿宋" w:eastAsia="仿宋" w:cs="仿宋"/>
                <w:color w:val="auto"/>
                <w:sz w:val="24"/>
                <w:szCs w:val="24"/>
                <w:highlight w:val="none"/>
              </w:rPr>
              <w:t>分类箱</w:t>
            </w:r>
            <w:r>
              <w:rPr>
                <w:rFonts w:hint="eastAsia" w:ascii="仿宋" w:hAnsi="仿宋" w:eastAsia="仿宋" w:cs="仿宋"/>
                <w:color w:val="auto"/>
                <w:sz w:val="24"/>
                <w:szCs w:val="24"/>
                <w:highlight w:val="none"/>
                <w:lang w:val="en-US" w:eastAsia="zh-CN"/>
              </w:rPr>
              <w:t>）</w:t>
            </w:r>
          </w:p>
        </w:tc>
        <w:tc>
          <w:tcPr>
            <w:tcW w:w="668" w:type="dxa"/>
            <w:tcBorders>
              <w:right w:val="single" w:color="auto" w:sz="4" w:space="0"/>
            </w:tcBorders>
            <w:vAlign w:val="center"/>
          </w:tcPr>
          <w:p w14:paraId="08D9A6F1">
            <w:pPr>
              <w:widowControl/>
              <w:jc w:val="center"/>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eastAsia="zh-CN" w:bidi="ar-SA"/>
              </w:rPr>
              <w:t>50</w:t>
            </w:r>
          </w:p>
        </w:tc>
        <w:tc>
          <w:tcPr>
            <w:tcW w:w="905" w:type="dxa"/>
            <w:tcBorders>
              <w:left w:val="single" w:color="auto" w:sz="4" w:space="0"/>
              <w:right w:val="single" w:color="auto" w:sz="4" w:space="0"/>
            </w:tcBorders>
            <w:vAlign w:val="center"/>
          </w:tcPr>
          <w:p w14:paraId="1ADA8832">
            <w:pPr>
              <w:widowControl/>
              <w:jc w:val="center"/>
              <w:textAlignment w:val="auto"/>
              <w:rPr>
                <w:rFonts w:hint="eastAsia" w:ascii="仿宋" w:hAnsi="仿宋" w:eastAsia="仿宋" w:cs="仿宋"/>
                <w:color w:val="auto"/>
                <w:spacing w:val="8"/>
                <w:sz w:val="24"/>
                <w:szCs w:val="24"/>
                <w:highlight w:val="none"/>
              </w:rPr>
            </w:pPr>
            <w:r>
              <w:rPr>
                <w:rFonts w:hint="eastAsia" w:ascii="仿宋" w:hAnsi="仿宋" w:eastAsia="仿宋" w:cs="仿宋"/>
                <w:color w:val="auto"/>
                <w:sz w:val="24"/>
                <w:szCs w:val="24"/>
                <w:highlight w:val="none"/>
              </w:rPr>
              <w:t>座</w:t>
            </w:r>
          </w:p>
        </w:tc>
        <w:tc>
          <w:tcPr>
            <w:tcW w:w="929" w:type="dxa"/>
            <w:tcBorders>
              <w:left w:val="single" w:color="auto" w:sz="4" w:space="0"/>
              <w:right w:val="single" w:color="auto" w:sz="4" w:space="0"/>
            </w:tcBorders>
            <w:shd w:val="clear" w:color="auto" w:fill="auto"/>
            <w:vAlign w:val="center"/>
          </w:tcPr>
          <w:p w14:paraId="5625C382">
            <w:pPr>
              <w:widowControl/>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工业</w:t>
            </w:r>
          </w:p>
        </w:tc>
        <w:tc>
          <w:tcPr>
            <w:tcW w:w="1204" w:type="dxa"/>
            <w:tcBorders>
              <w:left w:val="single" w:color="auto" w:sz="4" w:space="0"/>
            </w:tcBorders>
            <w:shd w:val="clear" w:color="auto" w:fill="auto"/>
            <w:vAlign w:val="center"/>
          </w:tcPr>
          <w:p w14:paraId="6B140BCD">
            <w:pPr>
              <w:widowControl/>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否</w:t>
            </w:r>
          </w:p>
        </w:tc>
      </w:tr>
      <w:tr w14:paraId="75601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883" w:type="dxa"/>
            <w:vAlign w:val="center"/>
          </w:tcPr>
          <w:p w14:paraId="76A13566">
            <w:pPr>
              <w:widowControl/>
              <w:jc w:val="center"/>
              <w:textAlignment w:val="auto"/>
              <w:rPr>
                <w:rFonts w:hint="eastAsia" w:ascii="仿宋" w:hAnsi="仿宋" w:eastAsia="仿宋" w:cs="仿宋"/>
                <w:color w:val="auto"/>
                <w:position w:val="1"/>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5199" w:type="dxa"/>
            <w:vAlign w:val="center"/>
          </w:tcPr>
          <w:p w14:paraId="549D2500">
            <w:pPr>
              <w:widowControl/>
              <w:jc w:val="center"/>
              <w:textAlignment w:val="auto"/>
              <w:rPr>
                <w:rFonts w:hint="eastAsia" w:ascii="仿宋" w:hAnsi="仿宋" w:eastAsia="仿宋" w:cs="仿宋"/>
                <w:color w:val="auto"/>
                <w:spacing w:val="4"/>
                <w:sz w:val="24"/>
                <w:szCs w:val="24"/>
                <w:highlight w:val="none"/>
              </w:rPr>
            </w:pPr>
            <w:r>
              <w:rPr>
                <w:rFonts w:hint="eastAsia" w:ascii="仿宋" w:hAnsi="仿宋" w:eastAsia="仿宋" w:cs="仿宋"/>
                <w:color w:val="auto"/>
                <w:sz w:val="24"/>
                <w:szCs w:val="24"/>
                <w:highlight w:val="none"/>
              </w:rPr>
              <w:t>240L垃圾桶</w:t>
            </w:r>
            <w:r>
              <w:rPr>
                <w:rFonts w:hint="eastAsia" w:ascii="仿宋" w:hAnsi="仿宋" w:eastAsia="仿宋" w:cs="仿宋"/>
                <w:color w:val="auto"/>
                <w:sz w:val="24"/>
                <w:szCs w:val="24"/>
                <w:highlight w:val="none"/>
                <w:lang w:val="en-US" w:eastAsia="zh-CN"/>
              </w:rPr>
              <w:t>采购</w:t>
            </w:r>
          </w:p>
        </w:tc>
        <w:tc>
          <w:tcPr>
            <w:tcW w:w="668" w:type="dxa"/>
            <w:tcBorders>
              <w:right w:val="single" w:color="auto" w:sz="4" w:space="0"/>
            </w:tcBorders>
            <w:vAlign w:val="center"/>
          </w:tcPr>
          <w:p w14:paraId="049C71C7">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1520</w:t>
            </w:r>
          </w:p>
        </w:tc>
        <w:tc>
          <w:tcPr>
            <w:tcW w:w="905" w:type="dxa"/>
            <w:tcBorders>
              <w:left w:val="single" w:color="auto" w:sz="4" w:space="0"/>
              <w:right w:val="single" w:color="auto" w:sz="4" w:space="0"/>
            </w:tcBorders>
            <w:vAlign w:val="center"/>
          </w:tcPr>
          <w:p w14:paraId="69707C75">
            <w:pPr>
              <w:widowControl/>
              <w:jc w:val="center"/>
              <w:textAlignment w:val="auto"/>
              <w:rPr>
                <w:rFonts w:hint="eastAsia" w:ascii="仿宋" w:hAnsi="仿宋" w:eastAsia="仿宋" w:cs="仿宋"/>
                <w:color w:val="auto"/>
                <w:spacing w:val="8"/>
                <w:sz w:val="24"/>
                <w:szCs w:val="24"/>
                <w:highlight w:val="none"/>
              </w:rPr>
            </w:pPr>
            <w:r>
              <w:rPr>
                <w:rFonts w:hint="eastAsia" w:ascii="仿宋" w:hAnsi="仿宋" w:eastAsia="仿宋" w:cs="仿宋"/>
                <w:color w:val="auto"/>
                <w:sz w:val="24"/>
                <w:szCs w:val="24"/>
                <w:highlight w:val="none"/>
              </w:rPr>
              <w:t>个</w:t>
            </w:r>
          </w:p>
        </w:tc>
        <w:tc>
          <w:tcPr>
            <w:tcW w:w="929" w:type="dxa"/>
            <w:tcBorders>
              <w:left w:val="single" w:color="auto" w:sz="4" w:space="0"/>
              <w:right w:val="single" w:color="auto" w:sz="4" w:space="0"/>
            </w:tcBorders>
            <w:shd w:val="clear" w:color="auto" w:fill="auto"/>
            <w:vAlign w:val="center"/>
          </w:tcPr>
          <w:p w14:paraId="4F7D42A9">
            <w:pPr>
              <w:widowControl/>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工业</w:t>
            </w:r>
          </w:p>
        </w:tc>
        <w:tc>
          <w:tcPr>
            <w:tcW w:w="1204" w:type="dxa"/>
            <w:tcBorders>
              <w:left w:val="single" w:color="auto" w:sz="4" w:space="0"/>
            </w:tcBorders>
            <w:shd w:val="clear" w:color="auto" w:fill="auto"/>
            <w:vAlign w:val="center"/>
          </w:tcPr>
          <w:p w14:paraId="74D196CF">
            <w:pPr>
              <w:widowControl/>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否</w:t>
            </w:r>
          </w:p>
        </w:tc>
      </w:tr>
    </w:tbl>
    <w:p w14:paraId="582F3CAD">
      <w:pPr>
        <w:pStyle w:val="12"/>
        <w:keepNext w:val="0"/>
        <w:keepLines w:val="0"/>
        <w:pageBreakBefore w:val="0"/>
        <w:widowControl w:val="0"/>
        <w:kinsoku/>
        <w:wordWrap/>
        <w:overflowPunct/>
        <w:topLinePunct w:val="0"/>
        <w:autoSpaceDE/>
        <w:autoSpaceDN/>
        <w:bidi w:val="0"/>
        <w:adjustRightInd/>
        <w:snapToGrid/>
        <w:spacing w:after="0" w:line="480" w:lineRule="exact"/>
        <w:ind w:right="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本次招标各生活垃圾分类投放设施提标改造数量及安装位置以现场实际情况及采购人要求为准。采购人可根据现场实际情况调整或取消部分点位。</w:t>
      </w:r>
    </w:p>
    <w:p w14:paraId="57F7225D">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br w:type="page"/>
      </w:r>
    </w:p>
    <w:p w14:paraId="228097D3">
      <w:pPr>
        <w:pStyle w:val="12"/>
        <w:numPr>
          <w:ilvl w:val="0"/>
          <w:numId w:val="0"/>
        </w:numPr>
        <w:spacing w:line="218" w:lineRule="auto"/>
        <w:ind w:firstLine="470" w:firstLineChars="200"/>
        <w:rPr>
          <w:rFonts w:hint="eastAsia" w:ascii="仿宋" w:hAnsi="仿宋" w:eastAsia="仿宋" w:cs="仿宋"/>
          <w:b/>
          <w:bCs/>
          <w:color w:val="auto"/>
          <w:spacing w:val="-3"/>
          <w:sz w:val="24"/>
          <w:szCs w:val="24"/>
          <w:highlight w:val="none"/>
          <w:lang w:val="en-US" w:eastAsia="zh-CN"/>
        </w:rPr>
      </w:pPr>
      <w:r>
        <w:rPr>
          <w:rFonts w:hint="eastAsia" w:ascii="仿宋" w:hAnsi="仿宋" w:eastAsia="仿宋" w:cs="仿宋"/>
          <w:b/>
          <w:bCs/>
          <w:color w:val="auto"/>
          <w:spacing w:val="-3"/>
          <w:kern w:val="2"/>
          <w:sz w:val="24"/>
          <w:szCs w:val="24"/>
          <w:highlight w:val="none"/>
          <w:lang w:val="en-US" w:eastAsia="zh-CN" w:bidi="ar-SA"/>
        </w:rPr>
        <w:t>2.1.2</w:t>
      </w:r>
      <w:r>
        <w:rPr>
          <w:rFonts w:hint="eastAsia" w:ascii="仿宋" w:hAnsi="仿宋" w:eastAsia="仿宋" w:cs="仿宋"/>
          <w:b/>
          <w:bCs/>
          <w:color w:val="auto"/>
          <w:spacing w:val="-3"/>
          <w:sz w:val="24"/>
          <w:szCs w:val="24"/>
          <w:highlight w:val="none"/>
          <w:lang w:val="en-US" w:eastAsia="zh-CN"/>
        </w:rPr>
        <w:t>主要技术参数及要求</w:t>
      </w:r>
      <w:bookmarkStart w:id="29" w:name="_Toc7421"/>
      <w:bookmarkStart w:id="30" w:name="_Toc4843"/>
    </w:p>
    <w:p w14:paraId="111C5ED3">
      <w:pPr>
        <w:pStyle w:val="12"/>
        <w:numPr>
          <w:ilvl w:val="0"/>
          <w:numId w:val="0"/>
        </w:numPr>
        <w:spacing w:line="218" w:lineRule="auto"/>
        <w:ind w:firstLine="482" w:firstLineChars="200"/>
        <w:rPr>
          <w:rStyle w:val="85"/>
          <w:rFonts w:hint="eastAsia" w:ascii="仿宋" w:hAnsi="仿宋" w:eastAsia="仿宋" w:cs="仿宋"/>
          <w:b/>
          <w:bCs/>
          <w:color w:val="auto"/>
          <w:sz w:val="28"/>
          <w:szCs w:val="28"/>
          <w:highlight w:val="none"/>
          <w:lang w:val="en-US"/>
        </w:rPr>
      </w:pPr>
      <w:r>
        <w:rPr>
          <w:rFonts w:hint="eastAsia" w:ascii="仿宋" w:hAnsi="仿宋" w:eastAsia="仿宋" w:cs="仿宋"/>
          <w:b/>
          <w:bCs/>
          <w:color w:val="auto"/>
          <w:sz w:val="24"/>
          <w:szCs w:val="24"/>
          <w:highlight w:val="none"/>
          <w:lang w:val="en-US" w:eastAsia="zh-CN"/>
        </w:rPr>
        <w:t>①生活垃圾分类集中投放站点改造（四投口</w:t>
      </w:r>
      <w:r>
        <w:rPr>
          <w:rFonts w:hint="eastAsia" w:ascii="仿宋" w:hAnsi="仿宋" w:eastAsia="仿宋" w:cs="仿宋"/>
          <w:b/>
          <w:bCs/>
          <w:color w:val="auto"/>
          <w:sz w:val="24"/>
          <w:szCs w:val="24"/>
          <w:highlight w:val="none"/>
        </w:rPr>
        <w:t>分类箱</w:t>
      </w:r>
      <w:r>
        <w:rPr>
          <w:rFonts w:hint="eastAsia" w:ascii="仿宋" w:hAnsi="仿宋" w:eastAsia="仿宋" w:cs="仿宋"/>
          <w:b/>
          <w:bCs/>
          <w:color w:val="auto"/>
          <w:sz w:val="24"/>
          <w:szCs w:val="24"/>
          <w:highlight w:val="none"/>
          <w:lang w:val="en-US" w:eastAsia="zh-CN"/>
        </w:rPr>
        <w:t>）技术参数要求</w:t>
      </w:r>
    </w:p>
    <w:tbl>
      <w:tblPr>
        <w:tblStyle w:val="27"/>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13"/>
        <w:gridCol w:w="8198"/>
      </w:tblGrid>
      <w:tr w14:paraId="350C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313" w:type="dxa"/>
            <w:tcMar>
              <w:top w:w="8" w:type="dxa"/>
              <w:left w:w="8" w:type="dxa"/>
              <w:bottom w:w="0" w:type="dxa"/>
              <w:right w:w="8" w:type="dxa"/>
            </w:tcMar>
            <w:vAlign w:val="center"/>
          </w:tcPr>
          <w:p w14:paraId="0D3533F2">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货物名称</w:t>
            </w:r>
          </w:p>
        </w:tc>
        <w:tc>
          <w:tcPr>
            <w:tcW w:w="8198" w:type="dxa"/>
            <w:tcMar>
              <w:top w:w="8" w:type="dxa"/>
              <w:left w:w="8" w:type="dxa"/>
              <w:bottom w:w="0" w:type="dxa"/>
              <w:right w:w="8" w:type="dxa"/>
            </w:tcMar>
            <w:vAlign w:val="center"/>
          </w:tcPr>
          <w:p w14:paraId="07A9C61E">
            <w:pPr>
              <w:jc w:val="center"/>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具体技术参数</w:t>
            </w:r>
          </w:p>
        </w:tc>
      </w:tr>
      <w:tr w14:paraId="75ED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13" w:type="dxa"/>
            <w:tcMar>
              <w:top w:w="8" w:type="dxa"/>
              <w:left w:w="8" w:type="dxa"/>
              <w:bottom w:w="0" w:type="dxa"/>
              <w:right w:w="8" w:type="dxa"/>
            </w:tcMar>
            <w:vAlign w:val="center"/>
          </w:tcPr>
          <w:p w14:paraId="5C37596B">
            <w:pPr>
              <w:keepNext w:val="0"/>
              <w:keepLines w:val="0"/>
              <w:pageBreakBefore w:val="0"/>
              <w:widowControl/>
              <w:kinsoku/>
              <w:wordWrap w:val="0"/>
              <w:overflowPunct/>
              <w:topLinePunct w:val="0"/>
              <w:autoSpaceDE/>
              <w:autoSpaceDN/>
              <w:bidi w:val="0"/>
              <w:adjustRightInd/>
              <w:snapToGrid/>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生活垃圾分类集中投放站点改造（四投口</w:t>
            </w:r>
            <w:r>
              <w:rPr>
                <w:rFonts w:hint="eastAsia" w:ascii="仿宋" w:hAnsi="仿宋" w:eastAsia="仿宋" w:cs="仿宋"/>
                <w:color w:val="auto"/>
                <w:sz w:val="21"/>
                <w:szCs w:val="21"/>
                <w:highlight w:val="none"/>
              </w:rPr>
              <w:t>分类箱</w:t>
            </w:r>
            <w:r>
              <w:rPr>
                <w:rFonts w:hint="eastAsia" w:ascii="仿宋" w:hAnsi="仿宋" w:eastAsia="仿宋" w:cs="仿宋"/>
                <w:color w:val="auto"/>
                <w:sz w:val="21"/>
                <w:szCs w:val="21"/>
                <w:highlight w:val="none"/>
                <w:lang w:val="en-US" w:eastAsia="zh-CN"/>
              </w:rPr>
              <w:t>）</w:t>
            </w:r>
          </w:p>
          <w:p w14:paraId="6F616543">
            <w:pPr>
              <w:keepNext w:val="0"/>
              <w:keepLines w:val="0"/>
              <w:pageBreakBefore w:val="0"/>
              <w:kinsoku/>
              <w:wordWrap w:val="0"/>
              <w:overflowPunct/>
              <w:topLinePunct w:val="0"/>
              <w:autoSpaceDE/>
              <w:autoSpaceDN/>
              <w:bidi w:val="0"/>
              <w:adjustRightInd/>
              <w:snapToGrid/>
              <w:jc w:val="center"/>
              <w:textAlignment w:val="auto"/>
              <w:rPr>
                <w:rFonts w:hint="eastAsia" w:ascii="仿宋" w:hAnsi="仿宋" w:eastAsia="仿宋" w:cs="仿宋"/>
                <w:color w:val="auto"/>
                <w:sz w:val="21"/>
                <w:szCs w:val="21"/>
                <w:highlight w:val="none"/>
              </w:rPr>
            </w:pPr>
          </w:p>
        </w:tc>
        <w:tc>
          <w:tcPr>
            <w:tcW w:w="8198" w:type="dxa"/>
            <w:tcMar>
              <w:top w:w="8" w:type="dxa"/>
              <w:left w:w="8" w:type="dxa"/>
              <w:bottom w:w="0" w:type="dxa"/>
              <w:right w:w="8" w:type="dxa"/>
            </w:tcMar>
            <w:vAlign w:val="center"/>
          </w:tcPr>
          <w:p w14:paraId="7374C959">
            <w:pPr>
              <w:keepNext w:val="0"/>
              <w:keepLines w:val="0"/>
              <w:pageBreakBefore w:val="0"/>
              <w:kinsoku/>
              <w:wordWrap w:val="0"/>
              <w:overflowPunct/>
              <w:topLinePunct w:val="0"/>
              <w:autoSpaceDE/>
              <w:autoSpaceDN/>
              <w:bidi w:val="0"/>
              <w:adjustRightInd/>
              <w:snapToGrid/>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1.四投口分类</w:t>
            </w:r>
            <w:r>
              <w:rPr>
                <w:rFonts w:hint="eastAsia" w:ascii="仿宋" w:hAnsi="仿宋" w:eastAsia="仿宋" w:cs="仿宋"/>
                <w:color w:val="auto"/>
                <w:sz w:val="21"/>
                <w:szCs w:val="21"/>
                <w:highlight w:val="none"/>
              </w:rPr>
              <w:t>箱</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rPr>
              <w:t>洗手池及有害垃圾箱</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集成尺寸不小于</w:t>
            </w:r>
            <w:r>
              <w:rPr>
                <w:rFonts w:hint="eastAsia" w:ascii="仿宋" w:hAnsi="仿宋" w:eastAsia="仿宋" w:cs="仿宋"/>
                <w:color w:val="auto"/>
                <w:sz w:val="21"/>
                <w:szCs w:val="21"/>
                <w:highlight w:val="none"/>
              </w:rPr>
              <w:t>：长3500*宽800（顶宽1200）*前高2150（后高2100）（mm）</w:t>
            </w:r>
          </w:p>
          <w:p w14:paraId="66B396BC">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2.地基、接水接电：</w:t>
            </w:r>
          </w:p>
          <w:p w14:paraId="3CD32973">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2.1.</w:t>
            </w:r>
            <w:r>
              <w:rPr>
                <w:rFonts w:hint="eastAsia" w:ascii="仿宋" w:hAnsi="仿宋" w:eastAsia="仿宋" w:cs="仿宋"/>
                <w:color w:val="auto"/>
                <w:sz w:val="21"/>
                <w:szCs w:val="21"/>
                <w:highlight w:val="none"/>
                <w:lang w:eastAsia="zh-CN"/>
              </w:rPr>
              <w:t>地基不小于：</w:t>
            </w:r>
            <w:r>
              <w:rPr>
                <w:rFonts w:hint="eastAsia" w:ascii="仿宋" w:hAnsi="仿宋" w:eastAsia="仿宋" w:cs="仿宋"/>
                <w:color w:val="auto"/>
                <w:sz w:val="21"/>
                <w:szCs w:val="21"/>
                <w:highlight w:val="none"/>
              </w:rPr>
              <w:t>长3800*宽1000（mm）</w:t>
            </w:r>
            <w:r>
              <w:rPr>
                <w:rFonts w:hint="eastAsia" w:ascii="仿宋" w:hAnsi="仿宋" w:eastAsia="仿宋" w:cs="仿宋"/>
                <w:color w:val="auto"/>
                <w:sz w:val="21"/>
                <w:szCs w:val="21"/>
                <w:highlight w:val="none"/>
                <w:lang w:val="en-US" w:eastAsia="zh-CN"/>
              </w:rPr>
              <w:t>+再生资源智能回收箱地基面积（根据配备的设备类型而定）</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清除表面浮土后将原地面挖深10cm整平压实无杂物；素土和回填土夯实度不小于95%；地面硬化：地面整平，10cmC25混凝土；</w:t>
            </w:r>
          </w:p>
          <w:p w14:paraId="2FBDACF6">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2.2.聚氯乙烯绝缘助燃电线：</w:t>
            </w:r>
            <w:r>
              <w:rPr>
                <w:rFonts w:hint="eastAsia" w:ascii="仿宋" w:hAnsi="仿宋" w:eastAsia="仿宋" w:cs="仿宋"/>
                <w:color w:val="auto"/>
                <w:sz w:val="21"/>
                <w:szCs w:val="21"/>
                <w:highlight w:val="none"/>
              </w:rPr>
              <w:t>产品标准和技术要求满足GB/T 5023.3-2008</w:t>
            </w:r>
            <w:r>
              <w:rPr>
                <w:rFonts w:hint="eastAsia" w:ascii="仿宋" w:hAnsi="仿宋" w:eastAsia="仿宋" w:cs="仿宋"/>
                <w:color w:val="auto"/>
                <w:sz w:val="21"/>
                <w:szCs w:val="21"/>
                <w:highlight w:val="none"/>
                <w:lang w:val="en-US" w:eastAsia="zh-CN"/>
              </w:rPr>
              <w:t>绝缘平均厚度</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0.7mm，绝缘老化前抗张强度</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13.9N/㎟，绝缘老化前断裂伸长率</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230%，20℃时导体电阻</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12</w:t>
            </w:r>
            <w:r>
              <w:rPr>
                <w:rFonts w:hint="eastAsia" w:ascii="仿宋" w:hAnsi="仿宋" w:eastAsia="仿宋" w:cs="仿宋"/>
                <w:color w:val="auto"/>
                <w:sz w:val="21"/>
                <w:szCs w:val="21"/>
                <w:highlight w:val="none"/>
              </w:rPr>
              <w:t>Ω</w:t>
            </w:r>
            <w:r>
              <w:rPr>
                <w:rFonts w:hint="eastAsia" w:ascii="仿宋" w:hAnsi="仿宋" w:eastAsia="仿宋" w:cs="仿宋"/>
                <w:color w:val="auto"/>
                <w:sz w:val="21"/>
                <w:szCs w:val="21"/>
                <w:highlight w:val="none"/>
                <w:lang w:val="en-US" w:eastAsia="zh-CN"/>
              </w:rPr>
              <w:t>/km。</w:t>
            </w:r>
          </w:p>
          <w:p w14:paraId="2C4AD6C6">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2.3.PVC-U</w:t>
            </w:r>
            <w:r>
              <w:rPr>
                <w:rFonts w:hint="eastAsia" w:ascii="仿宋" w:hAnsi="仿宋" w:eastAsia="仿宋" w:cs="仿宋"/>
                <w:color w:val="auto"/>
                <w:sz w:val="21"/>
                <w:szCs w:val="21"/>
                <w:highlight w:val="none"/>
              </w:rPr>
              <w:t>绝缘阻燃电工套管</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产品符合GB/T43815-2024(或JG/T3050-1998)标准,最小壁厚</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1.0mm，阻燃性能</w:t>
            </w:r>
            <w:r>
              <w:rPr>
                <w:rFonts w:hint="eastAsia" w:ascii="仿宋" w:hAnsi="仿宋" w:eastAsia="仿宋" w:cs="仿宋"/>
                <w:color w:val="auto"/>
                <w:sz w:val="21"/>
                <w:szCs w:val="21"/>
                <w:highlight w:val="none"/>
              </w:rPr>
              <w:t>自熄时间≤3s，氧指数OI≥32.0，绝缘强度15min内不击穿，绝缘电阻≥200MΩ</w:t>
            </w:r>
            <w:r>
              <w:rPr>
                <w:rFonts w:hint="eastAsia" w:ascii="仿宋" w:hAnsi="仿宋" w:eastAsia="仿宋" w:cs="仿宋"/>
                <w:color w:val="auto"/>
                <w:sz w:val="21"/>
                <w:szCs w:val="21"/>
                <w:highlight w:val="none"/>
                <w:lang w:eastAsia="zh-CN"/>
              </w:rPr>
              <w:t>。</w:t>
            </w:r>
          </w:p>
          <w:p w14:paraId="11850B01">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2.4.</w:t>
            </w:r>
            <w:r>
              <w:rPr>
                <w:rFonts w:hint="eastAsia" w:ascii="仿宋" w:hAnsi="仿宋" w:eastAsia="仿宋" w:cs="仿宋"/>
                <w:color w:val="auto"/>
                <w:sz w:val="21"/>
                <w:szCs w:val="21"/>
                <w:highlight w:val="none"/>
              </w:rPr>
              <w:t>配电箱</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1个，阻燃绝缘壳体，多重电路保护，防潮抗湿，分断可靠，适配垃圾房照明、监控配电，安全耐用、检修便捷。</w:t>
            </w:r>
          </w:p>
          <w:p w14:paraId="50EA863D">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2.5.</w:t>
            </w:r>
            <w:r>
              <w:rPr>
                <w:rFonts w:hint="eastAsia" w:ascii="仿宋" w:hAnsi="仿宋" w:eastAsia="仿宋" w:cs="仿宋"/>
                <w:color w:val="auto"/>
                <w:sz w:val="21"/>
                <w:szCs w:val="21"/>
                <w:highlight w:val="none"/>
              </w:rPr>
              <w:t>插座</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1个，阻燃防火材质，内置防触电保护门，导电铜件防锈耐磨，防潮易清洁，适配垃圾分类设施供电，安全稳定、使用寿命长。</w:t>
            </w:r>
          </w:p>
          <w:p w14:paraId="774A2E84">
            <w:pPr>
              <w:keepNext w:val="0"/>
              <w:keepLines w:val="0"/>
              <w:pageBreakBefore w:val="0"/>
              <w:numPr>
                <w:ilvl w:val="0"/>
                <w:numId w:val="0"/>
              </w:numPr>
              <w:kinsoku/>
              <w:wordWrap w:val="0"/>
              <w:overflowPunct/>
              <w:topLinePunct w:val="0"/>
              <w:autoSpaceDE/>
              <w:autoSpaceDN/>
              <w:bidi w:val="0"/>
              <w:adjustRightInd/>
              <w:snapToGrid/>
              <w:ind w:leftChars="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2.6.</w:t>
            </w:r>
            <w:r>
              <w:rPr>
                <w:rFonts w:hint="eastAsia" w:ascii="仿宋" w:hAnsi="仿宋" w:eastAsia="仿宋" w:cs="仿宋"/>
                <w:color w:val="auto"/>
                <w:sz w:val="21"/>
                <w:szCs w:val="21"/>
                <w:highlight w:val="none"/>
              </w:rPr>
              <w:t>给排水：</w:t>
            </w:r>
            <w:r>
              <w:rPr>
                <w:rFonts w:hint="eastAsia" w:ascii="仿宋" w:hAnsi="仿宋" w:eastAsia="仿宋" w:cs="仿宋"/>
                <w:color w:val="auto"/>
                <w:sz w:val="21"/>
                <w:szCs w:val="21"/>
                <w:highlight w:val="none"/>
                <w:lang w:val="en-US" w:eastAsia="zh-CN"/>
              </w:rPr>
              <w:t>进水</w:t>
            </w:r>
            <w:r>
              <w:rPr>
                <w:rFonts w:hint="eastAsia" w:ascii="仿宋" w:hAnsi="仿宋" w:eastAsia="仿宋" w:cs="仿宋"/>
                <w:strike w:val="0"/>
                <w:dstrike w:val="0"/>
                <w:color w:val="auto"/>
                <w:sz w:val="21"/>
                <w:szCs w:val="21"/>
                <w:highlight w:val="none"/>
                <w:lang w:val="en-US" w:eastAsia="zh-CN"/>
              </w:rPr>
              <w:t>DN</w:t>
            </w:r>
            <w:r>
              <w:rPr>
                <w:rFonts w:hint="eastAsia" w:ascii="仿宋" w:hAnsi="仿宋" w:eastAsia="仿宋" w:cs="仿宋"/>
                <w:color w:val="auto"/>
                <w:sz w:val="21"/>
                <w:szCs w:val="21"/>
                <w:highlight w:val="none"/>
                <w:lang w:val="en-US" w:eastAsia="zh-CN"/>
              </w:rPr>
              <w:t>20mm水管，排水</w:t>
            </w:r>
            <w:r>
              <w:rPr>
                <w:rFonts w:hint="eastAsia" w:ascii="仿宋" w:hAnsi="仿宋" w:eastAsia="仿宋" w:cs="仿宋"/>
                <w:strike w:val="0"/>
                <w:dstrike w:val="0"/>
                <w:color w:val="auto"/>
                <w:sz w:val="21"/>
                <w:szCs w:val="21"/>
                <w:highlight w:val="none"/>
                <w:lang w:val="en-US" w:eastAsia="zh-CN"/>
              </w:rPr>
              <w:t>DN</w:t>
            </w:r>
            <w:r>
              <w:rPr>
                <w:rFonts w:hint="eastAsia" w:ascii="仿宋" w:hAnsi="仿宋" w:eastAsia="仿宋" w:cs="仿宋"/>
                <w:color w:val="auto"/>
                <w:sz w:val="21"/>
                <w:szCs w:val="21"/>
                <w:highlight w:val="none"/>
                <w:lang w:val="en-US" w:eastAsia="zh-CN"/>
              </w:rPr>
              <w:t>48mm圆管（外接DN50mm圆管对接）</w:t>
            </w:r>
          </w:p>
          <w:p w14:paraId="79B97734">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lang w:val="en-US" w:eastAsia="zh-CN"/>
              </w:rPr>
              <w:t>注：中标人负责点位30米内距离内接电、接通给排水管道，</w:t>
            </w:r>
            <w:r>
              <w:rPr>
                <w:rFonts w:hint="eastAsia" w:ascii="仿宋" w:hAnsi="仿宋" w:eastAsia="仿宋" w:cs="仿宋"/>
                <w:b w:val="0"/>
                <w:bCs w:val="0"/>
                <w:color w:val="auto"/>
                <w:sz w:val="21"/>
                <w:szCs w:val="21"/>
                <w:highlight w:val="none"/>
              </w:rPr>
              <w:t>超过部分额外核算签证</w:t>
            </w:r>
            <w:r>
              <w:rPr>
                <w:rFonts w:hint="eastAsia" w:ascii="仿宋" w:hAnsi="仿宋" w:eastAsia="仿宋" w:cs="仿宋"/>
                <w:b w:val="0"/>
                <w:bCs w:val="0"/>
                <w:color w:val="auto"/>
                <w:sz w:val="21"/>
                <w:szCs w:val="21"/>
                <w:highlight w:val="none"/>
                <w:lang w:eastAsia="zh-CN"/>
              </w:rPr>
              <w:t>；</w:t>
            </w:r>
            <w:r>
              <w:rPr>
                <w:rFonts w:hint="eastAsia" w:ascii="仿宋" w:hAnsi="仿宋" w:eastAsia="仿宋" w:cs="仿宋"/>
                <w:b w:val="0"/>
                <w:bCs w:val="0"/>
                <w:color w:val="auto"/>
                <w:sz w:val="21"/>
                <w:szCs w:val="21"/>
                <w:highlight w:val="none"/>
              </w:rPr>
              <w:t>水电开户</w:t>
            </w:r>
            <w:r>
              <w:rPr>
                <w:rFonts w:hint="eastAsia" w:ascii="仿宋" w:hAnsi="仿宋" w:eastAsia="仿宋" w:cs="仿宋"/>
                <w:b w:val="0"/>
                <w:bCs w:val="0"/>
                <w:color w:val="auto"/>
                <w:sz w:val="21"/>
                <w:szCs w:val="21"/>
                <w:highlight w:val="none"/>
                <w:lang w:val="en-US" w:eastAsia="zh-CN"/>
              </w:rPr>
              <w:t>由点位属地负责。</w:t>
            </w:r>
          </w:p>
          <w:p w14:paraId="49A1CEC0">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3.箱体材质：</w:t>
            </w:r>
          </w:p>
          <w:p w14:paraId="4ECA002A">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1.投放口面板采用1.2mm镀锌</w:t>
            </w:r>
            <w:r>
              <w:rPr>
                <w:rFonts w:hint="eastAsia" w:ascii="仿宋" w:hAnsi="仿宋" w:eastAsia="仿宋" w:cs="仿宋"/>
                <w:color w:val="auto"/>
                <w:sz w:val="21"/>
                <w:szCs w:val="21"/>
                <w:highlight w:val="none"/>
                <w:lang w:val="en-US" w:eastAsia="zh-CN"/>
              </w:rPr>
              <w:t>卷</w:t>
            </w:r>
            <w:r>
              <w:rPr>
                <w:rFonts w:hint="eastAsia" w:ascii="仿宋" w:hAnsi="仿宋" w:eastAsia="仿宋" w:cs="仿宋"/>
                <w:color w:val="auto"/>
                <w:sz w:val="21"/>
                <w:szCs w:val="21"/>
                <w:highlight w:val="none"/>
              </w:rPr>
              <w:t>板加工成型；</w:t>
            </w:r>
          </w:p>
          <w:p w14:paraId="2A59AEE4">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2.顶面、</w:t>
            </w:r>
            <w:r>
              <w:rPr>
                <w:rFonts w:hint="eastAsia" w:ascii="仿宋" w:hAnsi="仿宋" w:eastAsia="仿宋" w:cs="仿宋"/>
                <w:color w:val="auto"/>
                <w:sz w:val="21"/>
                <w:szCs w:val="21"/>
                <w:highlight w:val="none"/>
                <w:lang w:val="en-US" w:eastAsia="zh-CN"/>
              </w:rPr>
              <w:t>底板、</w:t>
            </w:r>
            <w:r>
              <w:rPr>
                <w:rFonts w:hint="eastAsia" w:ascii="仿宋" w:hAnsi="仿宋" w:eastAsia="仿宋" w:cs="仿宋"/>
                <w:color w:val="auto"/>
                <w:sz w:val="21"/>
                <w:szCs w:val="21"/>
                <w:highlight w:val="none"/>
              </w:rPr>
              <w:t>后背板、左右侧板选用1.2mm镀锌</w:t>
            </w:r>
            <w:r>
              <w:rPr>
                <w:rFonts w:hint="eastAsia" w:ascii="仿宋" w:hAnsi="仿宋" w:eastAsia="仿宋" w:cs="仿宋"/>
                <w:color w:val="auto"/>
                <w:sz w:val="21"/>
                <w:szCs w:val="21"/>
                <w:highlight w:val="none"/>
                <w:lang w:val="en-US" w:eastAsia="zh-CN"/>
              </w:rPr>
              <w:t>卷</w:t>
            </w:r>
            <w:r>
              <w:rPr>
                <w:rFonts w:hint="eastAsia" w:ascii="仿宋" w:hAnsi="仿宋" w:eastAsia="仿宋" w:cs="仿宋"/>
                <w:color w:val="auto"/>
                <w:sz w:val="21"/>
                <w:szCs w:val="21"/>
                <w:highlight w:val="none"/>
              </w:rPr>
              <w:t>板；</w:t>
            </w:r>
          </w:p>
          <w:p w14:paraId="6642C8FC">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3.3.产品符合GB/T2518-2019标准，</w:t>
            </w:r>
            <w:r>
              <w:rPr>
                <w:rFonts w:hint="eastAsia" w:ascii="仿宋" w:hAnsi="仿宋" w:eastAsia="仿宋" w:cs="仿宋"/>
                <w:color w:val="auto"/>
                <w:sz w:val="21"/>
                <w:szCs w:val="21"/>
                <w:highlight w:val="none"/>
              </w:rPr>
              <w:t>镀锌</w:t>
            </w:r>
            <w:r>
              <w:rPr>
                <w:rFonts w:hint="eastAsia" w:ascii="仿宋" w:hAnsi="仿宋" w:eastAsia="仿宋" w:cs="仿宋"/>
                <w:color w:val="auto"/>
                <w:sz w:val="21"/>
                <w:szCs w:val="21"/>
                <w:highlight w:val="none"/>
                <w:lang w:val="en-US" w:eastAsia="zh-CN"/>
              </w:rPr>
              <w:t>卷</w:t>
            </w:r>
            <w:r>
              <w:rPr>
                <w:rFonts w:hint="eastAsia" w:ascii="仿宋" w:hAnsi="仿宋" w:eastAsia="仿宋" w:cs="仿宋"/>
                <w:color w:val="auto"/>
                <w:sz w:val="21"/>
                <w:szCs w:val="21"/>
                <w:highlight w:val="none"/>
              </w:rPr>
              <w:t>板</w:t>
            </w:r>
            <w:r>
              <w:rPr>
                <w:rFonts w:hint="eastAsia" w:ascii="仿宋" w:hAnsi="仿宋" w:eastAsia="仿宋" w:cs="仿宋"/>
                <w:color w:val="auto"/>
                <w:sz w:val="21"/>
                <w:szCs w:val="21"/>
                <w:highlight w:val="none"/>
                <w:lang w:val="en-US" w:eastAsia="zh-CN"/>
              </w:rPr>
              <w:t>表面无缺陷，镀层质量</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52g/㎡，</w:t>
            </w:r>
            <w:r>
              <w:rPr>
                <w:rFonts w:hint="eastAsia" w:ascii="仿宋" w:hAnsi="仿宋" w:eastAsia="仿宋" w:cs="仿宋"/>
                <w:color w:val="auto"/>
                <w:sz w:val="21"/>
                <w:szCs w:val="21"/>
                <w:highlight w:val="none"/>
              </w:rPr>
              <w:t>屈服强度≥375MPa，抗拉强度≥431MPa，断后伸长率≥28.5%</w:t>
            </w:r>
            <w:r>
              <w:rPr>
                <w:rFonts w:hint="eastAsia" w:ascii="仿宋" w:hAnsi="仿宋" w:eastAsia="仿宋" w:cs="仿宋"/>
                <w:color w:val="auto"/>
                <w:sz w:val="21"/>
                <w:szCs w:val="21"/>
                <w:highlight w:val="none"/>
                <w:lang w:eastAsia="zh-CN"/>
              </w:rPr>
              <w:t>；</w:t>
            </w:r>
          </w:p>
          <w:p w14:paraId="254A0943">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3.4</w:t>
            </w:r>
            <w:r>
              <w:rPr>
                <w:rFonts w:hint="eastAsia" w:ascii="仿宋" w:hAnsi="仿宋" w:eastAsia="仿宋" w:cs="仿宋"/>
                <w:color w:val="auto"/>
                <w:sz w:val="21"/>
                <w:szCs w:val="21"/>
                <w:highlight w:val="none"/>
              </w:rPr>
              <w:t>.顶面</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内部</w:t>
            </w:r>
            <w:r>
              <w:rPr>
                <w:rFonts w:hint="eastAsia" w:ascii="仿宋" w:hAnsi="仿宋" w:eastAsia="仿宋" w:cs="仿宋"/>
                <w:color w:val="auto"/>
                <w:sz w:val="21"/>
                <w:szCs w:val="21"/>
                <w:highlight w:val="none"/>
              </w:rPr>
              <w:t>支撑骨架由</w:t>
            </w:r>
            <w:r>
              <w:rPr>
                <w:rFonts w:hint="eastAsia" w:ascii="仿宋" w:hAnsi="仿宋" w:eastAsia="仿宋" w:cs="仿宋"/>
                <w:color w:val="auto"/>
                <w:sz w:val="21"/>
                <w:szCs w:val="21"/>
                <w:highlight w:val="none"/>
                <w:lang w:val="en-US" w:eastAsia="zh-CN"/>
              </w:rPr>
              <w:t>50×50×1.2mm、40×40×1.2mm、30×30×1.2mm</w:t>
            </w:r>
            <w:r>
              <w:rPr>
                <w:rFonts w:hint="eastAsia" w:ascii="仿宋" w:hAnsi="仿宋" w:eastAsia="仿宋" w:cs="仿宋"/>
                <w:color w:val="auto"/>
                <w:sz w:val="21"/>
                <w:szCs w:val="21"/>
                <w:highlight w:val="none"/>
              </w:rPr>
              <w:t xml:space="preserve"> 管材组合搭建；</w:t>
            </w:r>
          </w:p>
          <w:p w14:paraId="3C566F54">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3.5.底部承重骨架：使用F40Q235B方矩形热镀锌焊管40×40×1.2mm管材,材质符合GB/T6728-2025《结构用冷弯型钢》要求，抗拉强度≥380MPa,屈服强度≥290MPa,断后伸长率≥29%,镀锌层重量*(平均值)≥220g/m²;</w:t>
            </w:r>
          </w:p>
          <w:p w14:paraId="79DDAC19">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3.6.</w:t>
            </w:r>
            <w:r>
              <w:rPr>
                <w:rFonts w:hint="eastAsia" w:ascii="仿宋" w:hAnsi="仿宋" w:eastAsia="仿宋" w:cs="仿宋"/>
                <w:color w:val="auto"/>
                <w:sz w:val="21"/>
                <w:szCs w:val="21"/>
                <w:highlight w:val="none"/>
              </w:rPr>
              <w:t>全部镀锌板构件经高温烤漆防腐处理</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垃圾收集箱门采用 1.0mm 镀锌板烤漆工艺</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投放口具备手动开启、脚踏开启双模式；</w:t>
            </w:r>
          </w:p>
          <w:p w14:paraId="25F660F5">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7.投放口需印制对应的四分类标识，侧面安装垃圾分类责任单位公示牌，设置可更换式宣传广告牌，用于垃圾分类宣传。</w:t>
            </w:r>
          </w:p>
          <w:p w14:paraId="69C047DC">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门头字</w:t>
            </w:r>
            <w:r>
              <w:rPr>
                <w:rFonts w:hint="eastAsia" w:ascii="仿宋" w:hAnsi="仿宋" w:eastAsia="仿宋" w:cs="仿宋"/>
                <w:color w:val="auto"/>
                <w:sz w:val="21"/>
                <w:szCs w:val="21"/>
                <w:highlight w:val="none"/>
                <w:lang w:eastAsia="zh-CN"/>
              </w:rPr>
              <w:t>：</w:t>
            </w:r>
          </w:p>
          <w:p w14:paraId="3BF0956C">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4.1</w:t>
            </w:r>
            <w:r>
              <w:rPr>
                <w:rFonts w:hint="eastAsia" w:ascii="仿宋" w:hAnsi="仿宋" w:eastAsia="仿宋" w:cs="仿宋"/>
                <w:color w:val="auto"/>
                <w:sz w:val="21"/>
                <w:szCs w:val="21"/>
                <w:highlight w:val="none"/>
              </w:rPr>
              <w:t>底板尺寸：长1800*高200mm</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logo与文字字高15mm，材质选用5mm厚PVC板，经UV雕刻工艺加工成型</w:t>
            </w:r>
            <w:r>
              <w:rPr>
                <w:rFonts w:hint="eastAsia" w:ascii="仿宋" w:hAnsi="仿宋" w:eastAsia="仿宋" w:cs="仿宋"/>
                <w:color w:val="auto"/>
                <w:sz w:val="21"/>
                <w:szCs w:val="21"/>
                <w:highlight w:val="none"/>
                <w:lang w:eastAsia="zh-CN"/>
              </w:rPr>
              <w:t>。</w:t>
            </w:r>
          </w:p>
          <w:p w14:paraId="4A4E8818">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4.2按照招标人要求，对点位进行编号，安装编号牌，</w:t>
            </w:r>
            <w:r>
              <w:rPr>
                <w:rFonts w:hint="eastAsia" w:ascii="仿宋" w:hAnsi="仿宋" w:eastAsia="仿宋" w:cs="仿宋"/>
                <w:color w:val="auto"/>
                <w:sz w:val="21"/>
                <w:szCs w:val="21"/>
                <w:highlight w:val="none"/>
              </w:rPr>
              <w:t>5mm厚PVC板</w:t>
            </w:r>
            <w:r>
              <w:rPr>
                <w:rFonts w:hint="eastAsia" w:ascii="仿宋" w:hAnsi="仿宋" w:eastAsia="仿宋" w:cs="仿宋"/>
                <w:color w:val="auto"/>
                <w:sz w:val="21"/>
                <w:szCs w:val="21"/>
                <w:highlight w:val="none"/>
                <w:lang w:val="en-US" w:eastAsia="zh-CN"/>
              </w:rPr>
              <w:t>。</w:t>
            </w:r>
          </w:p>
          <w:p w14:paraId="45AB72C7">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灭蚊灯</w:t>
            </w:r>
            <w:r>
              <w:rPr>
                <w:rFonts w:hint="eastAsia" w:ascii="仿宋" w:hAnsi="仿宋" w:eastAsia="仿宋" w:cs="仿宋"/>
                <w:color w:val="auto"/>
                <w:sz w:val="21"/>
                <w:szCs w:val="21"/>
                <w:highlight w:val="none"/>
                <w:lang w:eastAsia="zh-CN"/>
              </w:rPr>
              <w:t>：</w:t>
            </w:r>
          </w:p>
          <w:p w14:paraId="0E8AA29E">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5.1</w:t>
            </w:r>
            <w:r>
              <w:rPr>
                <w:rFonts w:hint="eastAsia" w:ascii="仿宋" w:hAnsi="仿宋" w:eastAsia="仿宋" w:cs="仿宋"/>
                <w:color w:val="auto"/>
                <w:sz w:val="21"/>
                <w:szCs w:val="21"/>
                <w:highlight w:val="none"/>
              </w:rPr>
              <w:t>输入电压：220V~50Hz 额定功率：</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rPr>
              <w:t>W</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材质：铝合金或者阻燃ABS</w:t>
            </w:r>
            <w:r>
              <w:rPr>
                <w:rFonts w:hint="eastAsia" w:ascii="仿宋" w:hAnsi="仿宋" w:eastAsia="仿宋" w:cs="仿宋"/>
                <w:color w:val="auto"/>
                <w:sz w:val="21"/>
                <w:szCs w:val="21"/>
                <w:highlight w:val="none"/>
                <w:lang w:eastAsia="zh-CN"/>
              </w:rPr>
              <w:t>。</w:t>
            </w:r>
          </w:p>
          <w:p w14:paraId="2070F1A9">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5.2.</w:t>
            </w:r>
            <w:r>
              <w:rPr>
                <w:rFonts w:hint="eastAsia" w:ascii="仿宋" w:hAnsi="仿宋" w:eastAsia="仿宋" w:cs="仿宋"/>
                <w:color w:val="auto"/>
                <w:sz w:val="21"/>
                <w:szCs w:val="21"/>
                <w:highlight w:val="none"/>
              </w:rPr>
              <w:t>产品标准和技术要求满足</w:t>
            </w:r>
            <w:r>
              <w:rPr>
                <w:rFonts w:hint="eastAsia" w:ascii="仿宋" w:hAnsi="仿宋" w:eastAsia="仿宋" w:cs="仿宋"/>
                <w:color w:val="auto"/>
                <w:sz w:val="21"/>
                <w:szCs w:val="21"/>
                <w:highlight w:val="none"/>
                <w:lang w:val="en-US" w:eastAsia="zh-CN"/>
              </w:rPr>
              <w:t>GB/T4706.1-2024和</w:t>
            </w:r>
            <w:r>
              <w:rPr>
                <w:rFonts w:hint="eastAsia" w:ascii="仿宋" w:hAnsi="仿宋" w:eastAsia="仿宋" w:cs="仿宋"/>
                <w:color w:val="auto"/>
                <w:sz w:val="21"/>
                <w:szCs w:val="21"/>
                <w:highlight w:val="none"/>
              </w:rPr>
              <w:t>GB</w:t>
            </w:r>
            <w:r>
              <w:rPr>
                <w:rFonts w:hint="eastAsia" w:ascii="仿宋" w:hAnsi="仿宋" w:eastAsia="仿宋" w:cs="仿宋"/>
                <w:color w:val="auto"/>
                <w:sz w:val="21"/>
                <w:szCs w:val="21"/>
                <w:highlight w:val="none"/>
                <w:lang w:val="en-US" w:eastAsia="zh-CN"/>
              </w:rPr>
              <w:t>/T</w:t>
            </w:r>
            <w:r>
              <w:rPr>
                <w:rFonts w:hint="eastAsia" w:ascii="仿宋" w:hAnsi="仿宋" w:eastAsia="仿宋" w:cs="仿宋"/>
                <w:color w:val="auto"/>
                <w:sz w:val="21"/>
                <w:szCs w:val="21"/>
                <w:highlight w:val="none"/>
              </w:rPr>
              <w:t>4706.76-20</w:t>
            </w:r>
            <w:r>
              <w:rPr>
                <w:rFonts w:hint="eastAsia" w:ascii="仿宋" w:hAnsi="仿宋" w:eastAsia="仿宋" w:cs="仿宋"/>
                <w:color w:val="auto"/>
                <w:sz w:val="21"/>
                <w:szCs w:val="21"/>
                <w:highlight w:val="none"/>
                <w:lang w:val="en-US" w:eastAsia="zh-CN"/>
              </w:rPr>
              <w:t>24</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器具外壳各部分以0.5±0.04J的冲击能量打击三次后，应无损坏；软线的最大位移为2mm，导线在接线端子上的移动不大于1mm。</w:t>
            </w:r>
          </w:p>
          <w:p w14:paraId="05E2F35F">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洗手池</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洗面器</w:t>
            </w:r>
            <w:r>
              <w:rPr>
                <w:rFonts w:hint="eastAsia" w:ascii="仿宋" w:hAnsi="仿宋" w:eastAsia="仿宋" w:cs="仿宋"/>
                <w:color w:val="auto"/>
                <w:sz w:val="21"/>
                <w:szCs w:val="21"/>
                <w:highlight w:val="none"/>
                <w:lang w:eastAsia="zh-CN"/>
              </w:rPr>
              <w:t>）：</w:t>
            </w:r>
          </w:p>
          <w:p w14:paraId="22EEACB0">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6.1.</w:t>
            </w:r>
            <w:r>
              <w:rPr>
                <w:rFonts w:hint="eastAsia" w:ascii="仿宋" w:hAnsi="仿宋" w:eastAsia="仿宋" w:cs="仿宋"/>
                <w:color w:val="auto"/>
                <w:sz w:val="21"/>
                <w:szCs w:val="21"/>
                <w:highlight w:val="none"/>
              </w:rPr>
              <w:t>支架骨架采用</w:t>
            </w:r>
            <w:r>
              <w:rPr>
                <w:rFonts w:hint="eastAsia" w:ascii="仿宋" w:hAnsi="仿宋" w:eastAsia="仿宋" w:cs="仿宋"/>
                <w:color w:val="auto"/>
                <w:sz w:val="21"/>
                <w:szCs w:val="21"/>
                <w:highlight w:val="none"/>
                <w:lang w:eastAsia="zh-CN"/>
              </w:rPr>
              <w:t>30×30×1.2mm</w:t>
            </w:r>
            <w:r>
              <w:rPr>
                <w:rFonts w:hint="eastAsia" w:ascii="仿宋" w:hAnsi="仿宋" w:eastAsia="仿宋" w:cs="仿宋"/>
                <w:color w:val="auto"/>
                <w:sz w:val="21"/>
                <w:szCs w:val="21"/>
                <w:highlight w:val="none"/>
              </w:rPr>
              <w:t xml:space="preserve"> 镀锌板折弯一体成型，表层高温烤漆，防锈坚固，上方安置陶瓷洗手盆；</w:t>
            </w:r>
          </w:p>
          <w:p w14:paraId="5B9C1FA3">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6.2.</w:t>
            </w:r>
            <w:r>
              <w:rPr>
                <w:rFonts w:hint="eastAsia" w:ascii="仿宋" w:hAnsi="仿宋" w:eastAsia="仿宋" w:cs="仿宋"/>
                <w:color w:val="auto"/>
                <w:sz w:val="21"/>
                <w:szCs w:val="21"/>
                <w:highlight w:val="none"/>
              </w:rPr>
              <w:t>洗手池</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洗面器</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抗裂性应符合</w:t>
            </w:r>
            <w:r>
              <w:rPr>
                <w:rFonts w:hint="eastAsia" w:ascii="仿宋" w:hAnsi="仿宋" w:eastAsia="仿宋" w:cs="仿宋"/>
                <w:color w:val="auto"/>
                <w:sz w:val="21"/>
                <w:szCs w:val="21"/>
                <w:highlight w:val="none"/>
              </w:rPr>
              <w:t>GB/T6952-2015/8.5</w:t>
            </w:r>
            <w:r>
              <w:rPr>
                <w:rFonts w:hint="eastAsia" w:ascii="仿宋" w:hAnsi="仿宋" w:eastAsia="仿宋" w:cs="仿宋"/>
                <w:color w:val="auto"/>
                <w:sz w:val="21"/>
                <w:szCs w:val="21"/>
                <w:highlight w:val="none"/>
                <w:lang w:val="en-US" w:eastAsia="zh-CN"/>
              </w:rPr>
              <w:t>要求</w:t>
            </w:r>
            <w:r>
              <w:rPr>
                <w:rFonts w:hint="eastAsia" w:ascii="仿宋" w:hAnsi="仿宋" w:eastAsia="仿宋" w:cs="仿宋"/>
                <w:color w:val="auto"/>
                <w:sz w:val="21"/>
                <w:szCs w:val="21"/>
                <w:highlight w:val="none"/>
              </w:rPr>
              <w:t>，经抗裂试验，应无有釉裂及坯裂。</w:t>
            </w:r>
            <w:r>
              <w:rPr>
                <w:rFonts w:hint="eastAsia" w:ascii="仿宋" w:hAnsi="仿宋" w:eastAsia="仿宋" w:cs="仿宋"/>
                <w:color w:val="auto"/>
                <w:sz w:val="21"/>
                <w:szCs w:val="21"/>
                <w:highlight w:val="none"/>
                <w:lang w:val="en-US" w:eastAsia="zh-CN"/>
              </w:rPr>
              <w:t>溢流功能应符合</w:t>
            </w:r>
            <w:r>
              <w:rPr>
                <w:rFonts w:hint="eastAsia" w:ascii="仿宋" w:hAnsi="仿宋" w:eastAsia="仿宋" w:cs="仿宋"/>
                <w:color w:val="auto"/>
                <w:sz w:val="21"/>
                <w:szCs w:val="21"/>
                <w:highlight w:val="none"/>
              </w:rPr>
              <w:t>GB/T6952-2015/8.9</w:t>
            </w:r>
            <w:r>
              <w:rPr>
                <w:rFonts w:hint="eastAsia" w:ascii="仿宋" w:hAnsi="仿宋" w:eastAsia="仿宋" w:cs="仿宋"/>
                <w:color w:val="auto"/>
                <w:sz w:val="21"/>
                <w:szCs w:val="21"/>
                <w:highlight w:val="none"/>
                <w:lang w:val="en-US" w:eastAsia="zh-CN"/>
              </w:rPr>
              <w:t>要求</w:t>
            </w:r>
            <w:r>
              <w:rPr>
                <w:rFonts w:hint="eastAsia" w:ascii="仿宋" w:hAnsi="仿宋" w:eastAsia="仿宋" w:cs="仿宋"/>
                <w:color w:val="auto"/>
                <w:sz w:val="21"/>
                <w:szCs w:val="21"/>
                <w:highlight w:val="none"/>
              </w:rPr>
              <w:t>，应保持5min无溢流。</w:t>
            </w:r>
          </w:p>
          <w:p w14:paraId="043C0A61">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6.3.</w:t>
            </w:r>
            <w:r>
              <w:rPr>
                <w:rFonts w:hint="eastAsia" w:ascii="仿宋" w:hAnsi="仿宋" w:eastAsia="仿宋" w:cs="仿宋"/>
                <w:color w:val="auto"/>
                <w:sz w:val="21"/>
                <w:szCs w:val="21"/>
                <w:highlight w:val="none"/>
              </w:rPr>
              <w:t>洗手池上方配置仪容镜，尺寸参数：宽500*高700</w:t>
            </w:r>
            <w:r>
              <w:rPr>
                <w:rFonts w:hint="eastAsia" w:ascii="仿宋" w:hAnsi="仿宋" w:eastAsia="仿宋" w:cs="仿宋"/>
                <w:color w:val="auto"/>
                <w:sz w:val="21"/>
                <w:szCs w:val="21"/>
                <w:highlight w:val="none"/>
                <w:lang w:val="en-US" w:eastAsia="zh-CN"/>
              </w:rPr>
              <w:t>mm</w:t>
            </w:r>
            <w:r>
              <w:rPr>
                <w:rFonts w:hint="eastAsia" w:ascii="仿宋" w:hAnsi="仿宋" w:eastAsia="仿宋" w:cs="仿宋"/>
                <w:color w:val="auto"/>
                <w:sz w:val="21"/>
                <w:szCs w:val="21"/>
                <w:highlight w:val="none"/>
                <w:lang w:eastAsia="zh-CN"/>
              </w:rPr>
              <w:t>。</w:t>
            </w:r>
          </w:p>
          <w:p w14:paraId="528C11FF">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rPr>
              <w:t>照明灯</w:t>
            </w:r>
          </w:p>
          <w:p w14:paraId="0A02173D">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7.1.</w:t>
            </w:r>
            <w:r>
              <w:rPr>
                <w:rFonts w:hint="eastAsia" w:ascii="仿宋" w:hAnsi="仿宋" w:eastAsia="仿宋" w:cs="仿宋"/>
                <w:color w:val="auto"/>
                <w:sz w:val="21"/>
                <w:szCs w:val="21"/>
                <w:highlight w:val="none"/>
              </w:rPr>
              <w:t>分类箱正面檐口凸出8cm，下檐口配备LED</w:t>
            </w:r>
            <w:r>
              <w:rPr>
                <w:rFonts w:hint="eastAsia" w:ascii="仿宋" w:hAnsi="仿宋" w:eastAsia="仿宋" w:cs="仿宋"/>
                <w:color w:val="auto"/>
                <w:sz w:val="21"/>
                <w:szCs w:val="21"/>
                <w:highlight w:val="none"/>
                <w:lang w:val="en-US" w:eastAsia="zh-CN"/>
              </w:rPr>
              <w:t>低压</w:t>
            </w:r>
            <w:r>
              <w:rPr>
                <w:rFonts w:hint="eastAsia" w:ascii="仿宋" w:hAnsi="仿宋" w:eastAsia="仿宋" w:cs="仿宋"/>
                <w:color w:val="auto"/>
                <w:sz w:val="21"/>
                <w:szCs w:val="21"/>
                <w:highlight w:val="none"/>
              </w:rPr>
              <w:t>灯条</w:t>
            </w:r>
          </w:p>
          <w:p w14:paraId="455769D3">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LED</w:t>
            </w:r>
            <w:r>
              <w:rPr>
                <w:rFonts w:hint="eastAsia" w:ascii="仿宋" w:hAnsi="仿宋" w:eastAsia="仿宋" w:cs="仿宋"/>
                <w:color w:val="auto"/>
                <w:sz w:val="21"/>
                <w:szCs w:val="21"/>
                <w:highlight w:val="none"/>
                <w:lang w:val="en-US" w:eastAsia="zh-CN"/>
              </w:rPr>
              <w:t>低压</w:t>
            </w:r>
            <w:r>
              <w:rPr>
                <w:rFonts w:hint="eastAsia" w:ascii="仿宋" w:hAnsi="仿宋" w:eastAsia="仿宋" w:cs="仿宋"/>
                <w:color w:val="auto"/>
                <w:sz w:val="21"/>
                <w:szCs w:val="21"/>
                <w:highlight w:val="none"/>
              </w:rPr>
              <w:t>灯条参数要求：电压：24V；板宽≥8mm、色温：6000K</w:t>
            </w:r>
          </w:p>
          <w:p w14:paraId="6BFC2C19">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7.2.</w:t>
            </w:r>
            <w:r>
              <w:rPr>
                <w:rFonts w:hint="eastAsia" w:ascii="仿宋" w:hAnsi="仿宋" w:eastAsia="仿宋" w:cs="仿宋"/>
                <w:color w:val="auto"/>
                <w:sz w:val="21"/>
                <w:szCs w:val="21"/>
                <w:highlight w:val="none"/>
              </w:rPr>
              <w:t>产品标准和技术要求满足GB</w:t>
            </w:r>
            <w:r>
              <w:rPr>
                <w:rFonts w:hint="eastAsia" w:ascii="仿宋" w:hAnsi="仿宋" w:eastAsia="仿宋" w:cs="仿宋"/>
                <w:color w:val="auto"/>
                <w:sz w:val="21"/>
                <w:szCs w:val="21"/>
                <w:highlight w:val="none"/>
                <w:lang w:val="en-US" w:eastAsia="zh-CN"/>
              </w:rPr>
              <w:t>/T7</w:t>
            </w:r>
            <w:r>
              <w:rPr>
                <w:rFonts w:hint="eastAsia" w:ascii="仿宋" w:hAnsi="仿宋" w:eastAsia="仿宋" w:cs="仿宋"/>
                <w:color w:val="auto"/>
                <w:sz w:val="21"/>
                <w:szCs w:val="21"/>
                <w:highlight w:val="none"/>
              </w:rPr>
              <w:t>000.1-20</w:t>
            </w:r>
            <w:r>
              <w:rPr>
                <w:rFonts w:hint="eastAsia" w:ascii="仿宋" w:hAnsi="仿宋" w:eastAsia="仿宋" w:cs="仿宋"/>
                <w:color w:val="auto"/>
                <w:sz w:val="21"/>
                <w:szCs w:val="21"/>
                <w:highlight w:val="none"/>
                <w:lang w:val="en-US" w:eastAsia="zh-CN"/>
              </w:rPr>
              <w:t>23拉力试验满足50次，拉力30N，位移</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2mm。</w:t>
            </w:r>
          </w:p>
          <w:p w14:paraId="11CE3194">
            <w:pPr>
              <w:numPr>
                <w:ilvl w:val="0"/>
                <w:numId w:val="0"/>
              </w:numPr>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1"/>
                <w:szCs w:val="21"/>
                <w:highlight w:val="none"/>
                <w:lang w:val="en-US" w:eastAsia="zh-CN" w:bidi="ar-SA"/>
              </w:rPr>
              <w:t>8.</w:t>
            </w:r>
            <w:r>
              <w:rPr>
                <w:rFonts w:hint="eastAsia" w:ascii="仿宋" w:hAnsi="仿宋" w:eastAsia="仿宋" w:cs="仿宋"/>
                <w:color w:val="auto"/>
                <w:sz w:val="21"/>
                <w:szCs w:val="21"/>
                <w:highlight w:val="none"/>
                <w:lang w:val="en-US" w:eastAsia="zh-CN"/>
              </w:rPr>
              <w:t>手提</w:t>
            </w:r>
            <w:r>
              <w:rPr>
                <w:rFonts w:hint="eastAsia" w:ascii="仿宋" w:hAnsi="仿宋" w:eastAsia="仿宋" w:cs="仿宋"/>
                <w:color w:val="auto"/>
                <w:highlight w:val="none"/>
                <w:lang w:val="en-US" w:eastAsia="zh-CN"/>
              </w:rPr>
              <w:t>式干</w:t>
            </w:r>
            <w:r>
              <w:rPr>
                <w:rFonts w:hint="eastAsia" w:ascii="仿宋" w:hAnsi="仿宋" w:eastAsia="仿宋" w:cs="仿宋"/>
                <w:color w:val="auto"/>
                <w:sz w:val="21"/>
                <w:szCs w:val="21"/>
                <w:highlight w:val="none"/>
                <w:lang w:val="en-US" w:eastAsia="zh-CN"/>
              </w:rPr>
              <w:t>粉灭火器：1只，规格：2kg，产品质量符合国家标准。</w:t>
            </w:r>
            <w:r>
              <w:rPr>
                <w:rFonts w:hint="eastAsia" w:ascii="仿宋" w:hAnsi="仿宋" w:eastAsia="仿宋" w:cs="仿宋"/>
                <w:color w:val="auto"/>
                <w:highlight w:val="none"/>
                <w:lang w:val="en-US" w:eastAsia="zh-CN"/>
              </w:rPr>
              <w:t>消防应急照明灯:1只，持续应急时间不少于60min，蓄电池容量不小于400mAh；</w:t>
            </w:r>
            <w:r>
              <w:rPr>
                <w:rFonts w:hint="eastAsia" w:ascii="仿宋" w:hAnsi="仿宋" w:eastAsia="仿宋" w:cs="仿宋"/>
                <w:color w:val="auto"/>
                <w:sz w:val="21"/>
                <w:szCs w:val="21"/>
                <w:highlight w:val="none"/>
                <w:lang w:val="en-US" w:eastAsia="zh-CN"/>
              </w:rPr>
              <w:t>产品质量符合国家标准。</w:t>
            </w:r>
          </w:p>
          <w:p w14:paraId="6A9D33ED">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9.具备功能：内置240升垃圾桶，可防止臭气外溢，居民投放可选择脚踏式或手推式开门，具备遮雨棚、灭蚊消杀、洗手、照明、密闭等功能，便于居民分类投放和清运。</w:t>
            </w:r>
          </w:p>
          <w:p w14:paraId="6ED0A6F1">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10.监控摄像头：</w:t>
            </w:r>
          </w:p>
          <w:p w14:paraId="0A07EFEE">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10.1.每个点位1个，采用不低于400万像素1/1.8英寸CMOS图像传感器；</w:t>
            </w:r>
          </w:p>
          <w:p w14:paraId="4CBD993E">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10.2.采用AI ISP技术，支持周界防范（绊线入侵，区域入侵）、SMD Plus(人形/车形检测)；</w:t>
            </w:r>
          </w:p>
          <w:p w14:paraId="7E3CAE02">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10.3.设备具有日夜场景自适应功能,在白天和夜晚环境下,设备均可输出彩色图像,在夜晚自动开启补光灯条件下,设备夜晚图像清晰度应不低于白天图像清晰度的95%；(白天环境下,水平中心分辨力为1400TVL,夜晚补光灯开启后,水平中心分辨率为1350TVL)；支持声光警戒；</w:t>
            </w:r>
          </w:p>
          <w:p w14:paraId="6B7D837D">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10.4.支持走廊模式，宽动态，3D降噪，强光抑制，背光补偿，数字水印，适用不同监控环境；</w:t>
            </w:r>
          </w:p>
          <w:p w14:paraId="14A09A33">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10.5.防补光过曝支持人脸优先、车牌优先、关闭3种模式;开启人脸优先功能,设备检测到人员后可自动调节补光灯的亮度,人员离开后补光灯恢复;开启车牌优先功能,设备检测到车辆后可自动开启补光灯并调节亮度,车辆离开后补光灯关闭；</w:t>
            </w:r>
          </w:p>
          <w:p w14:paraId="649E2514">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10.6.不小于1400TVL(分辨率设置为2560×1440、帧率设置为25fps、码率设置为1Mbps、RJ45输出)；</w:t>
            </w:r>
          </w:p>
          <w:p w14:paraId="56FA2D48">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10.7.支持ROI，AI H.264/H.265（超级AI编码），灵活编码，适用不同带宽和存储环境；</w:t>
            </w:r>
          </w:p>
          <w:p w14:paraId="5FCF2357">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10.8.具有AI-ISP图像质量提升功能,在低照度环境下,可自动调节预览场景视频画面中人脸、人体、车辆等目标及预览场景视频画面的区域曝光、亮度、色彩饱和度、对比度、锐度等（环境光照度:0.5lx）；</w:t>
            </w:r>
          </w:p>
          <w:p w14:paraId="509F74BC">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10.9.可通过客户端软件或IE浏览器对音频文件进行管理,支持音频文件预览播放,内置语音文件3种,支持通过设备自带mic、客户端软件或IE浏览器进行自定义音频文件录制;支持自定义音频文件上传及下载;自定义音频支持PCM/G.711A/G.711U/AAC，4种编码格式的WAV/PCM/MP3三种文件格式；</w:t>
            </w:r>
          </w:p>
          <w:p w14:paraId="4B985C77">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10.10.支持DC12V/POE供电方式，支持IP67防护等级；</w:t>
            </w:r>
          </w:p>
          <w:p w14:paraId="6EED95AC">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10.11.内置&gt;256 GB MicroSD/MicroSDHC/MicroSDXC卡本地存储</w:t>
            </w:r>
          </w:p>
          <w:p w14:paraId="0010DDBE">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10.12.设备接入与管理功能：支持对视频监控设备的增删改查管理，可配置设备基础信息、位置信息、地图应用参数；支持通过下级平台IP、端口接入多个上级/下级平台，可筛选下级平台设备并接入本平台，</w:t>
            </w:r>
            <w:r>
              <w:rPr>
                <w:rFonts w:hint="eastAsia" w:ascii="仿宋" w:hAnsi="仿宋" w:eastAsia="仿宋" w:cs="仿宋"/>
                <w:b/>
                <w:bCs/>
                <w:color w:val="auto"/>
                <w:sz w:val="21"/>
                <w:szCs w:val="21"/>
                <w:highlight w:val="none"/>
                <w:lang w:val="en-US" w:eastAsia="zh-CN"/>
              </w:rPr>
              <w:t>需与安徽省垃圾分类综合服务平台完成视频流推送，确保对接通畅，使用正常；平台支持不小于7天回放功能，为各级管理者提供端口查看。</w:t>
            </w:r>
          </w:p>
          <w:p w14:paraId="092FC202">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10.13.</w:t>
            </w:r>
            <w:r>
              <w:rPr>
                <w:rFonts w:hint="eastAsia" w:ascii="仿宋" w:hAnsi="仿宋" w:eastAsia="仿宋" w:cs="仿宋"/>
                <w:b/>
                <w:bCs/>
                <w:color w:val="auto"/>
                <w:sz w:val="21"/>
                <w:szCs w:val="21"/>
                <w:highlight w:val="none"/>
                <w:lang w:val="en-US" w:eastAsia="zh-CN"/>
              </w:rPr>
              <w:t>流量卡：流量池（不低于10GB/个/月）-使用期3年</w:t>
            </w:r>
          </w:p>
          <w:p w14:paraId="283DA593">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11.</w:t>
            </w:r>
            <w:r>
              <w:rPr>
                <w:rFonts w:hint="eastAsia" w:ascii="仿宋" w:hAnsi="仿宋" w:eastAsia="仿宋" w:cs="仿宋"/>
                <w:color w:val="auto"/>
                <w:sz w:val="21"/>
                <w:szCs w:val="21"/>
                <w:highlight w:val="none"/>
              </w:rPr>
              <w:t>点位宣传</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中标人需</w:t>
            </w:r>
            <w:r>
              <w:rPr>
                <w:rFonts w:hint="eastAsia" w:ascii="仿宋" w:hAnsi="仿宋" w:eastAsia="仿宋" w:cs="仿宋"/>
                <w:color w:val="auto"/>
                <w:sz w:val="21"/>
                <w:szCs w:val="21"/>
                <w:highlight w:val="none"/>
              </w:rPr>
              <w:t>开展点位宣传活动，提供相关宣传物料物品</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宣传折页和宣传小礼品各100份</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，配合招标人</w:t>
            </w:r>
            <w:r>
              <w:rPr>
                <w:rFonts w:hint="eastAsia" w:ascii="仿宋" w:hAnsi="仿宋" w:eastAsia="仿宋" w:cs="仿宋"/>
                <w:color w:val="auto"/>
                <w:sz w:val="21"/>
                <w:szCs w:val="21"/>
                <w:highlight w:val="none"/>
                <w:lang w:val="en-US" w:eastAsia="zh-CN"/>
              </w:rPr>
              <w:t>开展各项宣传工作。</w:t>
            </w:r>
          </w:p>
          <w:p w14:paraId="2805768C">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注：标★项需提供具有CMA标志的第三方权威检测机构出具的检测报告扫描件，如投标人提供虚假材料谋取中标的，将根据政府采购相关规定追责处理。</w:t>
            </w:r>
          </w:p>
        </w:tc>
      </w:tr>
    </w:tbl>
    <w:p w14:paraId="78AC7FA6">
      <w:pP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br w:type="page"/>
      </w:r>
    </w:p>
    <w:p w14:paraId="00D03A6A">
      <w:pPr>
        <w:spacing w:line="520" w:lineRule="exact"/>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②生活垃圾分类集中投放站点改造（三投口分类箱）技术参数要求</w:t>
      </w:r>
    </w:p>
    <w:tbl>
      <w:tblPr>
        <w:tblStyle w:val="27"/>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91"/>
        <w:gridCol w:w="8423"/>
      </w:tblGrid>
      <w:tr w14:paraId="4FF7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jc w:val="center"/>
        </w:trPr>
        <w:tc>
          <w:tcPr>
            <w:tcW w:w="1091" w:type="dxa"/>
            <w:tcMar>
              <w:top w:w="8" w:type="dxa"/>
              <w:left w:w="8" w:type="dxa"/>
              <w:bottom w:w="0" w:type="dxa"/>
              <w:right w:w="8" w:type="dxa"/>
            </w:tcMar>
            <w:vAlign w:val="center"/>
          </w:tcPr>
          <w:p w14:paraId="71975768">
            <w:pPr>
              <w:keepNext w:val="0"/>
              <w:keepLines w:val="0"/>
              <w:pageBreakBefore w:val="0"/>
              <w:widowControl w:val="0"/>
              <w:tabs>
                <w:tab w:val="left" w:pos="645"/>
              </w:tabs>
              <w:kinsoku/>
              <w:wordWrap w:val="0"/>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货物名称</w:t>
            </w:r>
          </w:p>
        </w:tc>
        <w:tc>
          <w:tcPr>
            <w:tcW w:w="8423" w:type="dxa"/>
            <w:tcMar>
              <w:top w:w="8" w:type="dxa"/>
              <w:left w:w="8" w:type="dxa"/>
              <w:bottom w:w="0" w:type="dxa"/>
              <w:right w:w="8" w:type="dxa"/>
            </w:tcMar>
            <w:vAlign w:val="center"/>
          </w:tcPr>
          <w:p w14:paraId="242E901B">
            <w:pPr>
              <w:keepNext w:val="0"/>
              <w:keepLines w:val="0"/>
              <w:pageBreakBefore w:val="0"/>
              <w:widowControl w:val="0"/>
              <w:tabs>
                <w:tab w:val="left" w:pos="645"/>
              </w:tabs>
              <w:kinsoku/>
              <w:wordWrap w:val="0"/>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具体技术参数</w:t>
            </w:r>
          </w:p>
        </w:tc>
      </w:tr>
      <w:tr w14:paraId="60FD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1" w:type="dxa"/>
            <w:tcMar>
              <w:top w:w="8" w:type="dxa"/>
              <w:left w:w="8" w:type="dxa"/>
              <w:bottom w:w="0" w:type="dxa"/>
              <w:right w:w="8" w:type="dxa"/>
            </w:tcMar>
            <w:vAlign w:val="center"/>
          </w:tcPr>
          <w:p w14:paraId="135C1222">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生活垃圾分类集中投放站点改造（三投口分类箱）</w:t>
            </w:r>
          </w:p>
          <w:p w14:paraId="38156BE6">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p>
        </w:tc>
        <w:tc>
          <w:tcPr>
            <w:tcW w:w="8423" w:type="dxa"/>
            <w:tcMar>
              <w:top w:w="8" w:type="dxa"/>
              <w:left w:w="8" w:type="dxa"/>
              <w:bottom w:w="0" w:type="dxa"/>
              <w:right w:w="8" w:type="dxa"/>
            </w:tcMar>
            <w:vAlign w:val="center"/>
          </w:tcPr>
          <w:p w14:paraId="4C6543CF">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1.三投口分类箱+洗手池及有害垃圾箱，集成尺寸不小于：长2800*宽800（顶宽1200）*前高2150（后高2100）（mm）</w:t>
            </w:r>
          </w:p>
          <w:p w14:paraId="7F6B9B44">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2.地基、接水接电：</w:t>
            </w:r>
          </w:p>
          <w:p w14:paraId="34CA6CF2">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2.1.地基不小于：长3100*宽1000（mm）+再生资源智能回收箱地基面积（根据配备的设备类型而定），清除表面浮土后将原地面挖深 10cm整平压实无杂物；素土和回填土夯实度不小于95%；地面硬化：地面整平，10cmC25混凝土；</w:t>
            </w:r>
          </w:p>
          <w:p w14:paraId="00F93DED">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2.2.聚氯乙烯绝缘助燃电线：产品标准和技术要求满足GB/T 5023.3-2008绝缘平均厚度≥0.7mm，绝缘老化前抗张强度≥13.9N/㎟，绝缘老化前断裂伸长率≥230%，20℃时导体电阻≤12Ω/km。</w:t>
            </w:r>
          </w:p>
          <w:p w14:paraId="3DC86464">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2.3.PVC-U绝缘阻燃电工套管：最小壁厚≥1.0mm，阻燃性能自熄时间≤3s，氧指数OI≥32.0，绝缘强度15min内不击穿，绝缘电阻≥200MΩ。</w:t>
            </w:r>
          </w:p>
          <w:p w14:paraId="67AD2C7B">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2.4.配电箱：1个，阻燃绝缘壳体，多重电路保护，防潮抗湿，分断可靠，适配垃圾房照明、监控配电，安全耐用、检修便捷。</w:t>
            </w:r>
          </w:p>
          <w:p w14:paraId="6AA6C094">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2.5.插座：1个，阻燃防火材质，内置防触电保护门，导电铜件防锈耐磨，防潮易清洁，适配垃圾分类设施供电，安全稳定、使用寿命长。</w:t>
            </w:r>
          </w:p>
          <w:p w14:paraId="7F5190B8">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2.6.给排水：进水</w:t>
            </w:r>
            <w:r>
              <w:rPr>
                <w:rFonts w:hint="eastAsia" w:ascii="仿宋" w:hAnsi="仿宋" w:eastAsia="仿宋" w:cs="仿宋"/>
                <w:strike w:val="0"/>
                <w:dstrike w:val="0"/>
                <w:color w:val="auto"/>
                <w:sz w:val="21"/>
                <w:szCs w:val="21"/>
                <w:highlight w:val="none"/>
                <w:lang w:val="en-US" w:eastAsia="zh-CN"/>
              </w:rPr>
              <w:t>DN</w:t>
            </w:r>
            <w:r>
              <w:rPr>
                <w:rFonts w:hint="eastAsia" w:ascii="仿宋" w:hAnsi="仿宋" w:eastAsia="仿宋" w:cs="仿宋"/>
                <w:color w:val="auto"/>
                <w:sz w:val="21"/>
                <w:szCs w:val="21"/>
                <w:highlight w:val="none"/>
                <w:lang w:val="en-US" w:eastAsia="zh-CN"/>
              </w:rPr>
              <w:t>20mm水管，排水</w:t>
            </w:r>
            <w:r>
              <w:rPr>
                <w:rFonts w:hint="eastAsia" w:ascii="仿宋" w:hAnsi="仿宋" w:eastAsia="仿宋" w:cs="仿宋"/>
                <w:strike w:val="0"/>
                <w:dstrike w:val="0"/>
                <w:color w:val="auto"/>
                <w:sz w:val="21"/>
                <w:szCs w:val="21"/>
                <w:highlight w:val="none"/>
                <w:lang w:val="en-US" w:eastAsia="zh-CN"/>
              </w:rPr>
              <w:t>DN</w:t>
            </w:r>
            <w:r>
              <w:rPr>
                <w:rFonts w:hint="eastAsia" w:ascii="仿宋" w:hAnsi="仿宋" w:eastAsia="仿宋" w:cs="仿宋"/>
                <w:color w:val="auto"/>
                <w:sz w:val="21"/>
                <w:szCs w:val="21"/>
                <w:highlight w:val="none"/>
                <w:lang w:val="en-US" w:eastAsia="zh-CN"/>
              </w:rPr>
              <w:t>48mm圆管（外接DN50mm圆管对接）</w:t>
            </w:r>
          </w:p>
          <w:p w14:paraId="39DF8462">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注：中标人负责点位30米内距离内接电、接通给排水管道，超过部分额外核算签证；水电开户由点位属地负责。</w:t>
            </w:r>
          </w:p>
          <w:p w14:paraId="154C4B14">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3.箱体材质：</w:t>
            </w:r>
          </w:p>
          <w:p w14:paraId="29055B9C">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3.1.投放口面板采用1.2mm镀锌卷板加工成型；</w:t>
            </w:r>
          </w:p>
          <w:p w14:paraId="75D82260">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3.2.顶面、底板、后背板、左右侧板选用1.2mm镀锌卷板；</w:t>
            </w:r>
          </w:p>
          <w:p w14:paraId="680B06FD">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3.3.镀锌卷板表面无缺陷，镀层质量≥52g/㎡，屈服强度≥375MPa，抗拉强度≥431MPa，断后伸长率≥28.5%；</w:t>
            </w:r>
          </w:p>
          <w:p w14:paraId="77EC6503">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3.4.顶面、内部支撑骨架由50×50×1.2mm、40×40×1.2mm、30×30×1.2mm 管材组合搭建；</w:t>
            </w:r>
          </w:p>
          <w:p w14:paraId="5BA1FDB8">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3.5.底部承重骨架：采用F40方矩形热镀锌焊管40×40×1.2mm管材,材质符合GB/T6728-2025《结构用冷弯型钢》要求，抗拉强度≥380MPa,屈服强度≥290MPa,断后伸长率≥29%,镀锌层重量*(平均值)≥220g/m²;</w:t>
            </w:r>
          </w:p>
          <w:p w14:paraId="249A9ED6">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3.6.全部镀锌板构件经高温烤漆防腐处理，垃圾收集箱门采用1.0mm镀锌板烤漆工艺，投放口具备手动开启、脚踏开启双模式；</w:t>
            </w:r>
          </w:p>
          <w:p w14:paraId="2103E66D">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3.7.投放口需印制对应的四分类标识，侧面安装垃圾分类责任单位公示牌，设置可更换式宣传广告牌，用于垃圾分类宣传。</w:t>
            </w:r>
          </w:p>
          <w:p w14:paraId="427729F3">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4.门头字：</w:t>
            </w:r>
          </w:p>
          <w:p w14:paraId="4D8072C5">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4.1底板尺寸：长1800*高200mm，logo与文字字高15mm，材质选用5mm 厚PVC板，经UV雕刻工艺加工成型。</w:t>
            </w:r>
          </w:p>
          <w:p w14:paraId="17C7A8E9">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4.2按照招标人要求，对点位进行编号，安装编号牌，5mm 厚PVC板。</w:t>
            </w:r>
          </w:p>
          <w:p w14:paraId="42D86472">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5.灭蚊灯：</w:t>
            </w:r>
          </w:p>
          <w:p w14:paraId="632B02A1">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5.1输入电压：220V~50Hz 额定功率：10W ；材质：铝合金或者阻燃ABS。</w:t>
            </w:r>
          </w:p>
          <w:p w14:paraId="7E1A3D8A">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5.2.产品标准和技术要求满足GB4706.1-2005，GB4706. 76-2008，器具外壳各部分以0.5±0.04J的冲击能量打击三次后，应无损坏；软线的最大位移为2mm，导线在接线端子上的移动不大于1mm。</w:t>
            </w:r>
          </w:p>
          <w:p w14:paraId="6122F248">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6.洗手池（洗面器）：</w:t>
            </w:r>
          </w:p>
          <w:p w14:paraId="734492C6">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6.1.支架骨架采用30×30×1.2mm 镀锌板折弯一体成型，表层高温烤漆，防锈坚固，上方安置陶瓷洗手盆；</w:t>
            </w:r>
          </w:p>
          <w:p w14:paraId="3BFFAA5B">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6.2.洗手池（洗面器）：抗裂性应符合GB/T6952-2015/8.5要求，经抗裂试验，应无有釉裂及坯裂。溢流功能应符合GB/T6952-2015/8.9要求，应保持5min无溢流。</w:t>
            </w:r>
          </w:p>
          <w:p w14:paraId="6DB9B698">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6.3.洗手池上方配置仪容镜，尺寸参数：宽500*高700mm。</w:t>
            </w:r>
          </w:p>
          <w:p w14:paraId="06427925">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7.照明灯</w:t>
            </w:r>
          </w:p>
          <w:p w14:paraId="179941E4">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7.1.分类箱正面檐口凸出8cm，下檐口配备LED低压灯条</w:t>
            </w:r>
          </w:p>
          <w:p w14:paraId="4ADE6E18">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LED低压灯条参数要求：电压：24V；板宽≥8mm、色温：6000K</w:t>
            </w:r>
          </w:p>
          <w:p w14:paraId="40149319">
            <w:pP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7.2.产品标准和技术要求满足GB 7000.1-2015、GB 7000.9-2008，拉力试验满足50次，拉力30N，位移≤2mm。</w:t>
            </w:r>
          </w:p>
          <w:p w14:paraId="668618C5">
            <w:pPr>
              <w:numPr>
                <w:ilvl w:val="0"/>
                <w:numId w:val="0"/>
              </w:numP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8.手提</w:t>
            </w:r>
            <w:r>
              <w:rPr>
                <w:rFonts w:hint="eastAsia" w:ascii="仿宋" w:hAnsi="仿宋" w:eastAsia="仿宋" w:cs="仿宋"/>
                <w:color w:val="auto"/>
                <w:highlight w:val="none"/>
                <w:lang w:val="en-US" w:eastAsia="zh-CN"/>
              </w:rPr>
              <w:t>式干</w:t>
            </w:r>
            <w:r>
              <w:rPr>
                <w:rFonts w:hint="eastAsia" w:ascii="仿宋" w:hAnsi="仿宋" w:eastAsia="仿宋" w:cs="仿宋"/>
                <w:color w:val="auto"/>
                <w:sz w:val="21"/>
                <w:szCs w:val="21"/>
                <w:highlight w:val="none"/>
                <w:lang w:val="en-US" w:eastAsia="zh-CN"/>
              </w:rPr>
              <w:t>粉灭火器：1只，规格：2kg，产品质量符合国家标准。</w:t>
            </w:r>
            <w:r>
              <w:rPr>
                <w:rFonts w:hint="eastAsia" w:ascii="仿宋" w:hAnsi="仿宋" w:eastAsia="仿宋" w:cs="仿宋"/>
                <w:color w:val="auto"/>
                <w:highlight w:val="none"/>
                <w:lang w:val="en-US" w:eastAsia="zh-CN"/>
              </w:rPr>
              <w:t>消防应急照明灯:1只，持续应急时间不少于60min，蓄电池容量不小于400mAh；</w:t>
            </w:r>
            <w:r>
              <w:rPr>
                <w:rFonts w:hint="eastAsia" w:ascii="仿宋" w:hAnsi="仿宋" w:eastAsia="仿宋" w:cs="仿宋"/>
                <w:color w:val="auto"/>
                <w:sz w:val="21"/>
                <w:szCs w:val="21"/>
                <w:highlight w:val="none"/>
                <w:lang w:val="en-US" w:eastAsia="zh-CN"/>
              </w:rPr>
              <w:t>产品质量符合国家标准。</w:t>
            </w:r>
          </w:p>
          <w:p w14:paraId="2D6E9601">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9.具备功能：内置240升垃圾桶，可防止臭气外溢，居民投放可选择脚踏式或手推式开门，具备遮雨棚、灭蚊消杀、洗手、照明、密闭等功能，便于居民分类投放和清运。</w:t>
            </w:r>
          </w:p>
          <w:p w14:paraId="165FB4F3">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10.监控摄像头：</w:t>
            </w:r>
          </w:p>
          <w:p w14:paraId="6D68CEEA">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10.1.每个点位1个，采用不低于400万像素1/1.8英寸CMOS图像传感器；</w:t>
            </w:r>
          </w:p>
          <w:p w14:paraId="08720A66">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10.2.采用AI ISP技术，支持周界防范（绊线入侵，区域入侵）、SMD Plus(人形/车形检测)；</w:t>
            </w:r>
          </w:p>
          <w:p w14:paraId="084AE5A8">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10.3.设备具有日夜场景自适应功能,在白天和夜晚环境下,设备均可输出彩色图像,在夜晚自动开启补光灯条件下,设备夜晚图像清晰度应不低于白天图像清晰度的95%；(白天环境下,水平中心分辨力为1400TVL,夜晚补光灯开启后,水平中心分辨率为1350TVL)；支持声光警戒；</w:t>
            </w:r>
          </w:p>
          <w:p w14:paraId="4BA11792">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10.4.支持走廊模式，宽动态，3D降噪，强光抑制，背光补偿，数字水印，适用不同监控环境；</w:t>
            </w:r>
          </w:p>
          <w:p w14:paraId="1FCC45B4">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10.5.防补光过曝支持人脸优先、车牌优先、关闭3种模式;开启人脸优先功能,设备检测到人员后可自动调节补光灯的亮度,人员离开后补光灯恢复;开启车牌优先功能,设备检测到车辆后可自动开启补光灯并调节亮度,车辆离开后补光灯关闭；</w:t>
            </w:r>
          </w:p>
          <w:p w14:paraId="2BCCEF0E">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10.6.不小于1400TVL(分辨率设置为2560×1440、帧率设置为25fps、码率设置为1Mbps、RJ45输出)；</w:t>
            </w:r>
          </w:p>
          <w:p w14:paraId="09E6D33D">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10.7.支持ROI，AI H.264/H.265（超级AI编码），灵活编码，适用不同带宽和存储环境；</w:t>
            </w:r>
          </w:p>
          <w:p w14:paraId="2F9BB2EC">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10.8.具有AI-ISP图像质量提升功能,在低照度环境下,可自动调节预览场景视频画面中人脸、人体、车辆等目标及预览场景视频画面的区域曝光、亮度、色彩饱和度、对比度、锐度等（环境光照度:0.5lx）；</w:t>
            </w:r>
          </w:p>
          <w:p w14:paraId="6534FE2A">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10.9.可通过客户端软件或IE浏览器对音频文件进行管理,支持音频文件预览播放,内置语音文件3种,支持通过设备自带mic、客户端软件或IE浏览器进行自定义音频文件录制;支持自定义音频文件上传及下载;自定义音频支持PCM/G.711A/G.711U/AAC，4种编码格式的WAV/PCM/MP3三种文件格式；</w:t>
            </w:r>
          </w:p>
          <w:p w14:paraId="4AB51580">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10.10.支持DC12V/POE供电方式，支持IP67防护等级；</w:t>
            </w:r>
          </w:p>
          <w:p w14:paraId="18586B20">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10.11.内置&gt;256 GB MicroSD/MicroSDHC/MicroSDXC卡本地存储</w:t>
            </w:r>
          </w:p>
          <w:p w14:paraId="16C653A3">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10.12.设备接入与管理功能：支持对视频监控设备的增删改查管理，可配置设备基础信息、位置信息、地图应用参数；支持通过下级平台IP、端口接入多个上级/下级平台，可筛选下级平台设备并接入本平台，</w:t>
            </w:r>
            <w:r>
              <w:rPr>
                <w:rFonts w:hint="eastAsia" w:ascii="仿宋" w:hAnsi="仿宋" w:eastAsia="仿宋" w:cs="仿宋"/>
                <w:b/>
                <w:bCs/>
                <w:color w:val="auto"/>
                <w:sz w:val="21"/>
                <w:szCs w:val="21"/>
                <w:highlight w:val="none"/>
                <w:lang w:val="en-US" w:eastAsia="zh-CN"/>
              </w:rPr>
              <w:t>需与安徽省垃圾分类综合服务平台完成视频流推送，确保对接通畅，使用正常；平台支持不小于7天回放功能，为各级管理者提供端口查看。</w:t>
            </w:r>
          </w:p>
          <w:p w14:paraId="74DF6883">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10.13.</w:t>
            </w:r>
            <w:r>
              <w:rPr>
                <w:rFonts w:hint="eastAsia" w:ascii="仿宋" w:hAnsi="仿宋" w:eastAsia="仿宋" w:cs="仿宋"/>
                <w:b/>
                <w:bCs/>
                <w:color w:val="auto"/>
                <w:sz w:val="21"/>
                <w:szCs w:val="21"/>
                <w:highlight w:val="none"/>
                <w:lang w:val="en-US" w:eastAsia="zh-CN"/>
              </w:rPr>
              <w:t>流量卡：流量池（不低于10GB/个/月）-使用期3年</w:t>
            </w:r>
          </w:p>
          <w:p w14:paraId="36070F4F">
            <w:pPr>
              <w:keepNext w:val="0"/>
              <w:keepLines w:val="0"/>
              <w:pageBreakBefore w:val="0"/>
              <w:widowControl w:val="0"/>
              <w:numPr>
                <w:ilvl w:val="0"/>
                <w:numId w:val="0"/>
              </w:numPr>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11.点位宣传：中标人需开展点位宣传活动，提供相关宣传物料物品（宣传折页和宣传小礼品各100份），配合招标人开展各项宣传工作。</w:t>
            </w:r>
          </w:p>
        </w:tc>
      </w:tr>
    </w:tbl>
    <w:p w14:paraId="7863AC1D">
      <w:pPr>
        <w:spacing w:line="520" w:lineRule="exact"/>
        <w:ind w:firstLine="437"/>
        <w:jc w:val="left"/>
        <w:rPr>
          <w:rFonts w:hint="eastAsia" w:ascii="仿宋" w:hAnsi="仿宋" w:eastAsia="仿宋" w:cs="仿宋"/>
          <w:color w:val="auto"/>
          <w:sz w:val="24"/>
          <w:szCs w:val="24"/>
          <w:highlight w:val="none"/>
          <w:lang w:val="en-US" w:eastAsia="zh-CN"/>
        </w:rPr>
      </w:pPr>
    </w:p>
    <w:p w14:paraId="7FE14CC0">
      <w:pPr>
        <w:spacing w:line="520" w:lineRule="exact"/>
        <w:ind w:firstLine="437"/>
        <w:jc w:val="left"/>
        <w:rPr>
          <w:rFonts w:hint="eastAsia" w:ascii="仿宋" w:hAnsi="仿宋" w:eastAsia="仿宋" w:cs="仿宋"/>
          <w:color w:val="auto"/>
          <w:sz w:val="24"/>
          <w:szCs w:val="24"/>
          <w:highlight w:val="none"/>
          <w:lang w:val="en-US" w:eastAsia="zh-CN"/>
        </w:rPr>
      </w:pPr>
    </w:p>
    <w:p w14:paraId="32073945">
      <w:pPr>
        <w:spacing w:line="520" w:lineRule="exact"/>
        <w:ind w:firstLine="437"/>
        <w:jc w:val="left"/>
        <w:rPr>
          <w:rFonts w:hint="eastAsia" w:ascii="仿宋" w:hAnsi="仿宋" w:eastAsia="仿宋" w:cs="仿宋"/>
          <w:color w:val="auto"/>
          <w:sz w:val="24"/>
          <w:szCs w:val="24"/>
          <w:highlight w:val="none"/>
          <w:lang w:val="en-US" w:eastAsia="zh-CN"/>
        </w:rPr>
      </w:pPr>
    </w:p>
    <w:p w14:paraId="2E879C45">
      <w:pPr>
        <w:spacing w:line="520" w:lineRule="exact"/>
        <w:ind w:firstLine="437"/>
        <w:jc w:val="left"/>
        <w:rPr>
          <w:rFonts w:hint="eastAsia" w:ascii="仿宋" w:hAnsi="仿宋" w:eastAsia="仿宋" w:cs="仿宋"/>
          <w:color w:val="auto"/>
          <w:sz w:val="24"/>
          <w:szCs w:val="24"/>
          <w:highlight w:val="none"/>
          <w:lang w:val="en-US" w:eastAsia="zh-CN"/>
        </w:rPr>
      </w:pPr>
    </w:p>
    <w:p w14:paraId="41ACBD5B">
      <w:pPr>
        <w:spacing w:line="520" w:lineRule="exact"/>
        <w:jc w:val="left"/>
        <w:rPr>
          <w:rFonts w:hint="eastAsia" w:ascii="仿宋" w:hAnsi="仿宋" w:eastAsia="仿宋" w:cs="仿宋"/>
          <w:b/>
          <w:bCs/>
          <w:color w:val="auto"/>
          <w:sz w:val="24"/>
          <w:szCs w:val="24"/>
          <w:highlight w:val="none"/>
          <w:lang w:val="en-US" w:eastAsia="zh-CN"/>
        </w:rPr>
      </w:pPr>
    </w:p>
    <w:p w14:paraId="355C881C">
      <w:pP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br w:type="page"/>
      </w:r>
    </w:p>
    <w:p w14:paraId="68179C6E">
      <w:pPr>
        <w:spacing w:line="520" w:lineRule="exact"/>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③生活垃圾分类集中投放站点改造（二投口分类箱）技术参数要求</w:t>
      </w:r>
    </w:p>
    <w:tbl>
      <w:tblPr>
        <w:tblStyle w:val="27"/>
        <w:tblW w:w="9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00"/>
        <w:gridCol w:w="8099"/>
      </w:tblGrid>
      <w:tr w14:paraId="20FF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200" w:type="dxa"/>
            <w:tcMar>
              <w:top w:w="8" w:type="dxa"/>
              <w:left w:w="8" w:type="dxa"/>
              <w:bottom w:w="0" w:type="dxa"/>
              <w:right w:w="8" w:type="dxa"/>
            </w:tcMar>
            <w:vAlign w:val="center"/>
          </w:tcPr>
          <w:p w14:paraId="3233973B">
            <w:pPr>
              <w:jc w:val="center"/>
              <w:rPr>
                <w:rFonts w:hint="eastAsia" w:ascii="仿宋" w:hAnsi="仿宋" w:eastAsia="仿宋" w:cs="仿宋"/>
                <w:color w:val="auto"/>
                <w:highlight w:val="none"/>
                <w:lang w:val="en-US" w:eastAsia="zh-CN"/>
              </w:rPr>
            </w:pPr>
            <w:r>
              <w:rPr>
                <w:rFonts w:hint="eastAsia" w:ascii="仿宋" w:hAnsi="仿宋" w:eastAsia="仿宋" w:cs="仿宋"/>
                <w:b/>
                <w:bCs/>
                <w:color w:val="auto"/>
                <w:highlight w:val="none"/>
                <w:lang w:val="en-US" w:eastAsia="zh-CN"/>
              </w:rPr>
              <w:t>货物名称</w:t>
            </w:r>
          </w:p>
        </w:tc>
        <w:tc>
          <w:tcPr>
            <w:tcW w:w="8099" w:type="dxa"/>
            <w:tcMar>
              <w:top w:w="8" w:type="dxa"/>
              <w:left w:w="8" w:type="dxa"/>
              <w:bottom w:w="0" w:type="dxa"/>
              <w:right w:w="8" w:type="dxa"/>
            </w:tcMar>
            <w:vAlign w:val="center"/>
          </w:tcPr>
          <w:p w14:paraId="2CAC37A7">
            <w:pPr>
              <w:jc w:val="center"/>
              <w:rPr>
                <w:rFonts w:hint="eastAsia" w:ascii="仿宋" w:hAnsi="仿宋" w:eastAsia="仿宋" w:cs="仿宋"/>
                <w:color w:val="auto"/>
                <w:highlight w:val="none"/>
              </w:rPr>
            </w:pPr>
            <w:r>
              <w:rPr>
                <w:rFonts w:hint="eastAsia" w:ascii="仿宋" w:hAnsi="仿宋" w:eastAsia="仿宋" w:cs="仿宋"/>
                <w:b/>
                <w:bCs/>
                <w:color w:val="auto"/>
                <w:highlight w:val="none"/>
              </w:rPr>
              <w:t>具体技术参数</w:t>
            </w:r>
          </w:p>
        </w:tc>
      </w:tr>
      <w:tr w14:paraId="332A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9" w:hRule="atLeast"/>
          <w:jc w:val="center"/>
        </w:trPr>
        <w:tc>
          <w:tcPr>
            <w:tcW w:w="1200" w:type="dxa"/>
            <w:tcMar>
              <w:top w:w="8" w:type="dxa"/>
              <w:left w:w="8" w:type="dxa"/>
              <w:bottom w:w="0" w:type="dxa"/>
              <w:right w:w="8" w:type="dxa"/>
            </w:tcMar>
            <w:vAlign w:val="center"/>
          </w:tcPr>
          <w:p w14:paraId="5A92FD48">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生活垃圾分类集中投放站点改造（二投口分类箱）</w:t>
            </w:r>
          </w:p>
          <w:p w14:paraId="26622CFE">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p>
        </w:tc>
        <w:tc>
          <w:tcPr>
            <w:tcW w:w="8099" w:type="dxa"/>
            <w:tcMar>
              <w:top w:w="8" w:type="dxa"/>
              <w:left w:w="8" w:type="dxa"/>
              <w:bottom w:w="0" w:type="dxa"/>
              <w:right w:w="8" w:type="dxa"/>
            </w:tcMar>
            <w:vAlign w:val="center"/>
          </w:tcPr>
          <w:p w14:paraId="2C5FB8A6">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1.三投口分类箱+洗手池及有害垃圾箱，集成尺寸不小于：长2100*宽800（顶宽1200）*前高2150（后高2100）（mm）</w:t>
            </w:r>
          </w:p>
          <w:p w14:paraId="5E896051">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2.地基、接水接电：</w:t>
            </w:r>
          </w:p>
          <w:p w14:paraId="24361621">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2.1.地基不小于：长2400*宽1000（mm）+再生资源智能回收箱地基面积（根据配备的设备类型而定），清除表面浮土后将原地面挖深 10cm整平压实无杂物；素土和回填土夯实度不小于95%；地面硬化：地面整平，10cmC25混凝土；</w:t>
            </w:r>
          </w:p>
          <w:p w14:paraId="108769A8">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2.2.聚氯乙烯绝缘助燃电线：产品标准和技术要求满足GB/T 5023.3-2008绝缘平均厚度≥0.7mm，绝缘老化前抗张强度≥13.9N/㎟，绝缘老化前断裂伸长率≥230%，20℃时导体电阻≤12Ω/km。</w:t>
            </w:r>
          </w:p>
          <w:p w14:paraId="66D73AAE">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2.3.PVC-U绝缘阻燃电工套管：最小壁厚≥1.0mm，阻燃性能自熄时间≤3s，氧指数OI≥32.0，绝缘强度15min内不击穿，绝缘电阻≥200MΩ。</w:t>
            </w:r>
          </w:p>
          <w:p w14:paraId="580293A6">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2.4.配电箱：1个，阻燃绝缘壳体，多重电路保护，防潮抗湿，分断可靠，适配垃圾房照明、监控配电，安全耐用、检修便捷。</w:t>
            </w:r>
          </w:p>
          <w:p w14:paraId="68FA85E7">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2.5.插座：1个，阻燃防火材质，内置防触电保护门，导电铜件防锈耐磨，防潮易清洁，适配垃圾分类设施供电，安全稳定、使用寿命长。</w:t>
            </w:r>
          </w:p>
          <w:p w14:paraId="35F73A18">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2.6.给排水：进水</w:t>
            </w:r>
            <w:r>
              <w:rPr>
                <w:rFonts w:hint="eastAsia" w:ascii="仿宋" w:hAnsi="仿宋" w:eastAsia="仿宋" w:cs="仿宋"/>
                <w:strike w:val="0"/>
                <w:dstrike w:val="0"/>
                <w:color w:val="auto"/>
                <w:sz w:val="21"/>
                <w:szCs w:val="21"/>
                <w:highlight w:val="none"/>
                <w:lang w:val="en-US" w:eastAsia="zh-CN"/>
              </w:rPr>
              <w:t>DN</w:t>
            </w:r>
            <w:r>
              <w:rPr>
                <w:rFonts w:hint="eastAsia" w:ascii="仿宋" w:hAnsi="仿宋" w:eastAsia="仿宋" w:cs="仿宋"/>
                <w:color w:val="auto"/>
                <w:sz w:val="21"/>
                <w:szCs w:val="21"/>
                <w:highlight w:val="none"/>
                <w:lang w:val="en-US" w:eastAsia="zh-CN"/>
              </w:rPr>
              <w:t>20mm水管，排水</w:t>
            </w:r>
            <w:r>
              <w:rPr>
                <w:rFonts w:hint="eastAsia" w:ascii="仿宋" w:hAnsi="仿宋" w:eastAsia="仿宋" w:cs="仿宋"/>
                <w:strike w:val="0"/>
                <w:dstrike w:val="0"/>
                <w:color w:val="auto"/>
                <w:sz w:val="21"/>
                <w:szCs w:val="21"/>
                <w:highlight w:val="none"/>
                <w:lang w:val="en-US" w:eastAsia="zh-CN"/>
              </w:rPr>
              <w:t>DN</w:t>
            </w:r>
            <w:r>
              <w:rPr>
                <w:rFonts w:hint="eastAsia" w:ascii="仿宋" w:hAnsi="仿宋" w:eastAsia="仿宋" w:cs="仿宋"/>
                <w:color w:val="auto"/>
                <w:sz w:val="21"/>
                <w:szCs w:val="21"/>
                <w:highlight w:val="none"/>
                <w:lang w:val="en-US" w:eastAsia="zh-CN"/>
              </w:rPr>
              <w:t>48mm圆管（外接DN50mm圆管对接）</w:t>
            </w:r>
          </w:p>
          <w:p w14:paraId="5235E39A">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注：中标人负责点位30米内距离内接电、接通给排水管道，超过部分额外核算签证；水电开户由点位属地负责。</w:t>
            </w:r>
          </w:p>
          <w:p w14:paraId="58D7C6F6">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3.箱体材质：</w:t>
            </w:r>
          </w:p>
          <w:p w14:paraId="027BD180">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3.1.投放口面板采用1.2mm镀锌卷板加工成型；</w:t>
            </w:r>
          </w:p>
          <w:p w14:paraId="7FABB7DB">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3.2.顶面、底板、后背板、左右侧板选用1.2mm镀锌卷板；</w:t>
            </w:r>
          </w:p>
          <w:p w14:paraId="384CA4E3">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3.3.镀锌卷板表面无缺陷，镀层质量≥52g/㎡，屈服强度≥375MPa，抗拉强度≥431MPa，断后伸长率≥28.5%；</w:t>
            </w:r>
          </w:p>
          <w:p w14:paraId="222ACFB3">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3.4.顶面、内部支撑骨架由50×50×1.2mm、40×40×1.2mm、30×30×1.2mm 管材组合搭建；</w:t>
            </w:r>
          </w:p>
          <w:p w14:paraId="14CE7D32">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3.5.底部承重骨架：采用F40方矩形热镀锌焊管40×40×1.2mm管材,材质符合GB/T6728-2025《结构用冷弯型钢》要求，抗拉强度≥380MPa,屈服强度≥290MPa,断后伸长率≥29%,镀锌层重量*(平均值)≥220g/m²;</w:t>
            </w:r>
          </w:p>
          <w:p w14:paraId="0A9EF7D9">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3.6.全部镀锌板构件经高温烤漆防腐处理，垃圾收集箱门采用 1.0mm 镀锌板烤漆工艺，投放口具备手动开启、脚踏开启双模式；</w:t>
            </w:r>
          </w:p>
          <w:p w14:paraId="22A2F133">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3.7.投放口需印制对应的四分类标识，侧面安装垃圾分类责任单位公示牌，设置可更换式宣传广告牌，用于垃圾分类宣传。</w:t>
            </w:r>
          </w:p>
          <w:p w14:paraId="310674DF">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4.门头字：</w:t>
            </w:r>
          </w:p>
          <w:p w14:paraId="0580BC54">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4.1.底板尺寸：长1800*高200mm，logo与文字字高15mm，材质选用5mm 厚PVC板，经UV雕刻工艺加工成型。</w:t>
            </w:r>
          </w:p>
          <w:p w14:paraId="7D1A4312">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4.2.按照招标人要求，对点位进行编号，安装编号牌，5mm 厚PVC板。</w:t>
            </w:r>
          </w:p>
          <w:p w14:paraId="5A8CB00C">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5.灭蚊灯：</w:t>
            </w:r>
          </w:p>
          <w:p w14:paraId="120A9F9D">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5.1.输入电压：220V~50Hz 额定功率：10W ；材质：铝合金或者阻燃ABS。</w:t>
            </w:r>
          </w:p>
          <w:p w14:paraId="59F9C76F">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5.2.产品标准和技术要求满足GB4706.1-2005，GB4706. 76-2008，器具外壳各部分以0.5±0.04J的冲击能量打击三次后，应无损坏；软线的最大位移为2mm，导线在接线端子上的移动不大于1mm。</w:t>
            </w:r>
          </w:p>
          <w:p w14:paraId="00EF972E">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6.洗手池（洗面器）：</w:t>
            </w:r>
          </w:p>
          <w:p w14:paraId="2BEDECAD">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6.1.支架骨架采用 30×30×1.2mm 镀锌板折弯一体成型，表层高温烤漆，防锈坚固，上方安置陶瓷洗手盆；</w:t>
            </w:r>
          </w:p>
          <w:p w14:paraId="44951D76">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6.2.洗手池（洗面器）：抗裂性应符合GB/T6952-2015/8.5要求，经抗裂试验，应无有釉裂及坯裂。溢流功能应符合GB/T6952-2015/8.9要求，应保持5min无溢流。</w:t>
            </w:r>
          </w:p>
          <w:p w14:paraId="30CE2E91">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6.3.洗手池上方配置仪容镜，尺寸参数：宽500*高700mm。</w:t>
            </w:r>
          </w:p>
          <w:p w14:paraId="28C4B391">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7.照明灯</w:t>
            </w:r>
          </w:p>
          <w:p w14:paraId="34ED7206">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7.1.分类箱正面檐口凸出8cm，下檐口配备LED低压灯条</w:t>
            </w:r>
          </w:p>
          <w:p w14:paraId="3C32D0E9">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LED低压灯条参数要求：电压：24V；板宽≥8mm、色温：6000K</w:t>
            </w:r>
          </w:p>
          <w:p w14:paraId="6343B61D">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7.2.产品标准和技术要求满足GB 7000.1-2015、GB 7000.9-2008，拉力试验满足50次，拉力30N，位移≤2mm。</w:t>
            </w:r>
          </w:p>
          <w:p w14:paraId="2B59BE0C">
            <w:pPr>
              <w:numPr>
                <w:ilvl w:val="0"/>
                <w:numId w:val="0"/>
              </w:numP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8.手提</w:t>
            </w:r>
            <w:r>
              <w:rPr>
                <w:rFonts w:hint="eastAsia" w:ascii="仿宋" w:hAnsi="仿宋" w:eastAsia="仿宋" w:cs="仿宋"/>
                <w:color w:val="auto"/>
                <w:highlight w:val="none"/>
                <w:lang w:val="en-US" w:eastAsia="zh-CN"/>
              </w:rPr>
              <w:t>式干</w:t>
            </w:r>
            <w:r>
              <w:rPr>
                <w:rFonts w:hint="eastAsia" w:ascii="仿宋" w:hAnsi="仿宋" w:eastAsia="仿宋" w:cs="仿宋"/>
                <w:color w:val="auto"/>
                <w:sz w:val="21"/>
                <w:szCs w:val="21"/>
                <w:highlight w:val="none"/>
                <w:lang w:val="en-US" w:eastAsia="zh-CN"/>
              </w:rPr>
              <w:t>粉灭火器：1只，规格：2kg，产品质量符合国家标准。</w:t>
            </w:r>
            <w:r>
              <w:rPr>
                <w:rFonts w:hint="eastAsia" w:ascii="仿宋" w:hAnsi="仿宋" w:eastAsia="仿宋" w:cs="仿宋"/>
                <w:color w:val="auto"/>
                <w:highlight w:val="none"/>
                <w:lang w:val="en-US" w:eastAsia="zh-CN"/>
              </w:rPr>
              <w:t>消防应急照明灯:1只，持续应急时间不少于60min，蓄电池容量不小于400mAh；</w:t>
            </w:r>
            <w:r>
              <w:rPr>
                <w:rFonts w:hint="eastAsia" w:ascii="仿宋" w:hAnsi="仿宋" w:eastAsia="仿宋" w:cs="仿宋"/>
                <w:color w:val="auto"/>
                <w:sz w:val="21"/>
                <w:szCs w:val="21"/>
                <w:highlight w:val="none"/>
                <w:lang w:val="en-US" w:eastAsia="zh-CN"/>
              </w:rPr>
              <w:t>产品质量符合国家标准。</w:t>
            </w:r>
          </w:p>
          <w:p w14:paraId="071785A8">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9.具备功能：内置240升垃圾桶，可防止臭气外溢，居民投放可选择脚踏式或手推式开门，具备遮雨棚、灭蚊消杀、洗手、照明、密闭等功能，便于居民分类投放和清运。</w:t>
            </w:r>
          </w:p>
          <w:p w14:paraId="31A3ED8D">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10.监控摄像头：</w:t>
            </w:r>
          </w:p>
          <w:p w14:paraId="4525378D">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10.1.每个点位1个，采用不低于400万像素1/1.8英寸CMOS图像传感器；</w:t>
            </w:r>
          </w:p>
          <w:p w14:paraId="5F46BBA0">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10.2.采用AI ISP技术，支持周界防范（绊线入侵，区域入侵）、SMD Plus(人形/车形检测)；</w:t>
            </w:r>
          </w:p>
          <w:p w14:paraId="118F0436">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10.3.设备具有日夜场景自适应功能,在白天和夜晚环境下,设备均可输出彩色图像,在夜晚自动开启补光灯条件下,设备夜晚图像清晰度应不低于白天图像清晰度的95%；(白天环境下,水平中心分辨力为1400TVL,夜晚补光灯开启后,水平中心分辨率为1350TVL)；支持声光警戒；</w:t>
            </w:r>
          </w:p>
          <w:p w14:paraId="387E24A9">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10.4.支持走廊模式，宽动态，3D降噪，强光抑制，背光补偿，数字水印，适用不同监控环境；</w:t>
            </w:r>
          </w:p>
          <w:p w14:paraId="39D18C91">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10.5.防补光过曝支持人脸优先、车牌优先、关闭3种模式;开启人脸优先功能,设备检测到人员后可自动调节补光灯的亮度,人员离开后补光灯恢复;开启车牌优先功能,设备检测到车辆后可自动开启补光灯并调节亮度,车辆离开后补光灯关闭；</w:t>
            </w:r>
          </w:p>
          <w:p w14:paraId="08AFFBAC">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10.6.不小于1400TVL(分辨率设置为2560×1440、帧率设置为25fps、码率设置为1Mbps、RJ45输出)；</w:t>
            </w:r>
          </w:p>
          <w:p w14:paraId="6078BE30">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10.7.支持ROI，AI H.264/H.265（超级AI编码），灵活编码，适用不同带宽和存储环境；</w:t>
            </w:r>
          </w:p>
          <w:p w14:paraId="01CE3CA8">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10.8.具有AI-ISP图像质量提升功能,在低照度环境下,可自动调节预览场景视频画面中人脸、人体、车辆等目标及预览场景视频画面的区域曝光、亮度、色彩饱和度、对比度、锐度等（环境光照度:0.5lx）；</w:t>
            </w:r>
          </w:p>
          <w:p w14:paraId="64708FCB">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10.9.可通过客户端软件或IE浏览器对音频文件进行管理,支持音频文件预览播放,内置语音文件3种,支持通过设备自带mic、客户端软件或IE浏览器进行自定义音频文件录制;支持自定义音频文件上传及下载;自定义音频支持PCM/G.711A/G.711U/AAC，4种编码格式的WAV/PCM/MP3三种文件格式；</w:t>
            </w:r>
          </w:p>
          <w:p w14:paraId="14261CB4">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10.10.支持DC12V/POE供电方式，支持IP67防护等级；</w:t>
            </w:r>
          </w:p>
          <w:p w14:paraId="1E051E46">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10.11.内置&gt;256 GB MicroSD/MicroSDHC/MicroSDXC卡本地存储</w:t>
            </w:r>
          </w:p>
          <w:p w14:paraId="3627FFCF">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10.12.设备接入与管理功能：支持对视频监控设备的增删改查管理，可配置设备基础信息、位置信息、地图应用参数；支持通过下级平台IP、端口接入多个上级/下级平台，可筛选下级平台设备并接入本平台，</w:t>
            </w:r>
            <w:r>
              <w:rPr>
                <w:rFonts w:hint="eastAsia" w:ascii="仿宋" w:hAnsi="仿宋" w:eastAsia="仿宋" w:cs="仿宋"/>
                <w:b/>
                <w:bCs/>
                <w:color w:val="auto"/>
                <w:sz w:val="21"/>
                <w:szCs w:val="21"/>
                <w:highlight w:val="none"/>
                <w:lang w:val="en-US" w:eastAsia="zh-CN"/>
              </w:rPr>
              <w:t>需与安徽省垃圾分类综合服务平台完成视频流推送，确保对接通畅，使用正常；平台支持不小于7天回放功能，为各级管理者提供端口查看。</w:t>
            </w:r>
          </w:p>
          <w:p w14:paraId="56981188">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10.13.</w:t>
            </w:r>
            <w:r>
              <w:rPr>
                <w:rFonts w:hint="eastAsia" w:ascii="仿宋" w:hAnsi="仿宋" w:eastAsia="仿宋" w:cs="仿宋"/>
                <w:b/>
                <w:bCs/>
                <w:color w:val="auto"/>
                <w:sz w:val="21"/>
                <w:szCs w:val="21"/>
                <w:highlight w:val="none"/>
                <w:lang w:val="en-US" w:eastAsia="zh-CN"/>
              </w:rPr>
              <w:t>流量卡：流量池（不低于10GB/个/月）-使用期3年</w:t>
            </w:r>
          </w:p>
          <w:p w14:paraId="673890EA">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11.点位宣传：中标人需开展点位宣传活动，提供相关宣传物料物品（宣传折页和宣传小礼品各100份），配合招标人开展各项宣传工作。</w:t>
            </w:r>
          </w:p>
        </w:tc>
      </w:tr>
    </w:tbl>
    <w:p w14:paraId="0749706E">
      <w:pPr>
        <w:spacing w:line="520" w:lineRule="exact"/>
        <w:ind w:firstLine="437"/>
        <w:jc w:val="left"/>
        <w:rPr>
          <w:rFonts w:hint="eastAsia" w:ascii="仿宋" w:hAnsi="仿宋" w:eastAsia="仿宋" w:cs="仿宋"/>
          <w:color w:val="auto"/>
          <w:sz w:val="24"/>
          <w:szCs w:val="24"/>
          <w:highlight w:val="none"/>
          <w:lang w:val="en-US" w:eastAsia="zh-CN"/>
        </w:rPr>
      </w:pPr>
    </w:p>
    <w:p w14:paraId="3766BF07">
      <w:pPr>
        <w:spacing w:line="520" w:lineRule="exact"/>
        <w:ind w:firstLine="437"/>
        <w:jc w:val="left"/>
        <w:rPr>
          <w:rFonts w:hint="eastAsia" w:ascii="仿宋" w:hAnsi="仿宋" w:eastAsia="仿宋" w:cs="仿宋"/>
          <w:color w:val="auto"/>
          <w:sz w:val="24"/>
          <w:szCs w:val="24"/>
          <w:highlight w:val="none"/>
          <w:lang w:val="en-US" w:eastAsia="zh-CN"/>
        </w:rPr>
      </w:pPr>
    </w:p>
    <w:p w14:paraId="28C5E9C8">
      <w:pPr>
        <w:spacing w:line="520" w:lineRule="exact"/>
        <w:ind w:firstLine="437"/>
        <w:jc w:val="left"/>
        <w:rPr>
          <w:rFonts w:hint="eastAsia" w:ascii="仿宋" w:hAnsi="仿宋" w:eastAsia="仿宋" w:cs="仿宋"/>
          <w:color w:val="auto"/>
          <w:sz w:val="24"/>
          <w:szCs w:val="24"/>
          <w:highlight w:val="none"/>
          <w:lang w:val="en-US" w:eastAsia="zh-CN"/>
        </w:rPr>
      </w:pPr>
    </w:p>
    <w:p w14:paraId="2C80E32F">
      <w:pPr>
        <w:spacing w:line="520" w:lineRule="exact"/>
        <w:ind w:firstLine="437"/>
        <w:jc w:val="left"/>
        <w:rPr>
          <w:rFonts w:hint="eastAsia" w:ascii="仿宋" w:hAnsi="仿宋" w:eastAsia="仿宋" w:cs="仿宋"/>
          <w:color w:val="auto"/>
          <w:sz w:val="24"/>
          <w:szCs w:val="24"/>
          <w:highlight w:val="none"/>
          <w:lang w:val="en-US" w:eastAsia="zh-CN"/>
        </w:rPr>
      </w:pPr>
    </w:p>
    <w:p w14:paraId="40444C5E">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62DBBEB5">
      <w:pPr>
        <w:spacing w:line="520" w:lineRule="exact"/>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④生活垃圾分类集中投放站点提标（四投口分类箱）技术参数要求</w:t>
      </w:r>
    </w:p>
    <w:tbl>
      <w:tblPr>
        <w:tblStyle w:val="27"/>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72"/>
        <w:gridCol w:w="7596"/>
      </w:tblGrid>
      <w:tr w14:paraId="6DA7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1572" w:type="dxa"/>
            <w:tcMar>
              <w:top w:w="8" w:type="dxa"/>
              <w:left w:w="8" w:type="dxa"/>
              <w:bottom w:w="0" w:type="dxa"/>
              <w:right w:w="8" w:type="dxa"/>
            </w:tcMar>
            <w:vAlign w:val="center"/>
          </w:tcPr>
          <w:p w14:paraId="79FC81FD">
            <w:pPr>
              <w:keepNext w:val="0"/>
              <w:keepLines w:val="0"/>
              <w:pageBreakBefore w:val="0"/>
              <w:widowControl w:val="0"/>
              <w:tabs>
                <w:tab w:val="left" w:pos="645"/>
              </w:tabs>
              <w:kinsoku/>
              <w:wordWrap w:val="0"/>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货物名称</w:t>
            </w:r>
          </w:p>
        </w:tc>
        <w:tc>
          <w:tcPr>
            <w:tcW w:w="7596" w:type="dxa"/>
            <w:tcMar>
              <w:top w:w="8" w:type="dxa"/>
              <w:left w:w="8" w:type="dxa"/>
              <w:bottom w:w="0" w:type="dxa"/>
              <w:right w:w="8" w:type="dxa"/>
            </w:tcMar>
            <w:vAlign w:val="center"/>
          </w:tcPr>
          <w:p w14:paraId="0FF5ADB2">
            <w:pPr>
              <w:keepNext w:val="0"/>
              <w:keepLines w:val="0"/>
              <w:pageBreakBefore w:val="0"/>
              <w:widowControl w:val="0"/>
              <w:tabs>
                <w:tab w:val="left" w:pos="645"/>
              </w:tabs>
              <w:kinsoku/>
              <w:wordWrap w:val="0"/>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具体技术参数</w:t>
            </w:r>
          </w:p>
        </w:tc>
      </w:tr>
      <w:tr w14:paraId="705B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6" w:hRule="atLeast"/>
          <w:jc w:val="center"/>
        </w:trPr>
        <w:tc>
          <w:tcPr>
            <w:tcW w:w="1572" w:type="dxa"/>
            <w:tcMar>
              <w:top w:w="8" w:type="dxa"/>
              <w:left w:w="8" w:type="dxa"/>
              <w:bottom w:w="0" w:type="dxa"/>
              <w:right w:w="8" w:type="dxa"/>
            </w:tcMar>
            <w:vAlign w:val="center"/>
          </w:tcPr>
          <w:p w14:paraId="186FC9FC">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生活垃圾分类集中投放站点提标（四投口分类箱）</w:t>
            </w:r>
          </w:p>
        </w:tc>
        <w:tc>
          <w:tcPr>
            <w:tcW w:w="7596" w:type="dxa"/>
            <w:tcMar>
              <w:top w:w="8" w:type="dxa"/>
              <w:left w:w="8" w:type="dxa"/>
              <w:bottom w:w="0" w:type="dxa"/>
              <w:right w:w="8" w:type="dxa"/>
            </w:tcMar>
            <w:vAlign w:val="center"/>
          </w:tcPr>
          <w:p w14:paraId="1F34395B">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1.四分类箱体+含洗手池及下方有害垃圾箱，集成尺寸不小于：长3500*宽800*高1600（mm）</w:t>
            </w:r>
          </w:p>
          <w:p w14:paraId="6551FB35">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2.地基、接水接电：</w:t>
            </w:r>
          </w:p>
          <w:p w14:paraId="0F2AA7D5">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2.1.地基：根据配备的再生资源智能回收箱类型增加地基面积。清除表面浮土后将原地面挖深 10cm整平压实无杂物；素土和回填土夯实度不小于95%；地面硬化：地面整平，10cmC25混凝土；</w:t>
            </w:r>
          </w:p>
          <w:p w14:paraId="0E069B5D">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2.2.聚氯乙烯绝缘助燃电线：产品标准和技术要求满足GB/T 5023.3-2008绝缘平均厚度≥0.7mm，绝缘老化前抗张强度≥13.9N/㎟，绝缘老化前断裂伸长率≥230%，20℃时导体电阻≤12Ω/km。</w:t>
            </w:r>
          </w:p>
          <w:p w14:paraId="2249137F">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2.3.PVC-U绝缘阻燃电工套管：最小壁厚≥1.0mm，阻燃性能自熄时间≤3s，氧指数OI≥32.0，绝缘强度15min内不击穿，绝缘电阻≥200MΩ。</w:t>
            </w:r>
          </w:p>
          <w:p w14:paraId="23E330BC">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2.4.配电箱：1个，阻燃绝缘壳体，多重电路保护，防潮抗湿，分断可靠，适配垃圾房照明、监控配电，安全耐用、检修便捷。</w:t>
            </w:r>
          </w:p>
          <w:p w14:paraId="4AE75E35">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2.5.插座：1个，阻燃防火材质，内置防触电保护门，导电铜件防锈耐磨，防潮易清洁，适配垃圾分类设施供电，安全稳定、使用寿命长。</w:t>
            </w:r>
          </w:p>
          <w:p w14:paraId="24B6CD74">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2.6.给排水：进水</w:t>
            </w:r>
            <w:r>
              <w:rPr>
                <w:rFonts w:hint="eastAsia" w:ascii="仿宋" w:hAnsi="仿宋" w:eastAsia="仿宋" w:cs="仿宋"/>
                <w:strike w:val="0"/>
                <w:dstrike w:val="0"/>
                <w:color w:val="auto"/>
                <w:sz w:val="21"/>
                <w:szCs w:val="21"/>
                <w:highlight w:val="none"/>
                <w:lang w:val="en-US" w:eastAsia="zh-CN"/>
              </w:rPr>
              <w:t>DN</w:t>
            </w:r>
            <w:r>
              <w:rPr>
                <w:rFonts w:hint="eastAsia" w:ascii="仿宋" w:hAnsi="仿宋" w:eastAsia="仿宋" w:cs="仿宋"/>
                <w:color w:val="auto"/>
                <w:sz w:val="21"/>
                <w:szCs w:val="21"/>
                <w:highlight w:val="none"/>
                <w:lang w:val="en-US" w:eastAsia="zh-CN"/>
              </w:rPr>
              <w:t>20mm水管，排水</w:t>
            </w:r>
            <w:r>
              <w:rPr>
                <w:rFonts w:hint="eastAsia" w:ascii="仿宋" w:hAnsi="仿宋" w:eastAsia="仿宋" w:cs="仿宋"/>
                <w:strike w:val="0"/>
                <w:dstrike w:val="0"/>
                <w:color w:val="auto"/>
                <w:sz w:val="21"/>
                <w:szCs w:val="21"/>
                <w:highlight w:val="none"/>
                <w:lang w:val="en-US" w:eastAsia="zh-CN"/>
              </w:rPr>
              <w:t>DN</w:t>
            </w:r>
            <w:r>
              <w:rPr>
                <w:rFonts w:hint="eastAsia" w:ascii="仿宋" w:hAnsi="仿宋" w:eastAsia="仿宋" w:cs="仿宋"/>
                <w:color w:val="auto"/>
                <w:sz w:val="21"/>
                <w:szCs w:val="21"/>
                <w:highlight w:val="none"/>
                <w:lang w:val="en-US" w:eastAsia="zh-CN"/>
              </w:rPr>
              <w:t>48mm圆管（外接DN50mm圆管对接）</w:t>
            </w:r>
          </w:p>
          <w:p w14:paraId="52090A5C">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注：中标人负责点位30米内距离内接电、接通给排水管道，超过部分额外核算签证；水电开户由点位属地负责。</w:t>
            </w:r>
          </w:p>
          <w:p w14:paraId="4C257466">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3.箱体材质：</w:t>
            </w:r>
          </w:p>
          <w:p w14:paraId="1511BB86">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3.1.投放口面板采用1.2mm镀锌卷板加工成型；</w:t>
            </w:r>
          </w:p>
          <w:p w14:paraId="757267A5">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3.2.顶面、底板、后背板、左右侧板选用1.2mm镀锌卷板；</w:t>
            </w:r>
          </w:p>
          <w:p w14:paraId="04997E44">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3.3.镀锌卷板表面无缺陷，镀层质量≥52g/㎡，屈服强度≥375MPa，抗拉强度≥431MPa，断后伸长率≥28.5%；</w:t>
            </w:r>
          </w:p>
          <w:p w14:paraId="5EFF7703">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3.4.顶面、内部支撑骨架由50×50×1.2mm、40×40×1.2mm、30×30×1.2mm 管材组合搭建；</w:t>
            </w:r>
          </w:p>
          <w:p w14:paraId="07016888">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3.5.底部承重骨架：采用F40方矩形热镀锌焊管40×40×1.2mm管材,材质符合GB/T6728-2025《结构用冷弯型钢》要求，抗拉强度≥380MPa,屈服强度≥290MPa,断后伸长率≥29%,镀锌层重量*(平均值)≥220g/m²;</w:t>
            </w:r>
          </w:p>
          <w:p w14:paraId="5365B892">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3.6.全部镀锌板构件经高温烤漆防腐处理，垃圾收集箱门采用 1.0mm 镀锌板烤漆工艺，投放口具备手动开启、脚踏开启双模式；</w:t>
            </w:r>
          </w:p>
          <w:p w14:paraId="62F27F1F">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3.7.投放口需印制对应的四分类标识，侧面安装垃圾分类责任单位公示牌，设置可更换式宣传广告牌，用于垃圾分类宣传。</w:t>
            </w:r>
          </w:p>
          <w:p w14:paraId="4EFE8426">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4.门头字：</w:t>
            </w:r>
          </w:p>
          <w:p w14:paraId="6C1D5431">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4.1.底板尺寸：长1800*高200mm，logo与文字字高15mm，材质选用5mm 厚PVC板，经UV雕刻工艺加工成型。</w:t>
            </w:r>
          </w:p>
          <w:p w14:paraId="5E70AE52">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4.2.按照招标人要求，对点位进行编号，安装编号牌，5mm 厚PVC板。</w:t>
            </w:r>
          </w:p>
          <w:p w14:paraId="30F71791">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5.灭蚊灯：</w:t>
            </w:r>
          </w:p>
          <w:p w14:paraId="0319BA2D">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5.1.输入电压：220V~50Hz 额定功率：10W ；材质：铝合金或者阻燃ABS。</w:t>
            </w:r>
          </w:p>
          <w:p w14:paraId="47BB85B4">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5.2.产品标准和技术要求满足GB4706.1-2005，GB4706. 76-2008，器具外壳各部分以0.5±0.04J的冲击能量打击三次后，应无损坏；软线的最大位移为2mm，导线在接线端子上的移动不大于1mm。</w:t>
            </w:r>
          </w:p>
          <w:p w14:paraId="4F22E248">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6.洗手池（洗面器）：</w:t>
            </w:r>
          </w:p>
          <w:p w14:paraId="6B4E57F2">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6.1.支架骨架采用 30×30×1.2mm 镀锌板折弯一体成型，表层高温烤漆，防锈坚固，上方安置陶瓷洗手盆；</w:t>
            </w:r>
          </w:p>
          <w:p w14:paraId="20BDE84F">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6.2.洗手池（洗面器）：抗裂性应符合GB/T6952-2015/8.5要求，经抗裂试验，应无有釉裂及坯裂。溢流功能应符合GB/T6952-2015/8.9要求，应保持5min无溢流。</w:t>
            </w:r>
          </w:p>
          <w:p w14:paraId="5936E540">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6.3.洗手池上方配置仪容镜，尺寸参数：宽500*高700mm。</w:t>
            </w:r>
          </w:p>
          <w:p w14:paraId="11A78651">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7.照明灯</w:t>
            </w:r>
          </w:p>
          <w:p w14:paraId="6DB9CBCA">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7.1.分类箱正面檐口凸出8cm，下檐口配备LED低压灯条</w:t>
            </w:r>
          </w:p>
          <w:p w14:paraId="5B5B9637">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LED低压灯条参数要求：电压：24V；板宽≥8mm、色温：6000K</w:t>
            </w:r>
          </w:p>
          <w:p w14:paraId="738439F5">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7.2.产品标准和技术要求满足GB 7000.1-2015、GB 7000.9-2008，拉力试验满足50次，拉力30N，位移≤2mm。</w:t>
            </w:r>
          </w:p>
          <w:p w14:paraId="501A7727">
            <w:pPr>
              <w:numPr>
                <w:ilvl w:val="0"/>
                <w:numId w:val="0"/>
              </w:numP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8.手提</w:t>
            </w:r>
            <w:r>
              <w:rPr>
                <w:rFonts w:hint="eastAsia" w:ascii="仿宋" w:hAnsi="仿宋" w:eastAsia="仿宋" w:cs="仿宋"/>
                <w:color w:val="auto"/>
                <w:highlight w:val="none"/>
                <w:lang w:val="en-US" w:eastAsia="zh-CN"/>
              </w:rPr>
              <w:t>式干</w:t>
            </w:r>
            <w:r>
              <w:rPr>
                <w:rFonts w:hint="eastAsia" w:ascii="仿宋" w:hAnsi="仿宋" w:eastAsia="仿宋" w:cs="仿宋"/>
                <w:color w:val="auto"/>
                <w:sz w:val="21"/>
                <w:szCs w:val="21"/>
                <w:highlight w:val="none"/>
                <w:lang w:val="en-US" w:eastAsia="zh-CN"/>
              </w:rPr>
              <w:t>粉灭火器：1只，规格：2kg，产品质量符合国家标准。</w:t>
            </w:r>
            <w:r>
              <w:rPr>
                <w:rFonts w:hint="eastAsia" w:ascii="仿宋" w:hAnsi="仿宋" w:eastAsia="仿宋" w:cs="仿宋"/>
                <w:color w:val="auto"/>
                <w:highlight w:val="none"/>
                <w:lang w:val="en-US" w:eastAsia="zh-CN"/>
              </w:rPr>
              <w:t>消防应急照明灯:1只，持续应急时间不少于60min，蓄电池容量不小于400mAh；</w:t>
            </w:r>
            <w:r>
              <w:rPr>
                <w:rFonts w:hint="eastAsia" w:ascii="仿宋" w:hAnsi="仿宋" w:eastAsia="仿宋" w:cs="仿宋"/>
                <w:color w:val="auto"/>
                <w:sz w:val="21"/>
                <w:szCs w:val="21"/>
                <w:highlight w:val="none"/>
                <w:lang w:val="en-US" w:eastAsia="zh-CN"/>
              </w:rPr>
              <w:t>产品质量符合国家标准。</w:t>
            </w:r>
          </w:p>
          <w:p w14:paraId="73192876">
            <w:pPr>
              <w:keepNext w:val="0"/>
              <w:keepLines w:val="0"/>
              <w:pageBreakBefore w:val="0"/>
              <w:kinsoku/>
              <w:wordWrap w:val="0"/>
              <w:overflowPunct/>
              <w:topLinePunct w:val="0"/>
              <w:autoSpaceDE/>
              <w:autoSpaceDN/>
              <w:bidi w:val="0"/>
              <w:adjustRightInd/>
              <w:snapToGrid/>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9.具备功能：内置240升垃圾桶，可防止臭气外溢，居民投放可选择脚踏式或手推式开门，具备遮雨棚、灭蚊消杀、洗手、照明、密闭等功能，便于居民分类投放和清运。</w:t>
            </w:r>
          </w:p>
          <w:p w14:paraId="6CC4B836">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10.监控摄像头：</w:t>
            </w:r>
          </w:p>
          <w:p w14:paraId="2530AE13">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10.1.每个点位1个，采用不低于400万像素1/1.8英寸CMOS图像传感器；</w:t>
            </w:r>
          </w:p>
          <w:p w14:paraId="4E11B2DB">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10.2.采用AI ISP技术，支持周界防范（绊线入侵，区域入侵）、SMD Plus(人形/车形检测)；</w:t>
            </w:r>
          </w:p>
          <w:p w14:paraId="6961C128">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10.3.设备具有日夜场景自适应功能,在白天和夜晚环境下,设备均可输出彩色图像,在夜晚自动开启补光灯条件下,设备夜晚图像清晰度应不低于白天图像清晰度的95%；(白天环境下,水平中心分辨力为1400TVL,夜晚补光灯开启后,水平中心分辨率为1350TVL)；支持声光警戒；</w:t>
            </w:r>
          </w:p>
          <w:p w14:paraId="5F37195A">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10.4.支持走廊模式，宽动态，3D降噪，强光抑制，背光补偿，数字水印，适用不同监控环境；</w:t>
            </w:r>
          </w:p>
          <w:p w14:paraId="35CEA417">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10.5.防补光过曝支持人脸优先、车牌优先、关闭3种模式;开启人脸优先功能,设备检测到人员后可自动调节补光灯的亮度,人员离开后补光灯恢复;开启车牌优先功能,设备检测到车辆后可自动开启补光灯并调节亮度,车辆离开后补光灯关闭；</w:t>
            </w:r>
          </w:p>
          <w:p w14:paraId="7BBE0831">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10.6.不小于1400TVL(分辨率设置为2560×1440、帧率设置为25fps、码率设置为1Mbps、RJ45输出)；</w:t>
            </w:r>
          </w:p>
          <w:p w14:paraId="02538B62">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10.7.支持ROI，AI H.264/H.265（超级AI编码），灵活编码，适用不同带宽和存储环境；</w:t>
            </w:r>
          </w:p>
          <w:p w14:paraId="52D5FE82">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10.8.具有AI-ISP图像质量提升功能,在低照度环境下,可自动调节预览场景视频画面中人脸、人体、车辆等目标及预览场景视频画面的区域曝光、亮度、色彩饱和度、对比度、锐度等（环境光照度:0.5lx）；</w:t>
            </w:r>
          </w:p>
          <w:p w14:paraId="7DE65D2E">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10.9.可通过客户端软件或IE浏览器对音频文件进行管理,支持音频文件预览播放,内置语音文件3种,支持通过设备自带mic、客户端软件或IE浏览器进行自定义音频文件录制;支持自定义音频文件上传及下载;自定义音频支持PCM/G.711A/G.711U/AAC，4种编码格式的WAV/PCM/MP3三种文件格式；</w:t>
            </w:r>
          </w:p>
          <w:p w14:paraId="08598511">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10.10.支持DC12V/POE供电方式，支持IP67防护等级；</w:t>
            </w:r>
          </w:p>
          <w:p w14:paraId="22623082">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10.11.内置&gt;256 GB MicroSD/MicroSDHC/MicroSDXC卡本地存储</w:t>
            </w:r>
          </w:p>
          <w:p w14:paraId="6E32F31D">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10.12.设备接入与管理功能：支持对视频监控设备的增删改查管理，可配置设备基础信息、位置信息、地图应用参数；支持通过下级平台IP、端口接入多个上级/下级平台，可筛选下级平台设备并接入本平台，</w:t>
            </w:r>
            <w:r>
              <w:rPr>
                <w:rFonts w:hint="eastAsia" w:ascii="仿宋" w:hAnsi="仿宋" w:eastAsia="仿宋" w:cs="仿宋"/>
                <w:b/>
                <w:bCs/>
                <w:color w:val="auto"/>
                <w:sz w:val="21"/>
                <w:szCs w:val="21"/>
                <w:highlight w:val="none"/>
                <w:lang w:val="en-US" w:eastAsia="zh-CN"/>
              </w:rPr>
              <w:t>需与安徽省垃圾分类综合服务平台完成视频流推送，确保对接通畅，使用正常；平台支持不小于7天回放功能，为各级管理者提供端口查看。</w:t>
            </w:r>
          </w:p>
          <w:p w14:paraId="1DAE1594">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10.13.</w:t>
            </w:r>
            <w:r>
              <w:rPr>
                <w:rFonts w:hint="eastAsia" w:ascii="仿宋" w:hAnsi="仿宋" w:eastAsia="仿宋" w:cs="仿宋"/>
                <w:b/>
                <w:bCs/>
                <w:color w:val="auto"/>
                <w:sz w:val="21"/>
                <w:szCs w:val="21"/>
                <w:highlight w:val="none"/>
                <w:lang w:val="en-US" w:eastAsia="zh-CN"/>
              </w:rPr>
              <w:t>流量卡：流量池（不低于10GB/个/月）-使用期3年</w:t>
            </w:r>
          </w:p>
          <w:p w14:paraId="209E50C5">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11.点位宣传：中标人需开展点位宣传活动，提供相关宣传物料物品（宣传折页和宣传小礼品各100份），配合招标人开展各项宣传工作。10.点位宣传：中标人需开展点位宣传活动，提供相关宣传物料物品（宣传折页和宣传小礼品各100份），配合招标人开展各项宣传工作。</w:t>
            </w:r>
          </w:p>
        </w:tc>
      </w:tr>
    </w:tbl>
    <w:p w14:paraId="350FE2CB">
      <w:pPr>
        <w:spacing w:line="520" w:lineRule="exact"/>
        <w:ind w:firstLine="437"/>
        <w:jc w:val="left"/>
        <w:rPr>
          <w:rFonts w:hint="eastAsia" w:ascii="仿宋" w:hAnsi="仿宋" w:eastAsia="仿宋" w:cs="仿宋"/>
          <w:color w:val="auto"/>
          <w:sz w:val="24"/>
          <w:szCs w:val="24"/>
          <w:highlight w:val="none"/>
          <w:lang w:val="en-US" w:eastAsia="zh-CN"/>
        </w:rPr>
      </w:pPr>
    </w:p>
    <w:p w14:paraId="2CFDEB42">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5A73610A">
      <w:pPr>
        <w:pStyle w:val="12"/>
        <w:numPr>
          <w:ilvl w:val="0"/>
          <w:numId w:val="0"/>
        </w:numPr>
        <w:spacing w:line="218" w:lineRule="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⑤240L垃圾桶技术参数要求</w:t>
      </w:r>
    </w:p>
    <w:tbl>
      <w:tblPr>
        <w:tblStyle w:val="27"/>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13"/>
        <w:gridCol w:w="8198"/>
      </w:tblGrid>
      <w:tr w14:paraId="7A0A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313" w:type="dxa"/>
            <w:tcMar>
              <w:top w:w="8" w:type="dxa"/>
              <w:left w:w="8" w:type="dxa"/>
              <w:bottom w:w="0" w:type="dxa"/>
              <w:right w:w="8" w:type="dxa"/>
            </w:tcMar>
            <w:vAlign w:val="center"/>
          </w:tcPr>
          <w:p w14:paraId="18DFFBFF">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货物名称</w:t>
            </w:r>
          </w:p>
        </w:tc>
        <w:tc>
          <w:tcPr>
            <w:tcW w:w="8198" w:type="dxa"/>
            <w:tcMar>
              <w:top w:w="8" w:type="dxa"/>
              <w:left w:w="8" w:type="dxa"/>
              <w:bottom w:w="0" w:type="dxa"/>
              <w:right w:w="8" w:type="dxa"/>
            </w:tcMar>
            <w:vAlign w:val="center"/>
          </w:tcPr>
          <w:p w14:paraId="7D9DDBFA">
            <w:pPr>
              <w:jc w:val="center"/>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具体技术参数</w:t>
            </w:r>
          </w:p>
        </w:tc>
      </w:tr>
      <w:tr w14:paraId="1117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4" w:hRule="atLeast"/>
          <w:jc w:val="center"/>
        </w:trPr>
        <w:tc>
          <w:tcPr>
            <w:tcW w:w="1313" w:type="dxa"/>
            <w:tcMar>
              <w:top w:w="8" w:type="dxa"/>
              <w:left w:w="8" w:type="dxa"/>
              <w:bottom w:w="0" w:type="dxa"/>
              <w:right w:w="8" w:type="dxa"/>
            </w:tcMar>
            <w:vAlign w:val="center"/>
          </w:tcPr>
          <w:p w14:paraId="59B16341">
            <w:pPr>
              <w:keepNext w:val="0"/>
              <w:keepLines w:val="0"/>
              <w:pageBreakBefore w:val="0"/>
              <w:widowControl w:val="0"/>
              <w:tabs>
                <w:tab w:val="left" w:pos="645"/>
              </w:tabs>
              <w:kinsoku/>
              <w:wordWrap w:val="0"/>
              <w:overflowPunct/>
              <w:topLinePunct w:val="0"/>
              <w:autoSpaceDE/>
              <w:autoSpaceDN/>
              <w:bidi w:val="0"/>
              <w:adjustRightInd/>
              <w:snapToGrid/>
              <w:spacing w:line="24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240L垃圾桶</w:t>
            </w:r>
          </w:p>
        </w:tc>
        <w:tc>
          <w:tcPr>
            <w:tcW w:w="8198" w:type="dxa"/>
            <w:tcMar>
              <w:top w:w="8" w:type="dxa"/>
              <w:left w:w="8" w:type="dxa"/>
              <w:bottom w:w="0" w:type="dxa"/>
              <w:right w:w="8" w:type="dxa"/>
            </w:tcMar>
            <w:vAlign w:val="center"/>
          </w:tcPr>
          <w:p w14:paraId="7B18847C">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1.容积：240L</w:t>
            </w:r>
          </w:p>
          <w:p w14:paraId="36A69BE5">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2.长*宽*高（mm）：750×585×1090（±5mm）；</w:t>
            </w:r>
          </w:p>
          <w:p w14:paraId="1F9CB18F">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3.整体重量：≥14kg,桶身重≥9.3KG，盖子重≥1.1KG。</w:t>
            </w:r>
          </w:p>
          <w:p w14:paraId="20F12F76">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轮轴为插入防盗式结构，轴采用Q235钢实心材料，表面电镀锌12μ的厚度，防锈时间为10年；轮胎采用优质的天然橡胶材质做外轮，优良塑料材料做内轮框，每轮承载力达120±5kg，内轮框内置铁件均采用不锈钢材质。</w:t>
            </w:r>
          </w:p>
          <w:p w14:paraId="4BC750AA">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5.桶体壁厚≥4.0mm，桶盖厚≥2.5mm。材料：高密度聚乙烯（HDPE）。高温65℃、低温-30℃的气温下，不变形，不开裂。</w:t>
            </w:r>
          </w:p>
          <w:p w14:paraId="5CA48A00">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6.垃圾桶沿口选用双裙边设计，设有网状加强筋，加强桶沿口在提升架时有足够的机械操作强度。在桶体正面和背面独特设计新添置加强肋骨，使桶的四周能承受足够的机械强度和更大的冲击力。</w:t>
            </w:r>
          </w:p>
          <w:p w14:paraId="5A104B88">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7.桶底正面底部在注塑生产过程中嵌钢质耐磨钉4颗；桶体不少于6条及以的加强筋连接，上把手设有防滑颗粒，桶体前口与车辆提升机架配合处设有加强筋，提高了运载能力、装载重量为300kg； 桶盖厚度≥5.0mm。桶口及加强筋壁厚≥6mm。</w:t>
            </w:r>
          </w:p>
          <w:p w14:paraId="07F7AFDB">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8.桶盖上方有明显禁火标志，提手有不少于3条加强筋，有效防止提手位置变形或损坏。盖子上方有不少于2条加强筋，使桶盖在日常的使用当中有足够的抗冲击强度。</w:t>
            </w:r>
          </w:p>
          <w:p w14:paraId="1D5E52CA">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桶体背面把手采用一体连把式，把手防滑颗粒符合人体工程学有手指凹凸握感。桶体与桶盖两点链接，桶盖外延两条耳朵与桶体把手通过一次性注塑的ABS插销紧密连接，使桶身与桶盖紧密相连，不会脱落，防止桶盖左右摇摆、脱落等情况发生，可反复开关达百万次以上。桶的把手位置设有8条加强筋与桶体连接，增加桶体把手的抗冲击能力，提高了对把手的保护程度，延长了使用寿命。人性化设计，在桶把手的边缘设有专门的垃圾袋收纳装置，方便垃圾袋携带。</w:t>
            </w:r>
          </w:p>
          <w:p w14:paraId="46EE8AAF">
            <w:pPr>
              <w:keepNext w:val="0"/>
              <w:keepLines w:val="0"/>
              <w:pageBreakBefore w:val="0"/>
              <w:widowControl w:val="0"/>
              <w:tabs>
                <w:tab w:val="left" w:pos="645"/>
              </w:tabs>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10.垃圾桶要求：色彩鲜艳，两年不褪色，正面投放标采用印刷工艺。耐腐蚀，并且有足够的机械强度和良好的冲击韧性。符合中华人民共和国城镇建设行业标准《塑料垃圾桶通用技术条件》CJ/T 280-2020标准。</w:t>
            </w:r>
          </w:p>
        </w:tc>
      </w:tr>
    </w:tbl>
    <w:p w14:paraId="5DF9BED7">
      <w:pPr>
        <w:spacing w:line="520" w:lineRule="exact"/>
        <w:ind w:firstLine="437"/>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2.2、再生资源回收体系建设</w:t>
      </w:r>
    </w:p>
    <w:p w14:paraId="1C61D5F7">
      <w:pPr>
        <w:pageBreakBefore w:val="0"/>
        <w:widowControl w:val="0"/>
        <w:kinsoku/>
        <w:wordWrap/>
        <w:overflowPunct/>
        <w:topLinePunct w:val="0"/>
        <w:autoSpaceDE/>
        <w:autoSpaceDN/>
        <w:bidi w:val="0"/>
        <w:adjustRightInd/>
        <w:snapToGrid/>
        <w:spacing w:line="500" w:lineRule="exact"/>
        <w:ind w:firstLine="437"/>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为全面落实省委、省政府工作部署，加快构建覆盖城乡、规范高效、绿色低碳的再生资源回收利用体系，持续推进生活垃圾分类收运体系与再生资源回收体系“两网融合”，结合滁州市发展实际，着力健全滁州市全域覆盖的再生资源回收网络体系，推动生活垃圾分类投放站点与再生资源回收网点在空间规划、设施配套、运营管护、数据互通等方面深度融合、一体发展，加快形成“投放精准化、收运协同化、处置规范化、管理数字化”的全链条可回收物回收利用体系，本项目中标人须与招标人、相关主管部门共同推动滁州市再生资源回收体系建设。</w:t>
      </w:r>
    </w:p>
    <w:p w14:paraId="0DF1A12A">
      <w:pPr>
        <w:pStyle w:val="7"/>
        <w:pageBreakBefore w:val="0"/>
        <w:widowControl w:val="0"/>
        <w:numPr>
          <w:ilvl w:val="0"/>
          <w:numId w:val="0"/>
        </w:numPr>
        <w:kinsoku/>
        <w:wordWrap/>
        <w:overflowPunct/>
        <w:topLinePunct w:val="0"/>
        <w:autoSpaceDE/>
        <w:autoSpaceDN/>
        <w:bidi w:val="0"/>
        <w:adjustRightInd/>
        <w:snapToGrid/>
        <w:spacing w:before="0" w:after="0" w:line="500" w:lineRule="exact"/>
        <w:ind w:left="0" w:lef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2.2.1 再生资源智能回收箱配备</w:t>
      </w:r>
    </w:p>
    <w:p w14:paraId="37D4D20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本项目依托现有住宅小区生活垃圾分类站点实施升级</w:t>
      </w:r>
      <w:r>
        <w:rPr>
          <w:rFonts w:hint="eastAsia" w:ascii="仿宋" w:hAnsi="仿宋" w:eastAsia="仿宋" w:cs="仿宋"/>
          <w:color w:val="auto"/>
          <w:sz w:val="24"/>
          <w:szCs w:val="24"/>
          <w:highlight w:val="none"/>
          <w:lang w:eastAsia="zh-CN"/>
        </w:rPr>
        <w:t>提标改造</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在垃圾分类投放站点旁</w:t>
      </w:r>
      <w:r>
        <w:rPr>
          <w:rFonts w:hint="eastAsia" w:ascii="仿宋" w:hAnsi="仿宋" w:eastAsia="仿宋" w:cs="仿宋"/>
          <w:color w:val="auto"/>
          <w:sz w:val="24"/>
          <w:szCs w:val="24"/>
          <w:highlight w:val="none"/>
        </w:rPr>
        <w:t>配置再生资源智能回收</w:t>
      </w:r>
      <w:r>
        <w:rPr>
          <w:rFonts w:hint="eastAsia" w:ascii="仿宋" w:hAnsi="仿宋" w:eastAsia="仿宋" w:cs="仿宋"/>
          <w:color w:val="auto"/>
          <w:sz w:val="24"/>
          <w:szCs w:val="24"/>
          <w:highlight w:val="none"/>
          <w:lang w:val="en-US" w:eastAsia="zh-CN"/>
        </w:rPr>
        <w:t>箱</w:t>
      </w:r>
      <w:r>
        <w:rPr>
          <w:rFonts w:hint="eastAsia" w:ascii="仿宋" w:hAnsi="仿宋" w:eastAsia="仿宋" w:cs="仿宋"/>
          <w:color w:val="auto"/>
          <w:sz w:val="24"/>
          <w:szCs w:val="24"/>
          <w:highlight w:val="none"/>
        </w:rPr>
        <w:t>共计</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00套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根据现场情况灵活配备单投口或双投口设备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，搭建便民化再生资源回收服务网络。</w:t>
      </w:r>
    </w:p>
    <w:p w14:paraId="31F2722F">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①单投口</w:t>
      </w:r>
      <w:r>
        <w:rPr>
          <w:rFonts w:hint="eastAsia" w:ascii="仿宋" w:hAnsi="仿宋" w:eastAsia="仿宋" w:cs="仿宋"/>
          <w:b/>
          <w:bCs/>
          <w:color w:val="auto"/>
          <w:sz w:val="24"/>
          <w:szCs w:val="24"/>
          <w:highlight w:val="none"/>
        </w:rPr>
        <w:t>再生资源智能回收</w:t>
      </w:r>
      <w:r>
        <w:rPr>
          <w:rFonts w:hint="eastAsia" w:ascii="仿宋" w:hAnsi="仿宋" w:eastAsia="仿宋" w:cs="仿宋"/>
          <w:b/>
          <w:bCs/>
          <w:color w:val="auto"/>
          <w:sz w:val="24"/>
          <w:szCs w:val="24"/>
          <w:highlight w:val="none"/>
          <w:lang w:val="en-US" w:eastAsia="zh-CN"/>
        </w:rPr>
        <w:t>箱技术参数：</w:t>
      </w:r>
    </w:p>
    <w:tbl>
      <w:tblPr>
        <w:tblStyle w:val="27"/>
        <w:tblW w:w="931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1064"/>
        <w:gridCol w:w="7562"/>
      </w:tblGrid>
      <w:tr w14:paraId="1A268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16" w:type="dxa"/>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0B27813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 xml:space="preserve">产品尺寸：不小于1500mm*1160mm*2200mm </w:t>
            </w:r>
          </w:p>
        </w:tc>
      </w:tr>
      <w:tr w14:paraId="3CEDB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auto" w:sz="4" w:space="0"/>
              <w:left w:val="single" w:color="000000" w:sz="4" w:space="0"/>
              <w:bottom w:val="single" w:color="000000" w:sz="4" w:space="0"/>
              <w:right w:val="single" w:color="000000" w:sz="4" w:space="0"/>
            </w:tcBorders>
            <w:shd w:val="clear" w:color="auto" w:fill="auto"/>
            <w:vAlign w:val="center"/>
          </w:tcPr>
          <w:p w14:paraId="22DAE10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序号</w:t>
            </w:r>
          </w:p>
        </w:tc>
        <w:tc>
          <w:tcPr>
            <w:tcW w:w="1064" w:type="dxa"/>
            <w:tcBorders>
              <w:top w:val="single" w:color="auto" w:sz="4" w:space="0"/>
              <w:left w:val="single" w:color="000000" w:sz="4" w:space="0"/>
              <w:bottom w:val="single" w:color="000000" w:sz="4" w:space="0"/>
              <w:right w:val="single" w:color="000000" w:sz="4" w:space="0"/>
            </w:tcBorders>
            <w:shd w:val="clear" w:color="auto" w:fill="auto"/>
            <w:vAlign w:val="center"/>
          </w:tcPr>
          <w:p w14:paraId="6C40A15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模块</w:t>
            </w:r>
          </w:p>
        </w:tc>
        <w:tc>
          <w:tcPr>
            <w:tcW w:w="7562" w:type="dxa"/>
            <w:tcBorders>
              <w:top w:val="single" w:color="auto" w:sz="4" w:space="0"/>
              <w:left w:val="single" w:color="000000" w:sz="4" w:space="0"/>
              <w:bottom w:val="single" w:color="000000" w:sz="4" w:space="0"/>
              <w:right w:val="single" w:color="000000" w:sz="4" w:space="0"/>
            </w:tcBorders>
            <w:shd w:val="clear" w:color="auto" w:fill="auto"/>
            <w:vAlign w:val="center"/>
          </w:tcPr>
          <w:p w14:paraId="000DD01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主要功能</w:t>
            </w:r>
          </w:p>
        </w:tc>
      </w:tr>
      <w:tr w14:paraId="2CD57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B0E6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21A7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电源</w:t>
            </w: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AAF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漏电保护，16A；180W12V开关电源</w:t>
            </w:r>
          </w:p>
        </w:tc>
      </w:tr>
      <w:tr w14:paraId="75414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E66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2</w:t>
            </w: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1489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E622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★电气布线：当执行绝缘电阻时，在动力电路导线和保护联结电路间施加500Vd.c时测得的绝缘电阻不应小于1MΩ</w:t>
            </w:r>
          </w:p>
        </w:tc>
      </w:tr>
      <w:tr w14:paraId="15F2E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B24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78449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主机</w:t>
            </w:r>
          </w:p>
        </w:tc>
        <w:tc>
          <w:tcPr>
            <w:tcW w:w="75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D058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安卓主控模块</w:t>
            </w:r>
          </w:p>
        </w:tc>
      </w:tr>
      <w:tr w14:paraId="5094E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47D6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4</w:t>
            </w: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D5ADEB">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5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C82C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不小于10.1寸触摸屏</w:t>
            </w:r>
          </w:p>
        </w:tc>
      </w:tr>
      <w:tr w14:paraId="59B2A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637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5</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7EE6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网络</w:t>
            </w: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074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不小于流量卡24G/年</w:t>
            </w:r>
          </w:p>
        </w:tc>
      </w:tr>
      <w:tr w14:paraId="50856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3AA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6</w:t>
            </w: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FE1E7">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789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路由器</w:t>
            </w:r>
          </w:p>
        </w:tc>
      </w:tr>
      <w:tr w14:paraId="1890A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8D4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7</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A42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软件</w:t>
            </w: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9884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软件模块</w:t>
            </w:r>
          </w:p>
        </w:tc>
      </w:tr>
      <w:tr w14:paraId="487F2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E1E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8</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89B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控制</w:t>
            </w: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DCC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分控板</w:t>
            </w:r>
          </w:p>
        </w:tc>
      </w:tr>
      <w:tr w14:paraId="46116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49F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9</w:t>
            </w: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7918C">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AE4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电动推杆250mm/s</w:t>
            </w:r>
          </w:p>
        </w:tc>
      </w:tr>
      <w:tr w14:paraId="2397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214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10</w:t>
            </w: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6713C">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30C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满桶传感器</w:t>
            </w:r>
          </w:p>
        </w:tc>
      </w:tr>
      <w:tr w14:paraId="10A51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3BDE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11</w:t>
            </w: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6A3F5">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50E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称重模块200kg 模拟量</w:t>
            </w:r>
          </w:p>
        </w:tc>
      </w:tr>
      <w:tr w14:paraId="00292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B306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w:t>
            </w: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EE7F8">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91B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内部抓拍摄像头1个110°1080P</w:t>
            </w:r>
          </w:p>
        </w:tc>
      </w:tr>
      <w:tr w14:paraId="2C94A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9549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13</w:t>
            </w: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B0DEC">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0DD9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lang w:val="en-US"/>
              </w:rPr>
            </w:pPr>
            <w:r>
              <w:rPr>
                <w:rFonts w:hint="eastAsia" w:ascii="仿宋" w:hAnsi="仿宋" w:eastAsia="仿宋" w:cs="仿宋"/>
                <w:i w:val="0"/>
                <w:iCs w:val="0"/>
                <w:color w:val="auto"/>
                <w:kern w:val="0"/>
                <w:sz w:val="21"/>
                <w:szCs w:val="21"/>
                <w:highlight w:val="none"/>
                <w:u w:val="none"/>
                <w:lang w:val="en-US" w:eastAsia="zh-CN" w:bidi="ar"/>
              </w:rPr>
              <w:t>外部摄像头1个</w:t>
            </w:r>
          </w:p>
        </w:tc>
      </w:tr>
      <w:tr w14:paraId="20862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EE9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14</w:t>
            </w: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0B94E">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216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 xml:space="preserve">内外部抓拍照明灯12v </w:t>
            </w:r>
          </w:p>
        </w:tc>
      </w:tr>
      <w:tr w14:paraId="4EAF9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254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67B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总框架</w:t>
            </w: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E74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lang w:val="en-US"/>
              </w:rPr>
            </w:pPr>
            <w:r>
              <w:rPr>
                <w:rFonts w:hint="eastAsia" w:ascii="仿宋" w:hAnsi="仿宋" w:eastAsia="仿宋" w:cs="仿宋"/>
                <w:i w:val="0"/>
                <w:iCs w:val="0"/>
                <w:color w:val="auto"/>
                <w:kern w:val="0"/>
                <w:sz w:val="21"/>
                <w:szCs w:val="21"/>
                <w:highlight w:val="none"/>
                <w:u w:val="none"/>
                <w:lang w:val="en-US" w:eastAsia="zh-CN" w:bidi="ar"/>
              </w:rPr>
              <w:t>镀锌方管支撑框架</w:t>
            </w:r>
          </w:p>
        </w:tc>
      </w:tr>
      <w:tr w14:paraId="5786D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0BB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16</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DA6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lang w:val="en-US" w:eastAsia="zh-CN"/>
              </w:rPr>
            </w:pPr>
            <w:r>
              <w:rPr>
                <w:rFonts w:hint="eastAsia" w:ascii="仿宋" w:hAnsi="仿宋" w:eastAsia="仿宋" w:cs="仿宋"/>
                <w:i w:val="0"/>
                <w:iCs w:val="0"/>
                <w:color w:val="auto"/>
                <w:sz w:val="21"/>
                <w:szCs w:val="21"/>
                <w:highlight w:val="none"/>
                <w:u w:val="none"/>
                <w:lang w:val="en-US" w:eastAsia="zh-CN"/>
              </w:rPr>
              <w:t>外观和结构</w:t>
            </w: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5958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★1.钣金外壳使用厚度≥1.Omm的板制作，内部设有多道加强筋，结构稳定。</w:t>
            </w:r>
          </w:p>
          <w:p w14:paraId="69A093D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2.产品表面应整洁，无脏污、异物，不应有明显磕碰、划伤现象。设备布局应整齐、美观，管路不得出现扭曲、折叠等现象。各种标牌应清晰、耐久，不允许有边角翘起、溢胶等不良;固定在明显位置，平整牢固，无歪斜等不良。防水设计:产品整体设有密封胶条。产品表面应无肉眼可见的色差。整体采用户外塑粉静电喷涂。产品开孔不允许有可擦拭油污，影响使用的毛边及金属残留。喷涂及丝印面不应有积漆、露底、断字、图案偏位、图案残缺等缺陷；L0G0及产品标示字符应准确、清晰且不易去除。线材部分表面不可有破皮、芯材外漏等异常。设备运行应平稳，无阻滞及异常响声等不良现象。</w:t>
            </w:r>
          </w:p>
        </w:tc>
      </w:tr>
      <w:tr w14:paraId="64B16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45D4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17</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5C6E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称重盘</w:t>
            </w: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A04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lang w:val="en-US"/>
              </w:rPr>
            </w:pPr>
            <w:r>
              <w:rPr>
                <w:rFonts w:hint="eastAsia" w:ascii="仿宋" w:hAnsi="仿宋" w:eastAsia="仿宋" w:cs="仿宋"/>
                <w:i w:val="0"/>
                <w:iCs w:val="0"/>
                <w:color w:val="auto"/>
                <w:kern w:val="0"/>
                <w:sz w:val="21"/>
                <w:szCs w:val="21"/>
                <w:highlight w:val="none"/>
                <w:u w:val="none"/>
                <w:lang w:val="en-US" w:eastAsia="zh-CN" w:bidi="ar"/>
              </w:rPr>
              <w:t>镀锌钢板材质</w:t>
            </w:r>
          </w:p>
        </w:tc>
      </w:tr>
      <w:tr w14:paraId="2A7FC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070A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18</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337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文字处理</w:t>
            </w: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F61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丝网印刷</w:t>
            </w:r>
          </w:p>
        </w:tc>
      </w:tr>
      <w:tr w14:paraId="2101C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1EF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19</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027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功能要求</w:t>
            </w:r>
          </w:p>
        </w:tc>
        <w:tc>
          <w:tcPr>
            <w:tcW w:w="7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3C4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color w:val="auto"/>
                <w:sz w:val="21"/>
                <w:szCs w:val="21"/>
                <w:highlight w:val="none"/>
              </w:rPr>
              <w:t>★</w:t>
            </w:r>
            <w:r>
              <w:rPr>
                <w:rFonts w:hint="eastAsia" w:ascii="仿宋" w:hAnsi="仿宋" w:eastAsia="仿宋" w:cs="仿宋"/>
                <w:i w:val="0"/>
                <w:iCs w:val="0"/>
                <w:color w:val="auto"/>
                <w:kern w:val="0"/>
                <w:sz w:val="21"/>
                <w:szCs w:val="21"/>
                <w:highlight w:val="none"/>
                <w:u w:val="none"/>
                <w:lang w:val="en-US" w:eastAsia="zh-CN" w:bidi="ar"/>
              </w:rPr>
              <w:t>1.智能称重系统:箱体内部有智能称重模块，称重精度±15g，可对每次投递垃圾进行智能称重并上传服务器，可通过手机端查看垃圾重量。当箱体内垃圾超重时可通过手机端推送或短信自动发送功能通知相关人员。可以通过运维app和后台查看实时状态。</w:t>
            </w:r>
          </w:p>
          <w:p w14:paraId="23D4AD41">
            <w:pPr>
              <w:keepNext w:val="0"/>
              <w:keepLines w:val="0"/>
              <w:pageBreakBefore w:val="0"/>
              <w:widowControl/>
              <w:numPr>
                <w:ilvl w:val="0"/>
                <w:numId w:val="3"/>
              </w:numPr>
              <w:suppressLineNumbers w:val="0"/>
              <w:kinsoku/>
              <w:wordWrap/>
              <w:overflowPunct/>
              <w:topLinePunct w:val="0"/>
              <w:autoSpaceDE/>
              <w:autoSpaceDN/>
              <w:bidi w:val="0"/>
              <w:adjustRightInd/>
              <w:snapToGrid/>
              <w:spacing w:line="440" w:lineRule="exact"/>
              <w:jc w:val="left"/>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应在居民投放垃圾后通过实时监测回收箱内垃圾投放量，提示工作人员清运处置，应能实现并满足全天无人值守。定时照明:投口上部设有照明灯，照明灯可设置成投递时亮起便于用户夜间使用。满溢预警:当箱体内部桶满溢，投口带有自锁功能，不能打开，可通过手机端推送或满溢预警信息，此时液晶屏可显示预警信息。可以通过运维app和后台查看实时状态。烟雾预警:当箱体内产生烟雾的时候，通过手机端或者短信自动推送相关负责人具备多次重发机制功能。可以通过运维app和后台查看实时状态。</w:t>
            </w:r>
          </w:p>
          <w:p w14:paraId="77B9CD94">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jc w:val="left"/>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多种开门方式:微信扫码登录、手机号登录；定时投递:系统可通过后台设置每日的投递时间，在投递时间范围内，用户可授权开门投递垃圾，非投递时间内，仓门锁定，用户无法投递。防夹功能:通过电机电流检测，实现防夹功能，防止在投递过程中，人体受到伤害。积分体系功能:可按照各地区的政策，设置发放积分。积分可精确到单设备的垃圾类型，进行发放和设置，并可设定上限。智能控制系统:用户对垃圾自行分类后，微信扫码或手机号登录操作系统，投口自动打开，投递完毕后投口自动关闭，产品自动称重，计算兑换积分返还到用户账户。设备预警自检:当设备出现异常情况时，可自动上报平台，可视化查看，同时具备自动解除功能。设备上明显处应有相应的警示标识，整体外壳应坚固。设备应配备故障报警装置。</w:t>
            </w:r>
          </w:p>
        </w:tc>
      </w:tr>
      <w:tr w14:paraId="412C0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82C68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b/>
                <w:bCs/>
                <w:i w:val="0"/>
                <w:iCs w:val="0"/>
                <w:color w:val="auto"/>
                <w:kern w:val="0"/>
                <w:sz w:val="21"/>
                <w:szCs w:val="21"/>
                <w:highlight w:val="none"/>
                <w:u w:val="none"/>
                <w:lang w:val="en-US" w:eastAsia="zh-CN" w:bidi="ar"/>
              </w:rPr>
              <w:t>注：标★项需提供第三方权威检测机构出具的检测报告扫描件，如投标人提供虚假材料谋取中标的，将根据政府采购相关规定追责处理。</w:t>
            </w:r>
          </w:p>
        </w:tc>
      </w:tr>
    </w:tbl>
    <w:p w14:paraId="05FDFFC5">
      <w:pP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br w:type="page"/>
      </w:r>
    </w:p>
    <w:p w14:paraId="6AF11CA5">
      <w:pPr>
        <w:ind w:firstLine="482" w:firstLineChars="20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②双投口</w:t>
      </w:r>
      <w:r>
        <w:rPr>
          <w:rFonts w:hint="eastAsia" w:ascii="仿宋" w:hAnsi="仿宋" w:eastAsia="仿宋" w:cs="仿宋"/>
          <w:b/>
          <w:bCs/>
          <w:color w:val="auto"/>
          <w:sz w:val="24"/>
          <w:szCs w:val="24"/>
          <w:highlight w:val="none"/>
        </w:rPr>
        <w:t>再生资源智能回收</w:t>
      </w:r>
      <w:r>
        <w:rPr>
          <w:rFonts w:hint="eastAsia" w:ascii="仿宋" w:hAnsi="仿宋" w:eastAsia="仿宋" w:cs="仿宋"/>
          <w:b/>
          <w:bCs/>
          <w:color w:val="auto"/>
          <w:sz w:val="24"/>
          <w:szCs w:val="24"/>
          <w:highlight w:val="none"/>
          <w:lang w:val="en-US" w:eastAsia="zh-CN"/>
        </w:rPr>
        <w:t>箱技术参数：</w:t>
      </w:r>
    </w:p>
    <w:tbl>
      <w:tblPr>
        <w:tblStyle w:val="27"/>
        <w:tblW w:w="938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3"/>
        <w:gridCol w:w="1356"/>
        <w:gridCol w:w="7235"/>
      </w:tblGrid>
      <w:tr w14:paraId="2F7BF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384" w:type="dxa"/>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23E8D09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产品尺寸：不小于2180mm*1160mm*2200mm</w:t>
            </w:r>
          </w:p>
        </w:tc>
      </w:tr>
      <w:tr w14:paraId="725FD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auto" w:sz="4" w:space="0"/>
              <w:left w:val="single" w:color="000000" w:sz="4" w:space="0"/>
              <w:bottom w:val="single" w:color="000000" w:sz="4" w:space="0"/>
              <w:right w:val="single" w:color="000000" w:sz="4" w:space="0"/>
            </w:tcBorders>
            <w:shd w:val="clear" w:color="auto" w:fill="auto"/>
            <w:vAlign w:val="center"/>
          </w:tcPr>
          <w:p w14:paraId="604DC04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序号</w:t>
            </w:r>
          </w:p>
        </w:tc>
        <w:tc>
          <w:tcPr>
            <w:tcW w:w="1356" w:type="dxa"/>
            <w:tcBorders>
              <w:top w:val="single" w:color="auto" w:sz="4" w:space="0"/>
              <w:left w:val="single" w:color="000000" w:sz="4" w:space="0"/>
              <w:bottom w:val="single" w:color="000000" w:sz="4" w:space="0"/>
              <w:right w:val="single" w:color="000000" w:sz="4" w:space="0"/>
            </w:tcBorders>
            <w:shd w:val="clear" w:color="auto" w:fill="auto"/>
            <w:vAlign w:val="center"/>
          </w:tcPr>
          <w:p w14:paraId="5C17077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模块</w:t>
            </w:r>
          </w:p>
        </w:tc>
        <w:tc>
          <w:tcPr>
            <w:tcW w:w="7235" w:type="dxa"/>
            <w:tcBorders>
              <w:top w:val="single" w:color="auto" w:sz="4" w:space="0"/>
              <w:left w:val="single" w:color="000000" w:sz="4" w:space="0"/>
              <w:bottom w:val="single" w:color="000000" w:sz="4" w:space="0"/>
              <w:right w:val="single" w:color="000000" w:sz="4" w:space="0"/>
            </w:tcBorders>
            <w:shd w:val="clear" w:color="auto" w:fill="auto"/>
            <w:vAlign w:val="center"/>
          </w:tcPr>
          <w:p w14:paraId="7025F1E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主要功能</w:t>
            </w:r>
          </w:p>
        </w:tc>
      </w:tr>
      <w:tr w14:paraId="2506D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D37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w:t>
            </w:r>
          </w:p>
        </w:tc>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EBC0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电源</w:t>
            </w: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D49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漏电保护，16A；180W12V开关电源</w:t>
            </w:r>
          </w:p>
        </w:tc>
      </w:tr>
      <w:tr w14:paraId="2E207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DFD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2</w:t>
            </w:r>
          </w:p>
        </w:tc>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DBA8D">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A6C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电气布线：当执行绝缘电阻时，在动力电路导线和保护联结电路间施加500Vd.c时测得的绝缘电阻不应小于1MΩ</w:t>
            </w:r>
          </w:p>
        </w:tc>
      </w:tr>
      <w:tr w14:paraId="59967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25F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w:t>
            </w:r>
          </w:p>
        </w:tc>
        <w:tc>
          <w:tcPr>
            <w:tcW w:w="13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D04D55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主机</w:t>
            </w:r>
          </w:p>
        </w:tc>
        <w:tc>
          <w:tcPr>
            <w:tcW w:w="7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2AE4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安卓主控模块</w:t>
            </w:r>
          </w:p>
        </w:tc>
      </w:tr>
      <w:tr w14:paraId="2D12F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DF6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4</w:t>
            </w:r>
          </w:p>
        </w:tc>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563736">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4E10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不小于10.1寸触摸屏</w:t>
            </w:r>
          </w:p>
        </w:tc>
      </w:tr>
      <w:tr w14:paraId="465E5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E8B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5</w:t>
            </w:r>
          </w:p>
        </w:tc>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ABD5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网络</w:t>
            </w: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AC2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不小于流量卡24G/年</w:t>
            </w:r>
          </w:p>
        </w:tc>
      </w:tr>
      <w:tr w14:paraId="73248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468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6</w:t>
            </w:r>
          </w:p>
        </w:tc>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1D2F3">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42E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路由器</w:t>
            </w:r>
          </w:p>
        </w:tc>
      </w:tr>
      <w:tr w14:paraId="4DA66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E1C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7</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4CF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软件</w:t>
            </w: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ABF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软件模块</w:t>
            </w:r>
          </w:p>
        </w:tc>
      </w:tr>
      <w:tr w14:paraId="234B3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6DB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8</w:t>
            </w:r>
          </w:p>
        </w:tc>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8D2D6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控制</w:t>
            </w: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434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分控板</w:t>
            </w:r>
          </w:p>
        </w:tc>
      </w:tr>
      <w:tr w14:paraId="76B17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B44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9</w:t>
            </w:r>
          </w:p>
        </w:tc>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DA289">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A04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电动推杆250mm/s</w:t>
            </w:r>
          </w:p>
        </w:tc>
      </w:tr>
      <w:tr w14:paraId="74F2D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BA9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10</w:t>
            </w:r>
          </w:p>
        </w:tc>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58DDA">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A6C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满桶传感器</w:t>
            </w:r>
          </w:p>
        </w:tc>
      </w:tr>
      <w:tr w14:paraId="688DB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CCF0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11</w:t>
            </w:r>
          </w:p>
        </w:tc>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B2FA0">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DCC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称重模块200kg 模拟量</w:t>
            </w:r>
          </w:p>
        </w:tc>
      </w:tr>
      <w:tr w14:paraId="53C95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50AC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w:t>
            </w:r>
          </w:p>
        </w:tc>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8055D">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72F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内部抓拍摄像头1个110°1080P</w:t>
            </w:r>
          </w:p>
        </w:tc>
      </w:tr>
      <w:tr w14:paraId="4CFFD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9F81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13</w:t>
            </w:r>
          </w:p>
        </w:tc>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4A06E">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0A1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lang w:val="en-US"/>
              </w:rPr>
            </w:pPr>
            <w:r>
              <w:rPr>
                <w:rFonts w:hint="eastAsia" w:ascii="仿宋" w:hAnsi="仿宋" w:eastAsia="仿宋" w:cs="仿宋"/>
                <w:i w:val="0"/>
                <w:iCs w:val="0"/>
                <w:color w:val="auto"/>
                <w:kern w:val="0"/>
                <w:sz w:val="21"/>
                <w:szCs w:val="21"/>
                <w:highlight w:val="none"/>
                <w:u w:val="none"/>
                <w:lang w:val="en-US" w:eastAsia="zh-CN" w:bidi="ar"/>
              </w:rPr>
              <w:t>外部摄像头1个</w:t>
            </w:r>
          </w:p>
        </w:tc>
      </w:tr>
      <w:tr w14:paraId="008E9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103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14</w:t>
            </w:r>
          </w:p>
        </w:tc>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E4ABD">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 w:hAnsi="仿宋" w:eastAsia="仿宋" w:cs="仿宋"/>
                <w:i w:val="0"/>
                <w:iCs w:val="0"/>
                <w:color w:val="auto"/>
                <w:sz w:val="21"/>
                <w:szCs w:val="21"/>
                <w:highlight w:val="none"/>
                <w:u w:val="none"/>
              </w:rPr>
            </w:pPr>
          </w:p>
        </w:tc>
        <w:tc>
          <w:tcPr>
            <w:tcW w:w="7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F27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 xml:space="preserve">内外部抓拍照明灯12v </w:t>
            </w:r>
          </w:p>
        </w:tc>
      </w:tr>
      <w:tr w14:paraId="3C2A0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ABA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15</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418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总框架</w:t>
            </w: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1B7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镀锌方管支撑框架</w:t>
            </w:r>
          </w:p>
        </w:tc>
      </w:tr>
      <w:tr w14:paraId="7E853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21D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16</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09F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lang w:val="en-US" w:eastAsia="zh-CN"/>
              </w:rPr>
            </w:pPr>
            <w:r>
              <w:rPr>
                <w:rFonts w:hint="eastAsia" w:ascii="仿宋" w:hAnsi="仿宋" w:eastAsia="仿宋" w:cs="仿宋"/>
                <w:i w:val="0"/>
                <w:iCs w:val="0"/>
                <w:color w:val="auto"/>
                <w:sz w:val="21"/>
                <w:szCs w:val="21"/>
                <w:highlight w:val="none"/>
                <w:u w:val="none"/>
                <w:lang w:val="en-US" w:eastAsia="zh-CN"/>
              </w:rPr>
              <w:t>外观和结构</w:t>
            </w: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C8DD">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产品表面应整洁，无脏污、异物，不应有明显磕碰、划伤现象。设备布局应整齐、美观，管路不得出现扭曲、折叠等现象。各种标牌应清晰、耐久，不允许有边角翘起、溢胶等不良;固定在明显位置，平整牢固，无歪斜等不良；防水设计:产品整体设有密封胶条。钣金外壳表面应平整，不应有凸起凹陷和翘曲等现象。棱边挺直，边缘处无毛刺等不良，折弯处圆弧光滑。厚度≥1.Omm的板制作。内部设有多道加强筋，结构稳定。产品表面应无肉眼可见的色差。整体采用户外塑粉静电喷涂。产品开孔不允许有可擦拭油污，影响使用的毛边及金属残留。喷涂及丝印面不应有积漆、露底、断字、图案偏位、图案残缺等缺陷；L0G0及产品标示字符应准确、清晰且不易去除。线材部分表面不可有破皮、芯材外漏等异常。设备运行应平稳，无阻滞及异常响声等不良现象。</w:t>
            </w:r>
          </w:p>
        </w:tc>
      </w:tr>
      <w:tr w14:paraId="0D11C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532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17</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040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称重盘</w:t>
            </w: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E01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lang w:val="en-US"/>
              </w:rPr>
            </w:pPr>
            <w:r>
              <w:rPr>
                <w:rFonts w:hint="eastAsia" w:ascii="仿宋" w:hAnsi="仿宋" w:eastAsia="仿宋" w:cs="仿宋"/>
                <w:i w:val="0"/>
                <w:iCs w:val="0"/>
                <w:color w:val="auto"/>
                <w:kern w:val="0"/>
                <w:sz w:val="21"/>
                <w:szCs w:val="21"/>
                <w:highlight w:val="none"/>
                <w:u w:val="none"/>
                <w:lang w:val="en-US" w:eastAsia="zh-CN" w:bidi="ar"/>
              </w:rPr>
              <w:t>镀锌钢板材质</w:t>
            </w:r>
          </w:p>
        </w:tc>
      </w:tr>
      <w:tr w14:paraId="1D5AB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BA8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18</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F258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文字处理</w:t>
            </w: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961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丝网印刷</w:t>
            </w:r>
          </w:p>
        </w:tc>
      </w:tr>
      <w:tr w14:paraId="5BA5A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0ED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19</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CA3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功能要求</w:t>
            </w:r>
          </w:p>
        </w:tc>
        <w:tc>
          <w:tcPr>
            <w:tcW w:w="7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9C0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应在居民投放垃圾后通过实时监测回收箱内垃圾投放量，提示工作人员清运处置，应能实现并满足全天无人值守。定时照明:</w:t>
            </w:r>
          </w:p>
          <w:p w14:paraId="045C7D9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投口上部设有照明灯，照明灯可设置成投递时亮起便于用户夜间使用。智能称重系统:箱体内部有智能称重模块，称重精度±15g，可对每次投递垃圾进行智能称重并上传服务器，可通过手机端查看垃圾重量。当箱体内垃圾超重时可通过手机端推送或短信自动发送功能通知相关人员。可以通过运维app和后台查看实时状态。满溢预警:当箱体内部桶满溢，投口带有自锁功能，不能打开，可通过手机端推送或满溢预警信息，此时液晶屏可显示预警信息。可以通过运维app和后台查看实时状态。烟雾预警:当箱体内产生烟雾的时候，通过手机端或者短信自动推送相关负责人具备多次重发机制功能。可以通过运维app和后台查看实时状态。多种开门方式:微信扫码登录、手机号登录；定时投递:系统可通过后台设置每日的投递时间，在投递时间范围内，用户可授权开门投递垃圾，非投递时间内，仓门锁定，用户无法投递。防夹功能:通过电机电流检测，实现防夹功能，防止在投递过程中，人体受到伤害。积分体系功能:可按照各地区的政策，设置发放积分。积分可精确到单设备的垃圾类型，进行发放和设置，并可设定上限。智能控制系统:用户对垃圾自行分类后，微信扫码或手机号登录操作系统，投口自动打开，投递完毕后投口自动关闭，产品自动称重，计算兑换积分返还到用户账户。设备预警自检:当设备出现异常情况时，可自动上报平台，可视化查看，同时具备自动解除功能。设备上明显处应有相应的警示标识，整体外壳应坚固。设备应配备故障报警装置。</w:t>
            </w:r>
          </w:p>
        </w:tc>
      </w:tr>
    </w:tbl>
    <w:p w14:paraId="47338238">
      <w:pPr>
        <w:rPr>
          <w:rFonts w:hint="eastAsia" w:ascii="仿宋" w:hAnsi="仿宋" w:eastAsia="仿宋" w:cs="仿宋"/>
          <w:color w:val="auto"/>
          <w:sz w:val="24"/>
          <w:szCs w:val="24"/>
          <w:highlight w:val="none"/>
        </w:rPr>
      </w:pPr>
    </w:p>
    <w:p w14:paraId="6357CE99">
      <w:pPr>
        <w:pStyle w:val="7"/>
        <w:pageBreakBefore w:val="0"/>
        <w:widowControl w:val="0"/>
        <w:numPr>
          <w:ilvl w:val="0"/>
          <w:numId w:val="0"/>
        </w:numPr>
        <w:kinsoku/>
        <w:wordWrap/>
        <w:overflowPunct/>
        <w:topLinePunct w:val="0"/>
        <w:autoSpaceDE/>
        <w:autoSpaceDN/>
        <w:bidi w:val="0"/>
        <w:adjustRightInd/>
        <w:snapToGrid/>
        <w:spacing w:before="0" w:after="0" w:line="480" w:lineRule="exact"/>
        <w:ind w:left="0" w:leftChars="0"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b/>
          <w:bCs/>
          <w:i w:val="0"/>
          <w:color w:val="auto"/>
          <w:sz w:val="24"/>
          <w:szCs w:val="24"/>
          <w:highlight w:val="none"/>
          <w:lang w:val="en-US" w:eastAsia="zh-CN" w:bidi="ar-SA"/>
        </w:rPr>
        <w:t xml:space="preserve">2.2.2 </w:t>
      </w:r>
      <w:r>
        <w:rPr>
          <w:rFonts w:hint="eastAsia" w:ascii="仿宋" w:hAnsi="仿宋" w:eastAsia="仿宋" w:cs="仿宋"/>
          <w:color w:val="auto"/>
          <w:sz w:val="24"/>
          <w:szCs w:val="24"/>
          <w:highlight w:val="none"/>
          <w:lang w:val="en-US" w:eastAsia="zh-CN"/>
        </w:rPr>
        <w:t>再生资源回收车辆配备</w:t>
      </w:r>
    </w:p>
    <w:p w14:paraId="7DF0EF4B">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本项目组建专业化再生资源专项回收队伍，配套配置再生资源收运车辆，实现辖区再生资源全品类应收尽收、规范清运。</w:t>
      </w:r>
    </w:p>
    <w:tbl>
      <w:tblPr>
        <w:tblStyle w:val="28"/>
        <w:tblW w:w="9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1"/>
        <w:gridCol w:w="4104"/>
        <w:gridCol w:w="4093"/>
      </w:tblGrid>
      <w:tr w14:paraId="2AE4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tcPr>
          <w:p w14:paraId="0EC7C42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序号</w:t>
            </w:r>
          </w:p>
        </w:tc>
        <w:tc>
          <w:tcPr>
            <w:tcW w:w="4104" w:type="dxa"/>
          </w:tcPr>
          <w:p w14:paraId="27D898D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车辆类型</w:t>
            </w:r>
          </w:p>
        </w:tc>
        <w:tc>
          <w:tcPr>
            <w:tcW w:w="4093" w:type="dxa"/>
          </w:tcPr>
          <w:p w14:paraId="54DF72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数量</w:t>
            </w:r>
          </w:p>
        </w:tc>
      </w:tr>
      <w:tr w14:paraId="6930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tcPr>
          <w:p w14:paraId="2082BB2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4104" w:type="dxa"/>
          </w:tcPr>
          <w:p w14:paraId="0AD507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rPr>
              <w:t>清运电动车</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三轮</w:t>
            </w:r>
            <w:r>
              <w:rPr>
                <w:rFonts w:hint="eastAsia" w:ascii="仿宋" w:hAnsi="仿宋" w:eastAsia="仿宋" w:cs="仿宋"/>
                <w:color w:val="auto"/>
                <w:sz w:val="21"/>
                <w:szCs w:val="21"/>
                <w:highlight w:val="none"/>
                <w:lang w:eastAsia="zh-CN"/>
              </w:rPr>
              <w:t>）</w:t>
            </w:r>
          </w:p>
        </w:tc>
        <w:tc>
          <w:tcPr>
            <w:tcW w:w="4093" w:type="dxa"/>
          </w:tcPr>
          <w:p w14:paraId="2C974C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不少于10台</w:t>
            </w:r>
          </w:p>
        </w:tc>
      </w:tr>
      <w:tr w14:paraId="5D8D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tcPr>
          <w:p w14:paraId="2309D9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c>
          <w:tcPr>
            <w:tcW w:w="4104" w:type="dxa"/>
          </w:tcPr>
          <w:p w14:paraId="505DC4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rPr>
              <w:t>清运电动车</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四轮</w:t>
            </w:r>
            <w:r>
              <w:rPr>
                <w:rFonts w:hint="eastAsia" w:ascii="仿宋" w:hAnsi="仿宋" w:eastAsia="仿宋" w:cs="仿宋"/>
                <w:color w:val="auto"/>
                <w:sz w:val="21"/>
                <w:szCs w:val="21"/>
                <w:highlight w:val="none"/>
                <w:lang w:eastAsia="zh-CN"/>
              </w:rPr>
              <w:t>）</w:t>
            </w:r>
          </w:p>
        </w:tc>
        <w:tc>
          <w:tcPr>
            <w:tcW w:w="4093" w:type="dxa"/>
          </w:tcPr>
          <w:p w14:paraId="6AB7A6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不少于3台</w:t>
            </w:r>
          </w:p>
        </w:tc>
      </w:tr>
      <w:tr w14:paraId="7B7F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261" w:type="dxa"/>
          </w:tcPr>
          <w:p w14:paraId="22588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w:t>
            </w:r>
          </w:p>
        </w:tc>
        <w:tc>
          <w:tcPr>
            <w:tcW w:w="4104" w:type="dxa"/>
          </w:tcPr>
          <w:p w14:paraId="0D711A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rPr>
              <w:t>中转货车</w:t>
            </w:r>
          </w:p>
        </w:tc>
        <w:tc>
          <w:tcPr>
            <w:tcW w:w="4093" w:type="dxa"/>
          </w:tcPr>
          <w:p w14:paraId="1167C9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不少于3台</w:t>
            </w:r>
          </w:p>
        </w:tc>
      </w:tr>
      <w:tr w14:paraId="3F09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tcPr>
          <w:p w14:paraId="4694595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w:t>
            </w:r>
          </w:p>
        </w:tc>
        <w:tc>
          <w:tcPr>
            <w:tcW w:w="4104" w:type="dxa"/>
          </w:tcPr>
          <w:p w14:paraId="543C6F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合计</w:t>
            </w:r>
          </w:p>
        </w:tc>
        <w:tc>
          <w:tcPr>
            <w:tcW w:w="4093" w:type="dxa"/>
          </w:tcPr>
          <w:p w14:paraId="446155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不少于16台</w:t>
            </w:r>
          </w:p>
        </w:tc>
      </w:tr>
    </w:tbl>
    <w:p w14:paraId="133F188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注：所有车辆须手续齐全，状态良好，车容整洁。</w:t>
      </w:r>
    </w:p>
    <w:p w14:paraId="35EDE36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①</w:t>
      </w:r>
      <w:r>
        <w:rPr>
          <w:rFonts w:hint="eastAsia" w:ascii="仿宋" w:hAnsi="仿宋" w:eastAsia="仿宋" w:cs="仿宋"/>
          <w:b/>
          <w:bCs/>
          <w:color w:val="auto"/>
          <w:sz w:val="24"/>
          <w:szCs w:val="24"/>
          <w:highlight w:val="none"/>
        </w:rPr>
        <w:t>清运电动车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三轮</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技术参数：</w:t>
      </w:r>
    </w:p>
    <w:tbl>
      <w:tblPr>
        <w:tblStyle w:val="28"/>
        <w:tblW w:w="94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704"/>
        <w:gridCol w:w="6984"/>
      </w:tblGrid>
      <w:tr w14:paraId="1F10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14:paraId="7DFE1C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序号</w:t>
            </w:r>
          </w:p>
        </w:tc>
        <w:tc>
          <w:tcPr>
            <w:tcW w:w="1704" w:type="dxa"/>
          </w:tcPr>
          <w:p w14:paraId="30CA98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大类</w:t>
            </w:r>
          </w:p>
        </w:tc>
        <w:tc>
          <w:tcPr>
            <w:tcW w:w="6984" w:type="dxa"/>
          </w:tcPr>
          <w:p w14:paraId="4F9D49C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详细参数</w:t>
            </w:r>
          </w:p>
        </w:tc>
      </w:tr>
      <w:tr w14:paraId="144D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042604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1704" w:type="dxa"/>
            <w:vAlign w:val="center"/>
          </w:tcPr>
          <w:p w14:paraId="21F1BB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rPr>
              <w:t>整车基础参数</w:t>
            </w:r>
          </w:p>
        </w:tc>
        <w:tc>
          <w:tcPr>
            <w:tcW w:w="6984" w:type="dxa"/>
          </w:tcPr>
          <w:p w14:paraId="1A7B860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1、型号：电动货运三轮车</w:t>
            </w:r>
          </w:p>
          <w:p w14:paraId="2D6E34F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2、车厢尺寸：</w:t>
            </w:r>
            <w:r>
              <w:rPr>
                <w:rFonts w:hint="eastAsia" w:ascii="仿宋" w:hAnsi="仿宋" w:eastAsia="仿宋" w:cs="仿宋"/>
                <w:color w:val="auto"/>
                <w:sz w:val="21"/>
                <w:szCs w:val="21"/>
                <w:highlight w:val="none"/>
                <w:lang w:val="en-US" w:eastAsia="zh-CN"/>
              </w:rPr>
              <w:t>不小于</w:t>
            </w:r>
            <w:r>
              <w:rPr>
                <w:rFonts w:hint="eastAsia" w:ascii="仿宋" w:hAnsi="仿宋" w:eastAsia="仿宋" w:cs="仿宋"/>
                <w:color w:val="auto"/>
                <w:sz w:val="21"/>
                <w:szCs w:val="21"/>
                <w:highlight w:val="none"/>
              </w:rPr>
              <w:t>长2600mm × 宽1350mm</w:t>
            </w:r>
          </w:p>
          <w:p w14:paraId="863AB1C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3、车厢配置：简易月牙遮阳棚，标配爬坡变速档位</w:t>
            </w:r>
          </w:p>
          <w:p w14:paraId="4A809C3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rPr>
              <w:t>4、轮胎规格：后轮500-12轮胎</w:t>
            </w:r>
          </w:p>
        </w:tc>
      </w:tr>
      <w:tr w14:paraId="303F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0E050F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c>
          <w:tcPr>
            <w:tcW w:w="1704" w:type="dxa"/>
            <w:vAlign w:val="center"/>
          </w:tcPr>
          <w:p w14:paraId="2928A6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rPr>
              <w:t>动力电控系统</w:t>
            </w:r>
          </w:p>
        </w:tc>
        <w:tc>
          <w:tcPr>
            <w:tcW w:w="6984" w:type="dxa"/>
          </w:tcPr>
          <w:p w14:paraId="E9A068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1、驱动电机：六相永磁同步电机</w:t>
            </w:r>
          </w:p>
          <w:p w14:paraId="D4C18A1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2、电控系统：专用六相永磁同步控制器</w:t>
            </w:r>
          </w:p>
          <w:p w14:paraId="18164FE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rPr>
              <w:t>3、电压规格：直流72V</w:t>
            </w:r>
          </w:p>
        </w:tc>
      </w:tr>
      <w:tr w14:paraId="38CD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11D9310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w:t>
            </w:r>
          </w:p>
        </w:tc>
        <w:tc>
          <w:tcPr>
            <w:tcW w:w="1704" w:type="dxa"/>
            <w:vAlign w:val="center"/>
          </w:tcPr>
          <w:p w14:paraId="13626D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rPr>
              <w:t>电池配置</w:t>
            </w:r>
          </w:p>
        </w:tc>
        <w:tc>
          <w:tcPr>
            <w:tcW w:w="6984" w:type="dxa"/>
          </w:tcPr>
          <w:p w14:paraId="5F22330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电池类型：锂电池</w:t>
            </w:r>
          </w:p>
          <w:p w14:paraId="3E40CC2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电池规格：</w:t>
            </w:r>
            <w:r>
              <w:rPr>
                <w:rFonts w:hint="eastAsia" w:ascii="仿宋" w:hAnsi="仿宋" w:eastAsia="仿宋" w:cs="仿宋"/>
                <w:color w:val="auto"/>
                <w:sz w:val="21"/>
                <w:szCs w:val="21"/>
                <w:highlight w:val="none"/>
                <w:lang w:val="en-US" w:eastAsia="zh-CN"/>
              </w:rPr>
              <w:t>不小于</w:t>
            </w:r>
            <w:r>
              <w:rPr>
                <w:rFonts w:hint="eastAsia" w:ascii="仿宋" w:hAnsi="仿宋" w:eastAsia="仿宋" w:cs="仿宋"/>
                <w:color w:val="auto"/>
                <w:sz w:val="21"/>
                <w:szCs w:val="21"/>
                <w:highlight w:val="none"/>
              </w:rPr>
              <w:t>72V 200Ah</w:t>
            </w:r>
          </w:p>
        </w:tc>
      </w:tr>
      <w:tr w14:paraId="3279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6FD593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w:t>
            </w:r>
          </w:p>
        </w:tc>
        <w:tc>
          <w:tcPr>
            <w:tcW w:w="1704" w:type="dxa"/>
            <w:vAlign w:val="center"/>
          </w:tcPr>
          <w:p w14:paraId="0FDCEF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rPr>
              <w:t>核心功能配置</w:t>
            </w:r>
          </w:p>
        </w:tc>
        <w:tc>
          <w:tcPr>
            <w:tcW w:w="6984" w:type="dxa"/>
          </w:tcPr>
          <w:p w14:paraId="4D4AD27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rPr>
              <w:t>档位模式：常规行驶档+爬坡低速档，重载陡坡动力更强</w:t>
            </w:r>
          </w:p>
        </w:tc>
      </w:tr>
    </w:tbl>
    <w:p w14:paraId="6CC3CF8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②</w:t>
      </w:r>
      <w:r>
        <w:rPr>
          <w:rFonts w:hint="eastAsia" w:ascii="仿宋" w:hAnsi="仿宋" w:eastAsia="仿宋" w:cs="仿宋"/>
          <w:b/>
          <w:bCs/>
          <w:color w:val="auto"/>
          <w:sz w:val="24"/>
          <w:szCs w:val="24"/>
          <w:highlight w:val="none"/>
        </w:rPr>
        <w:t>清运电动车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四轮</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技术参数：</w:t>
      </w:r>
    </w:p>
    <w:tbl>
      <w:tblPr>
        <w:tblStyle w:val="28"/>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704"/>
        <w:gridCol w:w="6995"/>
      </w:tblGrid>
      <w:tr w14:paraId="7721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14:paraId="0592C3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序号</w:t>
            </w:r>
          </w:p>
        </w:tc>
        <w:tc>
          <w:tcPr>
            <w:tcW w:w="1704" w:type="dxa"/>
          </w:tcPr>
          <w:p w14:paraId="200C57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大类</w:t>
            </w:r>
          </w:p>
        </w:tc>
        <w:tc>
          <w:tcPr>
            <w:tcW w:w="6995" w:type="dxa"/>
          </w:tcPr>
          <w:p w14:paraId="20D0B7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详细参数</w:t>
            </w:r>
          </w:p>
        </w:tc>
      </w:tr>
      <w:tr w14:paraId="5FC4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17FE36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1704" w:type="dxa"/>
            <w:vAlign w:val="center"/>
          </w:tcPr>
          <w:p w14:paraId="60E44EF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整车基础参数</w:t>
            </w:r>
          </w:p>
          <w:p w14:paraId="4F2B9F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p>
        </w:tc>
        <w:tc>
          <w:tcPr>
            <w:tcW w:w="6995" w:type="dxa"/>
          </w:tcPr>
          <w:p w14:paraId="CD1AD0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产品名称：纯电动载货汽车 </w:t>
            </w:r>
          </w:p>
          <w:p w14:paraId="B4F4604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外形尺寸不小于5550*1880*2055（mm） </w:t>
            </w:r>
          </w:p>
          <w:p w14:paraId="91D3AF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货厢尺寸不小于3700×1760*360（mm）</w:t>
            </w:r>
          </w:p>
          <w:p w14:paraId="86414F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总质量不小于3495kg</w:t>
            </w:r>
          </w:p>
          <w:p w14:paraId="A531C9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额定载质量不小于1355kg </w:t>
            </w:r>
          </w:p>
          <w:p w14:paraId="4287C9F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整备质量不小于1910kg</w:t>
            </w:r>
          </w:p>
        </w:tc>
      </w:tr>
      <w:tr w14:paraId="6CAB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1160B2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c>
          <w:tcPr>
            <w:tcW w:w="1704" w:type="dxa"/>
            <w:vAlign w:val="center"/>
          </w:tcPr>
          <w:p w14:paraId="5E7419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动力电控系统</w:t>
            </w:r>
          </w:p>
        </w:tc>
        <w:tc>
          <w:tcPr>
            <w:tcW w:w="6995" w:type="dxa"/>
          </w:tcPr>
          <w:p w14:paraId="B5904AB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轴数 2轴 ，轴距不小于3200mm</w:t>
            </w:r>
          </w:p>
          <w:p w14:paraId="F2BC0E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轮胎数量6条，轮胎规格 185R14LT 6PR </w:t>
            </w:r>
          </w:p>
          <w:p w14:paraId="23F556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能源类型 纯电动，排放标准 纯电动无排放 </w:t>
            </w:r>
          </w:p>
          <w:p w14:paraId="5461741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电机额定功率 45kW </w:t>
            </w:r>
          </w:p>
          <w:p w14:paraId="B26FBB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电机峰值功率 90kW </w:t>
            </w:r>
          </w:p>
          <w:p w14:paraId="265BC2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电机类型 永磁同步电机 </w:t>
            </w:r>
          </w:p>
          <w:p w14:paraId="5C23A5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电机马力不小于122匹 </w:t>
            </w:r>
          </w:p>
        </w:tc>
      </w:tr>
      <w:tr w14:paraId="10C3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7440C3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w:t>
            </w:r>
          </w:p>
        </w:tc>
        <w:tc>
          <w:tcPr>
            <w:tcW w:w="1704" w:type="dxa"/>
            <w:vAlign w:val="center"/>
          </w:tcPr>
          <w:p w14:paraId="1163B2F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电池配置</w:t>
            </w:r>
          </w:p>
        </w:tc>
        <w:tc>
          <w:tcPr>
            <w:tcW w:w="6995" w:type="dxa"/>
          </w:tcPr>
          <w:p w14:paraId="37B225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储能电池类型：磷酸铁锂蓄电池</w:t>
            </w:r>
          </w:p>
        </w:tc>
      </w:tr>
      <w:tr w14:paraId="2424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781" w:type="dxa"/>
            <w:vAlign w:val="center"/>
          </w:tcPr>
          <w:p w14:paraId="269E8B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w:t>
            </w:r>
          </w:p>
        </w:tc>
        <w:tc>
          <w:tcPr>
            <w:tcW w:w="1704" w:type="dxa"/>
            <w:vAlign w:val="center"/>
          </w:tcPr>
          <w:p w14:paraId="10DF2F2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货箱结构参数</w:t>
            </w:r>
          </w:p>
        </w:tc>
        <w:tc>
          <w:tcPr>
            <w:tcW w:w="6995" w:type="dxa"/>
          </w:tcPr>
          <w:p w14:paraId="13AF5A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货箱自重：不小于250kg</w:t>
            </w:r>
          </w:p>
          <w:p w14:paraId="083687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货箱底板：材质Q235钢材，厚度2MM</w:t>
            </w:r>
          </w:p>
        </w:tc>
      </w:tr>
    </w:tbl>
    <w:p w14:paraId="03896BB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③中转货车技术参数：</w:t>
      </w:r>
    </w:p>
    <w:tbl>
      <w:tblPr>
        <w:tblStyle w:val="28"/>
        <w:tblW w:w="95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704"/>
        <w:gridCol w:w="7018"/>
      </w:tblGrid>
      <w:tr w14:paraId="54A7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81" w:type="dxa"/>
          </w:tcPr>
          <w:p w14:paraId="32659A4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序号</w:t>
            </w:r>
          </w:p>
        </w:tc>
        <w:tc>
          <w:tcPr>
            <w:tcW w:w="1704" w:type="dxa"/>
          </w:tcPr>
          <w:p w14:paraId="41531B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大类</w:t>
            </w:r>
          </w:p>
        </w:tc>
        <w:tc>
          <w:tcPr>
            <w:tcW w:w="7018" w:type="dxa"/>
          </w:tcPr>
          <w:p w14:paraId="02A4A5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详细参数</w:t>
            </w:r>
          </w:p>
        </w:tc>
      </w:tr>
      <w:tr w14:paraId="68E3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54F7DD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1704" w:type="dxa"/>
            <w:vAlign w:val="center"/>
          </w:tcPr>
          <w:p w14:paraId="6F6BEF5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箱体核心尺寸</w:t>
            </w:r>
          </w:p>
          <w:p w14:paraId="548112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p>
        </w:tc>
        <w:tc>
          <w:tcPr>
            <w:tcW w:w="7018" w:type="dxa"/>
          </w:tcPr>
          <w:p w14:paraId="65A0B8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1、货箱内尺寸不少于：6800mm*2420mm*2600mm（高栏净空间） </w:t>
            </w:r>
          </w:p>
          <w:p w14:paraId="7609D1F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2、整车外廓不少于：约8990*2550*3900mm（合规不超4米限高）</w:t>
            </w:r>
          </w:p>
          <w:p w14:paraId="7BD81EB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3、装载容积不少于：40m³，适配废纸、塑料、打包轻泡回收物料</w:t>
            </w:r>
          </w:p>
        </w:tc>
      </w:tr>
      <w:tr w14:paraId="7A6D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647A76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c>
          <w:tcPr>
            <w:tcW w:w="1704" w:type="dxa"/>
            <w:vAlign w:val="center"/>
          </w:tcPr>
          <w:p w14:paraId="70B49F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载重参数</w:t>
            </w:r>
          </w:p>
        </w:tc>
        <w:tc>
          <w:tcPr>
            <w:tcW w:w="7018" w:type="dxa"/>
          </w:tcPr>
          <w:p w14:paraId="C3E1B0E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1、车货总质量限值不少于：25吨 </w:t>
            </w:r>
          </w:p>
          <w:p w14:paraId="E5E21D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2、车辆整备自重不少于：8.5吨</w:t>
            </w:r>
          </w:p>
          <w:p w14:paraId="4EFB60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3、合规额定载货不少于：16吨，满足分拣中心打包料大批量转运</w:t>
            </w:r>
          </w:p>
        </w:tc>
      </w:tr>
      <w:tr w14:paraId="17B5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2502E6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w:t>
            </w:r>
          </w:p>
        </w:tc>
        <w:tc>
          <w:tcPr>
            <w:tcW w:w="1704" w:type="dxa"/>
            <w:vAlign w:val="center"/>
          </w:tcPr>
          <w:p w14:paraId="606A63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底盘动力配置</w:t>
            </w:r>
          </w:p>
        </w:tc>
        <w:tc>
          <w:tcPr>
            <w:tcW w:w="7018" w:type="dxa"/>
          </w:tcPr>
          <w:p w14:paraId="4051DE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发动机：六缸柴油发动机</w:t>
            </w:r>
          </w:p>
          <w:p w14:paraId="52AF589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2、变速箱：手动6挡/8挡变速箱，爬坡有劲</w:t>
            </w:r>
          </w:p>
          <w:p w14:paraId="56642C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3、轮胎规格：10R22.5重载货运轮胎，耐废料碎石磨损</w:t>
            </w:r>
          </w:p>
          <w:p w14:paraId="23C0ED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4、轴距：4200mm，转弯灵活，厂区、城市道路通行顺畅</w:t>
            </w:r>
          </w:p>
        </w:tc>
      </w:tr>
      <w:tr w14:paraId="70FC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73BC87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w:t>
            </w:r>
          </w:p>
        </w:tc>
        <w:tc>
          <w:tcPr>
            <w:tcW w:w="1704" w:type="dxa"/>
            <w:vAlign w:val="center"/>
          </w:tcPr>
          <w:p w14:paraId="239265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结构配置</w:t>
            </w:r>
          </w:p>
        </w:tc>
        <w:tc>
          <w:tcPr>
            <w:tcW w:w="7018" w:type="dxa"/>
          </w:tcPr>
          <w:p w14:paraId="D26004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1、仓栅高栏可拆卸，叉车上下货极其方便</w:t>
            </w:r>
          </w:p>
          <w:p w14:paraId="1F5352A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2、栏板加厚碳钢材质，耐撞击、耐磨</w:t>
            </w:r>
          </w:p>
          <w:p w14:paraId="BA9BE9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3、标配倒车影像、倒车雷达、强光示廓灯，夜间厂区装卸安全</w:t>
            </w:r>
          </w:p>
          <w:p w14:paraId="41C957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4、双层大梁底盘，重载不易变形，适合高频短途转运</w:t>
            </w:r>
          </w:p>
        </w:tc>
      </w:tr>
    </w:tbl>
    <w:p w14:paraId="3B072E3C">
      <w:pPr>
        <w:pStyle w:val="7"/>
        <w:pageBreakBefore w:val="0"/>
        <w:widowControl w:val="0"/>
        <w:numPr>
          <w:ilvl w:val="0"/>
          <w:numId w:val="0"/>
        </w:numPr>
        <w:kinsoku/>
        <w:wordWrap/>
        <w:overflowPunct/>
        <w:topLinePunct w:val="0"/>
        <w:autoSpaceDE/>
        <w:autoSpaceDN/>
        <w:bidi w:val="0"/>
        <w:adjustRightInd/>
        <w:snapToGrid/>
        <w:spacing w:before="0" w:after="0" w:line="480" w:lineRule="exact"/>
        <w:ind w:left="0" w:leftChars="0"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b/>
          <w:bCs/>
          <w:i w:val="0"/>
          <w:color w:val="auto"/>
          <w:sz w:val="24"/>
          <w:szCs w:val="24"/>
          <w:highlight w:val="none"/>
          <w:lang w:val="en-US" w:eastAsia="zh-CN" w:bidi="ar-SA"/>
        </w:rPr>
        <w:t xml:space="preserve">2.2.3 </w:t>
      </w:r>
      <w:r>
        <w:rPr>
          <w:rFonts w:hint="eastAsia" w:ascii="仿宋" w:hAnsi="仿宋" w:eastAsia="仿宋" w:cs="仿宋"/>
          <w:color w:val="auto"/>
          <w:sz w:val="24"/>
          <w:szCs w:val="24"/>
          <w:highlight w:val="none"/>
        </w:rPr>
        <w:t>再生资源分拣中心建设</w:t>
      </w:r>
    </w:p>
    <w:p w14:paraId="16D1B348">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统筹兼顾地域布局与终端处置能力，规划建设区域性再生资源分拣中心1座</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面积不少于3000平方</w:t>
      </w:r>
      <w:r>
        <w:rPr>
          <w:rFonts w:hint="eastAsia" w:ascii="仿宋" w:hAnsi="仿宋" w:eastAsia="仿宋" w:cs="仿宋"/>
          <w:color w:val="auto"/>
          <w:sz w:val="24"/>
          <w:szCs w:val="24"/>
          <w:highlight w:val="none"/>
        </w:rPr>
        <w:t>。配套布设废纸、废塑料、废金属、废玻璃、废旧织物等多品类专业</w:t>
      </w:r>
      <w:r>
        <w:rPr>
          <w:rFonts w:hint="eastAsia" w:ascii="仿宋" w:hAnsi="仿宋" w:eastAsia="仿宋" w:cs="仿宋"/>
          <w:color w:val="auto"/>
          <w:sz w:val="24"/>
          <w:szCs w:val="24"/>
          <w:highlight w:val="none"/>
          <w:lang w:val="en-US" w:eastAsia="zh-CN"/>
        </w:rPr>
        <w:t>分拣区域</w:t>
      </w:r>
      <w:r>
        <w:rPr>
          <w:rFonts w:hint="eastAsia" w:ascii="仿宋" w:hAnsi="仿宋" w:eastAsia="仿宋" w:cs="仿宋"/>
          <w:color w:val="auto"/>
          <w:sz w:val="24"/>
          <w:szCs w:val="24"/>
          <w:highlight w:val="none"/>
        </w:rPr>
        <w:t>，配齐</w:t>
      </w:r>
      <w:r>
        <w:rPr>
          <w:rFonts w:hint="eastAsia" w:ascii="仿宋" w:hAnsi="仿宋" w:eastAsia="仿宋" w:cs="仿宋"/>
          <w:color w:val="auto"/>
          <w:sz w:val="24"/>
          <w:szCs w:val="24"/>
          <w:highlight w:val="none"/>
          <w:lang w:val="en-US" w:eastAsia="zh-CN"/>
        </w:rPr>
        <w:t>打包机</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vertAlign w:val="baseline"/>
          <w:lang w:val="en-US" w:eastAsia="zh-CN"/>
        </w:rPr>
        <w:t>上料传输机</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vertAlign w:val="baseline"/>
          <w:lang w:val="en-US" w:eastAsia="zh-CN"/>
        </w:rPr>
        <w:t>分拣输送带</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vertAlign w:val="baseline"/>
          <w:lang w:val="en-US" w:eastAsia="zh-CN"/>
        </w:rPr>
        <w:t>抓料机等机械设备</w:t>
      </w:r>
      <w:r>
        <w:rPr>
          <w:rFonts w:hint="eastAsia" w:ascii="仿宋" w:hAnsi="仿宋" w:eastAsia="仿宋" w:cs="仿宋"/>
          <w:color w:val="auto"/>
          <w:sz w:val="24"/>
          <w:szCs w:val="24"/>
          <w:highlight w:val="none"/>
        </w:rPr>
        <w:t>，支撑区域再生资源精细化分选与资源化预处理。</w:t>
      </w:r>
    </w:p>
    <w:p w14:paraId="167E898B">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分拣中心设施如下：</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1"/>
        <w:gridCol w:w="5409"/>
        <w:gridCol w:w="1909"/>
      </w:tblGrid>
      <w:tr w14:paraId="12D2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1" w:type="dxa"/>
          </w:tcPr>
          <w:p w14:paraId="2D27B6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序号</w:t>
            </w:r>
          </w:p>
        </w:tc>
        <w:tc>
          <w:tcPr>
            <w:tcW w:w="5409" w:type="dxa"/>
          </w:tcPr>
          <w:p w14:paraId="561197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设备类型</w:t>
            </w:r>
          </w:p>
        </w:tc>
        <w:tc>
          <w:tcPr>
            <w:tcW w:w="1909" w:type="dxa"/>
          </w:tcPr>
          <w:p w14:paraId="06A167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数量</w:t>
            </w:r>
          </w:p>
        </w:tc>
      </w:tr>
      <w:tr w14:paraId="4578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1" w:type="dxa"/>
          </w:tcPr>
          <w:p w14:paraId="5C4372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5409" w:type="dxa"/>
          </w:tcPr>
          <w:p w14:paraId="22C949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全自动液压打包机</w:t>
            </w:r>
          </w:p>
        </w:tc>
        <w:tc>
          <w:tcPr>
            <w:tcW w:w="1909" w:type="dxa"/>
          </w:tcPr>
          <w:p w14:paraId="596071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1台</w:t>
            </w:r>
          </w:p>
        </w:tc>
      </w:tr>
      <w:tr w14:paraId="2CEB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1" w:type="dxa"/>
          </w:tcPr>
          <w:p w14:paraId="2908247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c>
          <w:tcPr>
            <w:tcW w:w="5409" w:type="dxa"/>
          </w:tcPr>
          <w:p w14:paraId="19AF8F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链条式上料传输机</w:t>
            </w:r>
          </w:p>
        </w:tc>
        <w:tc>
          <w:tcPr>
            <w:tcW w:w="1909" w:type="dxa"/>
          </w:tcPr>
          <w:p w14:paraId="29B25E8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2台</w:t>
            </w:r>
          </w:p>
        </w:tc>
      </w:tr>
      <w:tr w14:paraId="02E1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1" w:type="dxa"/>
          </w:tcPr>
          <w:p w14:paraId="0A77B65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w:t>
            </w:r>
          </w:p>
        </w:tc>
        <w:tc>
          <w:tcPr>
            <w:tcW w:w="5409" w:type="dxa"/>
          </w:tcPr>
          <w:p w14:paraId="7F26D5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滚筒履带分拣输送带</w:t>
            </w:r>
          </w:p>
        </w:tc>
        <w:tc>
          <w:tcPr>
            <w:tcW w:w="1909" w:type="dxa"/>
          </w:tcPr>
          <w:p w14:paraId="0DBECE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1台</w:t>
            </w:r>
          </w:p>
        </w:tc>
      </w:tr>
      <w:tr w14:paraId="6DD8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1" w:type="dxa"/>
          </w:tcPr>
          <w:p w14:paraId="5C14CE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w:t>
            </w:r>
          </w:p>
        </w:tc>
        <w:tc>
          <w:tcPr>
            <w:tcW w:w="5409" w:type="dxa"/>
          </w:tcPr>
          <w:p w14:paraId="0FA5D1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物料抓料机</w:t>
            </w:r>
          </w:p>
        </w:tc>
        <w:tc>
          <w:tcPr>
            <w:tcW w:w="1909" w:type="dxa"/>
          </w:tcPr>
          <w:p w14:paraId="645E25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1台</w:t>
            </w:r>
          </w:p>
        </w:tc>
      </w:tr>
      <w:tr w14:paraId="636D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1" w:type="dxa"/>
          </w:tcPr>
          <w:p w14:paraId="200C490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w:t>
            </w:r>
          </w:p>
        </w:tc>
        <w:tc>
          <w:tcPr>
            <w:tcW w:w="5409" w:type="dxa"/>
          </w:tcPr>
          <w:p w14:paraId="13B266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工业叉车</w:t>
            </w:r>
          </w:p>
        </w:tc>
        <w:tc>
          <w:tcPr>
            <w:tcW w:w="1909" w:type="dxa"/>
          </w:tcPr>
          <w:p w14:paraId="1E61E6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1台</w:t>
            </w:r>
          </w:p>
        </w:tc>
      </w:tr>
      <w:tr w14:paraId="7ACA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1" w:type="dxa"/>
          </w:tcPr>
          <w:p w14:paraId="5FF67E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6</w:t>
            </w:r>
          </w:p>
        </w:tc>
        <w:tc>
          <w:tcPr>
            <w:tcW w:w="5409" w:type="dxa"/>
          </w:tcPr>
          <w:p w14:paraId="07E005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贸易结算电子地磅</w:t>
            </w:r>
          </w:p>
        </w:tc>
        <w:tc>
          <w:tcPr>
            <w:tcW w:w="1909" w:type="dxa"/>
          </w:tcPr>
          <w:p w14:paraId="5FCB00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1套</w:t>
            </w:r>
          </w:p>
        </w:tc>
      </w:tr>
      <w:tr w14:paraId="47B5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1" w:type="dxa"/>
          </w:tcPr>
          <w:p w14:paraId="580684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7</w:t>
            </w:r>
          </w:p>
        </w:tc>
        <w:tc>
          <w:tcPr>
            <w:tcW w:w="5409" w:type="dxa"/>
          </w:tcPr>
          <w:p w14:paraId="474CE0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厂区高清监控摄像头</w:t>
            </w:r>
          </w:p>
        </w:tc>
        <w:tc>
          <w:tcPr>
            <w:tcW w:w="1909" w:type="dxa"/>
          </w:tcPr>
          <w:p w14:paraId="0DCEC1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20套</w:t>
            </w:r>
          </w:p>
        </w:tc>
      </w:tr>
      <w:tr w14:paraId="7989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1" w:type="dxa"/>
            <w:vAlign w:val="center"/>
          </w:tcPr>
          <w:p w14:paraId="3487F0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8</w:t>
            </w:r>
          </w:p>
        </w:tc>
        <w:tc>
          <w:tcPr>
            <w:tcW w:w="5409" w:type="dxa"/>
          </w:tcPr>
          <w:p w14:paraId="3A81B3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总监控指挥中心（1套（含监控大屏、NVR主机、硬盘存储、画面分割、全天录像回看）</w:t>
            </w:r>
          </w:p>
        </w:tc>
        <w:tc>
          <w:tcPr>
            <w:tcW w:w="1909" w:type="dxa"/>
          </w:tcPr>
          <w:p w14:paraId="6898DB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1套</w:t>
            </w:r>
          </w:p>
        </w:tc>
      </w:tr>
      <w:tr w14:paraId="2DB4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1" w:type="dxa"/>
          </w:tcPr>
          <w:p w14:paraId="7D2C17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9</w:t>
            </w:r>
          </w:p>
        </w:tc>
        <w:tc>
          <w:tcPr>
            <w:tcW w:w="5409" w:type="dxa"/>
          </w:tcPr>
          <w:p w14:paraId="197155C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办公场所及办公设施等</w:t>
            </w:r>
          </w:p>
        </w:tc>
        <w:tc>
          <w:tcPr>
            <w:tcW w:w="1909" w:type="dxa"/>
          </w:tcPr>
          <w:p w14:paraId="0E1318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若干</w:t>
            </w:r>
          </w:p>
        </w:tc>
      </w:tr>
      <w:tr w14:paraId="3F1B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1" w:type="dxa"/>
          </w:tcPr>
          <w:p w14:paraId="3CBE94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10</w:t>
            </w:r>
          </w:p>
        </w:tc>
        <w:tc>
          <w:tcPr>
            <w:tcW w:w="5409" w:type="dxa"/>
          </w:tcPr>
          <w:p w14:paraId="382967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场地配套运维物资（消防、照明、安全防护设施等）</w:t>
            </w:r>
          </w:p>
        </w:tc>
        <w:tc>
          <w:tcPr>
            <w:tcW w:w="1909" w:type="dxa"/>
          </w:tcPr>
          <w:p w14:paraId="637EA9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若干</w:t>
            </w:r>
          </w:p>
        </w:tc>
      </w:tr>
    </w:tbl>
    <w:p w14:paraId="016C6D49">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①全自动液压打包机参数要求</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528"/>
        <w:gridCol w:w="6902"/>
      </w:tblGrid>
      <w:tr w14:paraId="7606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55" w:type="dxa"/>
            <w:noWrap w:val="0"/>
            <w:vAlign w:val="top"/>
          </w:tcPr>
          <w:p w14:paraId="73B0FC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1528" w:type="dxa"/>
            <w:noWrap w:val="0"/>
            <w:vAlign w:val="top"/>
          </w:tcPr>
          <w:p w14:paraId="43068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机器型号：</w:t>
            </w:r>
          </w:p>
        </w:tc>
        <w:tc>
          <w:tcPr>
            <w:tcW w:w="6902" w:type="dxa"/>
            <w:noWrap w:val="0"/>
            <w:vAlign w:val="top"/>
          </w:tcPr>
          <w:p w14:paraId="53C2BD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液压打包机（不少于200吨）</w:t>
            </w:r>
          </w:p>
        </w:tc>
      </w:tr>
      <w:tr w14:paraId="3D49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55" w:type="dxa"/>
            <w:noWrap w:val="0"/>
            <w:vAlign w:val="top"/>
          </w:tcPr>
          <w:p w14:paraId="15F6C9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c>
          <w:tcPr>
            <w:tcW w:w="1528" w:type="dxa"/>
            <w:noWrap w:val="0"/>
            <w:vAlign w:val="top"/>
          </w:tcPr>
          <w:p w14:paraId="72D9A4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压块尺寸：</w:t>
            </w:r>
          </w:p>
        </w:tc>
        <w:tc>
          <w:tcPr>
            <w:tcW w:w="6902" w:type="dxa"/>
            <w:noWrap w:val="0"/>
            <w:vAlign w:val="top"/>
          </w:tcPr>
          <w:p w14:paraId="380392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不小于1800*1100*1250mm长宽高</w:t>
            </w:r>
          </w:p>
        </w:tc>
      </w:tr>
      <w:tr w14:paraId="69AD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55" w:type="dxa"/>
            <w:noWrap w:val="0"/>
            <w:vAlign w:val="top"/>
          </w:tcPr>
          <w:p w14:paraId="085304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w:t>
            </w:r>
          </w:p>
        </w:tc>
        <w:tc>
          <w:tcPr>
            <w:tcW w:w="1528" w:type="dxa"/>
            <w:noWrap w:val="0"/>
            <w:vAlign w:val="top"/>
          </w:tcPr>
          <w:p w14:paraId="41EF173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机器尺寸：</w:t>
            </w:r>
          </w:p>
        </w:tc>
        <w:tc>
          <w:tcPr>
            <w:tcW w:w="6902" w:type="dxa"/>
            <w:noWrap w:val="0"/>
            <w:vAlign w:val="top"/>
          </w:tcPr>
          <w:p w14:paraId="4C8FD90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不小于9200*1800*3000mm长宽高</w:t>
            </w:r>
          </w:p>
        </w:tc>
      </w:tr>
      <w:tr w14:paraId="4509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55" w:type="dxa"/>
            <w:noWrap w:val="0"/>
            <w:vAlign w:val="top"/>
          </w:tcPr>
          <w:p w14:paraId="0124F45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w:t>
            </w:r>
          </w:p>
        </w:tc>
        <w:tc>
          <w:tcPr>
            <w:tcW w:w="1528" w:type="dxa"/>
            <w:noWrap w:val="0"/>
            <w:vAlign w:val="top"/>
          </w:tcPr>
          <w:p w14:paraId="2F343E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进料口尺寸：</w:t>
            </w:r>
          </w:p>
        </w:tc>
        <w:tc>
          <w:tcPr>
            <w:tcW w:w="6902" w:type="dxa"/>
            <w:noWrap w:val="0"/>
            <w:vAlign w:val="top"/>
          </w:tcPr>
          <w:p w14:paraId="7E6DAF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不小于2000*1100mm长宽</w:t>
            </w:r>
          </w:p>
        </w:tc>
      </w:tr>
      <w:tr w14:paraId="0452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55" w:type="dxa"/>
            <w:noWrap w:val="0"/>
            <w:vAlign w:val="top"/>
          </w:tcPr>
          <w:p w14:paraId="6F033A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w:t>
            </w:r>
          </w:p>
        </w:tc>
        <w:tc>
          <w:tcPr>
            <w:tcW w:w="1528" w:type="dxa"/>
            <w:noWrap w:val="0"/>
            <w:vAlign w:val="top"/>
          </w:tcPr>
          <w:p w14:paraId="36C031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系统：</w:t>
            </w:r>
          </w:p>
        </w:tc>
        <w:tc>
          <w:tcPr>
            <w:tcW w:w="6902" w:type="dxa"/>
            <w:noWrap w:val="0"/>
            <w:vAlign w:val="top"/>
          </w:tcPr>
          <w:p w14:paraId="16CB83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自动压缩 自动上料 人工捆包 遥控器控制</w:t>
            </w:r>
          </w:p>
        </w:tc>
      </w:tr>
      <w:tr w14:paraId="2101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755" w:type="dxa"/>
            <w:noWrap w:val="0"/>
            <w:vAlign w:val="top"/>
          </w:tcPr>
          <w:p w14:paraId="52337F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6</w:t>
            </w:r>
          </w:p>
        </w:tc>
        <w:tc>
          <w:tcPr>
            <w:tcW w:w="1528" w:type="dxa"/>
            <w:noWrap w:val="0"/>
            <w:vAlign w:val="top"/>
          </w:tcPr>
          <w:p w14:paraId="1AE22D6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液压缸：</w:t>
            </w:r>
          </w:p>
        </w:tc>
        <w:tc>
          <w:tcPr>
            <w:tcW w:w="6902" w:type="dxa"/>
            <w:noWrap w:val="0"/>
            <w:vAlign w:val="top"/>
          </w:tcPr>
          <w:p w14:paraId="47B5E6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直径不小于：351mm行程小于：4200mm</w:t>
            </w:r>
          </w:p>
        </w:tc>
      </w:tr>
      <w:tr w14:paraId="09E9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55" w:type="dxa"/>
            <w:noWrap w:val="0"/>
            <w:vAlign w:val="top"/>
          </w:tcPr>
          <w:p w14:paraId="040CD7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7</w:t>
            </w:r>
          </w:p>
        </w:tc>
        <w:tc>
          <w:tcPr>
            <w:tcW w:w="1528" w:type="dxa"/>
            <w:noWrap w:val="0"/>
            <w:vAlign w:val="top"/>
          </w:tcPr>
          <w:p w14:paraId="07DEC0F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电机功率 ：</w:t>
            </w:r>
          </w:p>
        </w:tc>
        <w:tc>
          <w:tcPr>
            <w:tcW w:w="6902" w:type="dxa"/>
            <w:noWrap w:val="0"/>
            <w:vAlign w:val="top"/>
          </w:tcPr>
          <w:p w14:paraId="783F74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45kw</w:t>
            </w:r>
          </w:p>
        </w:tc>
      </w:tr>
      <w:tr w14:paraId="4530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55" w:type="dxa"/>
            <w:noWrap w:val="0"/>
            <w:vAlign w:val="top"/>
          </w:tcPr>
          <w:p w14:paraId="61657AA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8</w:t>
            </w:r>
          </w:p>
        </w:tc>
        <w:tc>
          <w:tcPr>
            <w:tcW w:w="1528" w:type="dxa"/>
            <w:noWrap w:val="0"/>
            <w:vAlign w:val="top"/>
          </w:tcPr>
          <w:p w14:paraId="6E7D037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液压泵：</w:t>
            </w:r>
          </w:p>
        </w:tc>
        <w:tc>
          <w:tcPr>
            <w:tcW w:w="6902" w:type="dxa"/>
            <w:noWrap w:val="0"/>
            <w:vAlign w:val="top"/>
          </w:tcPr>
          <w:p w14:paraId="3C0539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80+80双泵组合</w:t>
            </w:r>
          </w:p>
        </w:tc>
      </w:tr>
      <w:tr w14:paraId="1AA3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55" w:type="dxa"/>
            <w:noWrap w:val="0"/>
            <w:vAlign w:val="top"/>
          </w:tcPr>
          <w:p w14:paraId="631A61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9</w:t>
            </w:r>
          </w:p>
        </w:tc>
        <w:tc>
          <w:tcPr>
            <w:tcW w:w="1528" w:type="dxa"/>
            <w:noWrap w:val="0"/>
            <w:vAlign w:val="top"/>
          </w:tcPr>
          <w:p w14:paraId="41287A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液压组合：</w:t>
            </w:r>
          </w:p>
        </w:tc>
        <w:tc>
          <w:tcPr>
            <w:tcW w:w="6902" w:type="dxa"/>
            <w:noWrap w:val="0"/>
            <w:vAlign w:val="top"/>
          </w:tcPr>
          <w:p w14:paraId="110AE0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高低压组合</w:t>
            </w:r>
          </w:p>
        </w:tc>
      </w:tr>
      <w:tr w14:paraId="7A2C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55" w:type="dxa"/>
            <w:noWrap w:val="0"/>
            <w:vAlign w:val="top"/>
          </w:tcPr>
          <w:p w14:paraId="0B55D2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10</w:t>
            </w:r>
          </w:p>
        </w:tc>
        <w:tc>
          <w:tcPr>
            <w:tcW w:w="1528" w:type="dxa"/>
            <w:noWrap w:val="0"/>
            <w:vAlign w:val="top"/>
          </w:tcPr>
          <w:p w14:paraId="5F8235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产量：</w:t>
            </w:r>
          </w:p>
        </w:tc>
        <w:tc>
          <w:tcPr>
            <w:tcW w:w="6902" w:type="dxa"/>
            <w:noWrap w:val="0"/>
            <w:vAlign w:val="top"/>
          </w:tcPr>
          <w:p w14:paraId="246409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3-5包/h</w:t>
            </w:r>
          </w:p>
        </w:tc>
      </w:tr>
      <w:tr w14:paraId="1EF7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55" w:type="dxa"/>
            <w:noWrap w:val="0"/>
            <w:vAlign w:val="top"/>
          </w:tcPr>
          <w:p w14:paraId="1AEF5C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11</w:t>
            </w:r>
          </w:p>
        </w:tc>
        <w:tc>
          <w:tcPr>
            <w:tcW w:w="1528" w:type="dxa"/>
            <w:noWrap w:val="0"/>
            <w:vAlign w:val="top"/>
          </w:tcPr>
          <w:p w14:paraId="23C68A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输送带</w:t>
            </w:r>
          </w:p>
        </w:tc>
        <w:tc>
          <w:tcPr>
            <w:tcW w:w="6902" w:type="dxa"/>
            <w:noWrap w:val="0"/>
            <w:vAlign w:val="top"/>
          </w:tcPr>
          <w:p w14:paraId="6D7032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不小于7*1.5m，铁制材料</w:t>
            </w:r>
          </w:p>
        </w:tc>
      </w:tr>
      <w:tr w14:paraId="7DF9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55" w:type="dxa"/>
            <w:noWrap w:val="0"/>
            <w:vAlign w:val="top"/>
          </w:tcPr>
          <w:p w14:paraId="796602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12</w:t>
            </w:r>
          </w:p>
        </w:tc>
        <w:tc>
          <w:tcPr>
            <w:tcW w:w="1528" w:type="dxa"/>
            <w:noWrap w:val="0"/>
            <w:vAlign w:val="top"/>
          </w:tcPr>
          <w:p w14:paraId="098A3D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穿绳道</w:t>
            </w:r>
          </w:p>
        </w:tc>
        <w:tc>
          <w:tcPr>
            <w:tcW w:w="6902" w:type="dxa"/>
            <w:noWrap w:val="0"/>
            <w:vAlign w:val="top"/>
          </w:tcPr>
          <w:p w14:paraId="3C9D71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不小于7道</w:t>
            </w:r>
          </w:p>
        </w:tc>
      </w:tr>
    </w:tbl>
    <w:p w14:paraId="00A060E2">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②链条式上料传输机参数要求</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536"/>
        <w:gridCol w:w="6903"/>
      </w:tblGrid>
      <w:tr w14:paraId="5195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14:paraId="65D5485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序号</w:t>
            </w:r>
          </w:p>
        </w:tc>
        <w:tc>
          <w:tcPr>
            <w:tcW w:w="1536" w:type="dxa"/>
          </w:tcPr>
          <w:p w14:paraId="5B2C3E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大类</w:t>
            </w:r>
          </w:p>
        </w:tc>
        <w:tc>
          <w:tcPr>
            <w:tcW w:w="6903" w:type="dxa"/>
          </w:tcPr>
          <w:p w14:paraId="6A2BAD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详细参数</w:t>
            </w:r>
          </w:p>
        </w:tc>
      </w:tr>
      <w:tr w14:paraId="680A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3DB6AC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1536" w:type="dxa"/>
            <w:vAlign w:val="center"/>
          </w:tcPr>
          <w:p w14:paraId="70F6E60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整机基础参数</w:t>
            </w:r>
          </w:p>
        </w:tc>
        <w:tc>
          <w:tcPr>
            <w:tcW w:w="6903" w:type="dxa"/>
          </w:tcPr>
          <w:p w14:paraId="B1224D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1.设备名称：链条式上料输送机（板链上料机）</w:t>
            </w:r>
          </w:p>
          <w:p w14:paraId="09A81F4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2.结构形式：固定式/电动液压升降移动式两种标配机型</w:t>
            </w:r>
          </w:p>
          <w:p w14:paraId="12574A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3.机架材质：碳钢喷塑加厚方管  </w:t>
            </w:r>
          </w:p>
          <w:p w14:paraId="71BE38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主架；可选304不锈钢整机（耐腐蚀工况）</w:t>
            </w:r>
          </w:p>
          <w:p w14:paraId="6F5EDE5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4.常规机身总长：不少于3m</w:t>
            </w:r>
          </w:p>
          <w:p w14:paraId="617DFF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5.链板有效宽度：不少于300mm</w:t>
            </w:r>
          </w:p>
          <w:p w14:paraId="CC0CAF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6.升降高度：0.6m～6m可调，液压升降款自带机械自锁结构</w:t>
            </w:r>
          </w:p>
          <w:p w14:paraId="CC45AB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7.机架型材：主梁加厚3.0mm方钢，承重不易变形</w:t>
            </w:r>
          </w:p>
          <w:p w14:paraId="070E0B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8.移动款标配：带锁止万向脚轮+落地支撑支腿，场地灵活移位</w:t>
            </w:r>
          </w:p>
        </w:tc>
      </w:tr>
      <w:tr w14:paraId="36E7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68FD501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c>
          <w:tcPr>
            <w:tcW w:w="1536" w:type="dxa"/>
            <w:vAlign w:val="center"/>
          </w:tcPr>
          <w:p w14:paraId="52BB06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链条与承载板面核心配置</w:t>
            </w:r>
          </w:p>
        </w:tc>
        <w:tc>
          <w:tcPr>
            <w:tcW w:w="6903" w:type="dxa"/>
          </w:tcPr>
          <w:p w14:paraId="B71B96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1.传动链条：双排高强度工业滚子链条，常用10A/12A/16A国标链条，耐磨抗拉、不易拉长脱链</w:t>
            </w:r>
          </w:p>
          <w:p w14:paraId="3F0655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2.链板面板：</w:t>
            </w:r>
          </w:p>
          <w:p w14:paraId="F3482E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碳钢款：Q235钢板，厚度2.0mm冲压折弯板链</w:t>
            </w:r>
          </w:p>
          <w:p w14:paraId="0C2952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不锈钢款：304不锈钢板，厚度1.5mm，耐高温耐腐蚀</w:t>
            </w:r>
          </w:p>
          <w:p w14:paraId="F06EE31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3.链板样式：平板直板、带格挡挡板（爬坡防物料下滑）、镂空筛料式三种可选</w:t>
            </w:r>
          </w:p>
          <w:p w14:paraId="20012C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4.头尾链轮：45#钢淬火链轮，咬合紧密，传动静音不打滑</w:t>
            </w:r>
          </w:p>
          <w:p w14:paraId="438864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5.张紧结构：尾部丝杆调节拉紧机构，可随时微调链条松紧度</w:t>
            </w:r>
          </w:p>
        </w:tc>
      </w:tr>
      <w:tr w14:paraId="3139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15C713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w:t>
            </w:r>
          </w:p>
        </w:tc>
        <w:tc>
          <w:tcPr>
            <w:tcW w:w="1536" w:type="dxa"/>
            <w:vAlign w:val="center"/>
          </w:tcPr>
          <w:p w14:paraId="1E45866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动力及电控系统</w:t>
            </w:r>
          </w:p>
        </w:tc>
        <w:tc>
          <w:tcPr>
            <w:tcW w:w="6903" w:type="dxa"/>
          </w:tcPr>
          <w:p w14:paraId="F1E38E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1.驱动电机：国标纯铜三相异步电机，功率1.5kW/2.2kW/3kW/4kW/5.5kW/7.5kW重载可选</w:t>
            </w:r>
          </w:p>
          <w:p w14:paraId="F5BEA3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2.减速机构：硬齿面减速机，扭矩大、重载爬坡不闷机</w:t>
            </w:r>
          </w:p>
          <w:p w14:paraId="CAB61FD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3.调速方式：标配变频控制柜，输送速度0.15~1.0m/s无极可调；简易定速款仅启停开关</w:t>
            </w:r>
          </w:p>
          <w:p w14:paraId="42295E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4.防护等级：电机IP54，电控箱IP55防尘防水，户外车间均可使用</w:t>
            </w:r>
          </w:p>
          <w:p w14:paraId="40787B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5.供电标准：三相380V工业用电</w:t>
            </w:r>
          </w:p>
        </w:tc>
      </w:tr>
      <w:tr w14:paraId="11DE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010297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w:t>
            </w:r>
          </w:p>
        </w:tc>
        <w:tc>
          <w:tcPr>
            <w:tcW w:w="1536" w:type="dxa"/>
            <w:vAlign w:val="center"/>
          </w:tcPr>
          <w:p w14:paraId="17E068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输送性能参数</w:t>
            </w:r>
          </w:p>
        </w:tc>
        <w:tc>
          <w:tcPr>
            <w:tcW w:w="6903" w:type="dxa"/>
          </w:tcPr>
          <w:p w14:paraId="0B5FE4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1.线体单米额定承重：轻型≤120kg/m；重型重载款≤500kg/m</w:t>
            </w:r>
          </w:p>
          <w:p w14:paraId="4EF7E4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2.最大爬坡倾角：平直输送0°，爬坡输送最大倾角38°（加装挡边后）</w:t>
            </w:r>
          </w:p>
          <w:p w14:paraId="65DF45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3.常规输送产能参考</w:t>
            </w:r>
          </w:p>
          <w:p w14:paraId="604EF9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链宽400mm：8~15吨/小时</w:t>
            </w:r>
          </w:p>
          <w:p w14:paraId="940E3A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链宽500mm：12~22吨/小时</w:t>
            </w:r>
          </w:p>
          <w:p w14:paraId="7CF6E1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链宽600mm：18~35吨/小时</w:t>
            </w:r>
          </w:p>
          <w:p w14:paraId="02FF7A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4.适用物料：废金属、建筑垃圾、塑料块料、砂石颗粒、袋装重物、高温工件、潮湿脏污废料。</w:t>
            </w:r>
          </w:p>
        </w:tc>
      </w:tr>
      <w:tr w14:paraId="2E13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0A6AA4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w:t>
            </w:r>
          </w:p>
        </w:tc>
        <w:tc>
          <w:tcPr>
            <w:tcW w:w="1536" w:type="dxa"/>
            <w:vAlign w:val="center"/>
          </w:tcPr>
          <w:p w14:paraId="389225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机身配套结构</w:t>
            </w:r>
          </w:p>
        </w:tc>
        <w:tc>
          <w:tcPr>
            <w:tcW w:w="6903" w:type="dxa"/>
          </w:tcPr>
          <w:p w14:paraId="B6A2C5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1.侧边防护：可拆卸防撞挡料边，高度100~200mm，防止物料洒落</w:t>
            </w:r>
          </w:p>
          <w:p w14:paraId="1A0E31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2.支撑托轨：链条底部耐磨托条，降低链条磨损、降低运行噪音</w:t>
            </w:r>
          </w:p>
          <w:p w14:paraId="42E873F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3.进料口：加宽集料料斗，防止抛料、集中进料</w:t>
            </w:r>
          </w:p>
          <w:p w14:paraId="106819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4.安全选配：机身双侧拉线急停开关、过载自动断电保护</w:t>
            </w:r>
          </w:p>
        </w:tc>
      </w:tr>
    </w:tbl>
    <w:p w14:paraId="1D9E097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③滚筒履带分拣输送带参数要求</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536"/>
        <w:gridCol w:w="6914"/>
      </w:tblGrid>
      <w:tr w14:paraId="6DD1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14:paraId="2EDD00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序号</w:t>
            </w:r>
          </w:p>
        </w:tc>
        <w:tc>
          <w:tcPr>
            <w:tcW w:w="1536" w:type="dxa"/>
          </w:tcPr>
          <w:p w14:paraId="759770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大类</w:t>
            </w:r>
          </w:p>
        </w:tc>
        <w:tc>
          <w:tcPr>
            <w:tcW w:w="6914" w:type="dxa"/>
          </w:tcPr>
          <w:p w14:paraId="4EFEB9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详细参数</w:t>
            </w:r>
          </w:p>
        </w:tc>
      </w:tr>
      <w:tr w14:paraId="66FF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1E867A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1536" w:type="dxa"/>
            <w:vAlign w:val="center"/>
          </w:tcPr>
          <w:p w14:paraId="1CB539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整机基础参数</w:t>
            </w:r>
          </w:p>
        </w:tc>
        <w:tc>
          <w:tcPr>
            <w:tcW w:w="6914" w:type="dxa"/>
          </w:tcPr>
          <w:p w14:paraId="8F17AA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1、设备名称：滚筒床履带式长距离输送机</w:t>
            </w:r>
          </w:p>
          <w:p w14:paraId="DD4FE9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2、输送总长：不少于30m（整机一体式，可分段法兰拼接）</w:t>
            </w:r>
          </w:p>
          <w:p w14:paraId="026796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3、常用有效带宽：不少于500mm</w:t>
            </w:r>
          </w:p>
          <w:p w14:paraId="71691D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4、机身形式：水平固定式/倾斜爬坡式（最大倾角18°，花纹带可达25°）</w:t>
            </w:r>
          </w:p>
          <w:p w14:paraId="687FF0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5、机架主材：国标10#槽钢主梁+加厚方管侧架，机架壁厚3mm</w:t>
            </w:r>
          </w:p>
          <w:p w14:paraId="BD5CB9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6、机身高度：标准离地不少于600mm，支腿高度可调范围500~1200mm</w:t>
            </w:r>
          </w:p>
          <w:p w14:paraId="938552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7、整机自重：带宽600mm水平款约2.8吨，爬坡加高款约3.2吨</w:t>
            </w:r>
          </w:p>
          <w:p w14:paraId="3B9082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8、执行标准：JB/T 10212输送机行业国标</w:t>
            </w:r>
          </w:p>
        </w:tc>
      </w:tr>
      <w:tr w14:paraId="2AA3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4C51E3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c>
          <w:tcPr>
            <w:tcW w:w="1536" w:type="dxa"/>
            <w:vAlign w:val="center"/>
          </w:tcPr>
          <w:p w14:paraId="9AA9FA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床体滚筒支撑系统（核心结构）</w:t>
            </w:r>
          </w:p>
          <w:p w14:paraId="6B096DA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p>
        </w:tc>
        <w:tc>
          <w:tcPr>
            <w:tcW w:w="6914" w:type="dxa"/>
          </w:tcPr>
          <w:p w14:paraId="387413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1、承载托辊规格：φ89mm加厚碳钢托辊，壁厚3mm，轴承内置密封防尘</w:t>
            </w:r>
          </w:p>
          <w:p w14:paraId="839A7A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2、滚筒排布间距：水平段200mm/支，爬坡加密段150mm/支，满铺滚筒支撑履带，杜绝皮带凹陷变形</w:t>
            </w:r>
          </w:p>
          <w:p w14:paraId="54799B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3、头尾驱动滚筒：φ320mm包胶传动滚筒（橡胶包胶12mm厚，防滑不丢转）；尾端张紧滚筒φ219mm</w:t>
            </w:r>
          </w:p>
          <w:p w14:paraId="6BEAB5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4、张紧结构：尾部双向丝杆拉紧机构，可左右微调纠偏</w:t>
            </w:r>
          </w:p>
          <w:p w14:paraId="0DFFD0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5、侧边挡料栏：高度150mm碳钢折弯挡边，防止物料洒落</w:t>
            </w:r>
          </w:p>
        </w:tc>
      </w:tr>
      <w:tr w14:paraId="3175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5D6829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w:t>
            </w:r>
          </w:p>
        </w:tc>
        <w:tc>
          <w:tcPr>
            <w:tcW w:w="1536" w:type="dxa"/>
            <w:vAlign w:val="center"/>
          </w:tcPr>
          <w:p w14:paraId="30F490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履带皮带配置</w:t>
            </w:r>
          </w:p>
        </w:tc>
        <w:tc>
          <w:tcPr>
            <w:tcW w:w="6914" w:type="dxa"/>
          </w:tcPr>
          <w:p w14:paraId="2E21D2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1、皮带类型：黑色耐磨橡胶输送带（分拣废料通用）；可选PVC绿色防滑带、花纹爬坡带</w:t>
            </w:r>
          </w:p>
          <w:p w14:paraId="AC22677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2、皮带层数：4层聚酯帆布，上胶厚度4mm、下胶厚度2mm，耐尖锐废料划伤</w:t>
            </w:r>
          </w:p>
          <w:p w14:paraId="4F8B88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3、皮带宽度：比机架净宽多出100mm，两侧预留纠偏余量</w:t>
            </w:r>
          </w:p>
          <w:p w14:paraId="41503B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4、皮带适配：脏污废料、塑料块、废纸、织物、破碎物料、砂石等分拣后混合物料</w:t>
            </w:r>
          </w:p>
        </w:tc>
      </w:tr>
      <w:tr w14:paraId="7D44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6F7FDD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w:t>
            </w:r>
          </w:p>
        </w:tc>
        <w:tc>
          <w:tcPr>
            <w:tcW w:w="1536" w:type="dxa"/>
            <w:vAlign w:val="center"/>
          </w:tcPr>
          <w:p w14:paraId="61935A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动力与电控系统（30米长距专用配置）</w:t>
            </w:r>
          </w:p>
        </w:tc>
        <w:tc>
          <w:tcPr>
            <w:tcW w:w="6914" w:type="dxa"/>
          </w:tcPr>
          <w:p w14:paraId="7B2823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1、驱动形式：头部单端驱动（30米标配单电机，重载可选头尾双驱动）</w:t>
            </w:r>
          </w:p>
          <w:p w14:paraId="5135DE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2、主电机：国标三相异步纯铜电机，水平款7.5kW；爬坡倾角＞10°选用11kW</w:t>
            </w:r>
          </w:p>
          <w:p w14:paraId="768B1A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3、减速设备：硬齿面减速机，速比适配带速，扭矩大、静音耐用</w:t>
            </w:r>
          </w:p>
          <w:p w14:paraId="361572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4、调速方式：变频控制柜，输送速度0.3~1.2m/s无极可调；定速款标配0.6m/s</w:t>
            </w:r>
          </w:p>
          <w:p w14:paraId="C35B6E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5、供电：380V工业三相电，电控箱IP55防尘防水</w:t>
            </w:r>
          </w:p>
          <w:p w14:paraId="66D7E6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6、安全标配：双侧拉线急停开关、皮带防跑偏报警、过载自动断电保护</w:t>
            </w:r>
          </w:p>
        </w:tc>
      </w:tr>
      <w:tr w14:paraId="0917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49AF92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w:t>
            </w:r>
          </w:p>
        </w:tc>
        <w:tc>
          <w:tcPr>
            <w:tcW w:w="1536" w:type="dxa"/>
            <w:vAlign w:val="center"/>
          </w:tcPr>
          <w:p w14:paraId="2940BC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输送性能指标</w:t>
            </w:r>
          </w:p>
        </w:tc>
        <w:tc>
          <w:tcPr>
            <w:tcW w:w="6914" w:type="dxa"/>
          </w:tcPr>
          <w:p w14:paraId="ACDF07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1、单米额定承重：轻型150kg/m；重载分拣款300kg/m</w:t>
            </w:r>
          </w:p>
          <w:p w14:paraId="993D10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2、标准输送产能（带宽600mm、带速0.6m/s水平输送）：约120吨/小时</w:t>
            </w:r>
          </w:p>
          <w:p w14:paraId="388347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3、爬坡输送产能（倾角15°）：约75吨/小时</w:t>
            </w:r>
          </w:p>
          <w:p w14:paraId="019768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4、运行噪音：整机1米处噪音≤80dB</w:t>
            </w:r>
          </w:p>
          <w:p w14:paraId="7EDDA6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5、适用环境：室内分拣车间、半露天料场，环境温度-10℃~+70℃</w:t>
            </w:r>
          </w:p>
        </w:tc>
      </w:tr>
    </w:tbl>
    <w:p w14:paraId="6216DB51">
      <w:pP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④物料抓料机</w:t>
      </w:r>
    </w:p>
    <w:tbl>
      <w:tblPr>
        <w:tblStyle w:val="28"/>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536"/>
        <w:gridCol w:w="6793"/>
      </w:tblGrid>
      <w:tr w14:paraId="1576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7D88BEB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序号</w:t>
            </w:r>
          </w:p>
        </w:tc>
        <w:tc>
          <w:tcPr>
            <w:tcW w:w="1536" w:type="dxa"/>
            <w:vAlign w:val="center"/>
          </w:tcPr>
          <w:p w14:paraId="10F068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大类</w:t>
            </w:r>
          </w:p>
        </w:tc>
        <w:tc>
          <w:tcPr>
            <w:tcW w:w="6793" w:type="dxa"/>
          </w:tcPr>
          <w:p w14:paraId="769CCD4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详细参数</w:t>
            </w:r>
          </w:p>
        </w:tc>
      </w:tr>
      <w:tr w14:paraId="631C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5DFA04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1536" w:type="dxa"/>
            <w:vAlign w:val="center"/>
          </w:tcPr>
          <w:p w14:paraId="60518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整机基础参数</w:t>
            </w:r>
          </w:p>
        </w:tc>
        <w:tc>
          <w:tcPr>
            <w:tcW w:w="6793" w:type="dxa"/>
          </w:tcPr>
          <w:p w14:paraId="70204A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1、机型：轮式液压抓料机（垃圾分拣专用）</w:t>
            </w:r>
          </w:p>
          <w:p w14:paraId="76EF82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2、整机自重：不少于8.5吨</w:t>
            </w:r>
          </w:p>
          <w:p w14:paraId="8E1C23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3、外形尺寸：不小于6900×2200×2900mm</w:t>
            </w:r>
          </w:p>
          <w:p w14:paraId="D070F0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4、行走形式：四轮轮式，厂区转运灵活，硬化地面即可作业</w:t>
            </w:r>
          </w:p>
          <w:p w14:paraId="087D194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5、回转角度：抓斗360°液压自由旋转，任意角度抓取堆料</w:t>
            </w:r>
          </w:p>
        </w:tc>
      </w:tr>
      <w:tr w14:paraId="7AC9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14BFCE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c>
          <w:tcPr>
            <w:tcW w:w="1536" w:type="dxa"/>
            <w:vAlign w:val="center"/>
          </w:tcPr>
          <w:p w14:paraId="2FCCB2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作业性能参数</w:t>
            </w:r>
          </w:p>
        </w:tc>
        <w:tc>
          <w:tcPr>
            <w:tcW w:w="6793" w:type="dxa"/>
          </w:tcPr>
          <w:p w14:paraId="92D71D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1、最大作业半径：不小于7.8米</w:t>
            </w:r>
          </w:p>
          <w:p w14:paraId="9E9DAB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2、最大卸载高度：不小于6.3米</w:t>
            </w:r>
          </w:p>
          <w:p w14:paraId="434448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3、额定单次抓取重量：600~800kg（蓬松废纸、塑料）</w:t>
            </w:r>
          </w:p>
          <w:p w14:paraId="BF7E60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4、满臂最远抓取载荷：小于550kg</w:t>
            </w:r>
          </w:p>
          <w:p w14:paraId="062D76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5、标准抓斗：3+2齿开合抱抓，开口最大1300mm，不洒料、不夹碎打包物料</w:t>
            </w:r>
          </w:p>
        </w:tc>
      </w:tr>
      <w:tr w14:paraId="7495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0DCC34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w:t>
            </w:r>
          </w:p>
        </w:tc>
        <w:tc>
          <w:tcPr>
            <w:tcW w:w="1536" w:type="dxa"/>
            <w:vAlign w:val="center"/>
          </w:tcPr>
          <w:p w14:paraId="2E4CD7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动力液压系统</w:t>
            </w:r>
          </w:p>
        </w:tc>
        <w:tc>
          <w:tcPr>
            <w:tcW w:w="6793" w:type="dxa"/>
          </w:tcPr>
          <w:p w14:paraId="92EAC2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1、发动机：柴油四缸国标发动机，75kW（102马力）</w:t>
            </w:r>
          </w:p>
          <w:p w14:paraId="A75C49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2、系统工作压力：16MPa</w:t>
            </w:r>
          </w:p>
          <w:p w14:paraId="1B41BB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3、液压管路：隐藏式油管，加厚油封，防尘防渗漏</w:t>
            </w:r>
          </w:p>
          <w:p w14:paraId="6F5229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4、操控方式：驾驶室单手柄先导操作，简单易上手</w:t>
            </w:r>
          </w:p>
        </w:tc>
      </w:tr>
      <w:tr w14:paraId="671D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3E66B6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w:t>
            </w:r>
          </w:p>
        </w:tc>
        <w:tc>
          <w:tcPr>
            <w:tcW w:w="1536" w:type="dxa"/>
            <w:vAlign w:val="center"/>
          </w:tcPr>
          <w:p w14:paraId="092145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结构配置</w:t>
            </w:r>
          </w:p>
        </w:tc>
        <w:tc>
          <w:tcPr>
            <w:tcW w:w="6793" w:type="dxa"/>
          </w:tcPr>
          <w:p w14:paraId="608831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1、大臂小臂：加厚锰钢板材，耐磨抗撞击，适配废料粗糙作业环境</w:t>
            </w:r>
          </w:p>
          <w:p w14:paraId="865375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2、标配推土铲：场地平整、料堆围挡、车身稳定支撑</w:t>
            </w:r>
          </w:p>
          <w:p w14:paraId="FF43E7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3、四条液压支腿：重载作业落地支撑，车身不晃动</w:t>
            </w:r>
          </w:p>
          <w:p w14:paraId="0A6E6B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4、驾驶室：封闭驾驶室、风扇、防尘玻璃，长时间作业舒适</w:t>
            </w:r>
          </w:p>
        </w:tc>
      </w:tr>
    </w:tbl>
    <w:p w14:paraId="3E9C32D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⑤工业叉车参数要求</w:t>
      </w:r>
    </w:p>
    <w:tbl>
      <w:tblPr>
        <w:tblStyle w:val="28"/>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704"/>
        <w:gridCol w:w="6625"/>
      </w:tblGrid>
      <w:tr w14:paraId="7BC3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14:paraId="6226DC1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序号</w:t>
            </w:r>
          </w:p>
        </w:tc>
        <w:tc>
          <w:tcPr>
            <w:tcW w:w="1704" w:type="dxa"/>
          </w:tcPr>
          <w:p w14:paraId="3C309C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大类</w:t>
            </w:r>
          </w:p>
        </w:tc>
        <w:tc>
          <w:tcPr>
            <w:tcW w:w="6625" w:type="dxa"/>
          </w:tcPr>
          <w:p w14:paraId="09FC038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详细参数</w:t>
            </w:r>
          </w:p>
        </w:tc>
      </w:tr>
      <w:tr w14:paraId="60EF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3BAE0D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1704" w:type="dxa"/>
            <w:vAlign w:val="center"/>
          </w:tcPr>
          <w:p w14:paraId="75B359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基础参数</w:t>
            </w:r>
          </w:p>
        </w:tc>
        <w:tc>
          <w:tcPr>
            <w:tcW w:w="6625" w:type="dxa"/>
          </w:tcPr>
          <w:p w14:paraId="B9CD24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1、额定载重：不小于3000kg（3吨）</w:t>
            </w:r>
          </w:p>
          <w:p w14:paraId="07C679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2、提升高度：不小于3米（可按需选配4米）</w:t>
            </w:r>
          </w:p>
          <w:p w14:paraId="7F976A2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3、车型：内燃平衡重式叉车</w:t>
            </w:r>
          </w:p>
          <w:p w14:paraId="3781822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4、适用场景：打包件码垛、货物转运、原料堆垛、货车装卸</w:t>
            </w:r>
          </w:p>
        </w:tc>
      </w:tr>
      <w:tr w14:paraId="72E0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1DAE75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c>
          <w:tcPr>
            <w:tcW w:w="1704" w:type="dxa"/>
            <w:vAlign w:val="center"/>
          </w:tcPr>
          <w:p w14:paraId="035E80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外形尺寸</w:t>
            </w:r>
          </w:p>
        </w:tc>
        <w:tc>
          <w:tcPr>
            <w:tcW w:w="6625" w:type="dxa"/>
          </w:tcPr>
          <w:p w14:paraId="978B874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1、整车总长：不小于2710mm</w:t>
            </w:r>
          </w:p>
          <w:p w14:paraId="0CB46C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2、整车宽度：不小于1225mm</w:t>
            </w:r>
          </w:p>
          <w:p w14:paraId="E66C00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3、门架收起高度：不小于2070mm</w:t>
            </w:r>
          </w:p>
          <w:p w14:paraId="44BF172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4、转弯最小半径：不小于2400mm，分拣车间狭窄通道灵活通行。</w:t>
            </w:r>
          </w:p>
        </w:tc>
      </w:tr>
      <w:tr w14:paraId="3824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7ACD2B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w:t>
            </w:r>
          </w:p>
        </w:tc>
        <w:tc>
          <w:tcPr>
            <w:tcW w:w="1704" w:type="dxa"/>
            <w:vAlign w:val="center"/>
          </w:tcPr>
          <w:p w14:paraId="131F33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动力配置</w:t>
            </w:r>
          </w:p>
        </w:tc>
        <w:tc>
          <w:tcPr>
            <w:tcW w:w="6625" w:type="dxa"/>
          </w:tcPr>
          <w:p w14:paraId="691FE87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1、发动机：国标柴油四缸发动机</w:t>
            </w:r>
          </w:p>
          <w:p w14:paraId="61538AF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2、额定功率：37kW</w:t>
            </w:r>
          </w:p>
          <w:p w14:paraId="AF571B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3、变速箱：机械自动挡，操作简单耐用</w:t>
            </w:r>
          </w:p>
          <w:p w14:paraId="49586B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4、燃油：0#柴油</w:t>
            </w:r>
          </w:p>
        </w:tc>
      </w:tr>
      <w:tr w14:paraId="09EE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3D4AF52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w:t>
            </w:r>
          </w:p>
        </w:tc>
        <w:tc>
          <w:tcPr>
            <w:tcW w:w="1704" w:type="dxa"/>
            <w:vAlign w:val="center"/>
          </w:tcPr>
          <w:p w14:paraId="5F740E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货叉配置</w:t>
            </w:r>
          </w:p>
        </w:tc>
        <w:tc>
          <w:tcPr>
            <w:tcW w:w="6625" w:type="dxa"/>
          </w:tcPr>
          <w:p w14:paraId="12CDB7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1、货叉尺寸：不小于1070×122×40mm</w:t>
            </w:r>
          </w:p>
          <w:p w14:paraId="3CCD38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2、货叉间距：左右手动可调，适配不同打包料箱体</w:t>
            </w:r>
          </w:p>
        </w:tc>
      </w:tr>
      <w:tr w14:paraId="36E6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vAlign w:val="center"/>
          </w:tcPr>
          <w:p w14:paraId="3A57F2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w:t>
            </w:r>
          </w:p>
        </w:tc>
        <w:tc>
          <w:tcPr>
            <w:tcW w:w="1704" w:type="dxa"/>
            <w:vAlign w:val="center"/>
          </w:tcPr>
          <w:p w14:paraId="54BF60F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实用配置</w:t>
            </w:r>
          </w:p>
        </w:tc>
        <w:tc>
          <w:tcPr>
            <w:tcW w:w="6625" w:type="dxa"/>
          </w:tcPr>
          <w:p w14:paraId="F9082D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1、封闭式驾驶室（可选简易敞篷），防尘挡风</w:t>
            </w:r>
          </w:p>
          <w:p w14:paraId="843533E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2、实心耐磨轮胎，废料碎石场地不易扎破</w:t>
            </w:r>
          </w:p>
          <w:p w14:paraId="CAEBCF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3、标配前后车灯、倒车蜂鸣警示、手刹、脚刹双制动</w:t>
            </w:r>
          </w:p>
          <w:p w14:paraId="2C6DFA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4、载重过载保护，防止超重损坏车身</w:t>
            </w:r>
          </w:p>
        </w:tc>
      </w:tr>
    </w:tbl>
    <w:p w14:paraId="4FAB7CFB">
      <w:pPr>
        <w:rPr>
          <w:rFonts w:hint="eastAsia" w:ascii="仿宋" w:hAnsi="仿宋" w:eastAsia="仿宋" w:cs="仿宋"/>
          <w:color w:val="auto"/>
          <w:sz w:val="24"/>
          <w:szCs w:val="24"/>
          <w:highlight w:val="none"/>
          <w:vertAlign w:val="baseline"/>
          <w:lang w:val="en-US" w:eastAsia="zh-CN"/>
        </w:rPr>
      </w:pPr>
    </w:p>
    <w:p w14:paraId="4D680236">
      <w:pPr>
        <w:pStyle w:val="7"/>
        <w:pageBreakBefore w:val="0"/>
        <w:widowControl w:val="0"/>
        <w:numPr>
          <w:ilvl w:val="0"/>
          <w:numId w:val="0"/>
        </w:numPr>
        <w:kinsoku/>
        <w:wordWrap/>
        <w:overflowPunct/>
        <w:topLinePunct w:val="0"/>
        <w:autoSpaceDE/>
        <w:autoSpaceDN/>
        <w:bidi w:val="0"/>
        <w:spacing w:before="0" w:after="0" w:line="480" w:lineRule="exact"/>
        <w:ind w:left="0" w:leftChars="0"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2.2.4 再生资源全流程</w:t>
      </w:r>
      <w:r>
        <w:rPr>
          <w:rFonts w:hint="eastAsia" w:ascii="仿宋" w:hAnsi="仿宋" w:eastAsia="仿宋" w:cs="仿宋"/>
          <w:color w:val="auto"/>
          <w:sz w:val="24"/>
          <w:szCs w:val="24"/>
          <w:highlight w:val="none"/>
        </w:rPr>
        <w:t>数字化</w:t>
      </w:r>
      <w:r>
        <w:rPr>
          <w:rFonts w:hint="eastAsia" w:ascii="仿宋" w:hAnsi="仿宋" w:eastAsia="仿宋" w:cs="仿宋"/>
          <w:color w:val="auto"/>
          <w:sz w:val="24"/>
          <w:szCs w:val="24"/>
          <w:highlight w:val="none"/>
          <w:lang w:val="en-US" w:eastAsia="zh-CN"/>
        </w:rPr>
        <w:t>管理</w:t>
      </w:r>
      <w:r>
        <w:rPr>
          <w:rFonts w:hint="eastAsia" w:ascii="仿宋" w:hAnsi="仿宋" w:eastAsia="仿宋" w:cs="仿宋"/>
          <w:color w:val="auto"/>
          <w:sz w:val="24"/>
          <w:szCs w:val="24"/>
          <w:highlight w:val="none"/>
        </w:rPr>
        <w:t>平台建设</w:t>
      </w:r>
    </w:p>
    <w:p w14:paraId="7F1E0234">
      <w:pPr>
        <w:pageBreakBefore w:val="0"/>
        <w:widowControl w:val="0"/>
        <w:kinsoku/>
        <w:wordWrap/>
        <w:overflowPunct/>
        <w:topLinePunct w:val="0"/>
        <w:autoSpaceDE/>
        <w:autoSpaceDN/>
        <w:bidi w:val="0"/>
        <w:spacing w:line="48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运用大数据分析技术搭建再生资源</w:t>
      </w:r>
      <w:r>
        <w:rPr>
          <w:rFonts w:hint="eastAsia" w:ascii="仿宋" w:hAnsi="仿宋" w:eastAsia="仿宋" w:cs="仿宋"/>
          <w:color w:val="auto"/>
          <w:sz w:val="24"/>
          <w:szCs w:val="24"/>
          <w:highlight w:val="none"/>
          <w:lang w:val="en-US" w:eastAsia="zh-CN"/>
        </w:rPr>
        <w:t>全流程</w:t>
      </w:r>
      <w:r>
        <w:rPr>
          <w:rFonts w:hint="eastAsia" w:ascii="仿宋" w:hAnsi="仿宋" w:eastAsia="仿宋" w:cs="仿宋"/>
          <w:color w:val="auto"/>
          <w:sz w:val="24"/>
          <w:szCs w:val="24"/>
          <w:highlight w:val="none"/>
        </w:rPr>
        <w:t>数字化监管平台，对回收总量、低值可回收物回收占比、智能设备在线运维状态等核心指标开展动态监测</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管理，与安徽省垃圾分类综合服务平台数据对接、资源共享</w:t>
      </w:r>
      <w:r>
        <w:rPr>
          <w:rFonts w:hint="eastAsia" w:ascii="仿宋" w:hAnsi="仿宋" w:eastAsia="仿宋" w:cs="仿宋"/>
          <w:color w:val="auto"/>
          <w:sz w:val="24"/>
          <w:szCs w:val="24"/>
          <w:highlight w:val="none"/>
        </w:rPr>
        <w:t>。</w:t>
      </w:r>
    </w:p>
    <w:p w14:paraId="6E3D740A">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2" w:firstLineChars="200"/>
        <w:textAlignment w:val="auto"/>
        <w:rPr>
          <w:rFonts w:hint="eastAsia" w:ascii="仿宋" w:hAnsi="仿宋" w:eastAsia="仿宋" w:cs="仿宋"/>
          <w:b/>
          <w:bCs/>
          <w:i w:val="0"/>
          <w:iCs w:val="0"/>
          <w:color w:val="auto"/>
          <w:sz w:val="24"/>
          <w:szCs w:val="24"/>
          <w:highlight w:val="none"/>
          <w:lang w:val="en-US" w:eastAsia="zh-CN"/>
        </w:rPr>
      </w:pPr>
      <w:r>
        <w:rPr>
          <w:rFonts w:hint="eastAsia" w:ascii="仿宋" w:hAnsi="仿宋" w:eastAsia="仿宋" w:cs="仿宋"/>
          <w:b/>
          <w:bCs/>
          <w:i w:val="0"/>
          <w:iCs w:val="0"/>
          <w:color w:val="auto"/>
          <w:sz w:val="24"/>
          <w:szCs w:val="24"/>
          <w:highlight w:val="none"/>
          <w:lang w:val="en-US" w:eastAsia="zh-CN"/>
        </w:rPr>
        <w:t xml:space="preserve">2.2.4.1 </w:t>
      </w:r>
      <w:r>
        <w:rPr>
          <w:rFonts w:hint="eastAsia" w:ascii="仿宋" w:hAnsi="仿宋" w:eastAsia="仿宋" w:cs="仿宋"/>
          <w:b/>
          <w:bCs/>
          <w:i w:val="0"/>
          <w:iCs w:val="0"/>
          <w:color w:val="auto"/>
          <w:sz w:val="24"/>
          <w:szCs w:val="24"/>
          <w:highlight w:val="none"/>
        </w:rPr>
        <w:t>平台</w:t>
      </w:r>
      <w:r>
        <w:rPr>
          <w:rFonts w:hint="eastAsia" w:ascii="仿宋" w:hAnsi="仿宋" w:eastAsia="仿宋" w:cs="仿宋"/>
          <w:b/>
          <w:bCs/>
          <w:i w:val="0"/>
          <w:iCs w:val="0"/>
          <w:color w:val="auto"/>
          <w:sz w:val="24"/>
          <w:szCs w:val="24"/>
          <w:highlight w:val="none"/>
          <w:lang w:val="en-US" w:eastAsia="zh-CN"/>
        </w:rPr>
        <w:t>功能要求</w:t>
      </w:r>
    </w:p>
    <w:p w14:paraId="2EF1C72D">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0" w:firstLineChars="200"/>
        <w:textAlignment w:val="auto"/>
        <w:rPr>
          <w:rFonts w:hint="eastAsia" w:ascii="仿宋" w:hAnsi="仿宋" w:eastAsia="仿宋" w:cs="仿宋"/>
          <w:b w:val="0"/>
          <w:bCs w:val="0"/>
          <w:i w:val="0"/>
          <w:iCs w:val="0"/>
          <w:color w:val="auto"/>
          <w:sz w:val="24"/>
          <w:szCs w:val="24"/>
          <w:highlight w:val="none"/>
          <w:lang w:val="en-US" w:eastAsia="zh-CN"/>
        </w:rPr>
      </w:pPr>
      <w:r>
        <w:rPr>
          <w:rFonts w:hint="eastAsia" w:ascii="仿宋" w:hAnsi="仿宋" w:eastAsia="仿宋" w:cs="仿宋"/>
          <w:b w:val="0"/>
          <w:bCs w:val="0"/>
          <w:i w:val="0"/>
          <w:iCs w:val="0"/>
          <w:color w:val="auto"/>
          <w:sz w:val="24"/>
          <w:szCs w:val="24"/>
          <w:highlight w:val="none"/>
          <w:lang w:val="en-US" w:eastAsia="zh-CN"/>
        </w:rPr>
        <w:t>（1）</w:t>
      </w:r>
      <w:r>
        <w:rPr>
          <w:rFonts w:hint="eastAsia" w:ascii="仿宋" w:hAnsi="仿宋" w:eastAsia="仿宋" w:cs="仿宋"/>
          <w:b w:val="0"/>
          <w:bCs w:val="0"/>
          <w:i w:val="0"/>
          <w:iCs w:val="0"/>
          <w:color w:val="auto"/>
          <w:sz w:val="24"/>
          <w:szCs w:val="24"/>
          <w:highlight w:val="none"/>
        </w:rPr>
        <w:t>平台大数据管理</w:t>
      </w:r>
    </w:p>
    <w:p w14:paraId="78980034">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①固定资产管理：对智能分类垃圾回收箱实行信息化管理，涵盖物资编号、地址、上线时间、清运工人等信息。</w:t>
      </w:r>
    </w:p>
    <w:p w14:paraId="1700167F">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②政府监管：根据行政区划能对当地各级政府（省、市、区/县、街道/镇）提供该管辖区域内的物资使用情况数据平台，并可以按单一物业小区对小区内的物资进行数据查询。平台内容包括：用户使用物资次数；辖区内注册用户数量；用户投递重量；垃圾减量等数据。</w:t>
      </w:r>
    </w:p>
    <w:p w14:paraId="67A63E61">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③记录管理：可查看用户信息、投递情况、分类错误情况；可查看物资内垃圾清运记录、编号、地址、人员信息及时间等。</w:t>
      </w:r>
    </w:p>
    <w:p w14:paraId="2D2E0DFF">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④投递监管：抓拍用户投递图片，并拍摄桶内图片，可实现事后追溯，加强用户投递管理。并可设置投递重量阈值当用户投递超过阈值时可冻结该笔投递收益，可实现事后追溯，加强用户投递管理。</w:t>
      </w:r>
    </w:p>
    <w:p w14:paraId="64FE8ABC">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⑤员工管理：实现项目运营各环节所有员工作业（回收、维修等）进行电子化管理，实现员工操作信息留存。</w:t>
      </w:r>
    </w:p>
    <w:p w14:paraId="2D51E5EC">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⑥财务管理：微信商户捆绑使用单位指定的银行账号。支持在回收货物时需根据物资内的货物总重量进行付费开箱。可实时查看提现记录、充值记录、财账流水等信息，能设定使用单位的充值余额提醒功能。</w:t>
      </w:r>
    </w:p>
    <w:p w14:paraId="7CD032C6">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i w:val="0"/>
          <w:iCs w:val="0"/>
          <w:color w:val="auto"/>
          <w:sz w:val="24"/>
          <w:szCs w:val="24"/>
          <w:highlight w:val="none"/>
        </w:rPr>
        <w:t>⑦数据统计分析：设立专门的分析页面。数据统计分析包括：物资运行情况、注册人数、投递人次、投递重量、用户活跃</w:t>
      </w:r>
      <w:r>
        <w:rPr>
          <w:rFonts w:hint="eastAsia" w:ascii="仿宋" w:hAnsi="仿宋" w:eastAsia="仿宋" w:cs="仿宋"/>
          <w:b w:val="0"/>
          <w:bCs w:val="0"/>
          <w:i w:val="0"/>
          <w:iCs w:val="0"/>
          <w:color w:val="auto"/>
          <w:sz w:val="24"/>
          <w:szCs w:val="24"/>
          <w:highlight w:val="none"/>
        </w:rPr>
        <w:t>度等通过划分时段进行分析以数据或图形呈现。</w:t>
      </w:r>
    </w:p>
    <w:p w14:paraId="02FB1681">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⑧物资监管：基于地图的物资位置和状态呈现、报警和任务指挥等，可读取物资在线情况、满溢与否、报警状态等信息。</w:t>
      </w:r>
    </w:p>
    <w:p w14:paraId="0AA314A2">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⑨提现系统：用户参与垃圾分类后可提取现金。后台可设置提现的时间周期。</w:t>
      </w:r>
    </w:p>
    <w:p w14:paraId="3984BD64">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⑩平台可自主设置多层级账号，可根据物资铺设范围划分多级子账号，对该范围内的物资进行独立管理。并且主账号仍然保留物资的最高管理权限。</w:t>
      </w:r>
    </w:p>
    <w:p w14:paraId="01B6BCE3">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lang w:eastAsia="zh-CN"/>
        </w:rPr>
        <w:t>（</w:t>
      </w:r>
      <w:r>
        <w:rPr>
          <w:rFonts w:hint="eastAsia" w:ascii="仿宋" w:hAnsi="仿宋" w:eastAsia="仿宋" w:cs="仿宋"/>
          <w:b w:val="0"/>
          <w:bCs w:val="0"/>
          <w:i w:val="0"/>
          <w:iCs w:val="0"/>
          <w:color w:val="auto"/>
          <w:sz w:val="24"/>
          <w:szCs w:val="24"/>
          <w:highlight w:val="none"/>
          <w:lang w:val="en-US" w:eastAsia="zh-CN"/>
        </w:rPr>
        <w:t>2</w:t>
      </w:r>
      <w:r>
        <w:rPr>
          <w:rFonts w:hint="eastAsia" w:ascii="仿宋" w:hAnsi="仿宋" w:eastAsia="仿宋" w:cs="仿宋"/>
          <w:b w:val="0"/>
          <w:bCs w:val="0"/>
          <w:i w:val="0"/>
          <w:iCs w:val="0"/>
          <w:color w:val="auto"/>
          <w:sz w:val="24"/>
          <w:szCs w:val="24"/>
          <w:highlight w:val="none"/>
          <w:lang w:eastAsia="zh-CN"/>
        </w:rPr>
        <w:t>）</w:t>
      </w:r>
      <w:r>
        <w:rPr>
          <w:rFonts w:hint="eastAsia" w:ascii="仿宋" w:hAnsi="仿宋" w:eastAsia="仿宋" w:cs="仿宋"/>
          <w:b w:val="0"/>
          <w:bCs w:val="0"/>
          <w:i w:val="0"/>
          <w:iCs w:val="0"/>
          <w:color w:val="auto"/>
          <w:sz w:val="24"/>
          <w:szCs w:val="24"/>
          <w:highlight w:val="none"/>
        </w:rPr>
        <w:t>推广管理</w:t>
      </w:r>
    </w:p>
    <w:p w14:paraId="2DBB6779">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①推广管理可实现垃圾分类志愿者推广行为记录、任务反馈等功能。</w:t>
      </w:r>
    </w:p>
    <w:p w14:paraId="2804F1B7">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②平台支持多种运营推广方式：投递用户可根据投递重量、使用次数等方式获得随机红包。并且该功能可限制范围，限定金额，限定活动时长。</w:t>
      </w:r>
    </w:p>
    <w:p w14:paraId="335A8322">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0" w:firstLineChars="200"/>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lang w:eastAsia="zh-CN"/>
        </w:rPr>
        <w:t>（</w:t>
      </w:r>
      <w:r>
        <w:rPr>
          <w:rFonts w:hint="eastAsia" w:ascii="仿宋" w:hAnsi="仿宋" w:eastAsia="仿宋" w:cs="仿宋"/>
          <w:b w:val="0"/>
          <w:bCs w:val="0"/>
          <w:i w:val="0"/>
          <w:iCs w:val="0"/>
          <w:color w:val="auto"/>
          <w:sz w:val="24"/>
          <w:szCs w:val="24"/>
          <w:highlight w:val="none"/>
          <w:lang w:val="en-US" w:eastAsia="zh-CN"/>
        </w:rPr>
        <w:t>3</w:t>
      </w:r>
      <w:r>
        <w:rPr>
          <w:rFonts w:hint="eastAsia" w:ascii="仿宋" w:hAnsi="仿宋" w:eastAsia="仿宋" w:cs="仿宋"/>
          <w:b w:val="0"/>
          <w:bCs w:val="0"/>
          <w:i w:val="0"/>
          <w:iCs w:val="0"/>
          <w:color w:val="auto"/>
          <w:sz w:val="24"/>
          <w:szCs w:val="24"/>
          <w:highlight w:val="none"/>
          <w:lang w:eastAsia="zh-CN"/>
        </w:rPr>
        <w:t>）</w:t>
      </w:r>
      <w:r>
        <w:rPr>
          <w:rFonts w:hint="eastAsia" w:ascii="仿宋" w:hAnsi="仿宋" w:eastAsia="仿宋" w:cs="仿宋"/>
          <w:b w:val="0"/>
          <w:bCs w:val="0"/>
          <w:i w:val="0"/>
          <w:iCs w:val="0"/>
          <w:color w:val="auto"/>
          <w:sz w:val="24"/>
          <w:szCs w:val="24"/>
          <w:highlight w:val="none"/>
        </w:rPr>
        <w:t>运营管理</w:t>
      </w:r>
    </w:p>
    <w:p w14:paraId="1C54FF79">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①实现物资满箱预警收运管理、物资巡查记录、实现回收人员、转运人员对所管辖内的智能回收物资里的垃圾完成实时分类收集、分类清运、分类中转与物资维修维护、基本资料管理、收益结算等功能。</w:t>
      </w:r>
    </w:p>
    <w:p w14:paraId="24B8E1E7">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②中标单位提供全流程、各生产岗位的业务培训，免费提供不少于二周的现场模拟运营指导。</w:t>
      </w:r>
    </w:p>
    <w:p w14:paraId="655688C4">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lang w:eastAsia="zh-CN"/>
        </w:rPr>
        <w:t>（</w:t>
      </w:r>
      <w:r>
        <w:rPr>
          <w:rFonts w:hint="eastAsia" w:ascii="仿宋" w:hAnsi="仿宋" w:eastAsia="仿宋" w:cs="仿宋"/>
          <w:b w:val="0"/>
          <w:bCs w:val="0"/>
          <w:i w:val="0"/>
          <w:iCs w:val="0"/>
          <w:color w:val="auto"/>
          <w:sz w:val="24"/>
          <w:szCs w:val="24"/>
          <w:highlight w:val="none"/>
          <w:lang w:val="en-US" w:eastAsia="zh-CN"/>
        </w:rPr>
        <w:t>4</w:t>
      </w:r>
      <w:r>
        <w:rPr>
          <w:rFonts w:hint="eastAsia" w:ascii="仿宋" w:hAnsi="仿宋" w:eastAsia="仿宋" w:cs="仿宋"/>
          <w:b w:val="0"/>
          <w:bCs w:val="0"/>
          <w:i w:val="0"/>
          <w:iCs w:val="0"/>
          <w:color w:val="auto"/>
          <w:sz w:val="24"/>
          <w:szCs w:val="24"/>
          <w:highlight w:val="none"/>
          <w:lang w:eastAsia="zh-CN"/>
        </w:rPr>
        <w:t>）</w:t>
      </w:r>
      <w:r>
        <w:rPr>
          <w:rFonts w:hint="eastAsia" w:ascii="仿宋" w:hAnsi="仿宋" w:eastAsia="仿宋" w:cs="仿宋"/>
          <w:b w:val="0"/>
          <w:bCs w:val="0"/>
          <w:i w:val="0"/>
          <w:iCs w:val="0"/>
          <w:color w:val="auto"/>
          <w:sz w:val="24"/>
          <w:szCs w:val="24"/>
          <w:highlight w:val="none"/>
        </w:rPr>
        <w:t>智能投递</w:t>
      </w:r>
    </w:p>
    <w:p w14:paraId="6686E46E">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根据不同的应用场景与用户属性，实现涵盖扫码、手机号等不少于两种的登录模式。</w:t>
      </w:r>
    </w:p>
    <w:p w14:paraId="7F1E9F2B">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①管理后台端：实现投递各个环节监控，用户验证、投递门开关状态、称重、投递时间、结束时间、收益等记录。平台与物资的称重数据具有校验，临时存储，补传数据等功能。终端物资如出现网络异常或信号不稳定无法上传或漏传数据的情况，重量数据会临时存储在物资。待网络稳定后补传。更大的保证投递用户数据的安全，防止遗失。</w:t>
      </w:r>
    </w:p>
    <w:p w14:paraId="51C55895">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②回收端：实现回收人员开仓、取货、并上传记录，并在回收前数据锁定，过程中投递不称重结算，回收结束自动恢复数据。</w:t>
      </w:r>
    </w:p>
    <w:p w14:paraId="163B5C74">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③维修端：实现记录每次维检记录。在维修检测前数据锁定，过程中不称重结算，维修结束自动恢复数据。</w:t>
      </w:r>
    </w:p>
    <w:p w14:paraId="48D6D885">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lang w:eastAsia="zh-CN"/>
        </w:rPr>
        <w:t>（</w:t>
      </w:r>
      <w:r>
        <w:rPr>
          <w:rFonts w:hint="eastAsia" w:ascii="仿宋" w:hAnsi="仿宋" w:eastAsia="仿宋" w:cs="仿宋"/>
          <w:b w:val="0"/>
          <w:bCs w:val="0"/>
          <w:i w:val="0"/>
          <w:iCs w:val="0"/>
          <w:color w:val="auto"/>
          <w:sz w:val="24"/>
          <w:szCs w:val="24"/>
          <w:highlight w:val="none"/>
          <w:lang w:val="en-US" w:eastAsia="zh-CN"/>
        </w:rPr>
        <w:t>5</w:t>
      </w:r>
      <w:r>
        <w:rPr>
          <w:rFonts w:hint="eastAsia" w:ascii="仿宋" w:hAnsi="仿宋" w:eastAsia="仿宋" w:cs="仿宋"/>
          <w:b w:val="0"/>
          <w:bCs w:val="0"/>
          <w:i w:val="0"/>
          <w:iCs w:val="0"/>
          <w:color w:val="auto"/>
          <w:sz w:val="24"/>
          <w:szCs w:val="24"/>
          <w:highlight w:val="none"/>
          <w:lang w:eastAsia="zh-CN"/>
        </w:rPr>
        <w:t>）</w:t>
      </w:r>
      <w:r>
        <w:rPr>
          <w:rFonts w:hint="eastAsia" w:ascii="仿宋" w:hAnsi="仿宋" w:eastAsia="仿宋" w:cs="仿宋"/>
          <w:b w:val="0"/>
          <w:bCs w:val="0"/>
          <w:i w:val="0"/>
          <w:iCs w:val="0"/>
          <w:color w:val="auto"/>
          <w:sz w:val="24"/>
          <w:szCs w:val="24"/>
          <w:highlight w:val="none"/>
        </w:rPr>
        <w:t>用户小程序</w:t>
      </w:r>
    </w:p>
    <w:p w14:paraId="6BCB10A1">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①附近物资：查看附近智能垃圾分类回收设施地点以及满溢状态。</w:t>
      </w:r>
    </w:p>
    <w:p w14:paraId="78FA85B6">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②个人中心：基础信息维护、积分或余额查询、提现记录、投递记录等。</w:t>
      </w:r>
    </w:p>
    <w:p w14:paraId="0758C3DA">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③提现方式：后台可根据运营情况选择按设置自动提现和审核后提现。</w:t>
      </w:r>
    </w:p>
    <w:p w14:paraId="7D8A22CA">
      <w:pPr>
        <w:pStyle w:val="23"/>
        <w:pageBreakBefore w:val="0"/>
        <w:widowControl w:val="0"/>
        <w:kinsoku/>
        <w:wordWrap/>
        <w:overflowPunct/>
        <w:topLinePunct w:val="0"/>
        <w:autoSpaceDE/>
        <w:autoSpaceDN/>
        <w:bidi w:val="0"/>
        <w:adjustRightInd w:val="0"/>
        <w:snapToGrid w:val="0"/>
        <w:spacing w:before="0" w:beforeAutospacing="0" w:after="0" w:afterAutospacing="0" w:line="480" w:lineRule="exact"/>
        <w:ind w:firstLine="482" w:firstLineChars="200"/>
        <w:textAlignment w:val="auto"/>
        <w:rPr>
          <w:rFonts w:hint="eastAsia" w:ascii="仿宋" w:hAnsi="仿宋" w:eastAsia="仿宋" w:cs="仿宋"/>
          <w:b/>
          <w:bCs/>
          <w:i w:val="0"/>
          <w:iCs w:val="0"/>
          <w:color w:val="auto"/>
          <w:sz w:val="24"/>
          <w:szCs w:val="24"/>
          <w:highlight w:val="none"/>
          <w:lang w:val="en-US" w:eastAsia="zh-CN"/>
        </w:rPr>
      </w:pPr>
      <w:r>
        <w:rPr>
          <w:rFonts w:hint="eastAsia" w:ascii="仿宋" w:hAnsi="仿宋" w:eastAsia="仿宋" w:cs="仿宋"/>
          <w:b/>
          <w:bCs/>
          <w:i w:val="0"/>
          <w:iCs w:val="0"/>
          <w:color w:val="auto"/>
          <w:sz w:val="24"/>
          <w:szCs w:val="24"/>
          <w:highlight w:val="none"/>
          <w:lang w:val="en-US" w:eastAsia="zh-CN"/>
        </w:rPr>
        <w:t>2.2.4.2 系统对接</w:t>
      </w:r>
    </w:p>
    <w:p w14:paraId="6D1BC578">
      <w:pPr>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i w:val="0"/>
          <w:iCs w:val="0"/>
          <w:color w:val="auto"/>
          <w:sz w:val="24"/>
          <w:szCs w:val="24"/>
          <w:highlight w:val="none"/>
          <w:lang w:val="en-US" w:eastAsia="zh-CN"/>
        </w:rPr>
        <w:t>中标人再生资源全流程</w:t>
      </w:r>
      <w:r>
        <w:rPr>
          <w:rFonts w:hint="eastAsia" w:ascii="仿宋" w:hAnsi="仿宋" w:eastAsia="仿宋" w:cs="仿宋"/>
          <w:i w:val="0"/>
          <w:iCs w:val="0"/>
          <w:color w:val="auto"/>
          <w:sz w:val="24"/>
          <w:szCs w:val="24"/>
          <w:highlight w:val="none"/>
        </w:rPr>
        <w:t>数字化</w:t>
      </w:r>
      <w:r>
        <w:rPr>
          <w:rFonts w:hint="eastAsia" w:ascii="仿宋" w:hAnsi="仿宋" w:eastAsia="仿宋" w:cs="仿宋"/>
          <w:i w:val="0"/>
          <w:iCs w:val="0"/>
          <w:color w:val="auto"/>
          <w:sz w:val="24"/>
          <w:szCs w:val="24"/>
          <w:highlight w:val="none"/>
          <w:lang w:val="en-US" w:eastAsia="zh-CN"/>
        </w:rPr>
        <w:t>管理平台需在合同签订后30天内配备到位，平台相关数据同步接入安徽省垃圾分类综合服务平台，否则招标人有权终止合同，所有损失由中标人负责。服务期限3年，服务期满后平台数据全部导出移交招标人。</w:t>
      </w:r>
    </w:p>
    <w:p w14:paraId="422D7DAD">
      <w:pPr>
        <w:pStyle w:val="7"/>
        <w:pageBreakBefore w:val="0"/>
        <w:widowControl w:val="0"/>
        <w:numPr>
          <w:ilvl w:val="0"/>
          <w:numId w:val="0"/>
        </w:numPr>
        <w:kinsoku/>
        <w:wordWrap/>
        <w:overflowPunct/>
        <w:topLinePunct w:val="0"/>
        <w:autoSpaceDE/>
        <w:autoSpaceDN/>
        <w:bidi w:val="0"/>
        <w:adjustRightInd/>
        <w:snapToGrid/>
        <w:spacing w:before="0" w:after="0" w:line="480" w:lineRule="exact"/>
        <w:ind w:left="0" w:leftChars="0" w:firstLine="482"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bCs/>
          <w:i w:val="0"/>
          <w:color w:val="auto"/>
          <w:sz w:val="24"/>
          <w:szCs w:val="24"/>
          <w:highlight w:val="none"/>
          <w:lang w:val="en-US" w:eastAsia="zh-CN" w:bidi="ar-SA"/>
        </w:rPr>
        <w:t xml:space="preserve">2.2.4.3 </w:t>
      </w:r>
      <w:r>
        <w:rPr>
          <w:rFonts w:hint="eastAsia" w:ascii="仿宋" w:hAnsi="仿宋" w:eastAsia="仿宋" w:cs="仿宋"/>
          <w:color w:val="auto"/>
          <w:sz w:val="24"/>
          <w:szCs w:val="24"/>
          <w:highlight w:val="none"/>
          <w:lang w:val="en-US" w:eastAsia="zh-CN"/>
        </w:rPr>
        <w:t>再生资源体系服务团队</w:t>
      </w:r>
    </w:p>
    <w:p w14:paraId="56C8255D">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为保证再生资源投、收、运、处全流程正常运转，中标人需配备专业服务团队，服务期3年，具体要求如下：</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2"/>
        <w:gridCol w:w="5584"/>
        <w:gridCol w:w="1991"/>
      </w:tblGrid>
      <w:tr w14:paraId="7FA9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tcPr>
          <w:p w14:paraId="65F768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序号</w:t>
            </w:r>
          </w:p>
        </w:tc>
        <w:tc>
          <w:tcPr>
            <w:tcW w:w="5584" w:type="dxa"/>
          </w:tcPr>
          <w:p w14:paraId="682472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岗位名称</w:t>
            </w:r>
          </w:p>
        </w:tc>
        <w:tc>
          <w:tcPr>
            <w:tcW w:w="1991" w:type="dxa"/>
          </w:tcPr>
          <w:p w14:paraId="6D0B64F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数量（人）</w:t>
            </w:r>
          </w:p>
        </w:tc>
      </w:tr>
      <w:tr w14:paraId="7B0B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tcPr>
          <w:p w14:paraId="58EE57E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5584" w:type="dxa"/>
          </w:tcPr>
          <w:p w14:paraId="03C9B2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分拣中心管理人员</w:t>
            </w:r>
          </w:p>
        </w:tc>
        <w:tc>
          <w:tcPr>
            <w:tcW w:w="1991" w:type="dxa"/>
          </w:tcPr>
          <w:p w14:paraId="0EEA17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r>
      <w:tr w14:paraId="54B6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tcPr>
          <w:p w14:paraId="7AF12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c>
          <w:tcPr>
            <w:tcW w:w="5584" w:type="dxa"/>
          </w:tcPr>
          <w:p w14:paraId="413FA1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清运人员 </w:t>
            </w:r>
          </w:p>
        </w:tc>
        <w:tc>
          <w:tcPr>
            <w:tcW w:w="1991" w:type="dxa"/>
          </w:tcPr>
          <w:p w14:paraId="0149D3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13</w:t>
            </w:r>
          </w:p>
        </w:tc>
      </w:tr>
      <w:tr w14:paraId="296A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tcPr>
          <w:p w14:paraId="3D8002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w:t>
            </w:r>
          </w:p>
        </w:tc>
        <w:tc>
          <w:tcPr>
            <w:tcW w:w="5584" w:type="dxa"/>
          </w:tcPr>
          <w:p w14:paraId="30A03C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 xml:space="preserve">分拣人员 </w:t>
            </w:r>
          </w:p>
        </w:tc>
        <w:tc>
          <w:tcPr>
            <w:tcW w:w="1991" w:type="dxa"/>
          </w:tcPr>
          <w:p w14:paraId="4FD817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13</w:t>
            </w:r>
          </w:p>
        </w:tc>
      </w:tr>
      <w:tr w14:paraId="37A7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tcPr>
          <w:p w14:paraId="24627C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4</w:t>
            </w:r>
          </w:p>
        </w:tc>
        <w:tc>
          <w:tcPr>
            <w:tcW w:w="5584" w:type="dxa"/>
          </w:tcPr>
          <w:p w14:paraId="3AC9AF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客服专员</w:t>
            </w:r>
          </w:p>
        </w:tc>
        <w:tc>
          <w:tcPr>
            <w:tcW w:w="1991" w:type="dxa"/>
          </w:tcPr>
          <w:p w14:paraId="1E3B83A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r>
      <w:tr w14:paraId="63FE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tcPr>
          <w:p w14:paraId="4065C2E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5</w:t>
            </w:r>
          </w:p>
        </w:tc>
        <w:tc>
          <w:tcPr>
            <w:tcW w:w="5584" w:type="dxa"/>
          </w:tcPr>
          <w:p w14:paraId="4AE301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维修技术员</w:t>
            </w:r>
          </w:p>
        </w:tc>
        <w:tc>
          <w:tcPr>
            <w:tcW w:w="1991" w:type="dxa"/>
          </w:tcPr>
          <w:p w14:paraId="6BCF0B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2</w:t>
            </w:r>
          </w:p>
        </w:tc>
      </w:tr>
      <w:tr w14:paraId="0D6A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tcPr>
          <w:p w14:paraId="3C1509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6</w:t>
            </w:r>
          </w:p>
        </w:tc>
        <w:tc>
          <w:tcPr>
            <w:tcW w:w="5584" w:type="dxa"/>
          </w:tcPr>
          <w:p w14:paraId="22E763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管理平台运维人员</w:t>
            </w:r>
          </w:p>
        </w:tc>
        <w:tc>
          <w:tcPr>
            <w:tcW w:w="1991" w:type="dxa"/>
          </w:tcPr>
          <w:p w14:paraId="65017C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r>
      <w:tr w14:paraId="2740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tcPr>
          <w:p w14:paraId="1AA73A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7</w:t>
            </w:r>
          </w:p>
        </w:tc>
        <w:tc>
          <w:tcPr>
            <w:tcW w:w="5584" w:type="dxa"/>
          </w:tcPr>
          <w:p w14:paraId="73426D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合计</w:t>
            </w:r>
          </w:p>
        </w:tc>
        <w:tc>
          <w:tcPr>
            <w:tcW w:w="1991" w:type="dxa"/>
          </w:tcPr>
          <w:p w14:paraId="471C19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31</w:t>
            </w:r>
          </w:p>
        </w:tc>
      </w:tr>
    </w:tbl>
    <w:p w14:paraId="71A6A7D3">
      <w:pPr>
        <w:pStyle w:val="7"/>
        <w:pageBreakBefore w:val="0"/>
        <w:widowControl w:val="0"/>
        <w:numPr>
          <w:ilvl w:val="0"/>
          <w:numId w:val="0"/>
        </w:numPr>
        <w:kinsoku/>
        <w:wordWrap/>
        <w:overflowPunct/>
        <w:topLinePunct w:val="0"/>
        <w:autoSpaceDE/>
        <w:autoSpaceDN/>
        <w:bidi w:val="0"/>
        <w:adjustRightInd/>
        <w:snapToGrid/>
        <w:spacing w:before="0" w:after="0" w:line="480" w:lineRule="exact"/>
        <w:ind w:left="0" w:leftChars="0" w:firstLine="482"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kern w:val="2"/>
          <w:sz w:val="24"/>
          <w:szCs w:val="24"/>
          <w:highlight w:val="none"/>
          <w:lang w:val="en-US" w:eastAsia="zh-CN" w:bidi="ar-SA"/>
        </w:rPr>
        <w:t xml:space="preserve">2.2.4.4 </w:t>
      </w:r>
      <w:r>
        <w:rPr>
          <w:rFonts w:hint="eastAsia" w:ascii="仿宋" w:hAnsi="仿宋" w:eastAsia="仿宋" w:cs="仿宋"/>
          <w:color w:val="auto"/>
          <w:sz w:val="24"/>
          <w:szCs w:val="24"/>
          <w:highlight w:val="none"/>
          <w:lang w:val="en-US" w:eastAsia="zh-CN"/>
        </w:rPr>
        <w:t>再生资源体系运营服务期限及运营进场要求</w:t>
      </w:r>
    </w:p>
    <w:p w14:paraId="546E312F">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①服务期限：</w:t>
      </w:r>
      <w:r>
        <w:rPr>
          <w:rFonts w:hint="eastAsia" w:ascii="仿宋" w:hAnsi="仿宋" w:eastAsia="仿宋" w:cs="仿宋"/>
          <w:color w:val="auto"/>
          <w:sz w:val="24"/>
          <w:szCs w:val="24"/>
          <w:highlight w:val="none"/>
          <w:lang w:val="en-US" w:eastAsia="zh-CN"/>
        </w:rPr>
        <w:t>自</w:t>
      </w:r>
      <w:r>
        <w:rPr>
          <w:rFonts w:hint="eastAsia" w:ascii="仿宋" w:hAnsi="仿宋" w:eastAsia="仿宋" w:cs="仿宋"/>
          <w:color w:val="auto"/>
          <w:sz w:val="24"/>
          <w:szCs w:val="24"/>
          <w:highlight w:val="none"/>
        </w:rPr>
        <w:t>合同签订</w:t>
      </w:r>
      <w:r>
        <w:rPr>
          <w:rFonts w:hint="eastAsia" w:ascii="仿宋" w:hAnsi="仿宋" w:eastAsia="仿宋" w:cs="仿宋"/>
          <w:color w:val="auto"/>
          <w:sz w:val="24"/>
          <w:szCs w:val="24"/>
          <w:highlight w:val="none"/>
          <w:lang w:val="en-US" w:eastAsia="zh-CN"/>
        </w:rPr>
        <w:t>之日起，服务期限3年。</w:t>
      </w:r>
    </w:p>
    <w:p w14:paraId="732A67B7">
      <w:pPr>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②运营进场要求：自合同签订之日起30日历天内至少完成300台再生资源智能回收箱铺设，60日历天内需完成全部500台再生资源智能回收箱铺设、收运车辆配备、服务团队上岗、分拣中心建设、再生资源全流程</w:t>
      </w:r>
      <w:r>
        <w:rPr>
          <w:rFonts w:hint="eastAsia" w:ascii="仿宋" w:hAnsi="仿宋" w:eastAsia="仿宋" w:cs="仿宋"/>
          <w:b/>
          <w:bCs/>
          <w:color w:val="auto"/>
          <w:sz w:val="24"/>
          <w:szCs w:val="24"/>
          <w:highlight w:val="none"/>
        </w:rPr>
        <w:t>数字化</w:t>
      </w:r>
      <w:r>
        <w:rPr>
          <w:rFonts w:hint="eastAsia" w:ascii="仿宋" w:hAnsi="仿宋" w:eastAsia="仿宋" w:cs="仿宋"/>
          <w:b/>
          <w:bCs/>
          <w:color w:val="auto"/>
          <w:sz w:val="24"/>
          <w:szCs w:val="24"/>
          <w:highlight w:val="none"/>
          <w:lang w:val="en-US" w:eastAsia="zh-CN"/>
        </w:rPr>
        <w:t>管理</w:t>
      </w:r>
      <w:r>
        <w:rPr>
          <w:rFonts w:hint="eastAsia" w:ascii="仿宋" w:hAnsi="仿宋" w:eastAsia="仿宋" w:cs="仿宋"/>
          <w:b/>
          <w:bCs/>
          <w:color w:val="auto"/>
          <w:sz w:val="24"/>
          <w:szCs w:val="24"/>
          <w:highlight w:val="none"/>
        </w:rPr>
        <w:t>平台</w:t>
      </w:r>
      <w:r>
        <w:rPr>
          <w:rFonts w:hint="eastAsia" w:ascii="仿宋" w:hAnsi="仿宋" w:eastAsia="仿宋" w:cs="仿宋"/>
          <w:b/>
          <w:bCs/>
          <w:color w:val="auto"/>
          <w:sz w:val="24"/>
          <w:szCs w:val="24"/>
          <w:highlight w:val="none"/>
          <w:lang w:val="en-US" w:eastAsia="zh-CN"/>
        </w:rPr>
        <w:t>配备，正式投入运营工作。否则招标人有权终止合同，所有损失由中标人负责。（投标时提供承诺，格式见服务承诺书）</w:t>
      </w:r>
    </w:p>
    <w:p w14:paraId="4A7F2036">
      <w:pPr>
        <w:pStyle w:val="7"/>
        <w:pageBreakBefore w:val="0"/>
        <w:widowControl w:val="0"/>
        <w:numPr>
          <w:ilvl w:val="0"/>
          <w:numId w:val="0"/>
        </w:numPr>
        <w:kinsoku/>
        <w:wordWrap/>
        <w:overflowPunct/>
        <w:topLinePunct w:val="0"/>
        <w:autoSpaceDE/>
        <w:autoSpaceDN/>
        <w:bidi w:val="0"/>
        <w:adjustRightInd/>
        <w:snapToGrid/>
        <w:spacing w:before="0" w:after="0" w:line="480" w:lineRule="exact"/>
        <w:ind w:left="0" w:leftChars="0" w:firstLine="482"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2.2.4.5 其他事项</w:t>
      </w:r>
    </w:p>
    <w:p w14:paraId="44BD47DB">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①招标人协助中标人进行再生资源智能回收设备点位选址、安装等。</w:t>
      </w:r>
    </w:p>
    <w:p w14:paraId="3768526B">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②招标人可协调政府闲置厂房，平价租赁给中标人用于分拣中心场地使用。</w:t>
      </w:r>
    </w:p>
    <w:p w14:paraId="6AC19669">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③如后期省市针对再生资源有相关补贴、奖励政策，招标人可协助中标人进行申请。</w:t>
      </w:r>
    </w:p>
    <w:p w14:paraId="75C754D2">
      <w:pPr>
        <w:spacing w:line="360" w:lineRule="auto"/>
        <w:outlineLvl w:val="1"/>
        <w:rPr>
          <w:rFonts w:hint="eastAsia" w:ascii="仿宋" w:hAnsi="仿宋" w:eastAsia="仿宋" w:cs="仿宋"/>
          <w:b/>
          <w:bCs/>
          <w:color w:val="auto"/>
          <w:sz w:val="24"/>
          <w:szCs w:val="18"/>
          <w:highlight w:val="none"/>
        </w:rPr>
      </w:pPr>
      <w:bookmarkStart w:id="31" w:name="_Toc15499"/>
      <w:r>
        <w:rPr>
          <w:rFonts w:hint="eastAsia" w:ascii="仿宋" w:hAnsi="仿宋" w:eastAsia="仿宋" w:cs="仿宋"/>
          <w:b/>
          <w:bCs/>
          <w:color w:val="auto"/>
          <w:sz w:val="24"/>
          <w:szCs w:val="18"/>
          <w:highlight w:val="none"/>
        </w:rPr>
        <w:t>三、报价要求</w:t>
      </w:r>
      <w:bookmarkEnd w:id="29"/>
      <w:bookmarkEnd w:id="30"/>
      <w:bookmarkEnd w:id="31"/>
    </w:p>
    <w:p w14:paraId="0B6D87E3">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投标人应对生活垃圾分类设施提标改造清单内采购标的进行分项报价及汇总报价，</w:t>
      </w:r>
      <w:r>
        <w:rPr>
          <w:rFonts w:hint="eastAsia" w:ascii="仿宋" w:hAnsi="仿宋" w:eastAsia="仿宋" w:cs="仿宋"/>
          <w:b/>
          <w:bCs/>
          <w:color w:val="auto"/>
          <w:sz w:val="24"/>
          <w:szCs w:val="24"/>
          <w:highlight w:val="none"/>
          <w:lang w:val="en-US" w:eastAsia="zh-CN"/>
        </w:rPr>
        <w:t>再生资源回收体系建设内容无需单独报价</w:t>
      </w:r>
      <w:r>
        <w:rPr>
          <w:rFonts w:hint="eastAsia" w:ascii="仿宋" w:hAnsi="仿宋" w:eastAsia="仿宋" w:cs="仿宋"/>
          <w:b w:val="0"/>
          <w:bCs w:val="0"/>
          <w:color w:val="auto"/>
          <w:sz w:val="24"/>
          <w:szCs w:val="24"/>
          <w:highlight w:val="none"/>
          <w:lang w:val="en-US" w:eastAsia="zh-CN"/>
        </w:rPr>
        <w:t>。投标总价不得超过最高投标限价，否则按照无效投标处理。综合单价包括但不限于为完成项目全部内容所发生的：各项货物（服务）的成本、采购、税费、包装、加工及加工损耗、运输、现场落地、安装及安装损耗、安装辅材、调试、培训活动，宣传活动，宣传物料、人员费用，交付后约定期限内免费维保等工作所发生的一切应有费用及国家对中标单位征收的各种税费等所有一切费用，承包风险由投标人自行承担。中标人承担本项目服务期内所发生的民事、刑事、安全事故、劳资纠纷等一切责任及经济损失。</w:t>
      </w:r>
    </w:p>
    <w:tbl>
      <w:tblPr>
        <w:tblStyle w:val="72"/>
        <w:tblW w:w="9414" w:type="dxa"/>
        <w:tblInd w:w="-38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5"/>
        <w:gridCol w:w="5199"/>
        <w:gridCol w:w="917"/>
        <w:gridCol w:w="843"/>
        <w:gridCol w:w="1500"/>
      </w:tblGrid>
      <w:tr w14:paraId="44772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55" w:type="dxa"/>
            <w:vAlign w:val="center"/>
          </w:tcPr>
          <w:p w14:paraId="46CFA564">
            <w:pPr>
              <w:widowControl/>
              <w:jc w:val="center"/>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序号</w:t>
            </w:r>
          </w:p>
        </w:tc>
        <w:tc>
          <w:tcPr>
            <w:tcW w:w="5199" w:type="dxa"/>
            <w:vAlign w:val="center"/>
          </w:tcPr>
          <w:p w14:paraId="3A5B361F">
            <w:pPr>
              <w:widowControl/>
              <w:jc w:val="center"/>
              <w:textAlignment w:val="auto"/>
              <w:rPr>
                <w:rFonts w:hint="eastAsia" w:ascii="仿宋" w:hAnsi="仿宋" w:eastAsia="仿宋" w:cs="仿宋"/>
                <w:color w:val="auto"/>
                <w:sz w:val="24"/>
                <w:szCs w:val="24"/>
                <w:highlight w:val="none"/>
                <w:lang w:val="en-US"/>
              </w:rPr>
            </w:pPr>
            <w:r>
              <w:rPr>
                <w:rFonts w:hint="eastAsia" w:ascii="仿宋" w:hAnsi="仿宋" w:eastAsia="仿宋" w:cs="仿宋"/>
                <w:b/>
                <w:bCs/>
                <w:color w:val="auto"/>
                <w:sz w:val="24"/>
                <w:szCs w:val="24"/>
                <w:highlight w:val="none"/>
                <w:lang w:val="en-US" w:eastAsia="zh-CN"/>
              </w:rPr>
              <w:t>货物名称</w:t>
            </w:r>
          </w:p>
        </w:tc>
        <w:tc>
          <w:tcPr>
            <w:tcW w:w="917" w:type="dxa"/>
            <w:tcBorders>
              <w:right w:val="single" w:color="auto" w:sz="4" w:space="0"/>
            </w:tcBorders>
            <w:vAlign w:val="center"/>
          </w:tcPr>
          <w:p w14:paraId="64DBCF3A">
            <w:pPr>
              <w:widowControl/>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数量</w:t>
            </w:r>
          </w:p>
        </w:tc>
        <w:tc>
          <w:tcPr>
            <w:tcW w:w="843" w:type="dxa"/>
            <w:tcBorders>
              <w:left w:val="single" w:color="auto" w:sz="4" w:space="0"/>
              <w:right w:val="single" w:color="auto" w:sz="4" w:space="0"/>
            </w:tcBorders>
            <w:vAlign w:val="center"/>
          </w:tcPr>
          <w:p w14:paraId="7D7FCFE4">
            <w:pPr>
              <w:widowControl/>
              <w:jc w:val="center"/>
              <w:textAlignment w:val="auto"/>
              <w:rPr>
                <w:rFonts w:hint="eastAsia" w:ascii="仿宋" w:hAnsi="仿宋" w:eastAsia="仿宋" w:cs="仿宋"/>
                <w:b/>
                <w:bCs/>
                <w:color w:val="auto"/>
                <w:spacing w:val="2"/>
                <w:sz w:val="24"/>
                <w:szCs w:val="24"/>
                <w:highlight w:val="none"/>
                <w:lang w:val="en-US" w:eastAsia="zh-CN"/>
              </w:rPr>
            </w:pPr>
            <w:r>
              <w:rPr>
                <w:rFonts w:hint="eastAsia" w:ascii="仿宋" w:hAnsi="仿宋" w:eastAsia="仿宋" w:cs="仿宋"/>
                <w:b/>
                <w:bCs/>
                <w:color w:val="auto"/>
                <w:sz w:val="24"/>
                <w:szCs w:val="24"/>
                <w:highlight w:val="none"/>
              </w:rPr>
              <w:t>单位</w:t>
            </w:r>
          </w:p>
        </w:tc>
        <w:tc>
          <w:tcPr>
            <w:tcW w:w="1500" w:type="dxa"/>
            <w:tcBorders>
              <w:left w:val="single" w:color="auto" w:sz="4" w:space="0"/>
            </w:tcBorders>
            <w:vAlign w:val="center"/>
          </w:tcPr>
          <w:p w14:paraId="4DEA2A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val="en-US" w:eastAsia="zh-CN"/>
              </w:rPr>
              <w:t>单价</w:t>
            </w:r>
            <w:r>
              <w:rPr>
                <w:rFonts w:hint="eastAsia" w:ascii="仿宋" w:hAnsi="仿宋" w:eastAsia="仿宋" w:cs="仿宋"/>
                <w:b/>
                <w:bCs/>
                <w:color w:val="auto"/>
                <w:sz w:val="24"/>
                <w:szCs w:val="24"/>
                <w:highlight w:val="none"/>
                <w:lang w:eastAsia="zh-CN"/>
              </w:rPr>
              <w:t>最高限价（</w:t>
            </w:r>
            <w:r>
              <w:rPr>
                <w:rFonts w:hint="eastAsia" w:ascii="仿宋" w:hAnsi="仿宋" w:eastAsia="仿宋" w:cs="仿宋"/>
                <w:b/>
                <w:bCs/>
                <w:color w:val="auto"/>
                <w:sz w:val="24"/>
                <w:szCs w:val="24"/>
                <w:highlight w:val="none"/>
                <w:lang w:val="en-US" w:eastAsia="zh-CN"/>
              </w:rPr>
              <w:t>元</w:t>
            </w:r>
            <w:r>
              <w:rPr>
                <w:rFonts w:hint="eastAsia" w:ascii="仿宋" w:hAnsi="仿宋" w:eastAsia="仿宋" w:cs="仿宋"/>
                <w:b/>
                <w:bCs/>
                <w:color w:val="auto"/>
                <w:sz w:val="24"/>
                <w:szCs w:val="24"/>
                <w:highlight w:val="none"/>
                <w:lang w:eastAsia="zh-CN"/>
              </w:rPr>
              <w:t>）</w:t>
            </w:r>
          </w:p>
        </w:tc>
      </w:tr>
      <w:tr w14:paraId="7F81D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955" w:type="dxa"/>
            <w:vAlign w:val="center"/>
          </w:tcPr>
          <w:p w14:paraId="4B5F4508">
            <w:pPr>
              <w:widowControl/>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5199" w:type="dxa"/>
            <w:vAlign w:val="center"/>
          </w:tcPr>
          <w:p w14:paraId="1495959C">
            <w:pPr>
              <w:widowControl/>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生活垃圾分类集中投放站点改造（四投口</w:t>
            </w:r>
            <w:r>
              <w:rPr>
                <w:rFonts w:hint="eastAsia" w:ascii="仿宋" w:hAnsi="仿宋" w:eastAsia="仿宋" w:cs="仿宋"/>
                <w:color w:val="auto"/>
                <w:sz w:val="24"/>
                <w:szCs w:val="24"/>
                <w:highlight w:val="none"/>
              </w:rPr>
              <w:t>分类箱</w:t>
            </w:r>
            <w:r>
              <w:rPr>
                <w:rFonts w:hint="eastAsia" w:ascii="仿宋" w:hAnsi="仿宋" w:eastAsia="仿宋" w:cs="仿宋"/>
                <w:color w:val="auto"/>
                <w:sz w:val="24"/>
                <w:szCs w:val="24"/>
                <w:highlight w:val="none"/>
                <w:lang w:val="en-US" w:eastAsia="zh-CN"/>
              </w:rPr>
              <w:t>）</w:t>
            </w:r>
          </w:p>
        </w:tc>
        <w:tc>
          <w:tcPr>
            <w:tcW w:w="917" w:type="dxa"/>
            <w:tcBorders>
              <w:right w:val="single" w:color="auto" w:sz="4" w:space="0"/>
            </w:tcBorders>
            <w:vAlign w:val="center"/>
          </w:tcPr>
          <w:p w14:paraId="3869A669">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300</w:t>
            </w:r>
          </w:p>
        </w:tc>
        <w:tc>
          <w:tcPr>
            <w:tcW w:w="843" w:type="dxa"/>
            <w:tcBorders>
              <w:left w:val="single" w:color="auto" w:sz="4" w:space="0"/>
              <w:right w:val="single" w:color="auto" w:sz="4" w:space="0"/>
            </w:tcBorders>
            <w:vAlign w:val="center"/>
          </w:tcPr>
          <w:p w14:paraId="4FE59406">
            <w:pPr>
              <w:widowControl/>
              <w:jc w:val="center"/>
              <w:textAlignment w:val="auto"/>
              <w:rPr>
                <w:rFonts w:hint="eastAsia" w:ascii="仿宋" w:hAnsi="仿宋" w:eastAsia="仿宋" w:cs="仿宋"/>
                <w:color w:val="auto"/>
                <w:spacing w:val="6"/>
                <w:sz w:val="24"/>
                <w:szCs w:val="24"/>
                <w:highlight w:val="none"/>
              </w:rPr>
            </w:pPr>
            <w:r>
              <w:rPr>
                <w:rFonts w:hint="eastAsia" w:ascii="仿宋" w:hAnsi="仿宋" w:eastAsia="仿宋" w:cs="仿宋"/>
                <w:color w:val="auto"/>
                <w:sz w:val="24"/>
                <w:szCs w:val="24"/>
                <w:highlight w:val="none"/>
              </w:rPr>
              <w:t>座</w:t>
            </w:r>
          </w:p>
        </w:tc>
        <w:tc>
          <w:tcPr>
            <w:tcW w:w="1500" w:type="dxa"/>
            <w:tcBorders>
              <w:left w:val="single" w:color="auto" w:sz="4" w:space="0"/>
            </w:tcBorders>
            <w:shd w:val="clear" w:color="auto" w:fill="auto"/>
            <w:vAlign w:val="center"/>
          </w:tcPr>
          <w:p w14:paraId="2708C82F">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16500</w:t>
            </w:r>
          </w:p>
        </w:tc>
      </w:tr>
      <w:tr w14:paraId="102D7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955" w:type="dxa"/>
            <w:vAlign w:val="center"/>
          </w:tcPr>
          <w:p w14:paraId="42EC74E3">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5199" w:type="dxa"/>
            <w:vAlign w:val="center"/>
          </w:tcPr>
          <w:p w14:paraId="6C7C63A9">
            <w:pPr>
              <w:widowControl/>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生活垃圾分类集中投放站点改造（三投口</w:t>
            </w:r>
            <w:r>
              <w:rPr>
                <w:rFonts w:hint="eastAsia" w:ascii="仿宋" w:hAnsi="仿宋" w:eastAsia="仿宋" w:cs="仿宋"/>
                <w:color w:val="auto"/>
                <w:sz w:val="24"/>
                <w:szCs w:val="24"/>
                <w:highlight w:val="none"/>
              </w:rPr>
              <w:t>分类箱</w:t>
            </w:r>
            <w:r>
              <w:rPr>
                <w:rFonts w:hint="eastAsia" w:ascii="仿宋" w:hAnsi="仿宋" w:eastAsia="仿宋" w:cs="仿宋"/>
                <w:color w:val="auto"/>
                <w:sz w:val="24"/>
                <w:szCs w:val="24"/>
                <w:highlight w:val="none"/>
                <w:lang w:val="en-US" w:eastAsia="zh-CN"/>
              </w:rPr>
              <w:t>）</w:t>
            </w:r>
          </w:p>
        </w:tc>
        <w:tc>
          <w:tcPr>
            <w:tcW w:w="917" w:type="dxa"/>
            <w:tcBorders>
              <w:right w:val="single" w:color="auto" w:sz="4" w:space="0"/>
            </w:tcBorders>
            <w:vAlign w:val="center"/>
          </w:tcPr>
          <w:p w14:paraId="763A51EA">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w:t>
            </w:r>
          </w:p>
        </w:tc>
        <w:tc>
          <w:tcPr>
            <w:tcW w:w="843" w:type="dxa"/>
            <w:tcBorders>
              <w:left w:val="single" w:color="auto" w:sz="4" w:space="0"/>
              <w:right w:val="single" w:color="auto" w:sz="4" w:space="0"/>
            </w:tcBorders>
            <w:vAlign w:val="center"/>
          </w:tcPr>
          <w:p w14:paraId="258B15A4">
            <w:pPr>
              <w:widowControl/>
              <w:jc w:val="center"/>
              <w:textAlignment w:val="auto"/>
              <w:rPr>
                <w:rFonts w:hint="eastAsia" w:ascii="仿宋" w:hAnsi="仿宋" w:eastAsia="仿宋" w:cs="仿宋"/>
                <w:color w:val="auto"/>
                <w:spacing w:val="7"/>
                <w:sz w:val="24"/>
                <w:szCs w:val="24"/>
                <w:highlight w:val="none"/>
              </w:rPr>
            </w:pPr>
            <w:r>
              <w:rPr>
                <w:rFonts w:hint="eastAsia" w:ascii="仿宋" w:hAnsi="仿宋" w:eastAsia="仿宋" w:cs="仿宋"/>
                <w:color w:val="auto"/>
                <w:sz w:val="24"/>
                <w:szCs w:val="24"/>
                <w:highlight w:val="none"/>
              </w:rPr>
              <w:t>座</w:t>
            </w:r>
          </w:p>
        </w:tc>
        <w:tc>
          <w:tcPr>
            <w:tcW w:w="1500" w:type="dxa"/>
            <w:tcBorders>
              <w:left w:val="single" w:color="auto" w:sz="4" w:space="0"/>
            </w:tcBorders>
            <w:shd w:val="clear" w:color="auto" w:fill="auto"/>
            <w:vAlign w:val="center"/>
          </w:tcPr>
          <w:p w14:paraId="3B35F961">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12500</w:t>
            </w:r>
          </w:p>
        </w:tc>
      </w:tr>
      <w:tr w14:paraId="2268C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955" w:type="dxa"/>
            <w:vAlign w:val="center"/>
          </w:tcPr>
          <w:p w14:paraId="5998A71D">
            <w:pPr>
              <w:widowControl/>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p>
        </w:tc>
        <w:tc>
          <w:tcPr>
            <w:tcW w:w="5199" w:type="dxa"/>
            <w:vAlign w:val="center"/>
          </w:tcPr>
          <w:p w14:paraId="62B34403">
            <w:pPr>
              <w:widowControl/>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生活垃圾分类集中投放站点改造（二投口</w:t>
            </w:r>
            <w:r>
              <w:rPr>
                <w:rFonts w:hint="eastAsia" w:ascii="仿宋" w:hAnsi="仿宋" w:eastAsia="仿宋" w:cs="仿宋"/>
                <w:color w:val="auto"/>
                <w:sz w:val="24"/>
                <w:szCs w:val="24"/>
                <w:highlight w:val="none"/>
              </w:rPr>
              <w:t>分类箱</w:t>
            </w:r>
            <w:r>
              <w:rPr>
                <w:rFonts w:hint="eastAsia" w:ascii="仿宋" w:hAnsi="仿宋" w:eastAsia="仿宋" w:cs="仿宋"/>
                <w:color w:val="auto"/>
                <w:sz w:val="24"/>
                <w:szCs w:val="24"/>
                <w:highlight w:val="none"/>
                <w:lang w:val="en-US" w:eastAsia="zh-CN"/>
              </w:rPr>
              <w:t>）</w:t>
            </w:r>
          </w:p>
        </w:tc>
        <w:tc>
          <w:tcPr>
            <w:tcW w:w="917" w:type="dxa"/>
            <w:tcBorders>
              <w:right w:val="single" w:color="auto" w:sz="4" w:space="0"/>
            </w:tcBorders>
            <w:vAlign w:val="center"/>
          </w:tcPr>
          <w:p w14:paraId="24310A77">
            <w:pPr>
              <w:widowControl/>
              <w:jc w:val="center"/>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eastAsia="zh-CN"/>
              </w:rPr>
              <w:t>30</w:t>
            </w:r>
          </w:p>
        </w:tc>
        <w:tc>
          <w:tcPr>
            <w:tcW w:w="843" w:type="dxa"/>
            <w:tcBorders>
              <w:left w:val="single" w:color="auto" w:sz="4" w:space="0"/>
              <w:right w:val="single" w:color="auto" w:sz="4" w:space="0"/>
            </w:tcBorders>
            <w:vAlign w:val="center"/>
          </w:tcPr>
          <w:p w14:paraId="488F2363">
            <w:pPr>
              <w:widowControl/>
              <w:jc w:val="center"/>
              <w:textAlignment w:val="auto"/>
              <w:rPr>
                <w:rFonts w:hint="eastAsia" w:ascii="仿宋" w:hAnsi="仿宋" w:eastAsia="仿宋" w:cs="仿宋"/>
                <w:color w:val="auto"/>
                <w:spacing w:val="8"/>
                <w:sz w:val="24"/>
                <w:szCs w:val="24"/>
                <w:highlight w:val="none"/>
              </w:rPr>
            </w:pPr>
            <w:r>
              <w:rPr>
                <w:rFonts w:hint="eastAsia" w:ascii="仿宋" w:hAnsi="仿宋" w:eastAsia="仿宋" w:cs="仿宋"/>
                <w:color w:val="auto"/>
                <w:sz w:val="24"/>
                <w:szCs w:val="24"/>
                <w:highlight w:val="none"/>
              </w:rPr>
              <w:t>座</w:t>
            </w:r>
          </w:p>
        </w:tc>
        <w:tc>
          <w:tcPr>
            <w:tcW w:w="1500" w:type="dxa"/>
            <w:tcBorders>
              <w:left w:val="single" w:color="auto" w:sz="4" w:space="0"/>
            </w:tcBorders>
            <w:shd w:val="clear" w:color="auto" w:fill="auto"/>
            <w:vAlign w:val="center"/>
          </w:tcPr>
          <w:p w14:paraId="3CED5AF1">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10500</w:t>
            </w:r>
          </w:p>
        </w:tc>
      </w:tr>
      <w:tr w14:paraId="7C328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955" w:type="dxa"/>
            <w:vAlign w:val="center"/>
          </w:tcPr>
          <w:p w14:paraId="642FBB7B">
            <w:pPr>
              <w:widowControl/>
              <w:jc w:val="center"/>
              <w:textAlignment w:val="auto"/>
              <w:rPr>
                <w:rFonts w:hint="eastAsia" w:ascii="仿宋" w:hAnsi="仿宋" w:eastAsia="仿宋" w:cs="仿宋"/>
                <w:color w:val="auto"/>
                <w:position w:val="1"/>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5199" w:type="dxa"/>
            <w:vAlign w:val="center"/>
          </w:tcPr>
          <w:p w14:paraId="48FC799D">
            <w:pPr>
              <w:widowControl/>
              <w:jc w:val="center"/>
              <w:textAlignment w:val="auto"/>
              <w:rPr>
                <w:rFonts w:hint="eastAsia" w:ascii="仿宋" w:hAnsi="仿宋" w:eastAsia="仿宋" w:cs="仿宋"/>
                <w:color w:val="auto"/>
                <w:spacing w:val="4"/>
                <w:sz w:val="24"/>
                <w:szCs w:val="24"/>
                <w:highlight w:val="none"/>
              </w:rPr>
            </w:pPr>
            <w:r>
              <w:rPr>
                <w:rFonts w:hint="eastAsia" w:ascii="仿宋" w:hAnsi="仿宋" w:eastAsia="仿宋" w:cs="仿宋"/>
                <w:color w:val="auto"/>
                <w:sz w:val="24"/>
                <w:szCs w:val="24"/>
                <w:highlight w:val="none"/>
                <w:lang w:val="en-US" w:eastAsia="zh-CN"/>
              </w:rPr>
              <w:t>生活垃圾分类集中投放站点提标（四投口</w:t>
            </w:r>
            <w:r>
              <w:rPr>
                <w:rFonts w:hint="eastAsia" w:ascii="仿宋" w:hAnsi="仿宋" w:eastAsia="仿宋" w:cs="仿宋"/>
                <w:color w:val="auto"/>
                <w:sz w:val="24"/>
                <w:szCs w:val="24"/>
                <w:highlight w:val="none"/>
              </w:rPr>
              <w:t>分类箱</w:t>
            </w:r>
            <w:r>
              <w:rPr>
                <w:rFonts w:hint="eastAsia" w:ascii="仿宋" w:hAnsi="仿宋" w:eastAsia="仿宋" w:cs="仿宋"/>
                <w:color w:val="auto"/>
                <w:sz w:val="24"/>
                <w:szCs w:val="24"/>
                <w:highlight w:val="none"/>
                <w:lang w:val="en-US" w:eastAsia="zh-CN"/>
              </w:rPr>
              <w:t>）</w:t>
            </w:r>
          </w:p>
        </w:tc>
        <w:tc>
          <w:tcPr>
            <w:tcW w:w="917" w:type="dxa"/>
            <w:tcBorders>
              <w:right w:val="single" w:color="auto" w:sz="4" w:space="0"/>
            </w:tcBorders>
            <w:vAlign w:val="center"/>
          </w:tcPr>
          <w:p w14:paraId="6475588E">
            <w:pPr>
              <w:widowControl/>
              <w:jc w:val="center"/>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eastAsia="zh-CN" w:bidi="ar-SA"/>
              </w:rPr>
              <w:t>50</w:t>
            </w:r>
          </w:p>
        </w:tc>
        <w:tc>
          <w:tcPr>
            <w:tcW w:w="843" w:type="dxa"/>
            <w:tcBorders>
              <w:left w:val="single" w:color="auto" w:sz="4" w:space="0"/>
              <w:right w:val="single" w:color="auto" w:sz="4" w:space="0"/>
            </w:tcBorders>
            <w:vAlign w:val="center"/>
          </w:tcPr>
          <w:p w14:paraId="263E7AB0">
            <w:pPr>
              <w:widowControl/>
              <w:jc w:val="center"/>
              <w:textAlignment w:val="auto"/>
              <w:rPr>
                <w:rFonts w:hint="eastAsia" w:ascii="仿宋" w:hAnsi="仿宋" w:eastAsia="仿宋" w:cs="仿宋"/>
                <w:color w:val="auto"/>
                <w:spacing w:val="8"/>
                <w:sz w:val="24"/>
                <w:szCs w:val="24"/>
                <w:highlight w:val="none"/>
              </w:rPr>
            </w:pPr>
            <w:r>
              <w:rPr>
                <w:rFonts w:hint="eastAsia" w:ascii="仿宋" w:hAnsi="仿宋" w:eastAsia="仿宋" w:cs="仿宋"/>
                <w:color w:val="auto"/>
                <w:sz w:val="24"/>
                <w:szCs w:val="24"/>
                <w:highlight w:val="none"/>
              </w:rPr>
              <w:t>座</w:t>
            </w:r>
          </w:p>
        </w:tc>
        <w:tc>
          <w:tcPr>
            <w:tcW w:w="1500" w:type="dxa"/>
            <w:tcBorders>
              <w:left w:val="single" w:color="auto" w:sz="4" w:space="0"/>
            </w:tcBorders>
            <w:shd w:val="clear" w:color="auto" w:fill="auto"/>
            <w:vAlign w:val="center"/>
          </w:tcPr>
          <w:p w14:paraId="115A3EB8">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9500</w:t>
            </w:r>
          </w:p>
        </w:tc>
      </w:tr>
      <w:tr w14:paraId="6EB9E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955" w:type="dxa"/>
            <w:vAlign w:val="center"/>
          </w:tcPr>
          <w:p w14:paraId="52857AFD">
            <w:pPr>
              <w:widowControl/>
              <w:jc w:val="center"/>
              <w:textAlignment w:val="auto"/>
              <w:rPr>
                <w:rFonts w:hint="eastAsia" w:ascii="仿宋" w:hAnsi="仿宋" w:eastAsia="仿宋" w:cs="仿宋"/>
                <w:color w:val="auto"/>
                <w:position w:val="1"/>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5199" w:type="dxa"/>
            <w:vAlign w:val="center"/>
          </w:tcPr>
          <w:p w14:paraId="5A4AD1FA">
            <w:pPr>
              <w:widowControl/>
              <w:jc w:val="center"/>
              <w:textAlignment w:val="auto"/>
              <w:rPr>
                <w:rFonts w:hint="eastAsia" w:ascii="仿宋" w:hAnsi="仿宋" w:eastAsia="仿宋" w:cs="仿宋"/>
                <w:color w:val="auto"/>
                <w:spacing w:val="4"/>
                <w:sz w:val="24"/>
                <w:szCs w:val="24"/>
                <w:highlight w:val="none"/>
              </w:rPr>
            </w:pPr>
            <w:r>
              <w:rPr>
                <w:rFonts w:hint="eastAsia" w:ascii="仿宋" w:hAnsi="仿宋" w:eastAsia="仿宋" w:cs="仿宋"/>
                <w:color w:val="auto"/>
                <w:sz w:val="24"/>
                <w:szCs w:val="24"/>
                <w:highlight w:val="none"/>
              </w:rPr>
              <w:t>240L垃圾桶</w:t>
            </w:r>
            <w:r>
              <w:rPr>
                <w:rFonts w:hint="eastAsia" w:ascii="仿宋" w:hAnsi="仿宋" w:eastAsia="仿宋" w:cs="仿宋"/>
                <w:color w:val="auto"/>
                <w:sz w:val="24"/>
                <w:szCs w:val="24"/>
                <w:highlight w:val="none"/>
                <w:lang w:val="en-US" w:eastAsia="zh-CN"/>
              </w:rPr>
              <w:t>采购</w:t>
            </w:r>
          </w:p>
        </w:tc>
        <w:tc>
          <w:tcPr>
            <w:tcW w:w="917" w:type="dxa"/>
            <w:tcBorders>
              <w:right w:val="single" w:color="auto" w:sz="4" w:space="0"/>
            </w:tcBorders>
            <w:vAlign w:val="center"/>
          </w:tcPr>
          <w:p w14:paraId="142FD720">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1520</w:t>
            </w:r>
          </w:p>
        </w:tc>
        <w:tc>
          <w:tcPr>
            <w:tcW w:w="843" w:type="dxa"/>
            <w:tcBorders>
              <w:left w:val="single" w:color="auto" w:sz="4" w:space="0"/>
              <w:right w:val="single" w:color="auto" w:sz="4" w:space="0"/>
            </w:tcBorders>
            <w:vAlign w:val="center"/>
          </w:tcPr>
          <w:p w14:paraId="016DD2B5">
            <w:pPr>
              <w:widowControl/>
              <w:jc w:val="center"/>
              <w:textAlignment w:val="auto"/>
              <w:rPr>
                <w:rFonts w:hint="eastAsia" w:ascii="仿宋" w:hAnsi="仿宋" w:eastAsia="仿宋" w:cs="仿宋"/>
                <w:color w:val="auto"/>
                <w:spacing w:val="8"/>
                <w:sz w:val="24"/>
                <w:szCs w:val="24"/>
                <w:highlight w:val="none"/>
              </w:rPr>
            </w:pPr>
            <w:r>
              <w:rPr>
                <w:rFonts w:hint="eastAsia" w:ascii="仿宋" w:hAnsi="仿宋" w:eastAsia="仿宋" w:cs="仿宋"/>
                <w:color w:val="auto"/>
                <w:sz w:val="24"/>
                <w:szCs w:val="24"/>
                <w:highlight w:val="none"/>
              </w:rPr>
              <w:t>个</w:t>
            </w:r>
          </w:p>
        </w:tc>
        <w:tc>
          <w:tcPr>
            <w:tcW w:w="1500" w:type="dxa"/>
            <w:tcBorders>
              <w:left w:val="single" w:color="auto" w:sz="4" w:space="0"/>
            </w:tcBorders>
            <w:shd w:val="clear" w:color="auto" w:fill="auto"/>
            <w:vAlign w:val="center"/>
          </w:tcPr>
          <w:p w14:paraId="0C3973B9">
            <w:pPr>
              <w:widowControl/>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200</w:t>
            </w:r>
          </w:p>
        </w:tc>
      </w:tr>
    </w:tbl>
    <w:p w14:paraId="4B4FD76D">
      <w:pPr>
        <w:spacing w:line="360" w:lineRule="auto"/>
        <w:ind w:firstLine="437"/>
        <w:rPr>
          <w:rFonts w:hint="eastAsia" w:ascii="仿宋" w:hAnsi="仿宋" w:eastAsia="仿宋" w:cs="仿宋"/>
          <w:bCs/>
          <w:color w:val="auto"/>
          <w:sz w:val="24"/>
          <w:szCs w:val="18"/>
          <w:highlight w:val="none"/>
        </w:rPr>
      </w:pPr>
    </w:p>
    <w:p w14:paraId="4543E761">
      <w:pPr>
        <w:spacing w:line="360" w:lineRule="auto"/>
        <w:ind w:firstLine="437"/>
        <w:outlineLvl w:val="1"/>
        <w:rPr>
          <w:rFonts w:hint="eastAsia" w:ascii="仿宋" w:hAnsi="仿宋" w:eastAsia="仿宋" w:cs="仿宋"/>
          <w:b/>
          <w:bCs/>
          <w:color w:val="auto"/>
          <w:sz w:val="24"/>
          <w:szCs w:val="18"/>
          <w:highlight w:val="none"/>
        </w:rPr>
      </w:pPr>
      <w:bookmarkStart w:id="32" w:name="_Toc8567"/>
      <w:bookmarkStart w:id="33" w:name="_Toc15293"/>
      <w:bookmarkStart w:id="34" w:name="_Toc14698"/>
      <w:r>
        <w:rPr>
          <w:rFonts w:hint="eastAsia" w:ascii="仿宋" w:hAnsi="仿宋" w:eastAsia="仿宋" w:cs="仿宋"/>
          <w:b/>
          <w:bCs/>
          <w:color w:val="auto"/>
          <w:sz w:val="24"/>
          <w:szCs w:val="18"/>
          <w:highlight w:val="none"/>
        </w:rPr>
        <w:t>四、其他要求</w:t>
      </w:r>
      <w:bookmarkEnd w:id="32"/>
      <w:bookmarkEnd w:id="33"/>
      <w:bookmarkEnd w:id="34"/>
    </w:p>
    <w:p w14:paraId="1657B11E">
      <w:pPr>
        <w:spacing w:line="360" w:lineRule="auto"/>
        <w:ind w:firstLine="437"/>
        <w:rPr>
          <w:rFonts w:hint="eastAsia" w:ascii="仿宋" w:hAnsi="仿宋" w:eastAsia="仿宋" w:cs="仿宋"/>
          <w:bCs/>
          <w:color w:val="auto"/>
          <w:sz w:val="24"/>
          <w:szCs w:val="18"/>
          <w:highlight w:val="none"/>
        </w:rPr>
      </w:pPr>
      <w:r>
        <w:rPr>
          <w:rFonts w:hint="eastAsia" w:ascii="仿宋" w:hAnsi="仿宋" w:eastAsia="仿宋" w:cs="仿宋"/>
          <w:bCs/>
          <w:color w:val="auto"/>
          <w:sz w:val="24"/>
          <w:szCs w:val="18"/>
          <w:highlight w:val="none"/>
        </w:rPr>
        <w:t>1.货物的生产、安装、维修、检验、验收等按照以下原则执行：有国家标准的执行国家标准；无国家标准的执行行业标准；无行业标准的执行地方标准；无地方标准的执行企业标准。</w:t>
      </w:r>
    </w:p>
    <w:p w14:paraId="5CAB2FAD">
      <w:pPr>
        <w:spacing w:line="360" w:lineRule="auto"/>
        <w:ind w:firstLine="437"/>
        <w:rPr>
          <w:rFonts w:hint="eastAsia" w:ascii="仿宋" w:hAnsi="仿宋" w:eastAsia="仿宋" w:cs="仿宋"/>
          <w:bCs/>
          <w:color w:val="auto"/>
          <w:sz w:val="24"/>
          <w:szCs w:val="18"/>
          <w:highlight w:val="none"/>
        </w:rPr>
      </w:pPr>
      <w:r>
        <w:rPr>
          <w:rFonts w:hint="eastAsia" w:ascii="仿宋" w:hAnsi="仿宋" w:eastAsia="仿宋" w:cs="仿宋"/>
          <w:bCs/>
          <w:color w:val="auto"/>
          <w:sz w:val="24"/>
          <w:szCs w:val="18"/>
          <w:highlight w:val="none"/>
        </w:rPr>
        <w:t>2.如果在技术参数或配置中标明了品牌或产地，则仅供参考，并非指定，但投标人提供的货物必须满足主要技术参数及配置要求，投标人可以选用替代的方案，但这种替代整体上要优于或相当于招标文件的相关要求。</w:t>
      </w:r>
    </w:p>
    <w:p w14:paraId="2B7BD1E9">
      <w:pPr>
        <w:spacing w:line="360" w:lineRule="auto"/>
        <w:ind w:firstLine="437"/>
        <w:rPr>
          <w:rFonts w:hint="eastAsia" w:ascii="仿宋" w:hAnsi="仿宋" w:eastAsia="仿宋" w:cs="仿宋"/>
          <w:bCs/>
          <w:color w:val="auto"/>
          <w:sz w:val="24"/>
          <w:szCs w:val="18"/>
          <w:highlight w:val="none"/>
        </w:rPr>
      </w:pPr>
      <w:r>
        <w:rPr>
          <w:rFonts w:hint="eastAsia" w:ascii="仿宋" w:hAnsi="仿宋" w:eastAsia="仿宋" w:cs="仿宋"/>
          <w:bCs/>
          <w:color w:val="auto"/>
          <w:sz w:val="24"/>
          <w:szCs w:val="18"/>
          <w:highlight w:val="none"/>
        </w:rPr>
        <w:t>3.供货时所有货物（包括零部件）须为全新的、未使用过的原装正品，并完全符合国家质量标准，提供厂家出具的合格证书、有国家强制性认证要求的产品须提供相应证书，货物的技术参数及配置情况必须由投标人提供国家相关检测机构出具的检验报告、生产厂家公开发布的印刷资料等技术资料予以支持。没有技术资料支持的技术参数及配置不能视为响应。</w:t>
      </w:r>
    </w:p>
    <w:p w14:paraId="08E04D02">
      <w:pPr>
        <w:spacing w:line="360" w:lineRule="auto"/>
        <w:ind w:firstLine="437"/>
        <w:rPr>
          <w:rFonts w:hint="eastAsia" w:ascii="仿宋" w:hAnsi="仿宋" w:eastAsia="仿宋" w:cs="仿宋"/>
          <w:bCs/>
          <w:color w:val="auto"/>
          <w:sz w:val="24"/>
          <w:szCs w:val="18"/>
          <w:highlight w:val="none"/>
        </w:rPr>
      </w:pPr>
      <w:r>
        <w:rPr>
          <w:rFonts w:hint="eastAsia" w:ascii="仿宋" w:hAnsi="仿宋" w:eastAsia="仿宋" w:cs="仿宋"/>
          <w:bCs/>
          <w:color w:val="auto"/>
          <w:sz w:val="24"/>
          <w:szCs w:val="18"/>
          <w:highlight w:val="none"/>
        </w:rPr>
        <w:t>4.</w:t>
      </w:r>
      <w:r>
        <w:rPr>
          <w:rFonts w:hint="eastAsia" w:ascii="仿宋" w:hAnsi="仿宋" w:eastAsia="仿宋" w:cs="仿宋"/>
          <w:bCs/>
          <w:color w:val="auto"/>
          <w:sz w:val="24"/>
          <w:szCs w:val="18"/>
          <w:highlight w:val="none"/>
          <w:lang w:val="en-US" w:eastAsia="zh-CN"/>
        </w:rPr>
        <w:t>本项目质保期为最少不低于3年，具体以投标人投标时承诺期限为准，所有质保费用均已包含在投标报价中。质保期满后，应提供优先的有偿售后服务及按不高于投标文件中主要配件、易损件清单所报价格供应零配件等。质保期内，如设备发生故障。中标方应在接到采购方通知的 24 小时内派技术人员到现场进行维修检查，在质保期内，备品备件及专用工具不满足运行维护要求的，中标方应予以免费提供</w:t>
      </w:r>
      <w:r>
        <w:rPr>
          <w:rFonts w:hint="eastAsia" w:ascii="仿宋" w:hAnsi="仿宋" w:eastAsia="仿宋" w:cs="仿宋"/>
          <w:bCs/>
          <w:color w:val="auto"/>
          <w:sz w:val="24"/>
          <w:szCs w:val="18"/>
          <w:highlight w:val="none"/>
        </w:rPr>
        <w:t>。</w:t>
      </w:r>
    </w:p>
    <w:p w14:paraId="619181C0">
      <w:pPr>
        <w:spacing w:line="360" w:lineRule="auto"/>
        <w:ind w:firstLine="437"/>
        <w:rPr>
          <w:rFonts w:hint="eastAsia"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5</w:t>
      </w:r>
      <w:r>
        <w:rPr>
          <w:rFonts w:hint="eastAsia" w:ascii="仿宋" w:hAnsi="仿宋" w:eastAsia="仿宋" w:cs="仿宋"/>
          <w:bCs/>
          <w:color w:val="auto"/>
          <w:sz w:val="24"/>
          <w:szCs w:val="18"/>
          <w:highlight w:val="none"/>
        </w:rPr>
        <w:t>.</w:t>
      </w:r>
      <w:r>
        <w:rPr>
          <w:rFonts w:hint="eastAsia" w:ascii="仿宋" w:hAnsi="仿宋" w:eastAsia="仿宋" w:cs="仿宋"/>
          <w:bCs/>
          <w:color w:val="auto"/>
          <w:sz w:val="24"/>
          <w:szCs w:val="18"/>
          <w:highlight w:val="none"/>
          <w:lang w:val="en-US" w:eastAsia="zh-CN"/>
        </w:rPr>
        <w:t>项目建设期间中标人需针对本项目配备项目经理、施工负责人、平台运维人员、维修人员等团队；另外需配备1名专职宣传人员，负责协助前期点位建设、居民矛盾协调、小区垃圾分类点位宣传、宣教馆日常接待参观讲解、协助招标人开展各类宣传活动、按照招标人要求拍摄相关宣传视频等工作，宣传人员服务期自合同签订之日起3年。</w:t>
      </w:r>
    </w:p>
    <w:p w14:paraId="501F066C">
      <w:pPr>
        <w:spacing w:line="360" w:lineRule="auto"/>
        <w:ind w:firstLine="437"/>
        <w:rPr>
          <w:rFonts w:hint="eastAsia"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6.宣传培训要求</w:t>
      </w:r>
    </w:p>
    <w:p w14:paraId="3596174D">
      <w:pPr>
        <w:spacing w:line="360" w:lineRule="auto"/>
        <w:ind w:firstLine="437"/>
        <w:rPr>
          <w:rFonts w:hint="eastAsia"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6.1中标人负责开展点位建设前宣传工作，协助招标人开展相关宣传活动。</w:t>
      </w:r>
    </w:p>
    <w:p w14:paraId="1B53A9DF">
      <w:pPr>
        <w:spacing w:line="360" w:lineRule="auto"/>
        <w:ind w:firstLine="437"/>
        <w:rPr>
          <w:rFonts w:hint="eastAsia"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6.2由专职宣传人员负责开展小区居民、物业、街道社区等单位垃圾分类培训活动，宣传垃圾分类知识，讲解分类设施操作流程等。</w:t>
      </w:r>
    </w:p>
    <w:p w14:paraId="5FE2A43B">
      <w:pPr>
        <w:spacing w:line="360" w:lineRule="auto"/>
        <w:ind w:firstLine="437"/>
        <w:rPr>
          <w:rFonts w:hint="eastAsia"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6.3按照招标人要求拍摄垃圾分类设施和再生资源智能回收设备使用宣传短视频（各一条），报招标人审核后，用于日常播放宣传。</w:t>
      </w:r>
    </w:p>
    <w:p w14:paraId="6977AA7E">
      <w:pPr>
        <w:spacing w:line="360" w:lineRule="auto"/>
        <w:ind w:firstLine="437"/>
        <w:rPr>
          <w:rFonts w:hint="eastAsia"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6.4按照招标人要求每年开展垃圾分类宣传周、环保日等主题宣传活动，提供活动策划方案、宣传物料并落地执行，提交活动总结材料，3年内开展不少15场。</w:t>
      </w:r>
    </w:p>
    <w:p w14:paraId="2FC5163E">
      <w:pPr>
        <w:spacing w:line="360" w:lineRule="auto"/>
        <w:ind w:firstLine="437"/>
        <w:rPr>
          <w:rFonts w:hint="eastAsia"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6.5根据垃圾分类“十进”宣传要求，结合进社区、进学校、进机关等场所设计不少于4张通用海报模版，制作安装不少于10块宣传巨型广告，具体尺寸按照招标人要求执行。</w:t>
      </w:r>
    </w:p>
    <w:p w14:paraId="61F8840D">
      <w:pPr>
        <w:spacing w:line="360" w:lineRule="auto"/>
        <w:ind w:firstLine="437"/>
        <w:rPr>
          <w:rFonts w:hint="eastAsia"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6.6中标人负责在点位建设安装的小区公示栏内制作安装垃圾分类设施提标改造点位示意图。</w:t>
      </w:r>
    </w:p>
    <w:p w14:paraId="7E7DC6DE">
      <w:pPr>
        <w:spacing w:line="360" w:lineRule="auto"/>
        <w:ind w:firstLine="437"/>
        <w:rPr>
          <w:rFonts w:hint="eastAsia" w:ascii="仿宋" w:hAnsi="仿宋" w:eastAsia="仿宋" w:cs="仿宋"/>
          <w:bCs/>
          <w:color w:val="auto"/>
          <w:sz w:val="24"/>
          <w:szCs w:val="18"/>
          <w:highlight w:val="none"/>
        </w:rPr>
      </w:pPr>
      <w:r>
        <w:rPr>
          <w:rFonts w:hint="eastAsia" w:ascii="仿宋" w:hAnsi="仿宋" w:eastAsia="仿宋" w:cs="仿宋"/>
          <w:bCs/>
          <w:color w:val="auto"/>
          <w:sz w:val="24"/>
          <w:szCs w:val="18"/>
          <w:highlight w:val="none"/>
          <w:lang w:val="en-US" w:eastAsia="zh-CN"/>
        </w:rPr>
        <w:t>7.生活垃圾分类设施提标改造采购标的中所有设备由中标人负责建设、安装，验收后移交招标人，产权归属招标人；再生资源回收体系建设中再生资源智能回收柜、收运车辆、分拣中心设备、管理平台、服务人员等均由中标人自行配备，所有设备产权均归中标人所有，服务期内用于本项目</w:t>
      </w:r>
      <w:r>
        <w:rPr>
          <w:rFonts w:hint="eastAsia" w:ascii="仿宋" w:hAnsi="仿宋" w:eastAsia="仿宋" w:cs="仿宋"/>
          <w:bCs/>
          <w:color w:val="auto"/>
          <w:sz w:val="24"/>
          <w:szCs w:val="18"/>
          <w:highlight w:val="none"/>
        </w:rPr>
        <w:t>。</w:t>
      </w:r>
    </w:p>
    <w:p w14:paraId="40027173">
      <w:pPr>
        <w:spacing w:line="360" w:lineRule="auto"/>
        <w:ind w:firstLine="437"/>
        <w:rPr>
          <w:rFonts w:hint="eastAsia"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8.中标人需根据招标文件以及采购需求，中标后7日内中标人针对采购标的各类型分类设施提供设计效果方案及安装方案报采购人确认。</w:t>
      </w:r>
    </w:p>
    <w:p w14:paraId="189038E0">
      <w:pPr>
        <w:spacing w:line="360" w:lineRule="auto"/>
        <w:ind w:firstLine="437"/>
        <w:rPr>
          <w:rFonts w:hint="eastAsia"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9.中标人需根据招标文件要求，在工期内完成全部范围内生活垃圾分类投放设施的供货、安装（包含基础及外接水电30米内）、调试、验收等工作。</w:t>
      </w:r>
    </w:p>
    <w:p w14:paraId="3204EFEC">
      <w:pPr>
        <w:spacing w:line="360" w:lineRule="auto"/>
        <w:ind w:firstLine="437"/>
        <w:rPr>
          <w:rFonts w:hint="eastAsia" w:ascii="仿宋" w:hAnsi="仿宋" w:eastAsia="仿宋" w:cs="仿宋"/>
          <w:bCs/>
          <w:color w:val="auto"/>
          <w:sz w:val="24"/>
          <w:szCs w:val="18"/>
          <w:highlight w:val="none"/>
        </w:rPr>
      </w:pPr>
      <w:r>
        <w:rPr>
          <w:rFonts w:hint="eastAsia" w:ascii="仿宋" w:hAnsi="仿宋" w:eastAsia="仿宋" w:cs="仿宋"/>
          <w:bCs/>
          <w:color w:val="auto"/>
          <w:sz w:val="24"/>
          <w:szCs w:val="18"/>
          <w:highlight w:val="none"/>
          <w:lang w:val="en-US" w:eastAsia="zh-CN"/>
        </w:rPr>
        <w:t>10、如建设点位确实无接电条件，需加装新能源太阳能供电系统，满足照明、监控供电。</w:t>
      </w:r>
      <w:r>
        <w:rPr>
          <w:rFonts w:hint="eastAsia" w:ascii="仿宋" w:hAnsi="仿宋" w:eastAsia="仿宋" w:cs="仿宋"/>
          <w:bCs/>
          <w:color w:val="auto"/>
          <w:sz w:val="24"/>
          <w:szCs w:val="18"/>
          <w:highlight w:val="none"/>
        </w:rPr>
        <w:br w:type="page"/>
      </w:r>
    </w:p>
    <w:p w14:paraId="7D5B9D57">
      <w:pPr>
        <w:spacing w:line="360" w:lineRule="auto"/>
        <w:jc w:val="center"/>
        <w:outlineLvl w:val="0"/>
        <w:rPr>
          <w:rFonts w:hint="eastAsia" w:ascii="仿宋" w:hAnsi="仿宋" w:eastAsia="仿宋" w:cs="仿宋"/>
          <w:b/>
          <w:color w:val="auto"/>
          <w:sz w:val="28"/>
          <w:highlight w:val="none"/>
        </w:rPr>
      </w:pPr>
      <w:bookmarkStart w:id="35" w:name="_Toc24775"/>
      <w:r>
        <w:rPr>
          <w:rFonts w:hint="eastAsia" w:ascii="仿宋" w:hAnsi="仿宋" w:eastAsia="仿宋" w:cs="仿宋"/>
          <w:b/>
          <w:color w:val="auto"/>
          <w:sz w:val="28"/>
          <w:highlight w:val="none"/>
        </w:rPr>
        <w:t>第四章  评标方法和标准（综合评分法）</w:t>
      </w:r>
      <w:bookmarkEnd w:id="35"/>
    </w:p>
    <w:p w14:paraId="426D093A">
      <w:pPr>
        <w:spacing w:line="360" w:lineRule="auto"/>
        <w:ind w:firstLine="437"/>
        <w:outlineLvl w:val="1"/>
        <w:rPr>
          <w:rFonts w:hint="eastAsia" w:ascii="仿宋" w:hAnsi="仿宋" w:eastAsia="仿宋" w:cs="仿宋"/>
          <w:b/>
          <w:color w:val="auto"/>
          <w:sz w:val="24"/>
          <w:highlight w:val="none"/>
        </w:rPr>
      </w:pPr>
      <w:bookmarkStart w:id="36" w:name="_Toc11823"/>
      <w:bookmarkStart w:id="37" w:name="_Toc1246"/>
      <w:bookmarkStart w:id="38" w:name="_Toc21772"/>
      <w:r>
        <w:rPr>
          <w:rFonts w:hint="eastAsia" w:ascii="仿宋" w:hAnsi="仿宋" w:eastAsia="仿宋" w:cs="仿宋"/>
          <w:b/>
          <w:color w:val="auto"/>
          <w:sz w:val="24"/>
          <w:highlight w:val="none"/>
        </w:rPr>
        <w:t>一、总则</w:t>
      </w:r>
      <w:bookmarkEnd w:id="36"/>
      <w:bookmarkEnd w:id="37"/>
      <w:bookmarkEnd w:id="38"/>
    </w:p>
    <w:p w14:paraId="4F49ECC6">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本项目将按照招标文件第二章 投标人须知的相关要求及本章的规定评标。</w:t>
      </w:r>
    </w:p>
    <w:p w14:paraId="0436C6E0">
      <w:pPr>
        <w:spacing w:line="360" w:lineRule="auto"/>
        <w:ind w:firstLine="437"/>
        <w:outlineLvl w:val="1"/>
        <w:rPr>
          <w:rFonts w:hint="eastAsia" w:ascii="仿宋" w:hAnsi="仿宋" w:eastAsia="仿宋" w:cs="仿宋"/>
          <w:b/>
          <w:color w:val="auto"/>
          <w:sz w:val="24"/>
          <w:highlight w:val="none"/>
        </w:rPr>
      </w:pPr>
      <w:bookmarkStart w:id="39" w:name="_Toc11347"/>
      <w:bookmarkStart w:id="40" w:name="_Toc31871"/>
      <w:bookmarkStart w:id="41" w:name="_Toc13117"/>
      <w:r>
        <w:rPr>
          <w:rFonts w:hint="eastAsia" w:ascii="仿宋" w:hAnsi="仿宋" w:eastAsia="仿宋" w:cs="仿宋"/>
          <w:b/>
          <w:color w:val="auto"/>
          <w:sz w:val="24"/>
          <w:highlight w:val="none"/>
        </w:rPr>
        <w:t>二、评标方法</w:t>
      </w:r>
      <w:bookmarkEnd w:id="39"/>
      <w:bookmarkEnd w:id="40"/>
      <w:bookmarkEnd w:id="41"/>
    </w:p>
    <w:p w14:paraId="56C8753B">
      <w:pPr>
        <w:spacing w:line="360" w:lineRule="auto"/>
        <w:ind w:firstLine="437"/>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2.1资格审查</w:t>
      </w:r>
    </w:p>
    <w:tbl>
      <w:tblPr>
        <w:tblStyle w:val="27"/>
        <w:tblW w:w="53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795"/>
        <w:gridCol w:w="4964"/>
        <w:gridCol w:w="2419"/>
      </w:tblGrid>
      <w:tr w14:paraId="70B1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494388D3">
            <w:pPr>
              <w:adjustRightInd w:val="0"/>
              <w:snapToGrid w:val="0"/>
              <w:spacing w:line="360" w:lineRule="auto"/>
              <w:ind w:right="-10"/>
              <w:jc w:val="center"/>
              <w:rPr>
                <w:rFonts w:hint="eastAsia" w:ascii="仿宋" w:hAnsi="仿宋" w:eastAsia="仿宋" w:cs="仿宋"/>
                <w:color w:val="auto"/>
                <w:sz w:val="24"/>
                <w:highlight w:val="none"/>
              </w:rPr>
            </w:pPr>
            <w:r>
              <w:rPr>
                <w:rFonts w:hint="eastAsia" w:ascii="仿宋" w:hAnsi="仿宋" w:eastAsia="仿宋" w:cs="仿宋"/>
                <w:b/>
                <w:color w:val="auto"/>
                <w:sz w:val="24"/>
                <w:szCs w:val="22"/>
                <w:highlight w:val="none"/>
              </w:rPr>
              <w:t>资格审查表</w:t>
            </w:r>
          </w:p>
        </w:tc>
      </w:tr>
      <w:tr w14:paraId="65A8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tcBorders>
              <w:bottom w:val="single" w:color="auto" w:sz="4" w:space="0"/>
            </w:tcBorders>
            <w:vAlign w:val="center"/>
          </w:tcPr>
          <w:p w14:paraId="4C1E84C3">
            <w:pPr>
              <w:adjustRightInd w:val="0"/>
              <w:snapToGrid w:val="0"/>
              <w:spacing w:line="360" w:lineRule="auto"/>
              <w:ind w:right="-1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907" w:type="pct"/>
            <w:tcBorders>
              <w:bottom w:val="single" w:color="auto" w:sz="4" w:space="0"/>
            </w:tcBorders>
            <w:vAlign w:val="center"/>
          </w:tcPr>
          <w:p w14:paraId="20318461">
            <w:pPr>
              <w:pStyle w:val="47"/>
              <w:pBdr>
                <w:bottom w:val="none" w:color="auto" w:sz="0" w:space="0"/>
              </w:pBdr>
              <w:tabs>
                <w:tab w:val="clear" w:pos="4153"/>
                <w:tab w:val="clear" w:pos="8306"/>
              </w:tabs>
              <w:snapToGrid w:val="0"/>
              <w:spacing w:line="360" w:lineRule="auto"/>
              <w:ind w:right="-10"/>
              <w:textAlignment w:val="auto"/>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审查因素</w:t>
            </w:r>
          </w:p>
        </w:tc>
        <w:tc>
          <w:tcPr>
            <w:tcW w:w="2508" w:type="pct"/>
            <w:tcBorders>
              <w:bottom w:val="single" w:color="auto" w:sz="4" w:space="0"/>
            </w:tcBorders>
            <w:vAlign w:val="center"/>
          </w:tcPr>
          <w:p w14:paraId="2AC86186">
            <w:pPr>
              <w:adjustRightInd w:val="0"/>
              <w:snapToGrid w:val="0"/>
              <w:spacing w:line="360" w:lineRule="auto"/>
              <w:ind w:right="-1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审查内容</w:t>
            </w:r>
          </w:p>
        </w:tc>
        <w:tc>
          <w:tcPr>
            <w:tcW w:w="1220" w:type="pct"/>
            <w:tcBorders>
              <w:bottom w:val="single" w:color="auto" w:sz="4" w:space="0"/>
            </w:tcBorders>
            <w:vAlign w:val="center"/>
          </w:tcPr>
          <w:p w14:paraId="2D650A90">
            <w:pPr>
              <w:adjustRightInd w:val="0"/>
              <w:snapToGrid w:val="0"/>
              <w:spacing w:line="360" w:lineRule="auto"/>
              <w:ind w:right="-1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格式要求</w:t>
            </w:r>
          </w:p>
        </w:tc>
      </w:tr>
      <w:tr w14:paraId="2DA7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3" w:type="pct"/>
            <w:tcBorders>
              <w:bottom w:val="single" w:color="auto" w:sz="4" w:space="0"/>
            </w:tcBorders>
            <w:vAlign w:val="center"/>
          </w:tcPr>
          <w:p w14:paraId="19942BB4">
            <w:pPr>
              <w:adjustRightInd w:val="0"/>
              <w:snapToGrid w:val="0"/>
              <w:spacing w:line="360" w:lineRule="auto"/>
              <w:ind w:right="-1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907" w:type="pct"/>
            <w:tcBorders>
              <w:bottom w:val="single" w:color="auto" w:sz="4" w:space="0"/>
            </w:tcBorders>
            <w:vAlign w:val="center"/>
          </w:tcPr>
          <w:p w14:paraId="77FACC97">
            <w:pPr>
              <w:spacing w:after="50" w:line="360" w:lineRule="auto"/>
              <w:ind w:right="-10"/>
              <w:jc w:val="center"/>
              <w:rPr>
                <w:rFonts w:hint="eastAsia" w:ascii="仿宋" w:hAnsi="仿宋" w:eastAsia="仿宋" w:cs="仿宋"/>
                <w:color w:val="auto"/>
                <w:sz w:val="24"/>
                <w:szCs w:val="28"/>
                <w:highlight w:val="none"/>
              </w:rPr>
            </w:pPr>
            <w:r>
              <w:rPr>
                <w:rFonts w:hint="eastAsia" w:ascii="仿宋" w:hAnsi="仿宋" w:eastAsia="仿宋" w:cs="仿宋"/>
                <w:color w:val="auto"/>
                <w:spacing w:val="9"/>
                <w:sz w:val="24"/>
                <w:szCs w:val="24"/>
                <w:highlight w:val="none"/>
              </w:rPr>
              <w:t>营业执照等证明</w:t>
            </w:r>
            <w:r>
              <w:rPr>
                <w:rFonts w:hint="eastAsia" w:ascii="仿宋" w:hAnsi="仿宋" w:eastAsia="仿宋" w:cs="仿宋"/>
                <w:color w:val="auto"/>
                <w:spacing w:val="-3"/>
                <w:sz w:val="24"/>
                <w:szCs w:val="24"/>
                <w:highlight w:val="none"/>
              </w:rPr>
              <w:t>文件</w:t>
            </w:r>
          </w:p>
        </w:tc>
        <w:tc>
          <w:tcPr>
            <w:tcW w:w="2508" w:type="pct"/>
            <w:tcBorders>
              <w:bottom w:val="single" w:color="auto" w:sz="4" w:space="0"/>
            </w:tcBorders>
            <w:vAlign w:val="center"/>
          </w:tcPr>
          <w:p w14:paraId="517B8764">
            <w:pPr>
              <w:spacing w:after="50" w:line="360" w:lineRule="auto"/>
              <w:ind w:right="-1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（1）投标人为企业（包括合伙企业）的，应提供有效的营业执照；</w:t>
            </w:r>
          </w:p>
          <w:p w14:paraId="75CF0F95">
            <w:pPr>
              <w:spacing w:after="50" w:line="360" w:lineRule="auto"/>
              <w:ind w:right="-1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（2）投标人为事业单位的，应提供有效的事业单位法人证书；</w:t>
            </w:r>
          </w:p>
          <w:p w14:paraId="409B72E6">
            <w:pPr>
              <w:spacing w:after="50" w:line="360" w:lineRule="auto"/>
              <w:ind w:right="-1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（3）投标人是非企业机构的，应提供有效的执业许可证或登记证书等证明文件；</w:t>
            </w:r>
          </w:p>
          <w:p w14:paraId="636B81DA">
            <w:pPr>
              <w:spacing w:after="50" w:line="360" w:lineRule="auto"/>
              <w:ind w:right="-1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（4）投标人是个体工商户的，应提供有效的个体工商户营业执照；</w:t>
            </w:r>
          </w:p>
          <w:p w14:paraId="3F3D605E">
            <w:pPr>
              <w:spacing w:after="50" w:line="360" w:lineRule="auto"/>
              <w:ind w:right="-10"/>
              <w:jc w:val="left"/>
              <w:rPr>
                <w:rFonts w:hint="eastAsia" w:ascii="仿宋" w:hAnsi="仿宋" w:eastAsia="仿宋" w:cs="仿宋"/>
                <w:color w:val="auto"/>
                <w:sz w:val="24"/>
                <w:szCs w:val="28"/>
                <w:highlight w:val="none"/>
              </w:rPr>
            </w:pPr>
            <w:r>
              <w:rPr>
                <w:rFonts w:hint="eastAsia" w:ascii="仿宋" w:hAnsi="仿宋" w:eastAsia="仿宋" w:cs="仿宋"/>
                <w:color w:val="auto"/>
                <w:sz w:val="24"/>
                <w:szCs w:val="24"/>
                <w:highlight w:val="none"/>
              </w:rPr>
              <w:t>（5）投标人是自然人的，应提供有效的自然人身份证明。</w:t>
            </w:r>
          </w:p>
        </w:tc>
        <w:tc>
          <w:tcPr>
            <w:tcW w:w="1220" w:type="pct"/>
            <w:vAlign w:val="center"/>
          </w:tcPr>
          <w:p w14:paraId="6AFD50E5">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提供材料扫描件或电子证照，应完整的体现出材料或电子证照全部内容。联合体投标的联合体各方均须提供。</w:t>
            </w:r>
          </w:p>
        </w:tc>
      </w:tr>
      <w:tr w14:paraId="3982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63" w:type="pct"/>
            <w:tcBorders>
              <w:bottom w:val="single" w:color="auto" w:sz="4" w:space="0"/>
            </w:tcBorders>
            <w:vAlign w:val="center"/>
          </w:tcPr>
          <w:p w14:paraId="7806A777">
            <w:pPr>
              <w:adjustRightInd w:val="0"/>
              <w:snapToGrid w:val="0"/>
              <w:spacing w:line="360" w:lineRule="auto"/>
              <w:ind w:right="-1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907" w:type="pct"/>
            <w:tcBorders>
              <w:bottom w:val="single" w:color="auto" w:sz="4" w:space="0"/>
            </w:tcBorders>
            <w:vAlign w:val="center"/>
          </w:tcPr>
          <w:p w14:paraId="72A34784">
            <w:pPr>
              <w:spacing w:after="50" w:line="360" w:lineRule="auto"/>
              <w:ind w:right="-10"/>
              <w:jc w:val="center"/>
              <w:rPr>
                <w:rFonts w:hint="eastAsia" w:ascii="仿宋" w:hAnsi="仿宋" w:eastAsia="仿宋" w:cs="仿宋"/>
                <w:color w:val="auto"/>
                <w:sz w:val="24"/>
                <w:szCs w:val="28"/>
                <w:highlight w:val="none"/>
              </w:rPr>
            </w:pPr>
            <w:r>
              <w:rPr>
                <w:rFonts w:hint="eastAsia" w:ascii="仿宋" w:hAnsi="仿宋" w:eastAsia="仿宋" w:cs="仿宋"/>
                <w:color w:val="auto"/>
                <w:sz w:val="24"/>
                <w:szCs w:val="18"/>
                <w:highlight w:val="none"/>
              </w:rPr>
              <w:t>投标人资格声明书</w:t>
            </w:r>
          </w:p>
        </w:tc>
        <w:tc>
          <w:tcPr>
            <w:tcW w:w="2508" w:type="pct"/>
            <w:tcBorders>
              <w:bottom w:val="single" w:color="auto" w:sz="4" w:space="0"/>
            </w:tcBorders>
            <w:vAlign w:val="center"/>
          </w:tcPr>
          <w:p w14:paraId="3036503B">
            <w:pPr>
              <w:spacing w:after="50" w:line="360" w:lineRule="auto"/>
              <w:ind w:right="-10"/>
              <w:jc w:val="left"/>
              <w:rPr>
                <w:rFonts w:hint="eastAsia" w:ascii="仿宋" w:hAnsi="仿宋" w:eastAsia="仿宋" w:cs="仿宋"/>
                <w:color w:val="auto"/>
                <w:sz w:val="24"/>
                <w:szCs w:val="28"/>
                <w:highlight w:val="none"/>
              </w:rPr>
            </w:pPr>
            <w:r>
              <w:rPr>
                <w:rFonts w:hint="eastAsia" w:ascii="仿宋" w:hAnsi="仿宋" w:eastAsia="仿宋" w:cs="仿宋"/>
                <w:color w:val="auto"/>
                <w:sz w:val="24"/>
                <w:szCs w:val="24"/>
                <w:highlight w:val="none"/>
              </w:rPr>
              <w:t>提供符合招标文件要求的《投标人资格声明书》。</w:t>
            </w:r>
          </w:p>
        </w:tc>
        <w:tc>
          <w:tcPr>
            <w:tcW w:w="1220" w:type="pct"/>
            <w:vAlign w:val="center"/>
          </w:tcPr>
          <w:p w14:paraId="200373BC">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详见第六章投标文件格式。</w:t>
            </w:r>
          </w:p>
        </w:tc>
      </w:tr>
      <w:tr w14:paraId="3AAF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tcBorders>
              <w:bottom w:val="single" w:color="auto" w:sz="4" w:space="0"/>
            </w:tcBorders>
            <w:vAlign w:val="center"/>
          </w:tcPr>
          <w:p w14:paraId="5B37F149">
            <w:pPr>
              <w:adjustRightInd w:val="0"/>
              <w:snapToGrid w:val="0"/>
              <w:spacing w:line="360" w:lineRule="auto"/>
              <w:ind w:right="-1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907" w:type="pct"/>
            <w:tcBorders>
              <w:bottom w:val="single" w:color="auto" w:sz="4" w:space="0"/>
            </w:tcBorders>
            <w:vAlign w:val="center"/>
          </w:tcPr>
          <w:p w14:paraId="721DF419">
            <w:pPr>
              <w:spacing w:after="50" w:line="360" w:lineRule="auto"/>
              <w:ind w:right="-10"/>
              <w:jc w:val="center"/>
              <w:rPr>
                <w:rFonts w:hint="eastAsia" w:ascii="仿宋" w:hAnsi="仿宋" w:eastAsia="仿宋" w:cs="仿宋"/>
                <w:color w:val="auto"/>
                <w:sz w:val="24"/>
                <w:szCs w:val="28"/>
                <w:highlight w:val="none"/>
              </w:rPr>
            </w:pPr>
            <w:r>
              <w:rPr>
                <w:rFonts w:hint="eastAsia" w:ascii="仿宋" w:hAnsi="仿宋" w:eastAsia="仿宋" w:cs="仿宋"/>
                <w:color w:val="auto"/>
                <w:sz w:val="24"/>
                <w:szCs w:val="24"/>
                <w:highlight w:val="none"/>
              </w:rPr>
              <w:t>投标人信用记录</w:t>
            </w:r>
          </w:p>
        </w:tc>
        <w:tc>
          <w:tcPr>
            <w:tcW w:w="2508" w:type="pct"/>
            <w:tcBorders>
              <w:bottom w:val="single" w:color="auto" w:sz="4" w:space="0"/>
            </w:tcBorders>
            <w:vAlign w:val="center"/>
          </w:tcPr>
          <w:p w14:paraId="0200B4AD">
            <w:pPr>
              <w:spacing w:after="50" w:line="360" w:lineRule="auto"/>
              <w:ind w:right="-10"/>
              <w:jc w:val="left"/>
              <w:rPr>
                <w:rFonts w:hint="eastAsia" w:ascii="仿宋" w:hAnsi="仿宋" w:eastAsia="仿宋" w:cs="仿宋"/>
                <w:color w:val="auto"/>
                <w:highlight w:val="none"/>
              </w:rPr>
            </w:pPr>
            <w:r>
              <w:rPr>
                <w:rFonts w:hint="eastAsia" w:ascii="仿宋" w:hAnsi="仿宋" w:eastAsia="仿宋" w:cs="仿宋"/>
                <w:color w:val="auto"/>
                <w:sz w:val="24"/>
                <w:szCs w:val="24"/>
                <w:highlight w:val="none"/>
                <w:lang w:val="zh-CN"/>
              </w:rPr>
              <w:t>投标人不得存在投标人须知正文第1</w:t>
            </w: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zh-CN"/>
              </w:rPr>
              <w:t>.2</w:t>
            </w:r>
            <w:r>
              <w:rPr>
                <w:rFonts w:hint="eastAsia" w:ascii="仿宋" w:hAnsi="仿宋" w:eastAsia="仿宋" w:cs="仿宋"/>
                <w:color w:val="auto"/>
                <w:sz w:val="24"/>
                <w:szCs w:val="24"/>
                <w:highlight w:val="none"/>
              </w:rPr>
              <w:t>条中</w:t>
            </w:r>
            <w:r>
              <w:rPr>
                <w:rFonts w:hint="eastAsia" w:ascii="仿宋" w:hAnsi="仿宋" w:eastAsia="仿宋" w:cs="仿宋"/>
                <w:color w:val="auto"/>
                <w:sz w:val="24"/>
                <w:szCs w:val="28"/>
                <w:highlight w:val="none"/>
              </w:rPr>
              <w:t>的</w:t>
            </w:r>
            <w:r>
              <w:rPr>
                <w:rFonts w:hint="eastAsia" w:ascii="仿宋" w:hAnsi="仿宋" w:eastAsia="仿宋" w:cs="仿宋"/>
                <w:color w:val="auto"/>
                <w:sz w:val="24"/>
                <w:szCs w:val="18"/>
                <w:highlight w:val="none"/>
              </w:rPr>
              <w:t>不良信用记录情形</w:t>
            </w:r>
          </w:p>
        </w:tc>
        <w:tc>
          <w:tcPr>
            <w:tcW w:w="1220" w:type="pct"/>
            <w:tcBorders>
              <w:bottom w:val="single" w:color="auto" w:sz="4" w:space="0"/>
            </w:tcBorders>
            <w:vAlign w:val="center"/>
          </w:tcPr>
          <w:p w14:paraId="39A8E4B1">
            <w:pPr>
              <w:spacing w:line="360" w:lineRule="auto"/>
              <w:jc w:val="left"/>
              <w:rPr>
                <w:rFonts w:hint="eastAsia" w:ascii="仿宋" w:hAnsi="仿宋" w:eastAsia="仿宋" w:cs="仿宋"/>
                <w:color w:val="auto"/>
                <w:highlight w:val="none"/>
              </w:rPr>
            </w:pPr>
            <w:r>
              <w:rPr>
                <w:rFonts w:hint="eastAsia" w:ascii="仿宋" w:hAnsi="仿宋" w:eastAsia="仿宋" w:cs="仿宋"/>
                <w:color w:val="auto"/>
                <w:sz w:val="24"/>
                <w:szCs w:val="24"/>
                <w:highlight w:val="none"/>
              </w:rPr>
              <w:t>无须投标人提供，由采购人或采购代理机构查询。</w:t>
            </w:r>
          </w:p>
        </w:tc>
      </w:tr>
      <w:tr w14:paraId="4C89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tcBorders>
              <w:bottom w:val="single" w:color="auto" w:sz="4" w:space="0"/>
            </w:tcBorders>
            <w:vAlign w:val="center"/>
          </w:tcPr>
          <w:p w14:paraId="15F26EE8">
            <w:pPr>
              <w:adjustRightInd w:val="0"/>
              <w:snapToGrid w:val="0"/>
              <w:spacing w:line="360" w:lineRule="auto"/>
              <w:ind w:right="-1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w:t>
            </w:r>
          </w:p>
        </w:tc>
        <w:tc>
          <w:tcPr>
            <w:tcW w:w="907" w:type="pct"/>
            <w:tcBorders>
              <w:bottom w:val="single" w:color="auto" w:sz="4" w:space="0"/>
            </w:tcBorders>
            <w:vAlign w:val="center"/>
          </w:tcPr>
          <w:p w14:paraId="27BC488E">
            <w:pPr>
              <w:spacing w:after="50" w:line="360" w:lineRule="auto"/>
              <w:ind w:right="-10"/>
              <w:rPr>
                <w:rFonts w:hint="eastAsia" w:ascii="仿宋" w:hAnsi="仿宋" w:eastAsia="仿宋" w:cs="仿宋"/>
                <w:color w:val="auto"/>
                <w:sz w:val="24"/>
                <w:szCs w:val="24"/>
                <w:highlight w:val="none"/>
              </w:rPr>
            </w:pPr>
            <w:r>
              <w:rPr>
                <w:rFonts w:hint="eastAsia" w:ascii="仿宋" w:hAnsi="仿宋" w:eastAsia="仿宋" w:cs="仿宋"/>
                <w:color w:val="auto"/>
                <w:spacing w:val="10"/>
                <w:sz w:val="24"/>
                <w:szCs w:val="24"/>
                <w:highlight w:val="none"/>
              </w:rPr>
              <w:t>其它落实政府采</w:t>
            </w:r>
            <w:r>
              <w:rPr>
                <w:rFonts w:hint="eastAsia" w:ascii="仿宋" w:hAnsi="仿宋" w:eastAsia="仿宋" w:cs="仿宋"/>
                <w:color w:val="auto"/>
                <w:spacing w:val="11"/>
                <w:sz w:val="24"/>
                <w:szCs w:val="24"/>
                <w:highlight w:val="none"/>
              </w:rPr>
              <w:t>购政策的资格要</w:t>
            </w:r>
            <w:r>
              <w:rPr>
                <w:rFonts w:hint="eastAsia" w:ascii="仿宋" w:hAnsi="仿宋" w:eastAsia="仿宋" w:cs="仿宋"/>
                <w:color w:val="auto"/>
                <w:sz w:val="24"/>
                <w:szCs w:val="24"/>
                <w:highlight w:val="none"/>
              </w:rPr>
              <w:t>求</w:t>
            </w:r>
          </w:p>
        </w:tc>
        <w:tc>
          <w:tcPr>
            <w:tcW w:w="2508" w:type="pct"/>
            <w:tcBorders>
              <w:bottom w:val="single" w:color="auto" w:sz="4" w:space="0"/>
            </w:tcBorders>
            <w:vAlign w:val="center"/>
          </w:tcPr>
          <w:p w14:paraId="51A1E180">
            <w:pPr>
              <w:spacing w:after="50" w:line="360" w:lineRule="auto"/>
              <w:ind w:right="-10"/>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如有，见第一章《投标邀请》</w:t>
            </w:r>
          </w:p>
        </w:tc>
        <w:tc>
          <w:tcPr>
            <w:tcW w:w="1220" w:type="pct"/>
            <w:tcBorders>
              <w:bottom w:val="single" w:color="auto" w:sz="4" w:space="0"/>
            </w:tcBorders>
            <w:vAlign w:val="center"/>
          </w:tcPr>
          <w:p w14:paraId="746A861A">
            <w:pPr>
              <w:spacing w:after="50" w:line="360" w:lineRule="auto"/>
              <w:ind w:right="-1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提供材料扫描件或电子证照，应完整的体现出材料或电子证照全部内容。</w:t>
            </w:r>
          </w:p>
        </w:tc>
      </w:tr>
      <w:tr w14:paraId="37E4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vAlign w:val="center"/>
          </w:tcPr>
          <w:p w14:paraId="1C1D73BC">
            <w:pPr>
              <w:adjustRightInd w:val="0"/>
              <w:snapToGrid w:val="0"/>
              <w:spacing w:line="360" w:lineRule="auto"/>
              <w:ind w:right="-1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5</w:t>
            </w:r>
          </w:p>
        </w:tc>
        <w:tc>
          <w:tcPr>
            <w:tcW w:w="907" w:type="pct"/>
            <w:vAlign w:val="center"/>
          </w:tcPr>
          <w:p w14:paraId="178C959C">
            <w:pPr>
              <w:spacing w:after="50" w:line="360" w:lineRule="auto"/>
              <w:ind w:right="-10"/>
              <w:rPr>
                <w:rFonts w:hint="eastAsia" w:ascii="仿宋" w:hAnsi="仿宋" w:eastAsia="仿宋" w:cs="仿宋"/>
                <w:color w:val="auto"/>
                <w:spacing w:val="10"/>
                <w:sz w:val="24"/>
                <w:szCs w:val="24"/>
                <w:highlight w:val="none"/>
              </w:rPr>
            </w:pPr>
            <w:r>
              <w:rPr>
                <w:rFonts w:hint="eastAsia" w:ascii="仿宋" w:hAnsi="仿宋" w:eastAsia="仿宋" w:cs="仿宋"/>
                <w:color w:val="auto"/>
                <w:spacing w:val="10"/>
                <w:sz w:val="24"/>
                <w:szCs w:val="24"/>
                <w:highlight w:val="none"/>
              </w:rPr>
              <w:t>本项目的特定资格要求</w:t>
            </w:r>
          </w:p>
        </w:tc>
        <w:tc>
          <w:tcPr>
            <w:tcW w:w="2508" w:type="pct"/>
            <w:vAlign w:val="center"/>
          </w:tcPr>
          <w:p w14:paraId="7F76DEC1">
            <w:pPr>
              <w:spacing w:after="50" w:line="360" w:lineRule="auto"/>
              <w:ind w:right="-10"/>
              <w:rPr>
                <w:rFonts w:hint="eastAsia" w:ascii="仿宋" w:hAnsi="仿宋" w:eastAsia="仿宋" w:cs="仿宋"/>
                <w:color w:val="auto"/>
                <w:spacing w:val="10"/>
                <w:sz w:val="24"/>
                <w:szCs w:val="24"/>
                <w:highlight w:val="none"/>
              </w:rPr>
            </w:pPr>
            <w:r>
              <w:rPr>
                <w:rFonts w:hint="eastAsia" w:ascii="仿宋" w:hAnsi="仿宋" w:eastAsia="仿宋" w:cs="仿宋"/>
                <w:color w:val="auto"/>
                <w:spacing w:val="10"/>
                <w:sz w:val="24"/>
                <w:szCs w:val="24"/>
                <w:highlight w:val="none"/>
              </w:rPr>
              <w:t>如有，见第一章《投标邀请》</w:t>
            </w:r>
          </w:p>
        </w:tc>
        <w:tc>
          <w:tcPr>
            <w:tcW w:w="1220" w:type="pct"/>
            <w:vAlign w:val="center"/>
          </w:tcPr>
          <w:p w14:paraId="61C5EBD8">
            <w:pPr>
              <w:spacing w:after="50" w:line="360" w:lineRule="auto"/>
              <w:ind w:right="-10"/>
              <w:rPr>
                <w:rFonts w:hint="eastAsia" w:ascii="仿宋" w:hAnsi="仿宋" w:eastAsia="仿宋" w:cs="仿宋"/>
                <w:color w:val="auto"/>
                <w:spacing w:val="10"/>
                <w:sz w:val="24"/>
                <w:szCs w:val="24"/>
                <w:highlight w:val="none"/>
              </w:rPr>
            </w:pPr>
            <w:r>
              <w:rPr>
                <w:rFonts w:hint="eastAsia" w:ascii="仿宋" w:hAnsi="仿宋" w:eastAsia="仿宋" w:cs="仿宋"/>
                <w:color w:val="auto"/>
                <w:sz w:val="24"/>
                <w:szCs w:val="24"/>
                <w:highlight w:val="none"/>
              </w:rPr>
              <w:t>提供材料扫描件或电子证照，应完整的体现出材料或电子证照全部内容。</w:t>
            </w:r>
          </w:p>
        </w:tc>
      </w:tr>
      <w:tr w14:paraId="0943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vAlign w:val="center"/>
          </w:tcPr>
          <w:p w14:paraId="3153F21C">
            <w:pPr>
              <w:adjustRightInd w:val="0"/>
              <w:snapToGrid w:val="0"/>
              <w:spacing w:line="360" w:lineRule="auto"/>
              <w:ind w:right="-1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6</w:t>
            </w:r>
          </w:p>
        </w:tc>
        <w:tc>
          <w:tcPr>
            <w:tcW w:w="907" w:type="pct"/>
            <w:shd w:val="clear" w:color="auto" w:fill="auto"/>
            <w:vAlign w:val="center"/>
          </w:tcPr>
          <w:p w14:paraId="5E3582A4">
            <w:pPr>
              <w:wordWrap w:val="0"/>
              <w:spacing w:after="50" w:line="360" w:lineRule="auto"/>
              <w:ind w:right="-10"/>
              <w:jc w:val="center"/>
              <w:rPr>
                <w:rFonts w:hint="eastAsia" w:ascii="仿宋" w:hAnsi="仿宋" w:eastAsia="仿宋" w:cs="仿宋"/>
                <w:color w:val="auto"/>
                <w:spacing w:val="10"/>
                <w:sz w:val="24"/>
                <w:szCs w:val="24"/>
                <w:highlight w:val="none"/>
              </w:rPr>
            </w:pPr>
            <w:r>
              <w:rPr>
                <w:rFonts w:hint="eastAsia" w:ascii="仿宋" w:hAnsi="仿宋" w:eastAsia="仿宋" w:cs="仿宋"/>
                <w:color w:val="auto"/>
                <w:sz w:val="24"/>
                <w:szCs w:val="24"/>
                <w:highlight w:val="none"/>
              </w:rPr>
              <w:t>诚信投标承诺书</w:t>
            </w:r>
          </w:p>
        </w:tc>
        <w:tc>
          <w:tcPr>
            <w:tcW w:w="2508" w:type="pct"/>
            <w:shd w:val="clear" w:color="auto" w:fill="auto"/>
            <w:vAlign w:val="center"/>
          </w:tcPr>
          <w:p w14:paraId="50FA9579">
            <w:pPr>
              <w:wordWrap w:val="0"/>
              <w:spacing w:after="50" w:line="360" w:lineRule="auto"/>
              <w:ind w:right="-10"/>
              <w:rPr>
                <w:rFonts w:hint="eastAsia" w:ascii="仿宋" w:hAnsi="仿宋" w:eastAsia="仿宋" w:cs="仿宋"/>
                <w:color w:val="auto"/>
                <w:spacing w:val="10"/>
                <w:sz w:val="24"/>
                <w:szCs w:val="24"/>
                <w:highlight w:val="none"/>
              </w:rPr>
            </w:pPr>
            <w:r>
              <w:rPr>
                <w:rFonts w:hint="eastAsia" w:ascii="仿宋" w:hAnsi="仿宋" w:eastAsia="仿宋" w:cs="仿宋"/>
                <w:color w:val="auto"/>
                <w:sz w:val="24"/>
                <w:szCs w:val="24"/>
                <w:highlight w:val="none"/>
              </w:rPr>
              <w:t>格式、填写要求符合招标文件规定并加盖投标人电子签章</w:t>
            </w:r>
          </w:p>
        </w:tc>
        <w:tc>
          <w:tcPr>
            <w:tcW w:w="1220" w:type="pct"/>
            <w:shd w:val="clear" w:color="auto" w:fill="auto"/>
            <w:vAlign w:val="center"/>
          </w:tcPr>
          <w:p w14:paraId="5050DDAF">
            <w:pPr>
              <w:wordWrap w:val="0"/>
              <w:spacing w:after="50" w:line="360" w:lineRule="auto"/>
              <w:ind w:right="-1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详见第六章投标文件格式。</w:t>
            </w:r>
          </w:p>
        </w:tc>
      </w:tr>
      <w:tr w14:paraId="3290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vAlign w:val="center"/>
          </w:tcPr>
          <w:p w14:paraId="654AC623">
            <w:pPr>
              <w:adjustRightInd w:val="0"/>
              <w:snapToGrid w:val="0"/>
              <w:spacing w:line="360" w:lineRule="auto"/>
              <w:ind w:right="-1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w:t>
            </w:r>
          </w:p>
        </w:tc>
        <w:tc>
          <w:tcPr>
            <w:tcW w:w="907" w:type="pct"/>
            <w:shd w:val="clear" w:color="auto" w:fill="auto"/>
            <w:vAlign w:val="center"/>
          </w:tcPr>
          <w:p w14:paraId="616A9902">
            <w:pPr>
              <w:wordWrap w:val="0"/>
              <w:spacing w:after="50" w:line="360" w:lineRule="auto"/>
              <w:ind w:right="-1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服务承诺书</w:t>
            </w:r>
          </w:p>
        </w:tc>
        <w:tc>
          <w:tcPr>
            <w:tcW w:w="2508" w:type="pct"/>
            <w:shd w:val="clear" w:color="auto" w:fill="auto"/>
            <w:vAlign w:val="center"/>
          </w:tcPr>
          <w:p w14:paraId="7B6166AE">
            <w:pPr>
              <w:wordWrap w:val="0"/>
              <w:spacing w:after="50" w:line="360" w:lineRule="auto"/>
              <w:ind w:right="-10" w:right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格式、填写要求符合招标文件规定并加盖投标人电子签章</w:t>
            </w:r>
          </w:p>
        </w:tc>
        <w:tc>
          <w:tcPr>
            <w:tcW w:w="1220" w:type="pct"/>
            <w:shd w:val="clear" w:color="auto" w:fill="auto"/>
            <w:vAlign w:val="center"/>
          </w:tcPr>
          <w:p w14:paraId="33048C88">
            <w:pPr>
              <w:wordWrap w:val="0"/>
              <w:spacing w:after="50" w:line="360" w:lineRule="auto"/>
              <w:ind w:right="-1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详见第六章投标文件格式。</w:t>
            </w:r>
          </w:p>
        </w:tc>
      </w:tr>
    </w:tbl>
    <w:p w14:paraId="37FC6C18">
      <w:pPr>
        <w:spacing w:line="360" w:lineRule="auto"/>
        <w:ind w:firstLine="435"/>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资格审查指标通过标准：</w:t>
      </w:r>
      <w:r>
        <w:rPr>
          <w:rFonts w:hint="eastAsia" w:ascii="仿宋" w:hAnsi="仿宋" w:eastAsia="仿宋" w:cs="仿宋"/>
          <w:color w:val="auto"/>
          <w:sz w:val="24"/>
          <w:highlight w:val="none"/>
        </w:rPr>
        <w:t>投标人必须通过资格审查表中的全部评审指标。</w:t>
      </w:r>
    </w:p>
    <w:p w14:paraId="2D0228F3">
      <w:pPr>
        <w:spacing w:line="360" w:lineRule="auto"/>
        <w:ind w:firstLine="437"/>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2.2符合性审查</w:t>
      </w:r>
    </w:p>
    <w:p w14:paraId="25842B5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评标委员会对通过资格审查的投标人的投标文件进行符合性审查，以确定其是否满足招标文件的实质性要求。符合性审查表如下：</w:t>
      </w:r>
    </w:p>
    <w:tbl>
      <w:tblPr>
        <w:tblStyle w:val="27"/>
        <w:tblW w:w="55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1792"/>
        <w:gridCol w:w="4425"/>
        <w:gridCol w:w="3300"/>
      </w:tblGrid>
      <w:tr w14:paraId="4F1A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000" w:type="pct"/>
            <w:gridSpan w:val="4"/>
            <w:tcBorders>
              <w:bottom w:val="single" w:color="auto" w:sz="4" w:space="0"/>
            </w:tcBorders>
            <w:vAlign w:val="center"/>
          </w:tcPr>
          <w:p w14:paraId="22A678DB">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符合性审查表</w:t>
            </w:r>
          </w:p>
        </w:tc>
      </w:tr>
      <w:tr w14:paraId="232E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48" w:type="pct"/>
            <w:tcBorders>
              <w:bottom w:val="single" w:color="auto" w:sz="4" w:space="0"/>
            </w:tcBorders>
            <w:vAlign w:val="center"/>
          </w:tcPr>
          <w:p w14:paraId="7D869127">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76" w:type="pct"/>
            <w:tcBorders>
              <w:bottom w:val="single" w:color="auto" w:sz="4" w:space="0"/>
            </w:tcBorders>
            <w:vAlign w:val="center"/>
          </w:tcPr>
          <w:p w14:paraId="58BD479C">
            <w:pPr>
              <w:pStyle w:val="4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440" w:lineRule="exact"/>
              <w:ind w:right="-11"/>
              <w:textAlignment w:val="auto"/>
              <w:rPr>
                <w:rFonts w:hint="eastAsia" w:ascii="仿宋" w:hAnsi="仿宋" w:eastAsia="仿宋" w:cs="仿宋"/>
                <w:color w:val="auto"/>
                <w:kern w:val="2"/>
                <w:highlight w:val="none"/>
              </w:rPr>
            </w:pPr>
            <w:r>
              <w:rPr>
                <w:rFonts w:hint="eastAsia" w:ascii="仿宋" w:hAnsi="仿宋" w:eastAsia="仿宋" w:cs="仿宋"/>
                <w:color w:val="auto"/>
                <w:kern w:val="2"/>
                <w:highlight w:val="none"/>
              </w:rPr>
              <w:t>审查指标</w:t>
            </w:r>
          </w:p>
        </w:tc>
        <w:tc>
          <w:tcPr>
            <w:tcW w:w="2163" w:type="pct"/>
            <w:tcBorders>
              <w:bottom w:val="single" w:color="auto" w:sz="4" w:space="0"/>
            </w:tcBorders>
            <w:vAlign w:val="center"/>
          </w:tcPr>
          <w:p w14:paraId="41C5C0F4">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审查标准</w:t>
            </w:r>
          </w:p>
        </w:tc>
        <w:tc>
          <w:tcPr>
            <w:tcW w:w="1611" w:type="pct"/>
            <w:tcBorders>
              <w:bottom w:val="single" w:color="auto" w:sz="4" w:space="0"/>
            </w:tcBorders>
            <w:vAlign w:val="center"/>
          </w:tcPr>
          <w:p w14:paraId="37B0FD8E">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格式要求</w:t>
            </w:r>
          </w:p>
        </w:tc>
      </w:tr>
      <w:tr w14:paraId="2067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 w:type="pct"/>
            <w:vAlign w:val="center"/>
          </w:tcPr>
          <w:p w14:paraId="16C135B6">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76" w:type="pct"/>
            <w:vAlign w:val="center"/>
          </w:tcPr>
          <w:p w14:paraId="233F5101">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highlight w:val="none"/>
              </w:rPr>
              <w:t>开标一览表</w:t>
            </w:r>
          </w:p>
        </w:tc>
        <w:tc>
          <w:tcPr>
            <w:tcW w:w="2163" w:type="pct"/>
            <w:vAlign w:val="center"/>
          </w:tcPr>
          <w:p w14:paraId="5C316CAB">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格式、填写要求符合招标文件规定并加盖投标人电子签章</w:t>
            </w:r>
          </w:p>
        </w:tc>
        <w:tc>
          <w:tcPr>
            <w:tcW w:w="1611" w:type="pct"/>
            <w:vAlign w:val="center"/>
          </w:tcPr>
          <w:p w14:paraId="2BC556E0">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详见第六章投标文件格式。</w:t>
            </w:r>
          </w:p>
        </w:tc>
      </w:tr>
      <w:tr w14:paraId="2EA7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 w:type="pct"/>
            <w:vAlign w:val="center"/>
          </w:tcPr>
          <w:p w14:paraId="21C628A7">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76" w:type="pct"/>
            <w:vAlign w:val="center"/>
          </w:tcPr>
          <w:p w14:paraId="485C0896">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投标函</w:t>
            </w:r>
          </w:p>
        </w:tc>
        <w:tc>
          <w:tcPr>
            <w:tcW w:w="2163" w:type="pct"/>
            <w:vAlign w:val="center"/>
          </w:tcPr>
          <w:p w14:paraId="2F591B08">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格式、填写要求符合招标文件规定并加盖投标人电子签章</w:t>
            </w:r>
          </w:p>
        </w:tc>
        <w:tc>
          <w:tcPr>
            <w:tcW w:w="1611" w:type="pct"/>
            <w:vAlign w:val="center"/>
          </w:tcPr>
          <w:p w14:paraId="68C67FDD">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详见第六章投标文件格式。</w:t>
            </w:r>
          </w:p>
        </w:tc>
      </w:tr>
      <w:tr w14:paraId="5DBF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 w:type="pct"/>
            <w:vAlign w:val="center"/>
          </w:tcPr>
          <w:p w14:paraId="46A4C169">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76" w:type="pct"/>
            <w:vAlign w:val="center"/>
          </w:tcPr>
          <w:p w14:paraId="5BB83809">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授权书</w:t>
            </w:r>
          </w:p>
        </w:tc>
        <w:tc>
          <w:tcPr>
            <w:tcW w:w="2163" w:type="pct"/>
            <w:vAlign w:val="center"/>
          </w:tcPr>
          <w:p w14:paraId="2AB54FE9">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格式、填写要求符合招标文件规定并加盖投标人电子签章</w:t>
            </w:r>
          </w:p>
        </w:tc>
        <w:tc>
          <w:tcPr>
            <w:tcW w:w="1611" w:type="pct"/>
            <w:vAlign w:val="center"/>
          </w:tcPr>
          <w:p w14:paraId="3095C279">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法定代表人参加投标的无需此件，提供身份证明即可。详见第六章投标文件格式。</w:t>
            </w:r>
          </w:p>
        </w:tc>
      </w:tr>
      <w:tr w14:paraId="7B94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 w:type="pct"/>
            <w:vAlign w:val="center"/>
          </w:tcPr>
          <w:p w14:paraId="624AE1DC">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76" w:type="pct"/>
            <w:vAlign w:val="center"/>
          </w:tcPr>
          <w:p w14:paraId="324951D0">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投标报价</w:t>
            </w:r>
          </w:p>
        </w:tc>
        <w:tc>
          <w:tcPr>
            <w:tcW w:w="2163" w:type="pct"/>
            <w:vAlign w:val="center"/>
          </w:tcPr>
          <w:p w14:paraId="7E123164">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符合</w:t>
            </w:r>
            <w:r>
              <w:rPr>
                <w:rFonts w:hint="eastAsia" w:ascii="仿宋" w:hAnsi="仿宋" w:eastAsia="仿宋" w:cs="仿宋"/>
                <w:color w:val="auto"/>
                <w:sz w:val="24"/>
                <w:highlight w:val="none"/>
              </w:rPr>
              <w:t>招标文件投标人须知正文第9条要求</w:t>
            </w:r>
          </w:p>
        </w:tc>
        <w:tc>
          <w:tcPr>
            <w:tcW w:w="1611" w:type="pct"/>
            <w:vAlign w:val="center"/>
          </w:tcPr>
          <w:p w14:paraId="45825FDF">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详见第六章投标文件格式。</w:t>
            </w:r>
          </w:p>
        </w:tc>
      </w:tr>
      <w:tr w14:paraId="1CC7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 w:type="pct"/>
            <w:vAlign w:val="center"/>
          </w:tcPr>
          <w:p w14:paraId="47709FDF">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76" w:type="pct"/>
            <w:vAlign w:val="center"/>
          </w:tcPr>
          <w:p w14:paraId="54E78307">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商务响应情况</w:t>
            </w:r>
          </w:p>
        </w:tc>
        <w:tc>
          <w:tcPr>
            <w:tcW w:w="2163" w:type="pct"/>
            <w:vAlign w:val="center"/>
          </w:tcPr>
          <w:p w14:paraId="54E357D0">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符合招标文件采购需求中对付款方式、供货及安装期限、供货及安装地点、免费质保期等实质性要求</w:t>
            </w:r>
          </w:p>
        </w:tc>
        <w:tc>
          <w:tcPr>
            <w:tcW w:w="1611" w:type="pct"/>
            <w:vAlign w:val="center"/>
          </w:tcPr>
          <w:p w14:paraId="26B2EF1B">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详见第六章投标文件格式。</w:t>
            </w:r>
          </w:p>
        </w:tc>
      </w:tr>
      <w:tr w14:paraId="7D6F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 w:type="pct"/>
            <w:vAlign w:val="center"/>
          </w:tcPr>
          <w:p w14:paraId="69DB103D">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76" w:type="pct"/>
            <w:vAlign w:val="center"/>
          </w:tcPr>
          <w:p w14:paraId="610CBF0D">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技术响应情况</w:t>
            </w:r>
          </w:p>
        </w:tc>
        <w:tc>
          <w:tcPr>
            <w:tcW w:w="2163" w:type="pct"/>
            <w:vAlign w:val="center"/>
          </w:tcPr>
          <w:p w14:paraId="6F2FD506">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符合招标文件采购需求中货物技术参数等实质性要求</w:t>
            </w:r>
          </w:p>
        </w:tc>
        <w:tc>
          <w:tcPr>
            <w:tcW w:w="1611" w:type="pct"/>
            <w:vAlign w:val="center"/>
          </w:tcPr>
          <w:p w14:paraId="44B19534">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详见第六章投标文件格式。</w:t>
            </w:r>
          </w:p>
        </w:tc>
      </w:tr>
      <w:tr w14:paraId="1473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 w:type="pct"/>
            <w:vAlign w:val="center"/>
          </w:tcPr>
          <w:p w14:paraId="58A5578E">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76" w:type="pct"/>
            <w:vAlign w:val="center"/>
          </w:tcPr>
          <w:p w14:paraId="045A268F">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其他要求</w:t>
            </w:r>
          </w:p>
        </w:tc>
        <w:tc>
          <w:tcPr>
            <w:tcW w:w="2163" w:type="pct"/>
            <w:vAlign w:val="center"/>
          </w:tcPr>
          <w:p w14:paraId="29744E7B">
            <w:pPr>
              <w:keepNext w:val="0"/>
              <w:keepLines w:val="0"/>
              <w:pageBreakBefore w:val="0"/>
              <w:widowControl w:val="0"/>
              <w:kinsoku/>
              <w:wordWrap/>
              <w:overflowPunct/>
              <w:topLinePunct w:val="0"/>
              <w:autoSpaceDE/>
              <w:autoSpaceDN/>
              <w:bidi w:val="0"/>
              <w:spacing w:after="50" w:line="440" w:lineRule="exact"/>
              <w:ind w:right="-11"/>
              <w:jc w:val="center"/>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符合法律、行政法规规定的其他条件或招标文件列明的其他实质性要求</w:t>
            </w:r>
          </w:p>
        </w:tc>
        <w:tc>
          <w:tcPr>
            <w:tcW w:w="1611" w:type="pct"/>
            <w:vAlign w:val="center"/>
          </w:tcPr>
          <w:p w14:paraId="6BC64EF7">
            <w:pPr>
              <w:keepNext w:val="0"/>
              <w:keepLines w:val="0"/>
              <w:pageBreakBefore w:val="0"/>
              <w:widowControl w:val="0"/>
              <w:kinsoku/>
              <w:wordWrap/>
              <w:overflowPunct/>
              <w:topLinePunct w:val="0"/>
              <w:autoSpaceDE/>
              <w:autoSpaceDN/>
              <w:bidi w:val="0"/>
              <w:adjustRightInd w:val="0"/>
              <w:snapToGrid w:val="0"/>
              <w:spacing w:line="440" w:lineRule="exact"/>
              <w:ind w:right="-11"/>
              <w:jc w:val="center"/>
              <w:textAlignment w:val="auto"/>
              <w:rPr>
                <w:rFonts w:hint="eastAsia" w:ascii="仿宋" w:hAnsi="仿宋" w:eastAsia="仿宋" w:cs="仿宋"/>
                <w:color w:val="auto"/>
                <w:sz w:val="24"/>
                <w:highlight w:val="none"/>
              </w:rPr>
            </w:pPr>
          </w:p>
        </w:tc>
      </w:tr>
    </w:tbl>
    <w:p w14:paraId="79B8E440">
      <w:pPr>
        <w:spacing w:line="360" w:lineRule="auto"/>
        <w:ind w:firstLine="435"/>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符合性审查指标通过标准：</w:t>
      </w:r>
      <w:r>
        <w:rPr>
          <w:rFonts w:hint="eastAsia" w:ascii="仿宋" w:hAnsi="仿宋" w:eastAsia="仿宋" w:cs="仿宋"/>
          <w:color w:val="auto"/>
          <w:sz w:val="24"/>
          <w:highlight w:val="none"/>
        </w:rPr>
        <w:t>投标人必须通过符合性审查表中的全部评审指标。</w:t>
      </w:r>
    </w:p>
    <w:p w14:paraId="08C6BA11">
      <w:pPr>
        <w:spacing w:line="360" w:lineRule="auto"/>
        <w:ind w:firstLine="435"/>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2.3异常低价投标审查</w:t>
      </w:r>
    </w:p>
    <w:tbl>
      <w:tblPr>
        <w:tblStyle w:val="27"/>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580"/>
        <w:gridCol w:w="4838"/>
        <w:gridCol w:w="2463"/>
      </w:tblGrid>
      <w:tr w14:paraId="6863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218BAE8D">
            <w:pPr>
              <w:adjustRightInd w:val="0"/>
              <w:snapToGrid w:val="0"/>
              <w:spacing w:line="360" w:lineRule="auto"/>
              <w:ind w:right="-10"/>
              <w:jc w:val="cente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异常低价投标审查表</w:t>
            </w:r>
          </w:p>
        </w:tc>
      </w:tr>
      <w:tr w14:paraId="4AF9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6BED384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450" w:type="dxa"/>
            <w:tcBorders>
              <w:bottom w:val="single" w:color="auto" w:sz="4" w:space="0"/>
            </w:tcBorders>
            <w:vAlign w:val="center"/>
          </w:tcPr>
          <w:p w14:paraId="5333CC4D">
            <w:pPr>
              <w:spacing w:line="360" w:lineRule="auto"/>
              <w:ind w:firstLine="240" w:firstLineChars="100"/>
              <w:jc w:val="center"/>
              <w:rPr>
                <w:rFonts w:hint="eastAsia" w:ascii="仿宋" w:hAnsi="仿宋" w:eastAsia="仿宋" w:cs="仿宋"/>
                <w:color w:val="auto"/>
                <w:szCs w:val="24"/>
                <w:highlight w:val="none"/>
              </w:rPr>
            </w:pPr>
            <w:r>
              <w:rPr>
                <w:rFonts w:hint="eastAsia" w:ascii="仿宋" w:hAnsi="仿宋" w:eastAsia="仿宋" w:cs="仿宋"/>
                <w:color w:val="auto"/>
                <w:sz w:val="24"/>
                <w:highlight w:val="none"/>
              </w:rPr>
              <w:t>评审指标</w:t>
            </w:r>
          </w:p>
        </w:tc>
        <w:tc>
          <w:tcPr>
            <w:tcW w:w="4439" w:type="dxa"/>
            <w:tcBorders>
              <w:bottom w:val="single" w:color="auto" w:sz="4" w:space="0"/>
            </w:tcBorders>
            <w:vAlign w:val="center"/>
          </w:tcPr>
          <w:p w14:paraId="2547FD45">
            <w:pPr>
              <w:spacing w:line="360" w:lineRule="auto"/>
              <w:ind w:firstLine="240" w:firstLineChars="1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评审标准</w:t>
            </w:r>
          </w:p>
        </w:tc>
        <w:tc>
          <w:tcPr>
            <w:tcW w:w="2260" w:type="dxa"/>
            <w:tcBorders>
              <w:bottom w:val="single" w:color="auto" w:sz="4" w:space="0"/>
            </w:tcBorders>
            <w:vAlign w:val="center"/>
          </w:tcPr>
          <w:p w14:paraId="5BFE0B1B">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格式及材料要求</w:t>
            </w:r>
          </w:p>
        </w:tc>
      </w:tr>
      <w:tr w14:paraId="209F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708B99A1">
            <w:pPr>
              <w:spacing w:line="360" w:lineRule="auto"/>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50" w:type="dxa"/>
            <w:tcBorders>
              <w:bottom w:val="single" w:color="auto" w:sz="4" w:space="0"/>
            </w:tcBorders>
            <w:vAlign w:val="center"/>
          </w:tcPr>
          <w:p w14:paraId="1EC4C581">
            <w:pPr>
              <w:spacing w:line="360" w:lineRule="auto"/>
              <w:rPr>
                <w:rFonts w:hint="eastAsia" w:ascii="仿宋" w:hAnsi="仿宋" w:eastAsia="仿宋" w:cs="仿宋"/>
                <w:color w:val="auto"/>
                <w:sz w:val="24"/>
                <w:szCs w:val="28"/>
                <w:highlight w:val="none"/>
              </w:rPr>
            </w:pPr>
            <w:r>
              <w:rPr>
                <w:rFonts w:hint="eastAsia" w:ascii="仿宋" w:hAnsi="仿宋" w:eastAsia="仿宋" w:cs="仿宋"/>
                <w:color w:val="auto"/>
                <w:sz w:val="24"/>
                <w:highlight w:val="none"/>
              </w:rPr>
              <w:t>异常低价投标审查</w:t>
            </w:r>
          </w:p>
        </w:tc>
        <w:tc>
          <w:tcPr>
            <w:tcW w:w="4439" w:type="dxa"/>
            <w:tcBorders>
              <w:bottom w:val="single" w:color="auto" w:sz="4" w:space="0"/>
            </w:tcBorders>
            <w:vAlign w:val="center"/>
          </w:tcPr>
          <w:p w14:paraId="40C574C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（1）投标报价＜全部通过符合性审查投标人投标报价平均值×</w:t>
            </w:r>
            <w:r>
              <w:rPr>
                <w:rFonts w:hint="eastAsia" w:ascii="仿宋" w:hAnsi="仿宋" w:eastAsia="仿宋" w:cs="仿宋"/>
                <w:color w:val="auto"/>
                <w:sz w:val="24"/>
                <w:highlight w:val="none"/>
                <w:lang w:val="en-US" w:eastAsia="zh-CN"/>
              </w:rPr>
              <w:t>65</w:t>
            </w:r>
            <w:r>
              <w:rPr>
                <w:rFonts w:hint="eastAsia" w:ascii="仿宋" w:hAnsi="仿宋" w:eastAsia="仿宋" w:cs="仿宋"/>
                <w:color w:val="auto"/>
                <w:sz w:val="24"/>
                <w:highlight w:val="none"/>
              </w:rPr>
              <w:t>%；</w:t>
            </w:r>
          </w:p>
          <w:p w14:paraId="15A9A0B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（2）投标报价＜通过符合性审查的次低报价投标人投标报价×</w:t>
            </w:r>
            <w:r>
              <w:rPr>
                <w:rFonts w:hint="eastAsia" w:ascii="仿宋" w:hAnsi="仿宋" w:eastAsia="仿宋" w:cs="仿宋"/>
                <w:color w:val="auto"/>
                <w:sz w:val="24"/>
                <w:highlight w:val="none"/>
                <w:lang w:val="en-US" w:eastAsia="zh-CN"/>
              </w:rPr>
              <w:t>65</w:t>
            </w:r>
            <w:r>
              <w:rPr>
                <w:rFonts w:hint="eastAsia" w:ascii="仿宋" w:hAnsi="仿宋" w:eastAsia="仿宋" w:cs="仿宋"/>
                <w:color w:val="auto"/>
                <w:sz w:val="24"/>
                <w:highlight w:val="none"/>
              </w:rPr>
              <w:t>%；</w:t>
            </w:r>
          </w:p>
          <w:p w14:paraId="65972F2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（3）投标报价＜采购项目最高限价（如采购项目未设定最高限价的，以采购项目预算金额作为最高限价）×</w:t>
            </w:r>
            <w:r>
              <w:rPr>
                <w:rFonts w:hint="eastAsia" w:ascii="仿宋" w:hAnsi="仿宋" w:eastAsia="仿宋" w:cs="仿宋"/>
                <w:color w:val="auto"/>
                <w:sz w:val="24"/>
                <w:highlight w:val="none"/>
                <w:lang w:val="en-US" w:eastAsia="zh-CN"/>
              </w:rPr>
              <w:t>65</w:t>
            </w:r>
            <w:r>
              <w:rPr>
                <w:rFonts w:hint="eastAsia" w:ascii="仿宋" w:hAnsi="仿宋" w:eastAsia="仿宋" w:cs="仿宋"/>
                <w:color w:val="auto"/>
                <w:sz w:val="24"/>
                <w:highlight w:val="none"/>
              </w:rPr>
              <w:t>%；</w:t>
            </w:r>
          </w:p>
          <w:p w14:paraId="35515976">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（4）评标委员会基于专业判断，认为投标人报价过低，有可能影响产品质量或者不能诚信履约的其他情形。</w:t>
            </w:r>
          </w:p>
          <w:p w14:paraId="0868557C">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提醒：</w:t>
            </w:r>
          </w:p>
          <w:p w14:paraId="5531FDF3">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lang w:val="en-US" w:eastAsia="zh-CN"/>
              </w:rPr>
              <w:t>上述第（1）项数值计算：涉及总价、单价的精确到“分”并四舍五入，涉及费率的精确到小数点后两位，第三位四舍五入（例：如平均值为123.456元，即为123.46元；如平均值为80.126%，即为80.13%）。</w:t>
            </w:r>
          </w:p>
        </w:tc>
        <w:tc>
          <w:tcPr>
            <w:tcW w:w="2260" w:type="dxa"/>
            <w:vAlign w:val="center"/>
          </w:tcPr>
          <w:p w14:paraId="386C6B6A">
            <w:pPr>
              <w:spacing w:line="360" w:lineRule="auto"/>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投标人在评审现场合理的时间内对投标价格作出解释，提供项目具体成本测算等与报价合理性相关的书面说明及必要的证明材料，包括但不限于原材料成本、人工成本、制造费用等。</w:t>
            </w:r>
          </w:p>
        </w:tc>
      </w:tr>
    </w:tbl>
    <w:p w14:paraId="478602A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4D012C1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根据《关于推进解决政府采购异常低价问题的通知》（财库〔2026〕2号），采购人可以结合具体项目实际情况，提高上述评审标准第（1）项至第（3）项中的数值标准，但是最高不得超过65%。</w:t>
      </w:r>
    </w:p>
    <w:p w14:paraId="2686A1D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3）项情形，投标人已随投标文件一并提交相关书面说明及必要的证明材料的，在评审现场可不再重复提交。</w:t>
      </w:r>
    </w:p>
    <w:p w14:paraId="4B316880">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396EE478">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1C94B16B">
      <w:pPr>
        <w:spacing w:line="360" w:lineRule="auto"/>
        <w:ind w:firstLine="437"/>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2.4详细审查</w:t>
      </w:r>
    </w:p>
    <w:p w14:paraId="2BE7125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2.4.1评标委员会按照下表对投标文件进行详细审查和评分。</w:t>
      </w:r>
    </w:p>
    <w:p w14:paraId="76A0E0A9">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2.4.2本项目综合评分满分为100分，其中：技术资信分值占总分值的权重为</w:t>
      </w:r>
      <w:r>
        <w:rPr>
          <w:rFonts w:hint="eastAsia" w:ascii="仿宋" w:hAnsi="仿宋" w:eastAsia="仿宋" w:cs="仿宋"/>
          <w:color w:val="auto"/>
          <w:sz w:val="24"/>
          <w:highlight w:val="none"/>
          <w:u w:val="single"/>
          <w:lang w:val="en-US" w:eastAsia="zh-CN"/>
        </w:rPr>
        <w:t xml:space="preserve">70 </w:t>
      </w:r>
      <w:r>
        <w:rPr>
          <w:rFonts w:hint="eastAsia" w:ascii="仿宋" w:hAnsi="仿宋" w:eastAsia="仿宋" w:cs="仿宋"/>
          <w:color w:val="auto"/>
          <w:sz w:val="24"/>
          <w:highlight w:val="none"/>
        </w:rPr>
        <w:t>%，价格分值占总分值的权重为</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rPr>
        <w:t>%。具体评分细则如下：</w:t>
      </w:r>
    </w:p>
    <w:tbl>
      <w:tblPr>
        <w:tblStyle w:val="27"/>
        <w:tblW w:w="56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8"/>
        <w:gridCol w:w="1330"/>
        <w:gridCol w:w="6889"/>
        <w:gridCol w:w="826"/>
      </w:tblGrid>
      <w:tr w14:paraId="62FD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61" w:type="pct"/>
            <w:tcBorders>
              <w:top w:val="single" w:color="auto" w:sz="4" w:space="0"/>
              <w:left w:val="single" w:color="auto" w:sz="4" w:space="0"/>
              <w:bottom w:val="single" w:color="auto" w:sz="4" w:space="0"/>
              <w:right w:val="single" w:color="auto" w:sz="4" w:space="0"/>
            </w:tcBorders>
            <w:vAlign w:val="center"/>
          </w:tcPr>
          <w:p w14:paraId="7471B3A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类别</w:t>
            </w:r>
          </w:p>
        </w:tc>
        <w:tc>
          <w:tcPr>
            <w:tcW w:w="638" w:type="pct"/>
            <w:tcBorders>
              <w:top w:val="single" w:color="auto" w:sz="4" w:space="0"/>
              <w:left w:val="single" w:color="auto" w:sz="4" w:space="0"/>
              <w:bottom w:val="single" w:color="auto" w:sz="4" w:space="0"/>
              <w:right w:val="single" w:color="auto" w:sz="4" w:space="0"/>
            </w:tcBorders>
            <w:vAlign w:val="center"/>
          </w:tcPr>
          <w:p w14:paraId="6768E85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评分内容</w:t>
            </w:r>
          </w:p>
        </w:tc>
        <w:tc>
          <w:tcPr>
            <w:tcW w:w="3304" w:type="pct"/>
            <w:tcBorders>
              <w:top w:val="single" w:color="auto" w:sz="4" w:space="0"/>
              <w:left w:val="single" w:color="auto" w:sz="4" w:space="0"/>
              <w:bottom w:val="single" w:color="auto" w:sz="4" w:space="0"/>
              <w:right w:val="single" w:color="auto" w:sz="4" w:space="0"/>
            </w:tcBorders>
            <w:vAlign w:val="center"/>
          </w:tcPr>
          <w:p w14:paraId="6085D0E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评分标准</w:t>
            </w:r>
          </w:p>
        </w:tc>
        <w:tc>
          <w:tcPr>
            <w:tcW w:w="396" w:type="pct"/>
            <w:tcBorders>
              <w:top w:val="single" w:color="auto" w:sz="4" w:space="0"/>
              <w:left w:val="single" w:color="auto" w:sz="4" w:space="0"/>
              <w:bottom w:val="single" w:color="auto" w:sz="4" w:space="0"/>
              <w:right w:val="single" w:color="auto" w:sz="4" w:space="0"/>
            </w:tcBorders>
            <w:vAlign w:val="center"/>
          </w:tcPr>
          <w:p w14:paraId="17048D2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分值范围</w:t>
            </w:r>
          </w:p>
        </w:tc>
      </w:tr>
      <w:tr w14:paraId="2D60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Merge w:val="restart"/>
            <w:tcBorders>
              <w:top w:val="single" w:color="auto" w:sz="4" w:space="0"/>
              <w:left w:val="single" w:color="auto" w:sz="4" w:space="0"/>
              <w:right w:val="single" w:color="auto" w:sz="4" w:space="0"/>
            </w:tcBorders>
            <w:vAlign w:val="center"/>
          </w:tcPr>
          <w:p w14:paraId="2974579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技术资信分（</w:t>
            </w:r>
            <w:r>
              <w:rPr>
                <w:rFonts w:hint="eastAsia" w:ascii="仿宋" w:hAnsi="仿宋" w:eastAsia="仿宋" w:cs="仿宋"/>
                <w:color w:val="auto"/>
                <w:sz w:val="24"/>
                <w:highlight w:val="none"/>
                <w:lang w:val="en-US" w:eastAsia="zh-CN"/>
              </w:rPr>
              <w:t>70</w:t>
            </w:r>
            <w:r>
              <w:rPr>
                <w:rFonts w:hint="eastAsia" w:ascii="仿宋" w:hAnsi="仿宋" w:eastAsia="仿宋" w:cs="仿宋"/>
                <w:color w:val="auto"/>
                <w:sz w:val="24"/>
                <w:highlight w:val="none"/>
              </w:rPr>
              <w:t>分）</w:t>
            </w:r>
          </w:p>
        </w:tc>
        <w:tc>
          <w:tcPr>
            <w:tcW w:w="638" w:type="pct"/>
            <w:tcBorders>
              <w:top w:val="single" w:color="auto" w:sz="4" w:space="0"/>
              <w:left w:val="single" w:color="auto" w:sz="4" w:space="0"/>
              <w:bottom w:val="single" w:color="auto" w:sz="4" w:space="0"/>
              <w:right w:val="single" w:color="auto" w:sz="4" w:space="0"/>
            </w:tcBorders>
            <w:vAlign w:val="center"/>
          </w:tcPr>
          <w:p w14:paraId="68BA09C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投标人业绩</w:t>
            </w:r>
          </w:p>
        </w:tc>
        <w:tc>
          <w:tcPr>
            <w:tcW w:w="3304" w:type="pct"/>
            <w:tcBorders>
              <w:top w:val="single" w:color="auto" w:sz="4" w:space="0"/>
              <w:left w:val="single" w:color="auto" w:sz="4" w:space="0"/>
              <w:bottom w:val="single" w:color="auto" w:sz="4" w:space="0"/>
              <w:right w:val="single" w:color="auto" w:sz="4" w:space="0"/>
            </w:tcBorders>
            <w:vAlign w:val="center"/>
          </w:tcPr>
          <w:p w14:paraId="35AAEB02">
            <w:pPr>
              <w:spacing w:line="360" w:lineRule="auto"/>
              <w:rPr>
                <w:rFonts w:hint="eastAsia" w:ascii="仿宋" w:hAnsi="仿宋" w:eastAsia="仿宋" w:cs="仿宋"/>
                <w:color w:val="auto"/>
                <w:kern w:val="2"/>
                <w:sz w:val="24"/>
                <w:highlight w:val="none"/>
                <w:lang w:val="zh-CN" w:eastAsia="zh-CN" w:bidi="ar-SA"/>
              </w:rPr>
            </w:pPr>
            <w:r>
              <w:rPr>
                <w:rFonts w:hint="eastAsia" w:ascii="仿宋" w:hAnsi="仿宋" w:eastAsia="仿宋" w:cs="仿宋"/>
                <w:color w:val="auto"/>
                <w:kern w:val="2"/>
                <w:sz w:val="24"/>
                <w:highlight w:val="none"/>
                <w:lang w:val="zh-CN" w:eastAsia="zh-CN" w:bidi="ar-SA"/>
              </w:rPr>
              <w:t>（</w:t>
            </w:r>
            <w:r>
              <w:rPr>
                <w:rFonts w:hint="eastAsia" w:ascii="仿宋" w:hAnsi="仿宋" w:eastAsia="仿宋" w:cs="仿宋"/>
                <w:color w:val="auto"/>
                <w:kern w:val="2"/>
                <w:sz w:val="24"/>
                <w:highlight w:val="none"/>
                <w:lang w:val="en-US" w:eastAsia="zh-CN" w:bidi="ar-SA"/>
              </w:rPr>
              <w:t>1</w:t>
            </w:r>
            <w:r>
              <w:rPr>
                <w:rFonts w:hint="eastAsia" w:ascii="仿宋" w:hAnsi="仿宋" w:eastAsia="仿宋" w:cs="仿宋"/>
                <w:color w:val="auto"/>
                <w:kern w:val="2"/>
                <w:sz w:val="24"/>
                <w:highlight w:val="none"/>
                <w:lang w:val="zh-CN" w:eastAsia="zh-CN" w:bidi="ar-SA"/>
              </w:rPr>
              <w:t>）自2023年1月1日至投标截止日，投标人具有垃圾分类设施（分类亭/屋/箱/站/点等）建设类项目业绩的，每提供1个业绩得2分，其他的不得分，满分</w:t>
            </w:r>
            <w:r>
              <w:rPr>
                <w:rFonts w:hint="eastAsia" w:ascii="仿宋" w:hAnsi="仿宋" w:eastAsia="仿宋" w:cs="仿宋"/>
                <w:color w:val="auto"/>
                <w:kern w:val="2"/>
                <w:sz w:val="24"/>
                <w:highlight w:val="none"/>
                <w:lang w:val="en-US" w:eastAsia="zh-CN" w:bidi="ar-SA"/>
              </w:rPr>
              <w:t>2</w:t>
            </w:r>
            <w:r>
              <w:rPr>
                <w:rFonts w:hint="eastAsia" w:ascii="仿宋" w:hAnsi="仿宋" w:eastAsia="仿宋" w:cs="仿宋"/>
                <w:color w:val="auto"/>
                <w:kern w:val="2"/>
                <w:sz w:val="24"/>
                <w:highlight w:val="none"/>
                <w:lang w:val="zh-CN" w:eastAsia="zh-CN" w:bidi="ar-SA"/>
              </w:rPr>
              <w:t>分。</w:t>
            </w:r>
          </w:p>
          <w:p w14:paraId="1D1592AC">
            <w:pPr>
              <w:spacing w:line="360" w:lineRule="auto"/>
              <w:rPr>
                <w:rFonts w:hint="eastAsia" w:ascii="仿宋" w:hAnsi="仿宋" w:eastAsia="仿宋" w:cs="仿宋"/>
                <w:color w:val="auto"/>
                <w:kern w:val="2"/>
                <w:sz w:val="24"/>
                <w:highlight w:val="none"/>
                <w:lang w:val="zh-CN" w:eastAsia="zh-CN" w:bidi="ar-SA"/>
              </w:rPr>
            </w:pPr>
            <w:r>
              <w:rPr>
                <w:rFonts w:hint="eastAsia" w:ascii="仿宋" w:hAnsi="仿宋" w:eastAsia="仿宋" w:cs="仿宋"/>
                <w:color w:val="auto"/>
                <w:kern w:val="2"/>
                <w:sz w:val="24"/>
                <w:highlight w:val="none"/>
                <w:lang w:val="zh-CN" w:eastAsia="zh-CN" w:bidi="ar-SA"/>
              </w:rPr>
              <w:t>（</w:t>
            </w:r>
            <w:r>
              <w:rPr>
                <w:rFonts w:hint="eastAsia" w:ascii="仿宋" w:hAnsi="仿宋" w:eastAsia="仿宋" w:cs="仿宋"/>
                <w:color w:val="auto"/>
                <w:kern w:val="2"/>
                <w:sz w:val="24"/>
                <w:highlight w:val="none"/>
                <w:lang w:val="en-US" w:eastAsia="zh-CN" w:bidi="ar-SA"/>
              </w:rPr>
              <w:t>2</w:t>
            </w:r>
            <w:r>
              <w:rPr>
                <w:rFonts w:hint="eastAsia" w:ascii="仿宋" w:hAnsi="仿宋" w:eastAsia="仿宋" w:cs="仿宋"/>
                <w:color w:val="auto"/>
                <w:kern w:val="2"/>
                <w:sz w:val="24"/>
                <w:highlight w:val="none"/>
                <w:lang w:val="zh-CN" w:eastAsia="zh-CN" w:bidi="ar-SA"/>
              </w:rPr>
              <w:t>）自2023年1月1日至投标截止日，投标人具有再生资源回收体系建设及运营项目（</w:t>
            </w:r>
            <w:r>
              <w:rPr>
                <w:rFonts w:hint="eastAsia" w:ascii="仿宋" w:hAnsi="仿宋" w:eastAsia="仿宋" w:cs="仿宋"/>
                <w:color w:val="auto"/>
                <w:kern w:val="2"/>
                <w:sz w:val="24"/>
                <w:highlight w:val="none"/>
                <w:lang w:val="en-US" w:eastAsia="zh-CN" w:bidi="ar-SA"/>
              </w:rPr>
              <w:t>合同</w:t>
            </w:r>
            <w:r>
              <w:rPr>
                <w:rFonts w:hint="eastAsia" w:ascii="仿宋" w:hAnsi="仿宋" w:eastAsia="仿宋" w:cs="仿宋"/>
                <w:color w:val="auto"/>
                <w:kern w:val="2"/>
                <w:sz w:val="24"/>
                <w:highlight w:val="none"/>
                <w:lang w:val="zh-CN" w:eastAsia="zh-CN" w:bidi="ar-SA"/>
              </w:rPr>
              <w:t>应</w:t>
            </w:r>
            <w:r>
              <w:rPr>
                <w:rFonts w:hint="eastAsia" w:ascii="仿宋" w:hAnsi="仿宋" w:eastAsia="仿宋" w:cs="仿宋"/>
                <w:color w:val="auto"/>
                <w:kern w:val="2"/>
                <w:sz w:val="24"/>
                <w:highlight w:val="none"/>
                <w:lang w:val="en-US" w:eastAsia="zh-CN" w:bidi="ar-SA"/>
              </w:rPr>
              <w:t>同时</w:t>
            </w:r>
            <w:r>
              <w:rPr>
                <w:rFonts w:hint="eastAsia" w:ascii="仿宋" w:hAnsi="仿宋" w:eastAsia="仿宋" w:cs="仿宋"/>
                <w:color w:val="auto"/>
                <w:kern w:val="2"/>
                <w:sz w:val="24"/>
                <w:highlight w:val="none"/>
                <w:lang w:val="zh-CN" w:eastAsia="zh-CN" w:bidi="ar-SA"/>
              </w:rPr>
              <w:t>包括智能回收设备、收运车辆、分拣中心人员及设备、运营管理平台等内容）业绩的，每提供1个业绩得2分，其他的不得分，满分</w:t>
            </w:r>
            <w:r>
              <w:rPr>
                <w:rFonts w:hint="eastAsia" w:ascii="仿宋" w:hAnsi="仿宋" w:eastAsia="仿宋" w:cs="仿宋"/>
                <w:color w:val="auto"/>
                <w:kern w:val="2"/>
                <w:sz w:val="24"/>
                <w:highlight w:val="none"/>
                <w:lang w:val="en-US" w:eastAsia="zh-CN" w:bidi="ar-SA"/>
              </w:rPr>
              <w:t>2</w:t>
            </w:r>
            <w:r>
              <w:rPr>
                <w:rFonts w:hint="eastAsia" w:ascii="仿宋" w:hAnsi="仿宋" w:eastAsia="仿宋" w:cs="仿宋"/>
                <w:color w:val="auto"/>
                <w:kern w:val="2"/>
                <w:sz w:val="24"/>
                <w:highlight w:val="none"/>
                <w:lang w:val="zh-CN" w:eastAsia="zh-CN" w:bidi="ar-SA"/>
              </w:rPr>
              <w:t>分。</w:t>
            </w:r>
          </w:p>
          <w:p w14:paraId="1FF2E728">
            <w:pPr>
              <w:spacing w:line="360" w:lineRule="auto"/>
              <w:ind w:firstLine="435"/>
              <w:rPr>
                <w:rFonts w:hint="eastAsia" w:ascii="仿宋" w:hAnsi="仿宋" w:eastAsia="仿宋" w:cs="仿宋"/>
                <w:b/>
                <w:bCs/>
                <w:color w:val="auto"/>
                <w:kern w:val="2"/>
                <w:sz w:val="24"/>
                <w:highlight w:val="none"/>
                <w:lang w:val="zh-CN" w:eastAsia="zh-CN" w:bidi="ar-SA"/>
              </w:rPr>
            </w:pPr>
            <w:r>
              <w:rPr>
                <w:rFonts w:hint="eastAsia" w:ascii="仿宋" w:hAnsi="仿宋" w:eastAsia="仿宋" w:cs="仿宋"/>
                <w:b/>
                <w:bCs/>
                <w:color w:val="auto"/>
                <w:kern w:val="2"/>
                <w:sz w:val="24"/>
                <w:highlight w:val="none"/>
                <w:lang w:val="zh-CN" w:eastAsia="zh-CN" w:bidi="ar-SA"/>
              </w:rPr>
              <w:t>注：①投标文件中提供</w:t>
            </w:r>
            <w:r>
              <w:rPr>
                <w:rFonts w:hint="eastAsia" w:ascii="仿宋" w:hAnsi="仿宋" w:eastAsia="仿宋" w:cs="仿宋"/>
                <w:b/>
                <w:bCs/>
                <w:color w:val="auto"/>
                <w:kern w:val="2"/>
                <w:sz w:val="24"/>
                <w:highlight w:val="none"/>
                <w:lang w:val="en-US" w:eastAsia="zh-CN" w:bidi="ar-SA"/>
              </w:rPr>
              <w:t>中标通知书、</w:t>
            </w:r>
            <w:r>
              <w:rPr>
                <w:rFonts w:hint="eastAsia" w:ascii="仿宋" w:hAnsi="仿宋" w:eastAsia="仿宋" w:cs="仿宋"/>
                <w:b/>
                <w:bCs/>
                <w:color w:val="auto"/>
                <w:kern w:val="2"/>
                <w:sz w:val="24"/>
                <w:highlight w:val="none"/>
                <w:lang w:val="zh-CN" w:eastAsia="zh-CN" w:bidi="ar-SA"/>
              </w:rPr>
              <w:t>业绩合同扫描件，时间以合同签订时间为准；</w:t>
            </w:r>
            <w:r>
              <w:rPr>
                <w:rFonts w:hint="eastAsia" w:ascii="仿宋" w:hAnsi="仿宋" w:eastAsia="仿宋" w:cs="仿宋"/>
                <w:b/>
                <w:bCs/>
                <w:color w:val="auto"/>
                <w:kern w:val="2"/>
                <w:sz w:val="24"/>
                <w:highlight w:val="none"/>
                <w:lang w:val="en-US" w:eastAsia="zh-CN" w:bidi="ar-SA"/>
              </w:rPr>
              <w:t>合同内容应符合上述要求，</w:t>
            </w:r>
            <w:r>
              <w:rPr>
                <w:rFonts w:hint="eastAsia" w:ascii="仿宋" w:hAnsi="仿宋" w:eastAsia="仿宋" w:cs="仿宋"/>
                <w:b/>
                <w:bCs/>
                <w:color w:val="auto"/>
                <w:kern w:val="2"/>
                <w:sz w:val="24"/>
                <w:highlight w:val="none"/>
                <w:lang w:val="zh-CN" w:eastAsia="zh-CN" w:bidi="ar-SA"/>
              </w:rPr>
              <w:t>未提供或提供不全的不得分。</w:t>
            </w:r>
          </w:p>
          <w:p w14:paraId="4BD89C2D">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kern w:val="2"/>
                <w:sz w:val="24"/>
                <w:highlight w:val="none"/>
                <w:lang w:val="zh-CN" w:eastAsia="zh-CN" w:bidi="ar-SA"/>
              </w:rPr>
              <w:t>②提供的项目业绩只计算评标分值对应的项目数量，按照排列顺序从首个业绩开始评</w:t>
            </w:r>
            <w:r>
              <w:rPr>
                <w:rFonts w:hint="eastAsia" w:ascii="仿宋" w:hAnsi="仿宋" w:eastAsia="仿宋" w:cs="仿宋"/>
                <w:color w:val="auto"/>
                <w:sz w:val="24"/>
                <w:highlight w:val="none"/>
              </w:rPr>
              <w:t>审至对应数量，超出部分不进行评审。对应数量内业绩不符合招标文件要求不得分的，不再补充评审超出部分业绩。如：提供2个业绩即得满分的，按照投标文件排序评审第一、第二项业绩，其余超出部分不再评审。</w:t>
            </w:r>
          </w:p>
        </w:tc>
        <w:tc>
          <w:tcPr>
            <w:tcW w:w="396" w:type="pct"/>
            <w:tcBorders>
              <w:top w:val="single" w:color="auto" w:sz="4" w:space="0"/>
              <w:left w:val="single" w:color="auto" w:sz="4" w:space="0"/>
              <w:bottom w:val="single" w:color="auto" w:sz="4" w:space="0"/>
              <w:right w:val="single" w:color="auto" w:sz="4" w:space="0"/>
            </w:tcBorders>
            <w:vAlign w:val="center"/>
          </w:tcPr>
          <w:p w14:paraId="087DE4DD">
            <w:pPr>
              <w:spacing w:line="500" w:lineRule="exact"/>
              <w:jc w:val="center"/>
              <w:rPr>
                <w:rFonts w:hint="eastAsia" w:ascii="仿宋" w:hAnsi="仿宋" w:eastAsia="仿宋" w:cs="仿宋"/>
                <w:b/>
                <w:bCs/>
                <w:color w:val="auto"/>
                <w:sz w:val="24"/>
                <w:szCs w:val="24"/>
                <w:highlight w:val="none"/>
              </w:rPr>
            </w:pPr>
            <w:r>
              <w:rPr>
                <w:rFonts w:hint="eastAsia" w:ascii="仿宋" w:hAnsi="仿宋" w:eastAsia="仿宋" w:cs="仿宋"/>
                <w:color w:val="auto"/>
                <w:sz w:val="24"/>
                <w:highlight w:val="none"/>
              </w:rPr>
              <w:t>0-4分</w:t>
            </w:r>
          </w:p>
        </w:tc>
      </w:tr>
      <w:tr w14:paraId="5816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Merge w:val="continue"/>
            <w:tcBorders>
              <w:left w:val="single" w:color="auto" w:sz="4" w:space="0"/>
              <w:right w:val="single" w:color="auto" w:sz="4" w:space="0"/>
            </w:tcBorders>
            <w:vAlign w:val="center"/>
          </w:tcPr>
          <w:p w14:paraId="6E4DCC0B">
            <w:pPr>
              <w:spacing w:line="360" w:lineRule="auto"/>
              <w:rPr>
                <w:rFonts w:hint="eastAsia" w:ascii="仿宋" w:hAnsi="仿宋" w:eastAsia="仿宋" w:cs="仿宋"/>
                <w:color w:val="auto"/>
                <w:sz w:val="24"/>
                <w:highlight w:val="none"/>
              </w:rPr>
            </w:pPr>
          </w:p>
        </w:tc>
        <w:tc>
          <w:tcPr>
            <w:tcW w:w="638" w:type="pct"/>
            <w:tcBorders>
              <w:top w:val="single" w:color="auto" w:sz="4" w:space="0"/>
              <w:left w:val="single" w:color="auto" w:sz="4" w:space="0"/>
              <w:bottom w:val="single" w:color="auto" w:sz="4" w:space="0"/>
              <w:right w:val="single" w:color="auto" w:sz="4" w:space="0"/>
            </w:tcBorders>
            <w:vAlign w:val="center"/>
          </w:tcPr>
          <w:p w14:paraId="6C5B398F">
            <w:pPr>
              <w:spacing w:line="360"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软件著作权</w:t>
            </w:r>
          </w:p>
        </w:tc>
        <w:tc>
          <w:tcPr>
            <w:tcW w:w="3304" w:type="pct"/>
            <w:tcBorders>
              <w:top w:val="single" w:color="auto" w:sz="4" w:space="0"/>
              <w:left w:val="single" w:color="auto" w:sz="4" w:space="0"/>
              <w:bottom w:val="single" w:color="auto" w:sz="4" w:space="0"/>
              <w:right w:val="single" w:color="auto" w:sz="4" w:space="0"/>
            </w:tcBorders>
            <w:vAlign w:val="center"/>
          </w:tcPr>
          <w:p w14:paraId="7DBE485E">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val="en-US" w:eastAsia="zh-CN"/>
              </w:rPr>
              <w:t>具有与本项目采购需求相关的</w:t>
            </w:r>
            <w:r>
              <w:rPr>
                <w:rFonts w:hint="eastAsia" w:ascii="仿宋" w:hAnsi="仿宋" w:eastAsia="仿宋" w:cs="仿宋"/>
                <w:color w:val="auto"/>
                <w:sz w:val="24"/>
                <w:highlight w:val="none"/>
              </w:rPr>
              <w:t>再生资源</w:t>
            </w:r>
            <w:r>
              <w:rPr>
                <w:rFonts w:hint="eastAsia" w:ascii="仿宋" w:hAnsi="仿宋" w:eastAsia="仿宋" w:cs="仿宋"/>
                <w:color w:val="auto"/>
                <w:sz w:val="24"/>
                <w:highlight w:val="none"/>
                <w:lang w:val="en-US" w:eastAsia="zh-CN"/>
              </w:rPr>
              <w:t>分拣中心APP（或小程序）类</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垃圾分类智能设备管理类、垃圾分类宣教管理类、垃圾智能收集管理类</w:t>
            </w:r>
            <w:r>
              <w:rPr>
                <w:rFonts w:hint="eastAsia" w:ascii="仿宋" w:hAnsi="仿宋" w:eastAsia="仿宋" w:cs="仿宋"/>
                <w:color w:val="auto"/>
                <w:sz w:val="24"/>
                <w:highlight w:val="none"/>
              </w:rPr>
              <w:t>软件著作权证书，每提供一类得</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val="en-US" w:eastAsia="zh-CN"/>
              </w:rPr>
              <w:t>满分8</w:t>
            </w:r>
            <w:r>
              <w:rPr>
                <w:rFonts w:hint="eastAsia" w:ascii="仿宋" w:hAnsi="仿宋" w:eastAsia="仿宋" w:cs="仿宋"/>
                <w:color w:val="auto"/>
                <w:sz w:val="24"/>
                <w:highlight w:val="none"/>
              </w:rPr>
              <w:t>分。</w:t>
            </w:r>
          </w:p>
          <w:p w14:paraId="72B0EA3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r>
              <w:rPr>
                <w:rFonts w:hint="eastAsia" w:ascii="仿宋" w:hAnsi="仿宋" w:eastAsia="仿宋" w:cs="仿宋"/>
                <w:color w:val="auto"/>
                <w:sz w:val="24"/>
                <w:highlight w:val="none"/>
                <w:lang w:val="en-US" w:eastAsia="zh-CN"/>
              </w:rPr>
              <w:t>提供软件著作权证书</w:t>
            </w:r>
            <w:r>
              <w:rPr>
                <w:rFonts w:hint="eastAsia" w:ascii="仿宋" w:hAnsi="仿宋" w:eastAsia="仿宋" w:cs="仿宋"/>
                <w:color w:val="auto"/>
                <w:sz w:val="24"/>
                <w:highlight w:val="none"/>
              </w:rPr>
              <w:t>扫描件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未提供或不符合要求的不得分</w:t>
            </w:r>
            <w:r>
              <w:rPr>
                <w:rFonts w:hint="eastAsia" w:ascii="仿宋" w:hAnsi="仿宋" w:eastAsia="仿宋" w:cs="仿宋"/>
                <w:color w:val="auto"/>
                <w:sz w:val="24"/>
                <w:highlight w:val="none"/>
              </w:rPr>
              <w:t>。</w:t>
            </w:r>
          </w:p>
        </w:tc>
        <w:tc>
          <w:tcPr>
            <w:tcW w:w="396" w:type="pct"/>
            <w:tcBorders>
              <w:top w:val="single" w:color="auto" w:sz="4" w:space="0"/>
              <w:left w:val="single" w:color="auto" w:sz="4" w:space="0"/>
              <w:bottom w:val="single" w:color="auto" w:sz="4" w:space="0"/>
              <w:right w:val="single" w:color="auto" w:sz="4" w:space="0"/>
            </w:tcBorders>
            <w:vAlign w:val="center"/>
          </w:tcPr>
          <w:p w14:paraId="51D1C91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分</w:t>
            </w:r>
          </w:p>
        </w:tc>
      </w:tr>
      <w:tr w14:paraId="27E1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Merge w:val="continue"/>
            <w:tcBorders>
              <w:left w:val="single" w:color="auto" w:sz="4" w:space="0"/>
              <w:right w:val="single" w:color="auto" w:sz="4" w:space="0"/>
            </w:tcBorders>
            <w:vAlign w:val="center"/>
          </w:tcPr>
          <w:p w14:paraId="5C3F4708">
            <w:pPr>
              <w:spacing w:line="360" w:lineRule="auto"/>
              <w:rPr>
                <w:rFonts w:hint="eastAsia" w:ascii="仿宋" w:hAnsi="仿宋" w:eastAsia="仿宋" w:cs="仿宋"/>
                <w:color w:val="auto"/>
                <w:sz w:val="24"/>
                <w:highlight w:val="none"/>
              </w:rPr>
            </w:pPr>
          </w:p>
        </w:tc>
        <w:tc>
          <w:tcPr>
            <w:tcW w:w="638" w:type="pct"/>
            <w:tcBorders>
              <w:top w:val="single" w:color="auto" w:sz="4" w:space="0"/>
              <w:left w:val="single" w:color="auto" w:sz="4" w:space="0"/>
              <w:bottom w:val="single" w:color="auto" w:sz="4" w:space="0"/>
              <w:right w:val="single" w:color="auto" w:sz="4" w:space="0"/>
            </w:tcBorders>
            <w:vAlign w:val="center"/>
          </w:tcPr>
          <w:p w14:paraId="32261872">
            <w:pPr>
              <w:spacing w:line="360"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拟配备团队</w:t>
            </w:r>
          </w:p>
        </w:tc>
        <w:tc>
          <w:tcPr>
            <w:tcW w:w="3304" w:type="pct"/>
            <w:tcBorders>
              <w:top w:val="single" w:color="auto" w:sz="4" w:space="0"/>
              <w:left w:val="single" w:color="auto" w:sz="4" w:space="0"/>
              <w:bottom w:val="single" w:color="auto" w:sz="4" w:space="0"/>
              <w:right w:val="single" w:color="auto" w:sz="4" w:space="0"/>
            </w:tcBorders>
            <w:vAlign w:val="center"/>
          </w:tcPr>
          <w:p w14:paraId="126E1BC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拟</w:t>
            </w:r>
            <w:r>
              <w:rPr>
                <w:rFonts w:hint="eastAsia" w:ascii="仿宋" w:hAnsi="仿宋" w:eastAsia="仿宋" w:cs="仿宋"/>
                <w:color w:val="auto"/>
                <w:sz w:val="24"/>
                <w:highlight w:val="none"/>
                <w:lang w:val="en-US" w:eastAsia="zh-CN"/>
              </w:rPr>
              <w:t>配备</w:t>
            </w:r>
            <w:r>
              <w:rPr>
                <w:rFonts w:hint="eastAsia" w:ascii="仿宋" w:hAnsi="仿宋" w:eastAsia="仿宋" w:cs="仿宋"/>
                <w:color w:val="auto"/>
                <w:sz w:val="24"/>
                <w:highlight w:val="none"/>
              </w:rPr>
              <w:t>项目</w:t>
            </w:r>
            <w:r>
              <w:rPr>
                <w:rFonts w:hint="eastAsia" w:ascii="仿宋" w:hAnsi="仿宋" w:eastAsia="仿宋" w:cs="仿宋"/>
                <w:color w:val="auto"/>
                <w:sz w:val="24"/>
                <w:highlight w:val="none"/>
                <w:lang w:val="en-US" w:eastAsia="zh-CN"/>
              </w:rPr>
              <w:t>经理</w:t>
            </w:r>
            <w:r>
              <w:rPr>
                <w:rFonts w:hint="eastAsia" w:ascii="仿宋" w:hAnsi="仿宋" w:eastAsia="仿宋" w:cs="仿宋"/>
                <w:color w:val="auto"/>
                <w:sz w:val="24"/>
                <w:highlight w:val="none"/>
              </w:rPr>
              <w:t>（1人）：</w:t>
            </w:r>
          </w:p>
          <w:p w14:paraId="08898F1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具有</w:t>
            </w:r>
            <w:r>
              <w:rPr>
                <w:rFonts w:hint="eastAsia" w:ascii="仿宋" w:hAnsi="仿宋" w:eastAsia="仿宋" w:cs="仿宋"/>
                <w:color w:val="auto"/>
                <w:sz w:val="24"/>
                <w:highlight w:val="none"/>
                <w:lang w:val="en-US" w:eastAsia="zh-CN"/>
              </w:rPr>
              <w:t>人社部门颁发的</w:t>
            </w:r>
            <w:r>
              <w:rPr>
                <w:rFonts w:hint="eastAsia" w:ascii="仿宋" w:hAnsi="仿宋" w:eastAsia="仿宋" w:cs="仿宋"/>
                <w:color w:val="auto"/>
                <w:sz w:val="24"/>
                <w:highlight w:val="none"/>
              </w:rPr>
              <w:t>环保工程</w:t>
            </w:r>
            <w:r>
              <w:rPr>
                <w:rFonts w:hint="eastAsia" w:ascii="仿宋" w:hAnsi="仿宋" w:eastAsia="仿宋" w:cs="仿宋"/>
                <w:color w:val="auto"/>
                <w:sz w:val="24"/>
                <w:highlight w:val="none"/>
                <w:lang w:val="en-US" w:eastAsia="zh-CN"/>
              </w:rPr>
              <w:t>专业</w:t>
            </w:r>
            <w:r>
              <w:rPr>
                <w:rFonts w:hint="eastAsia" w:ascii="仿宋" w:hAnsi="仿宋" w:eastAsia="仿宋" w:cs="仿宋"/>
                <w:color w:val="auto"/>
                <w:sz w:val="24"/>
                <w:highlight w:val="none"/>
              </w:rPr>
              <w:t>高级职称</w:t>
            </w:r>
            <w:r>
              <w:rPr>
                <w:rFonts w:hint="eastAsia" w:ascii="仿宋" w:hAnsi="仿宋" w:eastAsia="仿宋" w:cs="仿宋"/>
                <w:color w:val="auto"/>
                <w:sz w:val="24"/>
                <w:highlight w:val="none"/>
                <w:lang w:val="en-US" w:eastAsia="zh-CN"/>
              </w:rPr>
              <w:t>证书，得1分；具有人社部门颁发的</w:t>
            </w:r>
            <w:r>
              <w:rPr>
                <w:rFonts w:hint="eastAsia" w:ascii="仿宋" w:hAnsi="仿宋" w:eastAsia="仿宋" w:cs="仿宋"/>
                <w:color w:val="auto"/>
                <w:sz w:val="24"/>
                <w:highlight w:val="none"/>
              </w:rPr>
              <w:t>注册环保工程师证书，</w:t>
            </w:r>
            <w:r>
              <w:rPr>
                <w:rFonts w:hint="eastAsia" w:ascii="仿宋" w:hAnsi="仿宋" w:eastAsia="仿宋" w:cs="仿宋"/>
                <w:color w:val="auto"/>
                <w:sz w:val="24"/>
                <w:highlight w:val="none"/>
                <w:lang w:val="en-US" w:eastAsia="zh-CN"/>
              </w:rPr>
              <w:t>加1分；本项最高</w:t>
            </w:r>
            <w:r>
              <w:rPr>
                <w:rFonts w:hint="eastAsia" w:ascii="仿宋" w:hAnsi="仿宋" w:eastAsia="仿宋" w:cs="仿宋"/>
                <w:color w:val="auto"/>
                <w:sz w:val="24"/>
                <w:highlight w:val="none"/>
              </w:rPr>
              <w:t>得</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分。</w:t>
            </w:r>
          </w:p>
          <w:p w14:paraId="59CD7FB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拟</w:t>
            </w:r>
            <w:r>
              <w:rPr>
                <w:rFonts w:hint="eastAsia" w:ascii="仿宋" w:hAnsi="仿宋" w:eastAsia="仿宋" w:cs="仿宋"/>
                <w:color w:val="auto"/>
                <w:sz w:val="24"/>
                <w:highlight w:val="none"/>
                <w:lang w:val="en-US" w:eastAsia="zh-CN"/>
              </w:rPr>
              <w:t>配备施工</w:t>
            </w:r>
            <w:r>
              <w:rPr>
                <w:rFonts w:hint="eastAsia" w:ascii="仿宋" w:hAnsi="仿宋" w:eastAsia="仿宋" w:cs="仿宋"/>
                <w:color w:val="auto"/>
                <w:sz w:val="24"/>
                <w:highlight w:val="none"/>
              </w:rPr>
              <w:t>负责人（1人）：</w:t>
            </w:r>
          </w:p>
          <w:p w14:paraId="3C67963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具有</w:t>
            </w:r>
            <w:r>
              <w:rPr>
                <w:rFonts w:hint="eastAsia" w:ascii="仿宋" w:hAnsi="仿宋" w:eastAsia="仿宋" w:cs="仿宋"/>
                <w:color w:val="auto"/>
                <w:sz w:val="24"/>
                <w:highlight w:val="none"/>
                <w:lang w:val="en-US" w:eastAsia="zh-CN"/>
              </w:rPr>
              <w:t>人社部门颁发的</w:t>
            </w:r>
            <w:r>
              <w:rPr>
                <w:rFonts w:hint="eastAsia" w:ascii="仿宋" w:hAnsi="仿宋" w:eastAsia="仿宋" w:cs="仿宋"/>
                <w:color w:val="auto"/>
                <w:sz w:val="24"/>
                <w:highlight w:val="none"/>
              </w:rPr>
              <w:t>机电工程专业中级及以上职称证书</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得2分。</w:t>
            </w:r>
          </w:p>
          <w:p w14:paraId="195C15E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拟</w:t>
            </w:r>
            <w:r>
              <w:rPr>
                <w:rFonts w:hint="eastAsia" w:ascii="仿宋" w:hAnsi="仿宋" w:eastAsia="仿宋" w:cs="仿宋"/>
                <w:color w:val="auto"/>
                <w:sz w:val="24"/>
                <w:highlight w:val="none"/>
                <w:lang w:val="en-US" w:eastAsia="zh-CN"/>
              </w:rPr>
              <w:t>配备</w:t>
            </w:r>
            <w:r>
              <w:rPr>
                <w:rFonts w:hint="eastAsia" w:ascii="仿宋" w:hAnsi="仿宋" w:eastAsia="仿宋" w:cs="仿宋"/>
                <w:color w:val="auto"/>
                <w:sz w:val="24"/>
                <w:highlight w:val="none"/>
              </w:rPr>
              <w:t>平台运维人</w:t>
            </w:r>
            <w:r>
              <w:rPr>
                <w:rFonts w:hint="eastAsia" w:ascii="仿宋" w:hAnsi="仿宋" w:eastAsia="仿宋" w:cs="仿宋"/>
                <w:color w:val="auto"/>
                <w:sz w:val="24"/>
                <w:highlight w:val="none"/>
                <w:lang w:val="en-US" w:eastAsia="zh-CN"/>
              </w:rPr>
              <w:t>员</w:t>
            </w:r>
            <w:r>
              <w:rPr>
                <w:rFonts w:hint="eastAsia" w:ascii="仿宋" w:hAnsi="仿宋" w:eastAsia="仿宋" w:cs="仿宋"/>
                <w:color w:val="auto"/>
                <w:sz w:val="24"/>
                <w:highlight w:val="none"/>
              </w:rPr>
              <w:t>（1人）：</w:t>
            </w:r>
          </w:p>
          <w:p w14:paraId="63317515">
            <w:pPr>
              <w:spacing w:line="360" w:lineRule="auto"/>
              <w:rPr>
                <w:rFonts w:hint="eastAsia" w:ascii="仿宋" w:hAnsi="仿宋" w:eastAsia="仿宋" w:cs="仿宋"/>
                <w:color w:val="auto"/>
                <w:sz w:val="24"/>
                <w:highlight w:val="none"/>
              </w:rPr>
            </w:pPr>
            <w:bookmarkStart w:id="42" w:name="OLE_LINK2"/>
            <w:r>
              <w:rPr>
                <w:rFonts w:hint="eastAsia" w:ascii="仿宋" w:hAnsi="仿宋" w:eastAsia="仿宋" w:cs="仿宋"/>
                <w:color w:val="auto"/>
                <w:sz w:val="24"/>
                <w:highlight w:val="none"/>
              </w:rPr>
              <w:t>具</w:t>
            </w:r>
            <w:r>
              <w:rPr>
                <w:rFonts w:hint="eastAsia" w:ascii="仿宋" w:hAnsi="仿宋" w:eastAsia="仿宋" w:cs="仿宋"/>
                <w:color w:val="auto"/>
                <w:sz w:val="24"/>
                <w:highlight w:val="none"/>
                <w:lang w:val="en-US" w:eastAsia="zh-CN"/>
              </w:rPr>
              <w:t>有人社部门颁发的电子信息专业</w:t>
            </w:r>
            <w:bookmarkEnd w:id="42"/>
            <w:r>
              <w:rPr>
                <w:rFonts w:hint="eastAsia" w:ascii="仿宋" w:hAnsi="仿宋" w:eastAsia="仿宋" w:cs="仿宋"/>
                <w:color w:val="auto"/>
                <w:sz w:val="24"/>
                <w:highlight w:val="none"/>
                <w:lang w:val="en-US" w:eastAsia="zh-CN"/>
              </w:rPr>
              <w:t>高级职称证书，得1分；具有人社部门颁发的系统集成项目管理工程师证书，加1分；本项最高</w:t>
            </w:r>
            <w:r>
              <w:rPr>
                <w:rFonts w:hint="eastAsia" w:ascii="仿宋" w:hAnsi="仿宋" w:eastAsia="仿宋" w:cs="仿宋"/>
                <w:color w:val="auto"/>
                <w:sz w:val="24"/>
                <w:highlight w:val="none"/>
              </w:rPr>
              <w:t>得</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分。</w:t>
            </w:r>
          </w:p>
          <w:p w14:paraId="49958A4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拟配备的</w:t>
            </w:r>
            <w:r>
              <w:rPr>
                <w:rFonts w:hint="eastAsia" w:ascii="仿宋" w:hAnsi="仿宋" w:eastAsia="仿宋" w:cs="仿宋"/>
                <w:color w:val="auto"/>
                <w:sz w:val="24"/>
                <w:highlight w:val="none"/>
                <w:lang w:val="en-US" w:eastAsia="zh-CN"/>
              </w:rPr>
              <w:t>其他</w:t>
            </w:r>
            <w:r>
              <w:rPr>
                <w:rFonts w:hint="eastAsia" w:ascii="仿宋" w:hAnsi="仿宋" w:eastAsia="仿宋" w:cs="仿宋"/>
                <w:color w:val="auto"/>
                <w:sz w:val="24"/>
                <w:highlight w:val="none"/>
              </w:rPr>
              <w:t>项目团队成员</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p>
          <w:p w14:paraId="7A375BC1">
            <w:pPr>
              <w:spacing w:line="360" w:lineRule="auto"/>
              <w:rPr>
                <w:rFonts w:hint="eastAsia" w:ascii="仿宋" w:hAnsi="仿宋" w:eastAsia="仿宋" w:cs="仿宋"/>
                <w:color w:val="auto"/>
                <w:sz w:val="24"/>
                <w:highlight w:val="none"/>
              </w:rPr>
            </w:pPr>
            <w:r>
              <w:rPr>
                <w:rFonts w:hint="eastAsia" w:ascii="宋体" w:hAnsi="宋体" w:eastAsia="宋体" w:cs="宋体"/>
                <w:color w:val="auto"/>
                <w:sz w:val="24"/>
                <w:highlight w:val="none"/>
              </w:rPr>
              <w:t>①</w:t>
            </w:r>
            <w:r>
              <w:rPr>
                <w:rFonts w:hint="eastAsia" w:ascii="仿宋" w:hAnsi="仿宋" w:eastAsia="仿宋" w:cs="仿宋"/>
                <w:color w:val="auto"/>
                <w:sz w:val="24"/>
                <w:highlight w:val="none"/>
              </w:rPr>
              <w:t>具有</w:t>
            </w:r>
            <w:r>
              <w:rPr>
                <w:rFonts w:hint="eastAsia" w:ascii="仿宋" w:hAnsi="仿宋" w:eastAsia="仿宋" w:cs="仿宋"/>
                <w:color w:val="auto"/>
                <w:sz w:val="24"/>
                <w:highlight w:val="none"/>
                <w:lang w:val="en-US" w:eastAsia="zh-CN"/>
              </w:rPr>
              <w:t>人社部门颁发的</w:t>
            </w:r>
            <w:r>
              <w:rPr>
                <w:rFonts w:hint="eastAsia" w:ascii="仿宋" w:hAnsi="仿宋" w:eastAsia="仿宋" w:cs="仿宋"/>
                <w:color w:val="auto"/>
                <w:sz w:val="24"/>
                <w:highlight w:val="none"/>
              </w:rPr>
              <w:t>环境工程专业中级（含）以上职称</w:t>
            </w:r>
            <w:r>
              <w:rPr>
                <w:rFonts w:hint="eastAsia" w:ascii="仿宋" w:hAnsi="仿宋" w:eastAsia="仿宋" w:cs="仿宋"/>
                <w:color w:val="auto"/>
                <w:sz w:val="24"/>
                <w:highlight w:val="none"/>
                <w:lang w:val="en-US" w:eastAsia="zh-CN"/>
              </w:rPr>
              <w:t>证书</w:t>
            </w:r>
            <w:r>
              <w:rPr>
                <w:rFonts w:hint="eastAsia" w:ascii="仿宋" w:hAnsi="仿宋" w:eastAsia="仿宋" w:cs="仿宋"/>
                <w:color w:val="auto"/>
                <w:sz w:val="24"/>
                <w:highlight w:val="none"/>
              </w:rPr>
              <w:t>的，每提供一个得</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val="en-US" w:eastAsia="zh-CN"/>
              </w:rPr>
              <w:t>本项最高</w:t>
            </w:r>
            <w:r>
              <w:rPr>
                <w:rFonts w:hint="eastAsia" w:ascii="仿宋" w:hAnsi="仿宋" w:eastAsia="仿宋" w:cs="仿宋"/>
                <w:color w:val="auto"/>
                <w:sz w:val="24"/>
                <w:highlight w:val="none"/>
              </w:rPr>
              <w:t>得</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分。</w:t>
            </w:r>
          </w:p>
          <w:p w14:paraId="412843E1">
            <w:pPr>
              <w:spacing w:line="360" w:lineRule="auto"/>
              <w:rPr>
                <w:rFonts w:hint="eastAsia" w:ascii="仿宋" w:hAnsi="仿宋" w:eastAsia="仿宋" w:cs="仿宋"/>
                <w:color w:val="auto"/>
                <w:sz w:val="24"/>
                <w:highlight w:val="none"/>
                <w:lang w:val="en-US" w:eastAsia="zh-CN"/>
              </w:rPr>
            </w:pPr>
            <w:r>
              <w:rPr>
                <w:rFonts w:hint="eastAsia" w:ascii="宋体" w:hAnsi="宋体" w:eastAsia="宋体" w:cs="宋体"/>
                <w:color w:val="auto"/>
                <w:sz w:val="24"/>
                <w:highlight w:val="none"/>
              </w:rPr>
              <w:t>②</w:t>
            </w:r>
            <w:r>
              <w:rPr>
                <w:rFonts w:hint="eastAsia" w:ascii="仿宋" w:hAnsi="仿宋" w:eastAsia="仿宋" w:cs="仿宋"/>
                <w:color w:val="auto"/>
                <w:sz w:val="24"/>
                <w:highlight w:val="none"/>
              </w:rPr>
              <w:t>具有</w:t>
            </w:r>
            <w:r>
              <w:rPr>
                <w:rFonts w:hint="eastAsia" w:ascii="仿宋" w:hAnsi="仿宋" w:eastAsia="仿宋" w:cs="仿宋"/>
                <w:color w:val="auto"/>
                <w:sz w:val="24"/>
                <w:highlight w:val="none"/>
                <w:lang w:val="en-US" w:eastAsia="zh-CN"/>
              </w:rPr>
              <w:t>人社部门颁发的</w:t>
            </w:r>
            <w:r>
              <w:rPr>
                <w:rFonts w:hint="eastAsia" w:ascii="仿宋" w:hAnsi="仿宋" w:eastAsia="仿宋" w:cs="仿宋"/>
                <w:color w:val="auto"/>
                <w:sz w:val="24"/>
                <w:highlight w:val="none"/>
              </w:rPr>
              <w:t>中级</w:t>
            </w:r>
            <w:r>
              <w:rPr>
                <w:rFonts w:hint="eastAsia" w:ascii="仿宋" w:hAnsi="仿宋" w:eastAsia="仿宋" w:cs="仿宋"/>
                <w:color w:val="auto"/>
                <w:sz w:val="24"/>
                <w:highlight w:val="none"/>
                <w:lang w:val="en-US" w:eastAsia="zh-CN"/>
              </w:rPr>
              <w:t>及以上</w:t>
            </w:r>
            <w:r>
              <w:rPr>
                <w:rFonts w:hint="eastAsia" w:ascii="仿宋" w:hAnsi="仿宋" w:eastAsia="仿宋" w:cs="仿宋"/>
                <w:color w:val="auto"/>
                <w:sz w:val="24"/>
                <w:highlight w:val="none"/>
              </w:rPr>
              <w:t>注册安全工程师</w:t>
            </w:r>
            <w:r>
              <w:rPr>
                <w:rFonts w:hint="eastAsia" w:ascii="仿宋" w:hAnsi="仿宋" w:eastAsia="仿宋" w:cs="仿宋"/>
                <w:color w:val="auto"/>
                <w:sz w:val="24"/>
                <w:highlight w:val="none"/>
                <w:lang w:val="en-US" w:eastAsia="zh-CN"/>
              </w:rPr>
              <w:t>证书，得2分</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本项最高</w:t>
            </w:r>
            <w:r>
              <w:rPr>
                <w:rFonts w:hint="eastAsia" w:ascii="仿宋" w:hAnsi="仿宋" w:eastAsia="仿宋" w:cs="仿宋"/>
                <w:color w:val="auto"/>
                <w:sz w:val="24"/>
                <w:highlight w:val="none"/>
              </w:rPr>
              <w:t>得</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val="en-US" w:eastAsia="zh-CN"/>
              </w:rPr>
              <w:t>；</w:t>
            </w:r>
          </w:p>
          <w:p w14:paraId="39BC7C69">
            <w:pPr>
              <w:spacing w:line="360" w:lineRule="auto"/>
              <w:rPr>
                <w:rFonts w:hint="eastAsia" w:ascii="仿宋" w:hAnsi="仿宋" w:eastAsia="仿宋" w:cs="仿宋"/>
                <w:color w:val="auto"/>
                <w:sz w:val="24"/>
                <w:highlight w:val="none"/>
                <w:lang w:val="en-US" w:eastAsia="zh-CN"/>
              </w:rPr>
            </w:pPr>
            <w:r>
              <w:rPr>
                <w:rFonts w:hint="eastAsia" w:ascii="宋体" w:hAnsi="宋体" w:eastAsia="宋体" w:cs="宋体"/>
                <w:color w:val="auto"/>
                <w:sz w:val="24"/>
                <w:highlight w:val="none"/>
                <w:lang w:val="en-US" w:eastAsia="zh-CN"/>
              </w:rPr>
              <w:t>③</w:t>
            </w:r>
            <w:r>
              <w:rPr>
                <w:rFonts w:hint="eastAsia" w:ascii="仿宋" w:hAnsi="仿宋" w:eastAsia="仿宋" w:cs="仿宋"/>
                <w:color w:val="auto"/>
                <w:sz w:val="24"/>
                <w:highlight w:val="none"/>
                <w:lang w:val="en-US" w:eastAsia="zh-CN"/>
              </w:rPr>
              <w:t>具有人社部门颁发的市政工程</w:t>
            </w:r>
            <w:r>
              <w:rPr>
                <w:rFonts w:hint="eastAsia" w:ascii="仿宋" w:hAnsi="仿宋" w:eastAsia="仿宋" w:cs="仿宋"/>
                <w:color w:val="auto"/>
                <w:sz w:val="24"/>
                <w:highlight w:val="none"/>
              </w:rPr>
              <w:t>专业</w:t>
            </w:r>
            <w:r>
              <w:rPr>
                <w:rFonts w:hint="eastAsia" w:ascii="仿宋" w:hAnsi="仿宋" w:eastAsia="仿宋" w:cs="仿宋"/>
                <w:color w:val="auto"/>
                <w:sz w:val="24"/>
                <w:highlight w:val="none"/>
                <w:lang w:val="en-US" w:eastAsia="zh-CN"/>
              </w:rPr>
              <w:t>中</w:t>
            </w:r>
            <w:r>
              <w:rPr>
                <w:rFonts w:hint="eastAsia" w:ascii="仿宋" w:hAnsi="仿宋" w:eastAsia="仿宋" w:cs="仿宋"/>
                <w:color w:val="auto"/>
                <w:sz w:val="24"/>
                <w:highlight w:val="none"/>
              </w:rPr>
              <w:t>级</w:t>
            </w:r>
            <w:r>
              <w:rPr>
                <w:rFonts w:hint="eastAsia" w:ascii="仿宋" w:hAnsi="仿宋" w:eastAsia="仿宋" w:cs="仿宋"/>
                <w:color w:val="auto"/>
                <w:sz w:val="24"/>
                <w:highlight w:val="none"/>
                <w:lang w:val="en-US" w:eastAsia="zh-CN"/>
              </w:rPr>
              <w:t>及</w:t>
            </w:r>
            <w:r>
              <w:rPr>
                <w:rFonts w:hint="eastAsia" w:ascii="仿宋" w:hAnsi="仿宋" w:eastAsia="仿宋" w:cs="仿宋"/>
                <w:color w:val="auto"/>
                <w:sz w:val="24"/>
                <w:highlight w:val="none"/>
              </w:rPr>
              <w:t>以上职称</w:t>
            </w:r>
            <w:r>
              <w:rPr>
                <w:rFonts w:hint="eastAsia" w:ascii="仿宋" w:hAnsi="仿宋" w:eastAsia="仿宋" w:cs="仿宋"/>
                <w:color w:val="auto"/>
                <w:sz w:val="24"/>
                <w:highlight w:val="none"/>
                <w:lang w:val="en-US" w:eastAsia="zh-CN"/>
              </w:rPr>
              <w:t>证书</w:t>
            </w:r>
            <w:r>
              <w:rPr>
                <w:rFonts w:hint="eastAsia" w:ascii="仿宋" w:hAnsi="仿宋" w:eastAsia="仿宋" w:cs="仿宋"/>
                <w:color w:val="auto"/>
                <w:sz w:val="24"/>
                <w:highlight w:val="none"/>
              </w:rPr>
              <w:t>的，得</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val="en-US" w:eastAsia="zh-CN"/>
              </w:rPr>
              <w:t>本项最高</w:t>
            </w:r>
            <w:r>
              <w:rPr>
                <w:rFonts w:hint="eastAsia" w:ascii="仿宋" w:hAnsi="仿宋" w:eastAsia="仿宋" w:cs="仿宋"/>
                <w:color w:val="auto"/>
                <w:sz w:val="24"/>
                <w:highlight w:val="none"/>
              </w:rPr>
              <w:t>得</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eastAsia="zh-CN"/>
              </w:rPr>
              <w:t>；</w:t>
            </w:r>
          </w:p>
          <w:p w14:paraId="1A375125">
            <w:pPr>
              <w:spacing w:line="360" w:lineRule="auto"/>
              <w:rPr>
                <w:rFonts w:hint="default"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rPr>
              <w:t>注：</w:t>
            </w:r>
            <w:r>
              <w:rPr>
                <w:rFonts w:hint="eastAsia" w:ascii="仿宋" w:hAnsi="仿宋" w:eastAsia="仿宋" w:cs="仿宋"/>
                <w:b/>
                <w:bCs/>
                <w:color w:val="auto"/>
                <w:sz w:val="24"/>
                <w:highlight w:val="none"/>
                <w:lang w:val="en-US" w:eastAsia="zh-CN"/>
              </w:rPr>
              <w:t>以上人员一人一岗，不得兼任，且以上人员均为投标单位在职在岗人员。</w:t>
            </w:r>
          </w:p>
          <w:p w14:paraId="7E9A9A0B">
            <w:pPr>
              <w:spacing w:line="360" w:lineRule="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投标文件中须提供人员证书扫描件</w:t>
            </w:r>
            <w:r>
              <w:rPr>
                <w:rFonts w:hint="eastAsia" w:ascii="仿宋" w:hAnsi="仿宋" w:eastAsia="仿宋" w:cs="仿宋"/>
                <w:b/>
                <w:bCs/>
                <w:color w:val="auto"/>
                <w:sz w:val="24"/>
                <w:highlight w:val="none"/>
                <w:lang w:val="en-US" w:eastAsia="zh-CN"/>
              </w:rPr>
              <w:t>和须提供社保部门出具的投标人为上述人员缴纳的投标前三个月中任意一个月的社会保险证明（或投标人提供已为上述人员缴纳养老保险证明的承诺书（格式自拟））。</w:t>
            </w:r>
            <w:bookmarkStart w:id="114" w:name="_GoBack"/>
            <w:bookmarkEnd w:id="114"/>
          </w:p>
        </w:tc>
        <w:tc>
          <w:tcPr>
            <w:tcW w:w="396" w:type="pct"/>
            <w:tcBorders>
              <w:top w:val="single" w:color="auto" w:sz="4" w:space="0"/>
              <w:left w:val="single" w:color="auto" w:sz="4" w:space="0"/>
              <w:bottom w:val="single" w:color="auto" w:sz="4" w:space="0"/>
              <w:right w:val="single" w:color="auto" w:sz="4" w:space="0"/>
            </w:tcBorders>
            <w:vAlign w:val="center"/>
          </w:tcPr>
          <w:p w14:paraId="6CD7AD8D">
            <w:pPr>
              <w:spacing w:line="360"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0-14分</w:t>
            </w:r>
          </w:p>
        </w:tc>
      </w:tr>
      <w:tr w14:paraId="0109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661" w:type="pct"/>
            <w:vMerge w:val="continue"/>
            <w:tcBorders>
              <w:left w:val="single" w:color="auto" w:sz="4" w:space="0"/>
              <w:right w:val="single" w:color="auto" w:sz="4" w:space="0"/>
            </w:tcBorders>
            <w:vAlign w:val="center"/>
          </w:tcPr>
          <w:p w14:paraId="2619DD1E">
            <w:pPr>
              <w:spacing w:line="500" w:lineRule="exact"/>
              <w:ind w:firstLine="435"/>
              <w:jc w:val="center"/>
              <w:rPr>
                <w:rFonts w:hint="eastAsia" w:ascii="仿宋" w:hAnsi="仿宋" w:eastAsia="仿宋" w:cs="仿宋"/>
                <w:b/>
                <w:bCs/>
                <w:color w:val="auto"/>
                <w:sz w:val="24"/>
                <w:szCs w:val="24"/>
                <w:highlight w:val="none"/>
              </w:rPr>
            </w:pPr>
          </w:p>
        </w:tc>
        <w:tc>
          <w:tcPr>
            <w:tcW w:w="638" w:type="pct"/>
            <w:tcBorders>
              <w:top w:val="single" w:color="auto" w:sz="4" w:space="0"/>
              <w:left w:val="single" w:color="auto" w:sz="4" w:space="0"/>
              <w:right w:val="single" w:color="auto" w:sz="4" w:space="0"/>
            </w:tcBorders>
            <w:vAlign w:val="center"/>
          </w:tcPr>
          <w:p w14:paraId="6C7CE41B">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产品技术参数</w:t>
            </w:r>
          </w:p>
        </w:tc>
        <w:tc>
          <w:tcPr>
            <w:tcW w:w="3304" w:type="pct"/>
            <w:tcBorders>
              <w:top w:val="single" w:color="auto" w:sz="4" w:space="0"/>
              <w:left w:val="single" w:color="auto" w:sz="4" w:space="0"/>
              <w:right w:val="single" w:color="auto" w:sz="4" w:space="0"/>
            </w:tcBorders>
            <w:vAlign w:val="center"/>
          </w:tcPr>
          <w:p w14:paraId="43AF36D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所投产品完全满足或优于招标文件中“采购需求</w:t>
            </w:r>
            <w:r>
              <w:rPr>
                <w:rFonts w:hint="eastAsia" w:ascii="仿宋" w:hAnsi="仿宋" w:eastAsia="仿宋" w:cs="仿宋"/>
                <w:color w:val="auto"/>
                <w:sz w:val="24"/>
                <w:highlight w:val="none"/>
                <w:lang w:val="en-US" w:eastAsia="zh-CN"/>
              </w:rPr>
              <w:t>中</w:t>
            </w:r>
            <w:r>
              <w:rPr>
                <w:rFonts w:hint="eastAsia" w:ascii="仿宋" w:hAnsi="仿宋" w:eastAsia="仿宋" w:cs="仿宋"/>
                <w:color w:val="auto"/>
                <w:sz w:val="24"/>
                <w:highlight w:val="none"/>
              </w:rPr>
              <w:t>技术参数要求”的，得</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分；</w:t>
            </w:r>
          </w:p>
          <w:p w14:paraId="5AC7B93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宋体" w:hAnsi="宋体" w:eastAsia="宋体" w:cs="Times New Roman"/>
                <w:color w:val="auto"/>
                <w:sz w:val="24"/>
                <w:szCs w:val="24"/>
                <w:highlight w:val="none"/>
              </w:rPr>
              <w:t>★</w:t>
            </w:r>
            <w:r>
              <w:rPr>
                <w:rFonts w:hint="eastAsia" w:ascii="仿宋" w:hAnsi="仿宋" w:eastAsia="仿宋" w:cs="仿宋"/>
                <w:color w:val="auto"/>
                <w:sz w:val="24"/>
                <w:highlight w:val="none"/>
              </w:rPr>
              <w:t>代表重要指标,每满足或优于一项指标得</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分，共</w:t>
            </w: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highlight w:val="none"/>
              </w:rPr>
              <w:t>项，共计</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分；（以采购内容及技术参数要求中提供的证明材料作为评审依据）</w:t>
            </w:r>
          </w:p>
          <w:p w14:paraId="438EC98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、未标符号的为一般参数，投标文件中无需列明，但在合同签订后将作为履约验收的依据，投标人在投标文件中提供相关承诺函，承诺完全满足参数要求或逐条响应均可，承诺函格式自拟，否则投标无效。</w:t>
            </w:r>
          </w:p>
          <w:p w14:paraId="1714B35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注：（1）如某项标识中包含多条技术参数或要求，则该项标识所含内容均需满足或优于招标文件要求，否则不予认可。</w:t>
            </w:r>
          </w:p>
          <w:p w14:paraId="5F25CD4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（2）本项内所有内容技术参数响应情况投标人须依据所投产品如实填写，若自填无偏离，供货时实际产品不响应或负偏离，采购人有权上报相关部门，按相关法律处理。</w:t>
            </w:r>
          </w:p>
        </w:tc>
        <w:tc>
          <w:tcPr>
            <w:tcW w:w="396" w:type="pct"/>
            <w:tcBorders>
              <w:top w:val="single" w:color="auto" w:sz="4" w:space="0"/>
              <w:left w:val="single" w:color="auto" w:sz="4" w:space="0"/>
              <w:bottom w:val="single" w:color="auto" w:sz="4" w:space="0"/>
              <w:right w:val="single" w:color="auto" w:sz="4" w:space="0"/>
            </w:tcBorders>
            <w:vAlign w:val="center"/>
          </w:tcPr>
          <w:p w14:paraId="408B7C3E">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0-15分</w:t>
            </w:r>
          </w:p>
        </w:tc>
      </w:tr>
      <w:tr w14:paraId="266D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661" w:type="pct"/>
            <w:vMerge w:val="continue"/>
            <w:tcBorders>
              <w:left w:val="single" w:color="auto" w:sz="4" w:space="0"/>
              <w:right w:val="single" w:color="auto" w:sz="4" w:space="0"/>
            </w:tcBorders>
            <w:vAlign w:val="center"/>
          </w:tcPr>
          <w:p w14:paraId="0AB35A83">
            <w:pPr>
              <w:spacing w:line="500" w:lineRule="exact"/>
              <w:ind w:firstLine="435"/>
              <w:jc w:val="center"/>
              <w:rPr>
                <w:rFonts w:hint="eastAsia" w:ascii="仿宋" w:hAnsi="仿宋" w:eastAsia="仿宋" w:cs="仿宋"/>
                <w:b/>
                <w:bCs/>
                <w:color w:val="auto"/>
                <w:sz w:val="24"/>
                <w:szCs w:val="24"/>
                <w:highlight w:val="none"/>
              </w:rPr>
            </w:pPr>
          </w:p>
        </w:tc>
        <w:tc>
          <w:tcPr>
            <w:tcW w:w="638" w:type="pct"/>
            <w:tcBorders>
              <w:top w:val="single" w:color="auto" w:sz="4" w:space="0"/>
              <w:left w:val="single" w:color="auto" w:sz="4" w:space="0"/>
              <w:right w:val="single" w:color="auto" w:sz="4" w:space="0"/>
            </w:tcBorders>
            <w:vAlign w:val="center"/>
          </w:tcPr>
          <w:p w14:paraId="521EC383">
            <w:pPr>
              <w:tabs>
                <w:tab w:val="left" w:pos="512"/>
              </w:tabs>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质保期承诺</w:t>
            </w:r>
          </w:p>
        </w:tc>
        <w:tc>
          <w:tcPr>
            <w:tcW w:w="3304" w:type="pct"/>
            <w:tcBorders>
              <w:top w:val="single" w:color="auto" w:sz="4" w:space="0"/>
              <w:left w:val="single" w:color="auto" w:sz="4" w:space="0"/>
              <w:right w:val="single" w:color="auto" w:sz="4" w:space="0"/>
            </w:tcBorders>
            <w:vAlign w:val="center"/>
          </w:tcPr>
          <w:p w14:paraId="0B5E19EA">
            <w:pPr>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在满足招标文件免费质保期</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年要求的基础上,所投的所有产品免费质保期每增加1年加</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分（不足1年的不加分），</w:t>
            </w:r>
            <w:r>
              <w:rPr>
                <w:rFonts w:hint="eastAsia" w:ascii="仿宋" w:hAnsi="仿宋" w:eastAsia="仿宋" w:cs="仿宋"/>
                <w:color w:val="auto"/>
                <w:sz w:val="24"/>
                <w:highlight w:val="none"/>
                <w:lang w:val="en-US" w:eastAsia="zh-CN"/>
              </w:rPr>
              <w:t>本项最高</w:t>
            </w:r>
            <w:r>
              <w:rPr>
                <w:rFonts w:hint="eastAsia" w:ascii="仿宋" w:hAnsi="仿宋" w:eastAsia="仿宋" w:cs="仿宋"/>
                <w:color w:val="auto"/>
                <w:sz w:val="24"/>
                <w:highlight w:val="none"/>
              </w:rPr>
              <w:t>得</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eastAsia="zh-CN"/>
              </w:rPr>
              <w:t>。</w:t>
            </w:r>
          </w:p>
          <w:p w14:paraId="02ED151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注：质保期承诺格式自拟，</w:t>
            </w:r>
            <w:r>
              <w:rPr>
                <w:rFonts w:hint="eastAsia" w:ascii="仿宋" w:hAnsi="仿宋" w:eastAsia="仿宋" w:cs="仿宋"/>
                <w:color w:val="auto"/>
                <w:sz w:val="24"/>
                <w:highlight w:val="none"/>
                <w:lang w:val="en-US" w:eastAsia="zh-CN"/>
              </w:rPr>
              <w:t>未提供或不符合要求的不得分</w:t>
            </w:r>
            <w:r>
              <w:rPr>
                <w:rFonts w:hint="eastAsia" w:ascii="仿宋" w:hAnsi="仿宋" w:eastAsia="仿宋" w:cs="仿宋"/>
                <w:color w:val="auto"/>
                <w:sz w:val="24"/>
                <w:highlight w:val="none"/>
                <w:lang w:eastAsia="zh-CN"/>
              </w:rPr>
              <w:t>。</w:t>
            </w:r>
          </w:p>
        </w:tc>
        <w:tc>
          <w:tcPr>
            <w:tcW w:w="396" w:type="pct"/>
            <w:tcBorders>
              <w:top w:val="single" w:color="auto" w:sz="4" w:space="0"/>
              <w:left w:val="single" w:color="auto" w:sz="4" w:space="0"/>
              <w:bottom w:val="single" w:color="auto" w:sz="4" w:space="0"/>
              <w:right w:val="single" w:color="auto" w:sz="4" w:space="0"/>
            </w:tcBorders>
            <w:vAlign w:val="center"/>
          </w:tcPr>
          <w:p w14:paraId="6F1F54D7">
            <w:pPr>
              <w:spacing w:line="360" w:lineRule="auto"/>
              <w:jc w:val="center"/>
              <w:rPr>
                <w:rFonts w:hint="default"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0-3分</w:t>
            </w:r>
          </w:p>
        </w:tc>
      </w:tr>
      <w:tr w14:paraId="37A8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Merge w:val="continue"/>
            <w:tcBorders>
              <w:left w:val="single" w:color="auto" w:sz="4" w:space="0"/>
              <w:right w:val="single" w:color="auto" w:sz="4" w:space="0"/>
            </w:tcBorders>
            <w:vAlign w:val="center"/>
          </w:tcPr>
          <w:p w14:paraId="19B8F2AF">
            <w:pPr>
              <w:spacing w:line="500" w:lineRule="exact"/>
              <w:ind w:firstLine="435"/>
              <w:jc w:val="center"/>
              <w:rPr>
                <w:rFonts w:hint="eastAsia" w:ascii="仿宋" w:hAnsi="仿宋" w:eastAsia="仿宋" w:cs="仿宋"/>
                <w:b/>
                <w:bCs/>
                <w:color w:val="auto"/>
                <w:sz w:val="24"/>
                <w:szCs w:val="24"/>
                <w:highlight w:val="none"/>
              </w:rPr>
            </w:pPr>
          </w:p>
        </w:tc>
        <w:tc>
          <w:tcPr>
            <w:tcW w:w="638" w:type="pct"/>
            <w:tcBorders>
              <w:top w:val="single" w:color="auto" w:sz="4" w:space="0"/>
              <w:left w:val="single" w:color="auto" w:sz="4" w:space="0"/>
              <w:bottom w:val="single" w:color="auto" w:sz="4" w:space="0"/>
              <w:right w:val="single" w:color="auto" w:sz="4" w:space="0"/>
            </w:tcBorders>
            <w:vAlign w:val="center"/>
          </w:tcPr>
          <w:p w14:paraId="4F2B3421">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项目的理解与分析</w:t>
            </w:r>
          </w:p>
        </w:tc>
        <w:tc>
          <w:tcPr>
            <w:tcW w:w="3304" w:type="pct"/>
            <w:tcBorders>
              <w:top w:val="single" w:color="auto" w:sz="4" w:space="0"/>
              <w:left w:val="single" w:color="auto" w:sz="4" w:space="0"/>
              <w:bottom w:val="single" w:color="auto" w:sz="4" w:space="0"/>
              <w:right w:val="single" w:color="auto" w:sz="4" w:space="0"/>
            </w:tcBorders>
            <w:vAlign w:val="center"/>
          </w:tcPr>
          <w:p w14:paraId="32DB1CD2">
            <w:pPr>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根据投标人提供的针对本项目的理解与分析方案：包括对工作重难点进行科学分析，能够就实施区域现状有准确全面的了解，对潜在的、重点的、难点问题提出预见性的分析及提出提高服务质量的专业化建议及应对措施的，根据方案的科学性、计划安排、培训措施等方面，</w:t>
            </w:r>
            <w:r>
              <w:rPr>
                <w:rFonts w:hint="eastAsia" w:ascii="仿宋" w:hAnsi="仿宋" w:eastAsia="仿宋" w:cs="仿宋"/>
                <w:color w:val="auto"/>
                <w:sz w:val="24"/>
                <w:highlight w:val="none"/>
                <w:lang w:val="en-US" w:eastAsia="zh-CN"/>
              </w:rPr>
              <w:t>评标委员会综合评审</w:t>
            </w:r>
            <w:r>
              <w:rPr>
                <w:rFonts w:hint="eastAsia" w:ascii="仿宋" w:hAnsi="仿宋" w:eastAsia="仿宋" w:cs="仿宋"/>
                <w:color w:val="auto"/>
                <w:sz w:val="24"/>
                <w:highlight w:val="none"/>
                <w:lang w:eastAsia="zh-CN"/>
              </w:rPr>
              <w:t>：</w:t>
            </w:r>
          </w:p>
          <w:p w14:paraId="43457E4E">
            <w:pPr>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）方案能深入分析项目所在地现状，精准预判实施过程中的多重潜在难点，并提出针对性的应对措施，方案详实专业</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lang w:eastAsia="zh-CN"/>
              </w:rPr>
              <w:t>，得</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分；</w:t>
            </w:r>
          </w:p>
          <w:p w14:paraId="5E901209">
            <w:pPr>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）方案能对项目现状和常规重难点进行准确分析，提出的应对措施和计划安排科学能有效指导项目实施，得</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分；</w:t>
            </w:r>
          </w:p>
          <w:p w14:paraId="514EA482">
            <w:pPr>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）方案对项目现状和重难点分析流于表面，预见性不足，提出的措施缺乏针对性或可操作性，内容空泛，</w:t>
            </w:r>
            <w:r>
              <w:rPr>
                <w:rFonts w:hint="eastAsia" w:ascii="仿宋" w:hAnsi="仿宋" w:eastAsia="仿宋" w:cs="仿宋"/>
                <w:color w:val="auto"/>
                <w:sz w:val="24"/>
                <w:highlight w:val="none"/>
                <w:lang w:val="en-US" w:eastAsia="zh-CN"/>
              </w:rPr>
              <w:t>需进一步优化完善</w:t>
            </w:r>
            <w:r>
              <w:rPr>
                <w:rFonts w:hint="eastAsia" w:ascii="仿宋" w:hAnsi="仿宋" w:eastAsia="仿宋" w:cs="仿宋"/>
                <w:color w:val="auto"/>
                <w:sz w:val="24"/>
                <w:highlight w:val="none"/>
                <w:lang w:eastAsia="zh-CN"/>
              </w:rPr>
              <w:t>，得</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分；</w:t>
            </w:r>
          </w:p>
          <w:p w14:paraId="522BF8C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）方案不能满足项目实施要求或未提供的不得分。</w:t>
            </w:r>
          </w:p>
        </w:tc>
        <w:tc>
          <w:tcPr>
            <w:tcW w:w="396" w:type="pct"/>
            <w:tcBorders>
              <w:top w:val="single" w:color="auto" w:sz="4" w:space="0"/>
              <w:left w:val="single" w:color="auto" w:sz="4" w:space="0"/>
              <w:bottom w:val="single" w:color="auto" w:sz="4" w:space="0"/>
              <w:right w:val="single" w:color="auto" w:sz="4" w:space="0"/>
            </w:tcBorders>
            <w:vAlign w:val="center"/>
          </w:tcPr>
          <w:p w14:paraId="474B577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分</w:t>
            </w:r>
          </w:p>
        </w:tc>
      </w:tr>
      <w:tr w14:paraId="1BCD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Merge w:val="continue"/>
            <w:tcBorders>
              <w:left w:val="single" w:color="auto" w:sz="4" w:space="0"/>
              <w:right w:val="single" w:color="auto" w:sz="4" w:space="0"/>
            </w:tcBorders>
            <w:vAlign w:val="center"/>
          </w:tcPr>
          <w:p w14:paraId="30885E02">
            <w:pPr>
              <w:spacing w:line="500" w:lineRule="exact"/>
              <w:ind w:firstLine="435"/>
              <w:jc w:val="center"/>
              <w:rPr>
                <w:rFonts w:hint="eastAsia" w:ascii="仿宋" w:hAnsi="仿宋" w:eastAsia="仿宋" w:cs="仿宋"/>
                <w:b/>
                <w:bCs/>
                <w:color w:val="auto"/>
                <w:sz w:val="24"/>
                <w:szCs w:val="24"/>
                <w:highlight w:val="none"/>
              </w:rPr>
            </w:pPr>
          </w:p>
        </w:tc>
        <w:tc>
          <w:tcPr>
            <w:tcW w:w="638" w:type="pct"/>
            <w:tcBorders>
              <w:top w:val="single" w:color="auto" w:sz="4" w:space="0"/>
              <w:left w:val="single" w:color="auto" w:sz="4" w:space="0"/>
              <w:bottom w:val="single" w:color="auto" w:sz="4" w:space="0"/>
              <w:right w:val="single" w:color="auto" w:sz="4" w:space="0"/>
            </w:tcBorders>
            <w:vAlign w:val="center"/>
          </w:tcPr>
          <w:p w14:paraId="49EFFCCE">
            <w:pPr>
              <w:spacing w:line="360" w:lineRule="auto"/>
              <w:jc w:val="center"/>
              <w:rPr>
                <w:rFonts w:hint="default" w:ascii="@仿宋_GB2312" w:hAnsi="@仿宋_GB2312" w:eastAsia="@仿宋_GB2312" w:cs="@仿宋_GB2312"/>
                <w:color w:val="auto"/>
                <w:kern w:val="2"/>
                <w:sz w:val="21"/>
                <w:highlight w:val="none"/>
                <w:lang w:val="en-US" w:eastAsia="zh-CN" w:bidi="ar-SA"/>
              </w:rPr>
            </w:pPr>
            <w:r>
              <w:rPr>
                <w:rFonts w:hint="eastAsia" w:ascii="仿宋" w:hAnsi="仿宋" w:eastAsia="仿宋" w:cs="仿宋"/>
                <w:color w:val="auto"/>
                <w:sz w:val="24"/>
                <w:highlight w:val="none"/>
                <w:lang w:eastAsia="zh-CN"/>
              </w:rPr>
              <w:t>供货与安装方案</w:t>
            </w:r>
          </w:p>
          <w:p w14:paraId="14ECAE1A">
            <w:pPr>
              <w:bidi w:val="0"/>
              <w:jc w:val="center"/>
              <w:rPr>
                <w:rFonts w:hint="default"/>
                <w:color w:val="auto"/>
                <w:highlight w:val="none"/>
                <w:lang w:val="en-US" w:eastAsia="zh-CN"/>
              </w:rPr>
            </w:pPr>
          </w:p>
          <w:p w14:paraId="20D806CF">
            <w:pPr>
              <w:bidi w:val="0"/>
              <w:jc w:val="center"/>
              <w:rPr>
                <w:rFonts w:hint="default"/>
                <w:color w:val="auto"/>
                <w:highlight w:val="none"/>
                <w:lang w:val="en-US" w:eastAsia="zh-CN"/>
              </w:rPr>
            </w:pPr>
          </w:p>
          <w:p w14:paraId="556DE508">
            <w:pPr>
              <w:bidi w:val="0"/>
              <w:jc w:val="center"/>
              <w:rPr>
                <w:rFonts w:hint="default"/>
                <w:color w:val="auto"/>
                <w:highlight w:val="none"/>
                <w:lang w:val="en-US" w:eastAsia="zh-CN"/>
              </w:rPr>
            </w:pPr>
          </w:p>
          <w:p w14:paraId="794BCEBF">
            <w:pPr>
              <w:bidi w:val="0"/>
              <w:jc w:val="center"/>
              <w:rPr>
                <w:rFonts w:hint="default"/>
                <w:color w:val="auto"/>
                <w:highlight w:val="none"/>
                <w:lang w:val="en-US" w:eastAsia="zh-CN"/>
              </w:rPr>
            </w:pPr>
          </w:p>
        </w:tc>
        <w:tc>
          <w:tcPr>
            <w:tcW w:w="3304" w:type="pct"/>
            <w:tcBorders>
              <w:top w:val="single" w:color="auto" w:sz="4" w:space="0"/>
              <w:left w:val="single" w:color="auto" w:sz="4" w:space="0"/>
              <w:bottom w:val="single" w:color="auto" w:sz="4" w:space="0"/>
              <w:right w:val="single" w:color="auto" w:sz="4" w:space="0"/>
            </w:tcBorders>
            <w:vAlign w:val="center"/>
          </w:tcPr>
          <w:p w14:paraId="5E409222">
            <w:pPr>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投标人根据采购需求提供明确的供货和安装实施方案，由</w:t>
            </w:r>
            <w:r>
              <w:rPr>
                <w:rFonts w:hint="eastAsia" w:ascii="仿宋" w:hAnsi="仿宋" w:eastAsia="仿宋" w:cs="仿宋"/>
                <w:color w:val="auto"/>
                <w:sz w:val="24"/>
                <w:highlight w:val="none"/>
                <w:lang w:val="en-US" w:eastAsia="zh-CN"/>
              </w:rPr>
              <w:t>评标委员会综合评审</w:t>
            </w:r>
            <w:r>
              <w:rPr>
                <w:rFonts w:hint="eastAsia" w:ascii="仿宋" w:hAnsi="仿宋" w:eastAsia="仿宋" w:cs="仿宋"/>
                <w:color w:val="auto"/>
                <w:sz w:val="24"/>
                <w:highlight w:val="none"/>
                <w:lang w:eastAsia="zh-CN"/>
              </w:rPr>
              <w:t>:</w:t>
            </w:r>
          </w:p>
          <w:p w14:paraId="19F74F91">
            <w:pPr>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）方案制定了非常详尽的进度计划，关键节点清晰，各工序衔接逻辑严密；针对项目场地分散、接电困难等实际问题，有细致周全的保障预案，并设有进度纠偏机制，可确保项目提前或高质量交付的得</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分；</w:t>
            </w:r>
          </w:p>
          <w:p w14:paraId="55A85DF8">
            <w:pPr>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）方案有完整的进度计划安排，工序安排合理，能确保在招标文件规定的工期内完成所有工作，满足项目基本实施要求的，得</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分；</w:t>
            </w:r>
          </w:p>
          <w:p w14:paraId="6078C576">
            <w:pPr>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）方案进度计划过于</w:t>
            </w:r>
            <w:r>
              <w:rPr>
                <w:rFonts w:hint="eastAsia" w:ascii="仿宋" w:hAnsi="仿宋" w:eastAsia="仿宋" w:cs="仿宋"/>
                <w:color w:val="auto"/>
                <w:sz w:val="24"/>
                <w:highlight w:val="none"/>
                <w:lang w:val="en-US" w:eastAsia="zh-CN"/>
              </w:rPr>
              <w:t>简单</w:t>
            </w:r>
            <w:r>
              <w:rPr>
                <w:rFonts w:hint="eastAsia" w:ascii="仿宋" w:hAnsi="仿宋" w:eastAsia="仿宋" w:cs="仿宋"/>
                <w:color w:val="auto"/>
                <w:sz w:val="24"/>
                <w:highlight w:val="none"/>
                <w:lang w:eastAsia="zh-CN"/>
              </w:rPr>
              <w:t>，关键工序和时间节点不明确，对项目实施过程中可能遇到的问题缺乏预见性和应对措施，内容不完整，得</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分；</w:t>
            </w:r>
          </w:p>
          <w:p w14:paraId="55AFB927">
            <w:pPr>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）方案不能满足项目实施要求或未提供的不得分。</w:t>
            </w:r>
          </w:p>
        </w:tc>
        <w:tc>
          <w:tcPr>
            <w:tcW w:w="396" w:type="pct"/>
            <w:tcBorders>
              <w:top w:val="single" w:color="auto" w:sz="4" w:space="0"/>
              <w:left w:val="single" w:color="auto" w:sz="4" w:space="0"/>
              <w:bottom w:val="single" w:color="auto" w:sz="4" w:space="0"/>
              <w:right w:val="single" w:color="auto" w:sz="4" w:space="0"/>
            </w:tcBorders>
            <w:vAlign w:val="center"/>
          </w:tcPr>
          <w:p w14:paraId="08A59A0D">
            <w:pPr>
              <w:spacing w:line="360"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0-4分</w:t>
            </w:r>
          </w:p>
        </w:tc>
      </w:tr>
      <w:tr w14:paraId="7721B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Merge w:val="continue"/>
            <w:tcBorders>
              <w:left w:val="single" w:color="auto" w:sz="4" w:space="0"/>
              <w:right w:val="single" w:color="auto" w:sz="4" w:space="0"/>
            </w:tcBorders>
            <w:vAlign w:val="center"/>
          </w:tcPr>
          <w:p w14:paraId="32F4B921">
            <w:pPr>
              <w:spacing w:line="500" w:lineRule="exact"/>
              <w:ind w:firstLine="435"/>
              <w:jc w:val="center"/>
              <w:rPr>
                <w:rFonts w:hint="eastAsia" w:ascii="仿宋" w:hAnsi="仿宋" w:eastAsia="仿宋" w:cs="仿宋"/>
                <w:b/>
                <w:bCs/>
                <w:color w:val="auto"/>
                <w:sz w:val="24"/>
                <w:szCs w:val="24"/>
                <w:highlight w:val="none"/>
              </w:rPr>
            </w:pPr>
          </w:p>
        </w:tc>
        <w:tc>
          <w:tcPr>
            <w:tcW w:w="638" w:type="pct"/>
            <w:tcBorders>
              <w:top w:val="single" w:color="auto" w:sz="4" w:space="0"/>
              <w:left w:val="single" w:color="auto" w:sz="4" w:space="0"/>
              <w:bottom w:val="single" w:color="auto" w:sz="4" w:space="0"/>
              <w:right w:val="single" w:color="auto" w:sz="4" w:space="0"/>
            </w:tcBorders>
            <w:vAlign w:val="center"/>
          </w:tcPr>
          <w:p w14:paraId="61584503">
            <w:pPr>
              <w:spacing w:line="360" w:lineRule="auto"/>
              <w:jc w:val="center"/>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服务质量控制方案</w:t>
            </w:r>
          </w:p>
        </w:tc>
        <w:tc>
          <w:tcPr>
            <w:tcW w:w="3304" w:type="pct"/>
            <w:tcBorders>
              <w:top w:val="single" w:color="auto" w:sz="4" w:space="0"/>
              <w:left w:val="single" w:color="auto" w:sz="4" w:space="0"/>
              <w:bottom w:val="single" w:color="auto" w:sz="4" w:space="0"/>
              <w:right w:val="single" w:color="auto" w:sz="4" w:space="0"/>
            </w:tcBorders>
            <w:vAlign w:val="center"/>
          </w:tcPr>
          <w:p w14:paraId="6559EA88">
            <w:pPr>
              <w:spacing w:line="360" w:lineRule="auto"/>
              <w:ind w:firstLine="4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投标人提供的服务质量控制方案包括服务质量控制目标、服务质量控制措施、服务质量控制体系，</w:t>
            </w:r>
            <w:r>
              <w:rPr>
                <w:rFonts w:hint="eastAsia" w:ascii="仿宋" w:hAnsi="仿宋" w:eastAsia="仿宋" w:cs="仿宋"/>
                <w:color w:val="auto"/>
                <w:sz w:val="24"/>
                <w:highlight w:val="none"/>
                <w:lang w:eastAsia="zh-CN"/>
              </w:rPr>
              <w:t>由</w:t>
            </w:r>
            <w:r>
              <w:rPr>
                <w:rFonts w:hint="eastAsia" w:ascii="仿宋" w:hAnsi="仿宋" w:eastAsia="仿宋" w:cs="仿宋"/>
                <w:color w:val="auto"/>
                <w:sz w:val="24"/>
                <w:highlight w:val="none"/>
                <w:lang w:val="en-US" w:eastAsia="zh-CN"/>
              </w:rPr>
              <w:t>评标委员会综合评审</w:t>
            </w:r>
            <w:r>
              <w:rPr>
                <w:rFonts w:hint="eastAsia" w:ascii="仿宋" w:hAnsi="仿宋" w:eastAsia="仿宋" w:cs="仿宋"/>
                <w:color w:val="auto"/>
                <w:sz w:val="24"/>
                <w:highlight w:val="none"/>
                <w:lang w:eastAsia="zh-CN"/>
              </w:rPr>
              <w:t>:</w:t>
            </w:r>
          </w:p>
          <w:p w14:paraId="09A29452">
            <w:pPr>
              <w:spacing w:line="360" w:lineRule="auto"/>
              <w:ind w:firstLine="435"/>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（1）服务质量控制方案完善、详尽；质量控制目标具体、可量化；对各环节有严格的管控流程和具体检验标准，并制定了详细的缺陷处理与追溯机制的，得4分。</w:t>
            </w:r>
          </w:p>
          <w:p w14:paraId="475DA9A1">
            <w:pPr>
              <w:spacing w:line="360" w:lineRule="auto"/>
              <w:ind w:firstLine="4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（2）服务质量控制方案完整有完整的质量管控体系，明确了质量控制目标，对项目实施各环节有相应的保障措施，能确保项目质量符合国家标准和招标要求，得2分;</w:t>
            </w:r>
          </w:p>
          <w:p w14:paraId="2B7581BF">
            <w:pPr>
              <w:spacing w:line="360" w:lineRule="auto"/>
              <w:ind w:firstLine="4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（3）方案质量管控体系不健全，控制目标模糊，保障措施简单，缺乏对关键环节的具体管控描述，可操作性不强的，得1分;</w:t>
            </w:r>
          </w:p>
          <w:p w14:paraId="552C0CD0">
            <w:pPr>
              <w:spacing w:line="360" w:lineRule="auto"/>
              <w:ind w:firstLine="435"/>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方案不能满足项目实施要求或未提供的不得分</w:t>
            </w:r>
            <w:r>
              <w:rPr>
                <w:rFonts w:hint="eastAsia" w:ascii="仿宋" w:hAnsi="仿宋" w:eastAsia="仿宋" w:cs="仿宋"/>
                <w:color w:val="auto"/>
                <w:sz w:val="24"/>
                <w:highlight w:val="none"/>
                <w:lang w:val="en-US" w:eastAsia="zh-CN"/>
              </w:rPr>
              <w:t>。</w:t>
            </w:r>
          </w:p>
        </w:tc>
        <w:tc>
          <w:tcPr>
            <w:tcW w:w="396" w:type="pct"/>
            <w:tcBorders>
              <w:top w:val="single" w:color="auto" w:sz="4" w:space="0"/>
              <w:left w:val="single" w:color="auto" w:sz="4" w:space="0"/>
              <w:bottom w:val="single" w:color="auto" w:sz="4" w:space="0"/>
              <w:right w:val="single" w:color="auto" w:sz="4" w:space="0"/>
            </w:tcBorders>
            <w:vAlign w:val="center"/>
          </w:tcPr>
          <w:p w14:paraId="32FB503F">
            <w:pPr>
              <w:spacing w:line="360"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0-4分</w:t>
            </w:r>
          </w:p>
        </w:tc>
      </w:tr>
      <w:tr w14:paraId="50A7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0" w:hRule="atLeast"/>
          <w:jc w:val="center"/>
        </w:trPr>
        <w:tc>
          <w:tcPr>
            <w:tcW w:w="661" w:type="pct"/>
            <w:vMerge w:val="continue"/>
            <w:tcBorders>
              <w:left w:val="single" w:color="auto" w:sz="4" w:space="0"/>
              <w:right w:val="single" w:color="auto" w:sz="4" w:space="0"/>
            </w:tcBorders>
            <w:vAlign w:val="center"/>
          </w:tcPr>
          <w:p w14:paraId="0D08C625">
            <w:pPr>
              <w:spacing w:line="500" w:lineRule="exact"/>
              <w:ind w:firstLine="435"/>
              <w:jc w:val="center"/>
              <w:rPr>
                <w:rFonts w:hint="eastAsia" w:ascii="仿宋" w:hAnsi="仿宋" w:eastAsia="仿宋" w:cs="仿宋"/>
                <w:b/>
                <w:bCs/>
                <w:color w:val="auto"/>
                <w:sz w:val="24"/>
                <w:szCs w:val="24"/>
                <w:highlight w:val="none"/>
              </w:rPr>
            </w:pPr>
          </w:p>
        </w:tc>
        <w:tc>
          <w:tcPr>
            <w:tcW w:w="638" w:type="pct"/>
            <w:tcBorders>
              <w:top w:val="single" w:color="auto" w:sz="4" w:space="0"/>
              <w:left w:val="single" w:color="auto" w:sz="4" w:space="0"/>
              <w:right w:val="single" w:color="auto" w:sz="4" w:space="0"/>
            </w:tcBorders>
            <w:vAlign w:val="center"/>
          </w:tcPr>
          <w:p w14:paraId="1564278E">
            <w:pPr>
              <w:spacing w:line="360"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再生资源回收体系建设方案</w:t>
            </w:r>
          </w:p>
        </w:tc>
        <w:tc>
          <w:tcPr>
            <w:tcW w:w="3304" w:type="pct"/>
            <w:tcBorders>
              <w:top w:val="single" w:color="auto" w:sz="4" w:space="0"/>
              <w:left w:val="single" w:color="auto" w:sz="4" w:space="0"/>
              <w:right w:val="single" w:color="auto" w:sz="4" w:space="0"/>
            </w:tcBorders>
            <w:vAlign w:val="center"/>
          </w:tcPr>
          <w:p w14:paraId="5F6C68B8">
            <w:pPr>
              <w:spacing w:line="360" w:lineRule="auto"/>
              <w:ind w:firstLine="4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投标人提供的再生资源回收体系建设方案，包括前端再生资源智能回收设备、收运车辆、分拣中心建设、运营等内容，</w:t>
            </w:r>
            <w:r>
              <w:rPr>
                <w:rFonts w:hint="eastAsia" w:ascii="仿宋" w:hAnsi="仿宋" w:eastAsia="仿宋" w:cs="仿宋"/>
                <w:color w:val="auto"/>
                <w:sz w:val="24"/>
                <w:highlight w:val="none"/>
                <w:lang w:eastAsia="zh-CN"/>
              </w:rPr>
              <w:t>由</w:t>
            </w:r>
            <w:r>
              <w:rPr>
                <w:rFonts w:hint="eastAsia" w:ascii="仿宋" w:hAnsi="仿宋" w:eastAsia="仿宋" w:cs="仿宋"/>
                <w:color w:val="auto"/>
                <w:sz w:val="24"/>
                <w:highlight w:val="none"/>
                <w:lang w:val="en-US" w:eastAsia="zh-CN"/>
              </w:rPr>
              <w:t>评标委员会综合评审:</w:t>
            </w:r>
          </w:p>
          <w:p w14:paraId="6096A5FE">
            <w:pPr>
              <w:spacing w:line="360" w:lineRule="auto"/>
              <w:ind w:firstLine="4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（1）针对本项目的再生资源回收体系建设方案全面、详尽，符合项目实际，运营管理科学规范，具备可落地性，得5分；</w:t>
            </w:r>
          </w:p>
          <w:p w14:paraId="74852883">
            <w:pPr>
              <w:spacing w:line="360" w:lineRule="auto"/>
              <w:ind w:firstLine="4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（2）针对本项目的再生资源回收体系建设方案完整，方案满足采购需求的，得3分；</w:t>
            </w:r>
          </w:p>
          <w:p w14:paraId="41703395">
            <w:pPr>
              <w:spacing w:line="360" w:lineRule="auto"/>
              <w:ind w:firstLine="4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（3）针对本项目的再生资源回收体系建设方案片面、缺乏具体措施，有待补充完善的，得1分；</w:t>
            </w:r>
          </w:p>
          <w:p w14:paraId="221E0C18">
            <w:pPr>
              <w:spacing w:line="360" w:lineRule="auto"/>
              <w:ind w:firstLine="4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（4）方案不能满足项目实施要求或未提供的不得分。</w:t>
            </w:r>
          </w:p>
        </w:tc>
        <w:tc>
          <w:tcPr>
            <w:tcW w:w="396" w:type="pct"/>
            <w:tcBorders>
              <w:top w:val="single" w:color="auto" w:sz="4" w:space="0"/>
              <w:left w:val="single" w:color="auto" w:sz="4" w:space="0"/>
              <w:bottom w:val="single" w:color="auto" w:sz="4" w:space="0"/>
              <w:right w:val="single" w:color="auto" w:sz="4" w:space="0"/>
            </w:tcBorders>
            <w:vAlign w:val="center"/>
          </w:tcPr>
          <w:p w14:paraId="3898D562">
            <w:pPr>
              <w:spacing w:line="360" w:lineRule="auto"/>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0-5分</w:t>
            </w:r>
          </w:p>
        </w:tc>
      </w:tr>
      <w:tr w14:paraId="3B35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Merge w:val="continue"/>
            <w:tcBorders>
              <w:left w:val="single" w:color="auto" w:sz="4" w:space="0"/>
              <w:right w:val="single" w:color="auto" w:sz="4" w:space="0"/>
            </w:tcBorders>
            <w:vAlign w:val="center"/>
          </w:tcPr>
          <w:p w14:paraId="281A2BB9">
            <w:pPr>
              <w:spacing w:line="500" w:lineRule="exact"/>
              <w:ind w:firstLine="435"/>
              <w:jc w:val="center"/>
              <w:rPr>
                <w:rFonts w:hint="eastAsia" w:ascii="仿宋" w:hAnsi="仿宋" w:eastAsia="仿宋" w:cs="仿宋"/>
                <w:b/>
                <w:bCs/>
                <w:color w:val="auto"/>
                <w:sz w:val="24"/>
                <w:szCs w:val="24"/>
                <w:highlight w:val="none"/>
              </w:rPr>
            </w:pPr>
          </w:p>
        </w:tc>
        <w:tc>
          <w:tcPr>
            <w:tcW w:w="638" w:type="pct"/>
            <w:tcBorders>
              <w:top w:val="single" w:color="auto" w:sz="4" w:space="0"/>
              <w:left w:val="single" w:color="auto" w:sz="4" w:space="0"/>
              <w:bottom w:val="single" w:color="auto" w:sz="4" w:space="0"/>
              <w:right w:val="single" w:color="auto" w:sz="4" w:space="0"/>
            </w:tcBorders>
            <w:vAlign w:val="center"/>
          </w:tcPr>
          <w:p w14:paraId="255C4369">
            <w:pPr>
              <w:spacing w:line="360"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再生资源管理平台建设和对接方案</w:t>
            </w:r>
          </w:p>
        </w:tc>
        <w:tc>
          <w:tcPr>
            <w:tcW w:w="3304" w:type="pct"/>
            <w:tcBorders>
              <w:top w:val="single" w:color="auto" w:sz="4" w:space="0"/>
              <w:left w:val="single" w:color="auto" w:sz="4" w:space="0"/>
              <w:bottom w:val="single" w:color="auto" w:sz="4" w:space="0"/>
              <w:right w:val="single" w:color="auto" w:sz="4" w:space="0"/>
            </w:tcBorders>
            <w:vAlign w:val="center"/>
          </w:tcPr>
          <w:p w14:paraId="0BE50F1F">
            <w:pPr>
              <w:spacing w:line="360" w:lineRule="auto"/>
              <w:ind w:firstLine="4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投标人提供的再生资源管理平台建设及与安徽省生活垃圾分类综合服务平台对接方案，根据方案的科学性、计划安排、培训措施等方面，由评标委员会综合评审：</w:t>
            </w:r>
          </w:p>
          <w:p w14:paraId="38717F13">
            <w:pPr>
              <w:spacing w:line="360" w:lineRule="auto"/>
              <w:ind w:firstLine="4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（1）对本项目再生资源管理平台建设及对接方案理解准确，平台功能齐全，能够提供系统功能截图和说明手册，阐述与省平台对接的方案完整详细，有专业技术团队，具备专业能力，保障措施得力，得5分；</w:t>
            </w:r>
          </w:p>
          <w:p w14:paraId="27C16CDE">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（2）平台功能设计完整，覆盖招标文件要求的全部功能点；提出的与省平台对接方案可行，有明确的技术路径和实施计划，能保证按期完成对接的，得3分；</w:t>
            </w:r>
          </w:p>
          <w:p w14:paraId="419FD8FA">
            <w:pPr>
              <w:spacing w:line="360" w:lineRule="auto"/>
              <w:ind w:firstLine="4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（3）平台功能介绍简单，未能完整覆盖招标文件要求的功能；与省平台的对接方案模糊，缺乏具体技术措施和团队保障，对接风险高的，得1分；</w:t>
            </w:r>
          </w:p>
          <w:p w14:paraId="2EE8DF54">
            <w:pPr>
              <w:spacing w:line="360" w:lineRule="auto"/>
              <w:ind w:firstLine="4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（4）方案不能满足项目实施要求或未提供的不得分。</w:t>
            </w:r>
          </w:p>
        </w:tc>
        <w:tc>
          <w:tcPr>
            <w:tcW w:w="396" w:type="pct"/>
            <w:tcBorders>
              <w:top w:val="single" w:color="auto" w:sz="4" w:space="0"/>
              <w:left w:val="single" w:color="auto" w:sz="4" w:space="0"/>
              <w:bottom w:val="single" w:color="auto" w:sz="4" w:space="0"/>
              <w:right w:val="single" w:color="auto" w:sz="4" w:space="0"/>
            </w:tcBorders>
            <w:vAlign w:val="center"/>
          </w:tcPr>
          <w:p w14:paraId="500D1A79">
            <w:pPr>
              <w:spacing w:line="360" w:lineRule="auto"/>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0-5分</w:t>
            </w:r>
          </w:p>
        </w:tc>
      </w:tr>
      <w:tr w14:paraId="03E3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661" w:type="pct"/>
            <w:vMerge w:val="continue"/>
            <w:tcBorders>
              <w:left w:val="single" w:color="auto" w:sz="4" w:space="0"/>
              <w:right w:val="single" w:color="auto" w:sz="4" w:space="0"/>
            </w:tcBorders>
            <w:vAlign w:val="center"/>
          </w:tcPr>
          <w:p w14:paraId="79BFE60C">
            <w:pPr>
              <w:spacing w:line="500" w:lineRule="exact"/>
              <w:ind w:firstLine="435"/>
              <w:jc w:val="center"/>
              <w:rPr>
                <w:rFonts w:hint="eastAsia" w:ascii="仿宋" w:hAnsi="仿宋" w:eastAsia="仿宋" w:cs="仿宋"/>
                <w:b/>
                <w:bCs/>
                <w:color w:val="auto"/>
                <w:sz w:val="24"/>
                <w:szCs w:val="24"/>
                <w:highlight w:val="none"/>
              </w:rPr>
            </w:pPr>
          </w:p>
        </w:tc>
        <w:tc>
          <w:tcPr>
            <w:tcW w:w="638" w:type="pct"/>
            <w:tcBorders>
              <w:top w:val="single" w:color="auto" w:sz="4" w:space="0"/>
              <w:left w:val="single" w:color="auto" w:sz="4" w:space="0"/>
              <w:right w:val="single" w:color="auto" w:sz="4" w:space="0"/>
            </w:tcBorders>
            <w:vAlign w:val="center"/>
          </w:tcPr>
          <w:p w14:paraId="0D4F196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售后服务方案</w:t>
            </w:r>
          </w:p>
        </w:tc>
        <w:tc>
          <w:tcPr>
            <w:tcW w:w="3304" w:type="pct"/>
            <w:tcBorders>
              <w:top w:val="single" w:color="auto" w:sz="4" w:space="0"/>
              <w:left w:val="single" w:color="auto" w:sz="4" w:space="0"/>
              <w:right w:val="single" w:color="auto" w:sz="4" w:space="0"/>
            </w:tcBorders>
            <w:vAlign w:val="center"/>
          </w:tcPr>
          <w:p w14:paraId="41A7702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各投标人针对本项目提供售后服务方案</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方案内容包括但不限于</w:t>
            </w:r>
            <w:r>
              <w:rPr>
                <w:rFonts w:hint="eastAsia" w:ascii="仿宋" w:hAnsi="仿宋" w:eastAsia="仿宋" w:cs="仿宋"/>
                <w:color w:val="auto"/>
                <w:sz w:val="24"/>
                <w:highlight w:val="none"/>
              </w:rPr>
              <w:t>售后服务响应时间</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售后服务人员配备充足</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能满足项目后期的维保需要</w:t>
            </w:r>
            <w:r>
              <w:rPr>
                <w:rFonts w:hint="eastAsia" w:ascii="仿宋" w:hAnsi="仿宋" w:eastAsia="仿宋" w:cs="仿宋"/>
                <w:color w:val="auto"/>
                <w:sz w:val="24"/>
                <w:highlight w:val="none"/>
                <w:lang w:val="en-US" w:eastAsia="zh-CN"/>
              </w:rPr>
              <w:t>等，由评标委员会综合评审：</w:t>
            </w:r>
          </w:p>
          <w:p w14:paraId="4CC82562">
            <w:pPr>
              <w:spacing w:line="360" w:lineRule="auto"/>
              <w:ind w:firstLine="435"/>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售后服务措施详尽、维修响应时间及时、备件供应保障充足、人员售后配置详细、远程报修服务方案全面、实时维修统计详尽，能保障采购人获得高质量售后服务的，得</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eastAsia="zh-CN"/>
              </w:rPr>
              <w:t>；</w:t>
            </w:r>
          </w:p>
          <w:p w14:paraId="1BDEEE94">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售后服务措施完整、维修响应时间及时、具有备件供应保障措施、配置售后人员、具有远程报修服务的，得</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w:t>
            </w:r>
          </w:p>
          <w:p w14:paraId="09A58460">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售后服务措施、维修响应时间、备件供应保障、配置售后人员、远程报修服务措施不全或存在不足的，得1分</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w:t>
            </w:r>
          </w:p>
          <w:p w14:paraId="75E9F87D">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方案不能满足项目要求或未提供的不得分。</w:t>
            </w:r>
          </w:p>
        </w:tc>
        <w:tc>
          <w:tcPr>
            <w:tcW w:w="396" w:type="pct"/>
            <w:tcBorders>
              <w:top w:val="single" w:color="auto" w:sz="4" w:space="0"/>
              <w:left w:val="single" w:color="auto" w:sz="4" w:space="0"/>
              <w:bottom w:val="single" w:color="auto" w:sz="4" w:space="0"/>
              <w:right w:val="single" w:color="auto" w:sz="4" w:space="0"/>
            </w:tcBorders>
            <w:vAlign w:val="center"/>
          </w:tcPr>
          <w:p w14:paraId="14534E0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分</w:t>
            </w:r>
          </w:p>
        </w:tc>
      </w:tr>
      <w:tr w14:paraId="6AA2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tcBorders>
              <w:left w:val="single" w:color="auto" w:sz="4" w:space="0"/>
              <w:right w:val="single" w:color="auto" w:sz="4" w:space="0"/>
            </w:tcBorders>
            <w:vAlign w:val="center"/>
          </w:tcPr>
          <w:p w14:paraId="3572F22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价格分（</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分）</w:t>
            </w:r>
          </w:p>
        </w:tc>
        <w:tc>
          <w:tcPr>
            <w:tcW w:w="4338" w:type="pct"/>
            <w:gridSpan w:val="3"/>
            <w:tcBorders>
              <w:top w:val="single" w:color="auto" w:sz="4" w:space="0"/>
              <w:left w:val="single" w:color="auto" w:sz="4" w:space="0"/>
              <w:bottom w:val="single" w:color="auto" w:sz="4" w:space="0"/>
              <w:right w:val="single" w:color="auto" w:sz="4" w:space="0"/>
            </w:tcBorders>
            <w:vAlign w:val="center"/>
          </w:tcPr>
          <w:p w14:paraId="0EED35E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价格分统一采用低价优先法，即满足招标文件要求且投标价格最低的投标报价为评标基准价，其价格分为满分</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分。其他投标人的价格分统一按照下列公式计算：</w:t>
            </w:r>
          </w:p>
          <w:p w14:paraId="163F1EE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投标报价得分＝（评标基准价/投标报价）×</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％×100</w:t>
            </w:r>
          </w:p>
        </w:tc>
      </w:tr>
    </w:tbl>
    <w:p w14:paraId="38DDAAB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2.4.3分值汇总</w:t>
      </w:r>
    </w:p>
    <w:p w14:paraId="786955D3">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（1）评标委员会各成员应当独立对每个有效投标人的投标文件进行评分，并汇总每个投标人的得分。取各位评委评分之平均值，四舍五入保留至小数点后两位数，得到该投标人的技术资信分。</w:t>
      </w:r>
    </w:p>
    <w:p w14:paraId="4A866353">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（2）将投标人的技术资信分加上根据上述标准计算出的价格分，即为该投标人的综合总得分。</w:t>
      </w:r>
    </w:p>
    <w:p w14:paraId="3672D21D">
      <w:pPr>
        <w:spacing w:line="360" w:lineRule="auto"/>
        <w:ind w:firstLine="435"/>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三、无效投标条款</w:t>
      </w:r>
    </w:p>
    <w:p w14:paraId="4A79A43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3.1投标文件有下列情形之一的,其投标文件拒收:</w:t>
      </w:r>
    </w:p>
    <w:p w14:paraId="5823A3AF">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(1)未在开标截止时间前通过网上招标投标系统递交有效电子投标文件的，开标系统不予接收，投标将被拒绝。</w:t>
      </w:r>
    </w:p>
    <w:p w14:paraId="61984DC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5C55D51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3.2投标人有下列情形之一的,资格审查后其投标作无效投标处理：</w:t>
      </w:r>
    </w:p>
    <w:p w14:paraId="732D966B">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(1)投标人为本项目提供招标代理服务的；</w:t>
      </w:r>
    </w:p>
    <w:p w14:paraId="03FD0B6D">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(2)投标人与在本项目代理机构存在相互任职或工作的；</w:t>
      </w:r>
    </w:p>
    <w:p w14:paraId="5CEAAA49">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kern w:val="0"/>
          <w:sz w:val="24"/>
          <w:szCs w:val="24"/>
          <w:highlight w:val="none"/>
          <w:lang w:bidi="ar"/>
        </w:rPr>
        <w:t>与采购人存在利害关系可能影响采购公正性的法人、其他组织或者个人；</w:t>
      </w:r>
    </w:p>
    <w:p w14:paraId="4D02126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(4)招标公告写明专门面向中小企业采购，投标人提供的货物非中小企业制造的；</w:t>
      </w:r>
    </w:p>
    <w:p w14:paraId="2AB9675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(5)要求供应商以联合体形式参加采购活动，投标人非联合体或者联合协议中中小企业合同金额未达到应当达到的比例；</w:t>
      </w:r>
    </w:p>
    <w:p w14:paraId="2B6C60C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(6)要求获得采购合同的供应商向中小企业分包，投标人未提供分包意向协议或者分包意向协议中中小企业合同金额未达到应当达到的比例；</w:t>
      </w:r>
    </w:p>
    <w:p w14:paraId="7E079E94">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(7)评标专家无法查看并检验电子投标文件中相关资料的；</w:t>
      </w:r>
    </w:p>
    <w:p w14:paraId="64B3B4E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(8)联合体投标未提交联合体协议的；</w:t>
      </w:r>
    </w:p>
    <w:p w14:paraId="3F832E44">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(9)责令停产停业的；</w:t>
      </w:r>
    </w:p>
    <w:p w14:paraId="56FC214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(10)暂停或者取消参与政府采购项目资格的；</w:t>
      </w:r>
    </w:p>
    <w:p w14:paraId="71C5926E">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(11)投标人单位负责人为同一人或者存在直接控股、管理关系的不同单位的；</w:t>
      </w:r>
    </w:p>
    <w:p w14:paraId="42F52783">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(12)投标人基本资格条件和特定资格条件中有一项及以上不符合要求的；</w:t>
      </w:r>
    </w:p>
    <w:p w14:paraId="7C2ECC22">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(13)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6C943BFE">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(14)其它情形，经评标委员会提出按无效投标处理，并经公共资源交易监督部门核准的；</w:t>
      </w:r>
    </w:p>
    <w:p w14:paraId="5FA3258B">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(15)投标人投标MAC地址一致，由评标委员会否决其投标；</w:t>
      </w:r>
    </w:p>
    <w:p w14:paraId="2F8033B3">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(16)投标人单方面出现其他投标人材料的；</w:t>
      </w:r>
    </w:p>
    <w:p w14:paraId="34E0EDD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(17)投标人联系人或联系电话相同的，由评标委员会否决其投标，并报告监管部门作不良行为处理和进一步调查；</w:t>
      </w:r>
    </w:p>
    <w:p w14:paraId="0C60869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(18)招标公告未写明允许采购进口产品，投标人所投产品为进口产品的；</w:t>
      </w:r>
    </w:p>
    <w:p w14:paraId="27AA636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(19)招标文件规定的其它无效投标情形。</w:t>
      </w:r>
    </w:p>
    <w:p w14:paraId="72A0479E">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3.3 投标人有下列情形之一的,符合性审查后其投标按无效投标处理：</w:t>
      </w:r>
    </w:p>
    <w:p w14:paraId="45CF6266">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(1)投标文件签字、盖章不全，经评标委员会一致认定对开评标内容有实质性影响并经公共资源交易监督部门核准的；</w:t>
      </w:r>
    </w:p>
    <w:p w14:paraId="26E793D3">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(2)未按规定的格式填写导致实质性内容不全以及实质上不响应，或者关键字迹模糊、无法辨认； 经公共资源交易监督部门核准的；</w:t>
      </w:r>
    </w:p>
    <w:p w14:paraId="5037332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(3)同一投标人提交两个以上不同的投标文件或者投标报价，但招标文件规定提交备选方案的除外；</w:t>
      </w:r>
    </w:p>
    <w:p w14:paraId="111FDA8F">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(4)投标文件没有对招标文件的实质性要求和条件作出响应;</w:t>
      </w:r>
    </w:p>
    <w:p w14:paraId="558F9DBA">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(5)投标报价超出规定的投标限价或公布的采购预算的或投标人的投标报价各项单价高于招标文件给定的单价最高限价；</w:t>
      </w:r>
    </w:p>
    <w:p w14:paraId="37F5F00B">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(6)不按评标委员会要求澄清、说明或补正的，或者评标委员会根据招标文件的规定对投标文件的计算错误进行修正后，投标人不接受修正的投标报价的。</w:t>
      </w:r>
    </w:p>
    <w:p w14:paraId="0939AB61">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(7)其它情形，经评标委员会提出按无效投标处理，并经公共资源交易监督部门核准的；</w:t>
      </w:r>
    </w:p>
    <w:p w14:paraId="7A81C994">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(8)投标文件含有采购人不能接受的附加条件的；</w:t>
      </w:r>
    </w:p>
    <w:p w14:paraId="54C52D12">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(9)招标文件规定的其它无效投标情形。</w:t>
      </w:r>
    </w:p>
    <w:p w14:paraId="0D03D31D">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3.4 投标人有下列情形之一的, 详细评审后其投标按无效投标处理：</w:t>
      </w:r>
    </w:p>
    <w:p w14:paraId="7B57E6D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(1)投标产品不符合必须强制执行的国家标准的；</w:t>
      </w:r>
    </w:p>
    <w:p w14:paraId="4E3EB5F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(2)投标人有串通投标、弄虚作假、行贿等违法行为；</w:t>
      </w:r>
    </w:p>
    <w:p w14:paraId="7184D06F">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(3)投标文件含有违反国家法律、法规的内容，或附有采购人不能接受的条件的；</w:t>
      </w:r>
    </w:p>
    <w:p w14:paraId="4E321683">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(4)拒不确认评标委员会评审修正的投标无效；</w:t>
      </w:r>
    </w:p>
    <w:p w14:paraId="08FCC33B">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(5)其它情形，经评标委员会提出按无效投标处理，并经公共资源交易监督部门核准的；</w:t>
      </w:r>
    </w:p>
    <w:p w14:paraId="26917AED">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(6)招标文件规定的其它无效投标情形。</w:t>
      </w:r>
      <w:r>
        <w:rPr>
          <w:rFonts w:hint="eastAsia" w:ascii="仿宋" w:hAnsi="仿宋" w:eastAsia="仿宋" w:cs="仿宋"/>
          <w:color w:val="auto"/>
          <w:sz w:val="24"/>
          <w:highlight w:val="none"/>
        </w:rPr>
        <w:br w:type="page"/>
      </w:r>
    </w:p>
    <w:p w14:paraId="6B56B666">
      <w:pPr>
        <w:spacing w:line="360" w:lineRule="auto"/>
        <w:jc w:val="center"/>
        <w:outlineLvl w:val="0"/>
        <w:rPr>
          <w:rFonts w:hint="eastAsia" w:ascii="仿宋" w:hAnsi="仿宋" w:eastAsia="仿宋" w:cs="仿宋"/>
          <w:b/>
          <w:color w:val="auto"/>
          <w:sz w:val="28"/>
          <w:highlight w:val="none"/>
        </w:rPr>
      </w:pPr>
      <w:bookmarkStart w:id="43" w:name="_Toc27175"/>
      <w:r>
        <w:rPr>
          <w:rFonts w:hint="eastAsia" w:ascii="仿宋" w:hAnsi="仿宋" w:eastAsia="仿宋" w:cs="仿宋"/>
          <w:b/>
          <w:color w:val="auto"/>
          <w:sz w:val="28"/>
          <w:highlight w:val="none"/>
        </w:rPr>
        <w:t>第五章  政府采购合同</w:t>
      </w:r>
      <w:bookmarkEnd w:id="43"/>
    </w:p>
    <w:p w14:paraId="6A989A2F">
      <w:pPr>
        <w:pStyle w:val="12"/>
        <w:spacing w:after="0" w:line="360" w:lineRule="auto"/>
        <w:rPr>
          <w:rFonts w:hint="eastAsia" w:ascii="仿宋" w:hAnsi="仿宋" w:eastAsia="仿宋" w:cs="仿宋"/>
          <w:b/>
          <w:bCs/>
          <w:color w:val="auto"/>
          <w:spacing w:val="-20"/>
          <w:kern w:val="44"/>
          <w:sz w:val="24"/>
          <w:highlight w:val="none"/>
        </w:rPr>
      </w:pPr>
    </w:p>
    <w:p w14:paraId="2B15E3AD">
      <w:pPr>
        <w:pStyle w:val="12"/>
        <w:spacing w:after="0" w:line="360" w:lineRule="auto"/>
        <w:jc w:val="center"/>
        <w:rPr>
          <w:rFonts w:hint="eastAsia" w:ascii="仿宋" w:hAnsi="仿宋" w:eastAsia="仿宋" w:cs="仿宋"/>
          <w:b/>
          <w:bCs/>
          <w:color w:val="auto"/>
          <w:spacing w:val="-20"/>
          <w:kern w:val="44"/>
          <w:sz w:val="24"/>
          <w:highlight w:val="none"/>
        </w:rPr>
      </w:pPr>
    </w:p>
    <w:p w14:paraId="76A05F9A">
      <w:pPr>
        <w:spacing w:line="360" w:lineRule="auto"/>
        <w:jc w:val="center"/>
        <w:outlineLvl w:val="1"/>
        <w:rPr>
          <w:rFonts w:hint="eastAsia" w:ascii="仿宋" w:hAnsi="仿宋" w:eastAsia="仿宋" w:cs="仿宋"/>
          <w:b/>
          <w:color w:val="auto"/>
          <w:sz w:val="24"/>
          <w:highlight w:val="none"/>
        </w:rPr>
      </w:pPr>
    </w:p>
    <w:p w14:paraId="41397101">
      <w:pPr>
        <w:spacing w:line="360" w:lineRule="auto"/>
        <w:jc w:val="center"/>
        <w:outlineLvl w:val="1"/>
        <w:rPr>
          <w:rFonts w:hint="eastAsia" w:ascii="仿宋" w:hAnsi="仿宋" w:eastAsia="仿宋" w:cs="仿宋"/>
          <w:b/>
          <w:color w:val="auto"/>
          <w:sz w:val="24"/>
          <w:highlight w:val="none"/>
        </w:rPr>
      </w:pPr>
    </w:p>
    <w:p w14:paraId="5369D18A">
      <w:pPr>
        <w:spacing w:line="360" w:lineRule="auto"/>
        <w:jc w:val="center"/>
        <w:outlineLvl w:val="1"/>
        <w:rPr>
          <w:rFonts w:hint="eastAsia" w:ascii="仿宋" w:hAnsi="仿宋" w:eastAsia="仿宋" w:cs="仿宋"/>
          <w:b/>
          <w:color w:val="auto"/>
          <w:sz w:val="24"/>
          <w:highlight w:val="none"/>
        </w:rPr>
      </w:pPr>
    </w:p>
    <w:p w14:paraId="22DCE6C8">
      <w:pPr>
        <w:spacing w:line="360" w:lineRule="auto"/>
        <w:jc w:val="center"/>
        <w:outlineLvl w:val="1"/>
        <w:rPr>
          <w:rFonts w:hint="eastAsia" w:ascii="仿宋" w:hAnsi="仿宋" w:eastAsia="仿宋" w:cs="仿宋"/>
          <w:b/>
          <w:color w:val="auto"/>
          <w:sz w:val="24"/>
          <w:highlight w:val="none"/>
        </w:rPr>
      </w:pPr>
    </w:p>
    <w:p w14:paraId="126BB6BD">
      <w:pPr>
        <w:spacing w:line="360" w:lineRule="auto"/>
        <w:jc w:val="center"/>
        <w:outlineLvl w:val="1"/>
        <w:rPr>
          <w:rFonts w:hint="eastAsia" w:ascii="仿宋" w:hAnsi="仿宋" w:eastAsia="仿宋" w:cs="仿宋"/>
          <w:b/>
          <w:color w:val="auto"/>
          <w:sz w:val="24"/>
          <w:highlight w:val="none"/>
        </w:rPr>
      </w:pPr>
    </w:p>
    <w:p w14:paraId="2367FEA6">
      <w:pPr>
        <w:spacing w:line="480" w:lineRule="auto"/>
        <w:jc w:val="center"/>
        <w:rPr>
          <w:rFonts w:hint="eastAsia" w:ascii="仿宋" w:hAnsi="仿宋" w:eastAsia="仿宋" w:cs="仿宋"/>
          <w:b/>
          <w:color w:val="auto"/>
          <w:sz w:val="24"/>
          <w:szCs w:val="24"/>
          <w:highlight w:val="none"/>
        </w:rPr>
      </w:pPr>
    </w:p>
    <w:p w14:paraId="64497A96">
      <w:pPr>
        <w:spacing w:line="480" w:lineRule="auto"/>
        <w:jc w:val="center"/>
        <w:rPr>
          <w:rFonts w:hint="eastAsia" w:ascii="仿宋" w:hAnsi="仿宋" w:eastAsia="仿宋" w:cs="仿宋"/>
          <w:b/>
          <w:color w:val="auto"/>
          <w:sz w:val="24"/>
          <w:szCs w:val="24"/>
          <w:highlight w:val="none"/>
        </w:rPr>
      </w:pPr>
    </w:p>
    <w:p w14:paraId="36C4EBE5">
      <w:pPr>
        <w:spacing w:line="480" w:lineRule="auto"/>
        <w:jc w:val="center"/>
        <w:rPr>
          <w:rFonts w:hint="eastAsia" w:ascii="仿宋" w:hAnsi="仿宋" w:eastAsia="仿宋" w:cs="仿宋"/>
          <w:b/>
          <w:color w:val="auto"/>
          <w:sz w:val="24"/>
          <w:szCs w:val="24"/>
          <w:highlight w:val="none"/>
        </w:rPr>
      </w:pPr>
    </w:p>
    <w:p w14:paraId="464EBAA7">
      <w:pPr>
        <w:spacing w:line="480" w:lineRule="auto"/>
        <w:jc w:val="center"/>
        <w:rPr>
          <w:rFonts w:hint="eastAsia" w:ascii="仿宋" w:hAnsi="仿宋" w:eastAsia="仿宋" w:cs="仿宋"/>
          <w:b/>
          <w:color w:val="auto"/>
          <w:sz w:val="24"/>
          <w:szCs w:val="24"/>
          <w:highlight w:val="none"/>
        </w:rPr>
      </w:pPr>
    </w:p>
    <w:p w14:paraId="252330B2">
      <w:pPr>
        <w:spacing w:line="480" w:lineRule="auto"/>
        <w:jc w:val="center"/>
        <w:rPr>
          <w:rFonts w:hint="eastAsia" w:ascii="仿宋" w:hAnsi="仿宋" w:eastAsia="仿宋" w:cs="仿宋"/>
          <w:b/>
          <w:color w:val="auto"/>
          <w:sz w:val="24"/>
          <w:szCs w:val="24"/>
          <w:highlight w:val="none"/>
        </w:rPr>
      </w:pPr>
    </w:p>
    <w:p w14:paraId="3FF3D0B9">
      <w:pPr>
        <w:spacing w:line="480" w:lineRule="auto"/>
        <w:jc w:val="center"/>
        <w:rPr>
          <w:rFonts w:hint="eastAsia" w:ascii="仿宋" w:hAnsi="仿宋" w:eastAsia="仿宋" w:cs="仿宋"/>
          <w:b/>
          <w:color w:val="auto"/>
          <w:sz w:val="24"/>
          <w:szCs w:val="24"/>
          <w:highlight w:val="none"/>
        </w:rPr>
      </w:pPr>
    </w:p>
    <w:p w14:paraId="090E1EFF">
      <w:pPr>
        <w:spacing w:line="480" w:lineRule="auto"/>
        <w:jc w:val="center"/>
        <w:rPr>
          <w:rFonts w:hint="eastAsia" w:ascii="仿宋" w:hAnsi="仿宋" w:eastAsia="仿宋" w:cs="仿宋"/>
          <w:b/>
          <w:color w:val="auto"/>
          <w:sz w:val="24"/>
          <w:szCs w:val="24"/>
          <w:highlight w:val="none"/>
        </w:rPr>
      </w:pPr>
    </w:p>
    <w:p w14:paraId="4AED3E40">
      <w:pPr>
        <w:spacing w:before="120" w:line="480" w:lineRule="auto"/>
        <w:ind w:left="960"/>
        <w:rPr>
          <w:rFonts w:hint="default" w:ascii="仿宋" w:hAnsi="仿宋" w:eastAsia="仿宋" w:cs="仿宋"/>
          <w:color w:val="auto"/>
          <w:sz w:val="24"/>
          <w:szCs w:val="24"/>
          <w:highlight w:val="none"/>
          <w:u w:val="single"/>
          <w:lang w:val="en-US"/>
        </w:rPr>
      </w:pP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u w:val="single"/>
          <w:lang w:val="en-US" w:eastAsia="zh-CN"/>
        </w:rPr>
        <w:t xml:space="preserve">                                  </w:t>
      </w:r>
    </w:p>
    <w:p w14:paraId="7E80FB28">
      <w:pPr>
        <w:spacing w:before="120" w:line="480" w:lineRule="auto"/>
        <w:ind w:left="96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项目编号：</w:t>
      </w:r>
      <w:r>
        <w:rPr>
          <w:rFonts w:hint="eastAsia" w:ascii="仿宋" w:hAnsi="仿宋" w:eastAsia="仿宋" w:cs="仿宋"/>
          <w:color w:val="auto"/>
          <w:sz w:val="24"/>
          <w:szCs w:val="24"/>
          <w:highlight w:val="none"/>
          <w:u w:val="single"/>
        </w:rPr>
        <w:t xml:space="preserve">                                  </w:t>
      </w:r>
    </w:p>
    <w:p w14:paraId="543A5127">
      <w:pPr>
        <w:spacing w:before="120" w:line="480" w:lineRule="auto"/>
        <w:ind w:left="96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甲方（采购人）：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highlight w:val="none"/>
          <w:u w:val="single"/>
          <w:lang w:eastAsia="zh-CN"/>
        </w:rPr>
        <w:t>滁州市城市管理局</w:t>
      </w:r>
      <w:r>
        <w:rPr>
          <w:rFonts w:hint="eastAsia" w:ascii="仿宋" w:hAnsi="仿宋" w:eastAsia="仿宋" w:cs="仿宋"/>
          <w:color w:val="auto"/>
          <w:sz w:val="24"/>
          <w:szCs w:val="24"/>
          <w:highlight w:val="none"/>
          <w:u w:val="single"/>
        </w:rPr>
        <w:t xml:space="preserve">     </w:t>
      </w:r>
    </w:p>
    <w:p w14:paraId="5BE4823C">
      <w:pPr>
        <w:spacing w:before="120" w:line="480" w:lineRule="auto"/>
        <w:ind w:left="96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乙方（中标人）：</w:t>
      </w:r>
      <w:r>
        <w:rPr>
          <w:rFonts w:hint="eastAsia" w:ascii="仿宋" w:hAnsi="仿宋" w:eastAsia="仿宋" w:cs="仿宋"/>
          <w:color w:val="auto"/>
          <w:sz w:val="24"/>
          <w:szCs w:val="24"/>
          <w:highlight w:val="none"/>
          <w:u w:val="single"/>
        </w:rPr>
        <w:t xml:space="preserve">                              </w:t>
      </w:r>
    </w:p>
    <w:p w14:paraId="6F21FD76">
      <w:pPr>
        <w:spacing w:before="120" w:line="480" w:lineRule="auto"/>
        <w:ind w:firstLine="960" w:firstLineChars="4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签订地：</w:t>
      </w:r>
      <w:r>
        <w:rPr>
          <w:rFonts w:hint="eastAsia" w:ascii="仿宋" w:hAnsi="仿宋" w:eastAsia="仿宋" w:cs="仿宋"/>
          <w:color w:val="auto"/>
          <w:sz w:val="24"/>
          <w:szCs w:val="24"/>
          <w:highlight w:val="none"/>
          <w:u w:val="single"/>
        </w:rPr>
        <w:t xml:space="preserve">                                     </w:t>
      </w:r>
    </w:p>
    <w:p w14:paraId="557EA0A8">
      <w:pPr>
        <w:spacing w:before="120" w:line="480" w:lineRule="auto"/>
        <w:ind w:firstLine="960" w:firstLineChars="4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签订日期：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5881E334">
      <w:pPr>
        <w:widowControl/>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55D69A9A">
      <w:pPr>
        <w:spacing w:line="360" w:lineRule="auto"/>
        <w:jc w:val="center"/>
        <w:outlineLvl w:val="1"/>
        <w:rPr>
          <w:rFonts w:hint="eastAsia" w:ascii="仿宋" w:hAnsi="仿宋" w:eastAsia="仿宋" w:cs="仿宋"/>
          <w:b/>
          <w:color w:val="auto"/>
          <w:sz w:val="24"/>
          <w:szCs w:val="24"/>
          <w:highlight w:val="none"/>
        </w:rPr>
      </w:pPr>
      <w:bookmarkStart w:id="44" w:name="_Toc1500"/>
      <w:r>
        <w:rPr>
          <w:rFonts w:hint="eastAsia" w:ascii="仿宋" w:hAnsi="仿宋" w:eastAsia="仿宋" w:cs="仿宋"/>
          <w:b/>
          <w:color w:val="auto"/>
          <w:sz w:val="24"/>
          <w:szCs w:val="24"/>
          <w:highlight w:val="none"/>
          <w:lang w:bidi="ar"/>
        </w:rPr>
        <w:t>第一节 政府采购合同协议书</w:t>
      </w:r>
      <w:bookmarkEnd w:id="44"/>
    </w:p>
    <w:p w14:paraId="09531B07">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w:t>
      </w:r>
    </w:p>
    <w:p w14:paraId="5672C832">
      <w:pPr>
        <w:adjustRightInd w:val="0"/>
        <w:snapToGrid w:val="0"/>
        <w:spacing w:line="360" w:lineRule="auto"/>
        <w:ind w:left="4800" w:hanging="4800" w:hangingChars="20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甲方（全称）：</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（采购人、受采购人委托签订合同的单位或采购文件约定的合同甲方）</w:t>
      </w:r>
    </w:p>
    <w:p w14:paraId="49C16820">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乙方1（全称）：</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（供应商）</w:t>
      </w:r>
    </w:p>
    <w:p w14:paraId="7BA70B66">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乙方2（全称）：</w:t>
      </w:r>
      <w:r>
        <w:rPr>
          <w:rFonts w:hint="eastAsia" w:ascii="仿宋" w:hAnsi="仿宋" w:eastAsia="仿宋" w:cs="仿宋"/>
          <w:color w:val="auto"/>
          <w:sz w:val="24"/>
          <w:szCs w:val="24"/>
          <w:highlight w:val="none"/>
          <w:u w:val="single"/>
          <w:lang w:bidi="ar"/>
        </w:rPr>
        <w:t xml:space="preserve">     /        </w:t>
      </w:r>
      <w:r>
        <w:rPr>
          <w:rFonts w:hint="eastAsia" w:ascii="仿宋" w:hAnsi="仿宋" w:eastAsia="仿宋" w:cs="仿宋"/>
          <w:color w:val="auto"/>
          <w:sz w:val="24"/>
          <w:szCs w:val="24"/>
          <w:highlight w:val="none"/>
          <w:lang w:bidi="ar"/>
        </w:rPr>
        <w:t>（联合体成员供应商或其他合同主体）（如有）</w:t>
      </w:r>
    </w:p>
    <w:p w14:paraId="16869770">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乙方3（全称）</w:t>
      </w:r>
      <w:r>
        <w:rPr>
          <w:rFonts w:hint="eastAsia" w:ascii="仿宋" w:hAnsi="仿宋" w:eastAsia="仿宋" w:cs="仿宋"/>
          <w:color w:val="auto"/>
          <w:sz w:val="24"/>
          <w:szCs w:val="24"/>
          <w:highlight w:val="none"/>
          <w:u w:val="single"/>
          <w:lang w:bidi="ar"/>
        </w:rPr>
        <w:t xml:space="preserve">     /         </w:t>
      </w:r>
      <w:r>
        <w:rPr>
          <w:rFonts w:hint="eastAsia" w:ascii="仿宋" w:hAnsi="仿宋" w:eastAsia="仿宋" w:cs="仿宋"/>
          <w:color w:val="auto"/>
          <w:sz w:val="24"/>
          <w:szCs w:val="24"/>
          <w:highlight w:val="none"/>
          <w:lang w:bidi="ar"/>
        </w:rPr>
        <w:t>（联合体成员供应商或其他合同主体）（如有）</w:t>
      </w:r>
    </w:p>
    <w:p w14:paraId="6F97C6F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w:t>
      </w:r>
    </w:p>
    <w:p w14:paraId="2057DCA9">
      <w:pPr>
        <w:pStyle w:val="23"/>
        <w:adjustRightInd w:val="0"/>
        <w:snapToGrid w:val="0"/>
        <w:spacing w:before="0" w:after="0" w:afterAutospacing="0" w:line="360" w:lineRule="auto"/>
        <w:ind w:firstLine="480" w:firstLineChars="20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bidi="ar"/>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2186DE2">
      <w:pPr>
        <w:numPr>
          <w:ilvl w:val="0"/>
          <w:numId w:val="4"/>
        </w:numPr>
        <w:adjustRightInd w:val="0"/>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项目信息</w:t>
      </w:r>
    </w:p>
    <w:p w14:paraId="6BC92C48">
      <w:pPr>
        <w:numPr>
          <w:ilvl w:val="0"/>
          <w:numId w:val="5"/>
        </w:numPr>
        <w:adjustRightInd w:val="0"/>
        <w:snapToGrid w:val="0"/>
        <w:spacing w:line="360" w:lineRule="auto"/>
        <w:ind w:firstLine="480" w:firstLineChars="200"/>
        <w:rPr>
          <w:rFonts w:hint="eastAsia" w:ascii="仿宋" w:hAnsi="仿宋" w:eastAsia="仿宋" w:cs="仿宋"/>
          <w:color w:val="auto"/>
          <w:sz w:val="24"/>
          <w:szCs w:val="24"/>
          <w:highlight w:val="none"/>
          <w:u w:val="single"/>
          <w:lang w:bidi="ar"/>
        </w:rPr>
      </w:pPr>
      <w:r>
        <w:rPr>
          <w:rFonts w:hint="eastAsia" w:ascii="仿宋" w:hAnsi="仿宋" w:eastAsia="仿宋" w:cs="仿宋"/>
          <w:color w:val="auto"/>
          <w:sz w:val="24"/>
          <w:szCs w:val="24"/>
          <w:highlight w:val="none"/>
          <w:lang w:bidi="ar"/>
        </w:rPr>
        <w:t>采购项目名称：</w:t>
      </w:r>
      <w:r>
        <w:rPr>
          <w:rFonts w:hint="eastAsia" w:ascii="仿宋" w:hAnsi="仿宋" w:eastAsia="仿宋" w:cs="仿宋"/>
          <w:color w:val="auto"/>
          <w:sz w:val="24"/>
          <w:szCs w:val="24"/>
          <w:highlight w:val="none"/>
          <w:u w:val="single"/>
          <w:lang w:val="en-US" w:eastAsia="zh-CN" w:bidi="ar"/>
        </w:rPr>
        <w:t xml:space="preserve">                                </w:t>
      </w:r>
      <w:r>
        <w:rPr>
          <w:rFonts w:hint="eastAsia" w:ascii="仿宋" w:hAnsi="仿宋" w:eastAsia="仿宋" w:cs="仿宋"/>
          <w:color w:val="auto"/>
          <w:sz w:val="24"/>
          <w:szCs w:val="24"/>
          <w:highlight w:val="none"/>
          <w:u w:val="single"/>
          <w:lang w:bidi="ar"/>
        </w:rPr>
        <w:t xml:space="preserve"> </w:t>
      </w:r>
    </w:p>
    <w:p w14:paraId="5B450C74">
      <w:pPr>
        <w:adjustRightInd w:val="0"/>
        <w:snapToGrid w:val="0"/>
        <w:spacing w:line="360" w:lineRule="auto"/>
        <w:ind w:firstLine="1200" w:firstLineChars="500"/>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采购项目编号：</w:t>
      </w:r>
      <w:r>
        <w:rPr>
          <w:rFonts w:hint="eastAsia" w:ascii="仿宋" w:hAnsi="仿宋" w:eastAsia="仿宋" w:cs="仿宋"/>
          <w:color w:val="auto"/>
          <w:sz w:val="24"/>
          <w:szCs w:val="24"/>
          <w:highlight w:val="none"/>
          <w:u w:val="single"/>
          <w:lang w:bidi="ar"/>
        </w:rPr>
        <w:t xml:space="preserve">          </w:t>
      </w:r>
    </w:p>
    <w:p w14:paraId="6FF84AF4">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（2）采购计划编号：</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 xml:space="preserve"> </w:t>
      </w:r>
    </w:p>
    <w:p w14:paraId="4B708752">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（3）项目内容：</w:t>
      </w:r>
    </w:p>
    <w:p w14:paraId="293620FA">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采购标的及数量（台/套/个/架/组等）：</w:t>
      </w:r>
      <w:r>
        <w:rPr>
          <w:rFonts w:hint="eastAsia" w:ascii="仿宋" w:hAnsi="仿宋" w:eastAsia="仿宋" w:cs="仿宋"/>
          <w:color w:val="auto"/>
          <w:sz w:val="24"/>
          <w:szCs w:val="24"/>
          <w:highlight w:val="none"/>
          <w:u w:val="single"/>
          <w:lang w:bidi="ar"/>
        </w:rPr>
        <w:t xml:space="preserve">   详见采购需求    </w:t>
      </w:r>
      <w:r>
        <w:rPr>
          <w:rFonts w:hint="eastAsia" w:ascii="仿宋" w:hAnsi="仿宋" w:eastAsia="仿宋" w:cs="仿宋"/>
          <w:color w:val="auto"/>
          <w:sz w:val="24"/>
          <w:szCs w:val="24"/>
          <w:highlight w:val="none"/>
          <w:lang w:bidi="ar"/>
        </w:rPr>
        <w:t xml:space="preserve">            </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 xml:space="preserve"> </w:t>
      </w:r>
    </w:p>
    <w:p w14:paraId="2F1F1BA1">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品牌：</w:t>
      </w:r>
      <w:r>
        <w:rPr>
          <w:rFonts w:hint="eastAsia" w:ascii="仿宋" w:hAnsi="仿宋" w:eastAsia="仿宋" w:cs="仿宋"/>
          <w:color w:val="auto"/>
          <w:sz w:val="24"/>
          <w:szCs w:val="24"/>
          <w:highlight w:val="none"/>
          <w:u w:val="single"/>
          <w:lang w:bidi="ar"/>
        </w:rPr>
        <w:t xml:space="preserve">     /        </w:t>
      </w:r>
      <w:r>
        <w:rPr>
          <w:rFonts w:hint="eastAsia" w:ascii="仿宋" w:hAnsi="仿宋" w:eastAsia="仿宋" w:cs="仿宋"/>
          <w:color w:val="auto"/>
          <w:sz w:val="24"/>
          <w:szCs w:val="24"/>
          <w:highlight w:val="none"/>
          <w:lang w:bidi="ar"/>
        </w:rPr>
        <w:t xml:space="preserve">     规格型号：</w:t>
      </w:r>
      <w:r>
        <w:rPr>
          <w:rFonts w:hint="eastAsia" w:ascii="仿宋" w:hAnsi="仿宋" w:eastAsia="仿宋" w:cs="仿宋"/>
          <w:color w:val="auto"/>
          <w:sz w:val="24"/>
          <w:szCs w:val="24"/>
          <w:highlight w:val="none"/>
          <w:u w:val="single"/>
          <w:lang w:bidi="ar"/>
        </w:rPr>
        <w:t xml:space="preserve">    /       </w:t>
      </w:r>
    </w:p>
    <w:p w14:paraId="1764A669">
      <w:pPr>
        <w:adjustRightInd w:val="0"/>
        <w:snapToGrid w:val="0"/>
        <w:spacing w:line="360" w:lineRule="auto"/>
        <w:ind w:firstLine="1080" w:firstLineChars="45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bidi="ar"/>
        </w:rPr>
        <w:t>采购标的的技术要求、商务要求具体见附件。</w:t>
      </w:r>
    </w:p>
    <w:p w14:paraId="724E9A8B">
      <w:pPr>
        <w:adjustRightInd w:val="0"/>
        <w:snapToGrid w:val="0"/>
        <w:spacing w:line="360" w:lineRule="auto"/>
        <w:ind w:firstLine="1080" w:firstLineChars="4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①涉及信息类产品，请填写该产品关键部件的品牌、型号：</w:t>
      </w:r>
    </w:p>
    <w:p w14:paraId="1AA2A461">
      <w:pPr>
        <w:adjustRightInd w:val="0"/>
        <w:snapToGrid w:val="0"/>
        <w:spacing w:line="360" w:lineRule="auto"/>
        <w:ind w:firstLine="480" w:firstLineChars="200"/>
        <w:rPr>
          <w:rFonts w:hint="eastAsia" w:ascii="仿宋" w:hAnsi="仿宋" w:eastAsia="仿宋" w:cs="仿宋"/>
          <w:color w:val="auto"/>
          <w:kern w:val="0"/>
          <w:sz w:val="24"/>
          <w:szCs w:val="24"/>
          <w:highlight w:val="none"/>
          <w:u w:val="single"/>
        </w:rPr>
      </w:pPr>
      <w:r>
        <w:rPr>
          <w:rFonts w:hint="eastAsia" w:ascii="仿宋" w:hAnsi="仿宋" w:eastAsia="仿宋" w:cs="仿宋"/>
          <w:color w:val="auto"/>
          <w:sz w:val="24"/>
          <w:szCs w:val="24"/>
          <w:highlight w:val="none"/>
          <w:lang w:bidi="ar"/>
        </w:rPr>
        <w:t xml:space="preserve">     标的名称：</w:t>
      </w:r>
      <w:r>
        <w:rPr>
          <w:rFonts w:hint="eastAsia" w:ascii="仿宋" w:hAnsi="仿宋" w:eastAsia="仿宋" w:cs="仿宋"/>
          <w:color w:val="auto"/>
          <w:kern w:val="0"/>
          <w:sz w:val="24"/>
          <w:szCs w:val="24"/>
          <w:highlight w:val="none"/>
          <w:u w:val="single"/>
          <w:lang w:bidi="ar"/>
        </w:rPr>
        <w:t xml:space="preserve">                         </w:t>
      </w:r>
    </w:p>
    <w:p w14:paraId="7DD874EC">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关键部件：</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sz w:val="24"/>
          <w:szCs w:val="24"/>
          <w:highlight w:val="none"/>
          <w:lang w:bidi="ar"/>
        </w:rPr>
        <w:t>品牌：</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 xml:space="preserve"> 型号：</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 xml:space="preserve"> </w:t>
      </w:r>
    </w:p>
    <w:p w14:paraId="251DD71E">
      <w:pPr>
        <w:pStyle w:val="23"/>
        <w:widowControl/>
        <w:autoSpaceDE w:val="0"/>
        <w:autoSpaceDN w:val="0"/>
        <w:adjustRightInd w:val="0"/>
        <w:spacing w:before="0" w:beforeAutospacing="0" w:after="0" w:afterAutospacing="0"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 xml:space="preserve">     </w:t>
      </w:r>
      <w:r>
        <w:rPr>
          <w:rFonts w:hint="eastAsia" w:ascii="仿宋" w:hAnsi="仿宋" w:eastAsia="仿宋" w:cs="仿宋"/>
          <w:color w:val="auto"/>
          <w:kern w:val="2"/>
          <w:szCs w:val="24"/>
          <w:highlight w:val="none"/>
          <w:lang w:bidi="ar"/>
        </w:rPr>
        <w:t>关键部件</w:t>
      </w:r>
      <w:r>
        <w:rPr>
          <w:rFonts w:hint="eastAsia" w:ascii="仿宋" w:hAnsi="仿宋" w:eastAsia="仿宋" w:cs="仿宋"/>
          <w:color w:val="auto"/>
          <w:szCs w:val="24"/>
          <w:highlight w:val="none"/>
          <w:lang w:bidi="ar"/>
        </w:rPr>
        <w:t>：</w:t>
      </w:r>
      <w:r>
        <w:rPr>
          <w:rFonts w:hint="eastAsia" w:ascii="仿宋" w:hAnsi="仿宋" w:eastAsia="仿宋" w:cs="仿宋"/>
          <w:color w:val="auto"/>
          <w:szCs w:val="24"/>
          <w:highlight w:val="none"/>
          <w:u w:val="single"/>
          <w:lang w:bidi="ar"/>
        </w:rPr>
        <w:t xml:space="preserve">          </w:t>
      </w:r>
      <w:r>
        <w:rPr>
          <w:rFonts w:hint="eastAsia" w:ascii="仿宋" w:hAnsi="仿宋" w:eastAsia="仿宋" w:cs="仿宋"/>
          <w:color w:val="auto"/>
          <w:szCs w:val="24"/>
          <w:highlight w:val="none"/>
          <w:lang w:bidi="ar"/>
        </w:rPr>
        <w:t xml:space="preserve"> 品牌：</w:t>
      </w:r>
      <w:r>
        <w:rPr>
          <w:rFonts w:hint="eastAsia" w:ascii="仿宋" w:hAnsi="仿宋" w:eastAsia="仿宋" w:cs="仿宋"/>
          <w:color w:val="auto"/>
          <w:szCs w:val="24"/>
          <w:highlight w:val="none"/>
          <w:u w:val="single"/>
          <w:lang w:bidi="ar"/>
        </w:rPr>
        <w:t xml:space="preserve">        </w:t>
      </w:r>
      <w:r>
        <w:rPr>
          <w:rFonts w:hint="eastAsia" w:ascii="仿宋" w:hAnsi="仿宋" w:eastAsia="仿宋" w:cs="仿宋"/>
          <w:color w:val="auto"/>
          <w:szCs w:val="24"/>
          <w:highlight w:val="none"/>
          <w:lang w:bidi="ar"/>
        </w:rPr>
        <w:t xml:space="preserve"> 型号：</w:t>
      </w:r>
      <w:r>
        <w:rPr>
          <w:rFonts w:hint="eastAsia" w:ascii="仿宋" w:hAnsi="仿宋" w:eastAsia="仿宋" w:cs="仿宋"/>
          <w:color w:val="auto"/>
          <w:szCs w:val="24"/>
          <w:highlight w:val="none"/>
          <w:u w:val="single"/>
          <w:lang w:bidi="ar"/>
        </w:rPr>
        <w:t xml:space="preserve">       </w:t>
      </w:r>
      <w:r>
        <w:rPr>
          <w:rFonts w:hint="eastAsia" w:ascii="仿宋" w:hAnsi="仿宋" w:eastAsia="仿宋" w:cs="仿宋"/>
          <w:color w:val="auto"/>
          <w:szCs w:val="24"/>
          <w:highlight w:val="none"/>
          <w:lang w:bidi="ar"/>
        </w:rPr>
        <w:t xml:space="preserve"> </w:t>
      </w:r>
    </w:p>
    <w:p w14:paraId="7F46144F">
      <w:pPr>
        <w:pStyle w:val="23"/>
        <w:widowControl/>
        <w:autoSpaceDE w:val="0"/>
        <w:autoSpaceDN w:val="0"/>
        <w:adjustRightInd w:val="0"/>
        <w:spacing w:before="0" w:beforeAutospacing="0" w:after="0" w:afterAutospacing="0"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 xml:space="preserve">     关键部件：</w:t>
      </w:r>
      <w:r>
        <w:rPr>
          <w:rFonts w:hint="eastAsia" w:ascii="仿宋" w:hAnsi="仿宋" w:eastAsia="仿宋" w:cs="仿宋"/>
          <w:color w:val="auto"/>
          <w:szCs w:val="24"/>
          <w:highlight w:val="none"/>
          <w:u w:val="single"/>
          <w:lang w:bidi="ar"/>
        </w:rPr>
        <w:t xml:space="preserve">          </w:t>
      </w:r>
      <w:r>
        <w:rPr>
          <w:rFonts w:hint="eastAsia" w:ascii="仿宋" w:hAnsi="仿宋" w:eastAsia="仿宋" w:cs="仿宋"/>
          <w:color w:val="auto"/>
          <w:szCs w:val="24"/>
          <w:highlight w:val="none"/>
          <w:lang w:bidi="ar"/>
        </w:rPr>
        <w:t xml:space="preserve"> 品牌：</w:t>
      </w:r>
      <w:r>
        <w:rPr>
          <w:rFonts w:hint="eastAsia" w:ascii="仿宋" w:hAnsi="仿宋" w:eastAsia="仿宋" w:cs="仿宋"/>
          <w:color w:val="auto"/>
          <w:szCs w:val="24"/>
          <w:highlight w:val="none"/>
          <w:u w:val="single"/>
          <w:lang w:bidi="ar"/>
        </w:rPr>
        <w:t xml:space="preserve">        </w:t>
      </w:r>
      <w:r>
        <w:rPr>
          <w:rFonts w:hint="eastAsia" w:ascii="仿宋" w:hAnsi="仿宋" w:eastAsia="仿宋" w:cs="仿宋"/>
          <w:color w:val="auto"/>
          <w:szCs w:val="24"/>
          <w:highlight w:val="none"/>
          <w:lang w:bidi="ar"/>
        </w:rPr>
        <w:t xml:space="preserve"> 型号：</w:t>
      </w:r>
      <w:r>
        <w:rPr>
          <w:rFonts w:hint="eastAsia" w:ascii="仿宋" w:hAnsi="仿宋" w:eastAsia="仿宋" w:cs="仿宋"/>
          <w:color w:val="auto"/>
          <w:szCs w:val="24"/>
          <w:highlight w:val="none"/>
          <w:u w:val="single"/>
          <w:lang w:bidi="ar"/>
        </w:rPr>
        <w:t xml:space="preserve">       </w:t>
      </w:r>
    </w:p>
    <w:p w14:paraId="11CDF1F5">
      <w:pPr>
        <w:pStyle w:val="23"/>
        <w:widowControl/>
        <w:autoSpaceDE w:val="0"/>
        <w:autoSpaceDN w:val="0"/>
        <w:adjustRightInd w:val="0"/>
        <w:snapToGrid w:val="0"/>
        <w:spacing w:before="0" w:beforeAutospacing="0" w:after="0" w:afterAutospacing="0" w:line="360" w:lineRule="auto"/>
        <w:ind w:firstLine="480" w:firstLineChars="200"/>
        <w:rPr>
          <w:rFonts w:hint="eastAsia" w:ascii="仿宋" w:hAnsi="仿宋" w:eastAsia="仿宋" w:cs="仿宋"/>
          <w:color w:val="auto"/>
          <w:kern w:val="2"/>
          <w:szCs w:val="24"/>
          <w:highlight w:val="none"/>
          <w:lang w:bidi="ar"/>
        </w:rPr>
      </w:pPr>
      <w:r>
        <w:rPr>
          <w:rFonts w:hint="eastAsia" w:ascii="仿宋" w:hAnsi="仿宋" w:eastAsia="仿宋" w:cs="仿宋"/>
          <w:color w:val="auto"/>
          <w:szCs w:val="24"/>
          <w:highlight w:val="none"/>
          <w:lang w:bidi="ar"/>
        </w:rPr>
        <w:t>（注：关键部件是指财政部会同有关部门发布的政府采购需求标准规定的需要通过国家有关部门指定的测评机构开展的安全可靠测评的软硬件，如CPU芯片、操作系统、数据库等。）</w:t>
      </w:r>
    </w:p>
    <w:p w14:paraId="709DA0D4">
      <w:pPr>
        <w:adjustRightInd w:val="0"/>
        <w:snapToGrid w:val="0"/>
        <w:spacing w:line="360" w:lineRule="auto"/>
        <w:ind w:firstLine="1080" w:firstLineChars="4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②</w:t>
      </w:r>
      <w:r>
        <w:rPr>
          <w:rFonts w:hint="eastAsia" w:ascii="仿宋" w:hAnsi="仿宋" w:eastAsia="仿宋" w:cs="仿宋"/>
          <w:color w:val="auto"/>
          <w:kern w:val="0"/>
          <w:sz w:val="24"/>
          <w:szCs w:val="24"/>
          <w:highlight w:val="none"/>
          <w:lang w:bidi="ar"/>
        </w:rPr>
        <w:t>涉及车辆采购，请填写是否属于新能源汽车：</w:t>
      </w:r>
    </w:p>
    <w:p w14:paraId="527423CF">
      <w:pPr>
        <w:pStyle w:val="23"/>
        <w:widowControl/>
        <w:autoSpaceDE w:val="0"/>
        <w:autoSpaceDN w:val="0"/>
        <w:adjustRightInd w:val="0"/>
        <w:snapToGrid w:val="0"/>
        <w:spacing w:before="0" w:beforeAutospacing="0" w:after="0" w:afterAutospacing="0"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 xml:space="preserve">    □是，《政府采购品目分类目录》底级品目名称：</w:t>
      </w:r>
      <w:r>
        <w:rPr>
          <w:rFonts w:hint="eastAsia" w:ascii="仿宋" w:hAnsi="仿宋" w:eastAsia="仿宋" w:cs="仿宋"/>
          <w:color w:val="auto"/>
          <w:szCs w:val="24"/>
          <w:highlight w:val="none"/>
          <w:u w:val="single"/>
          <w:lang w:bidi="ar"/>
        </w:rPr>
        <w:t xml:space="preserve">  /  </w:t>
      </w:r>
      <w:r>
        <w:rPr>
          <w:rFonts w:hint="eastAsia" w:ascii="仿宋" w:hAnsi="仿宋" w:eastAsia="仿宋" w:cs="仿宋"/>
          <w:color w:val="auto"/>
          <w:szCs w:val="24"/>
          <w:highlight w:val="none"/>
          <w:lang w:bidi="ar"/>
        </w:rPr>
        <w:t xml:space="preserve"> 数量：</w:t>
      </w:r>
      <w:r>
        <w:rPr>
          <w:rFonts w:hint="eastAsia" w:ascii="仿宋" w:hAnsi="仿宋" w:eastAsia="仿宋" w:cs="仿宋"/>
          <w:color w:val="auto"/>
          <w:szCs w:val="24"/>
          <w:highlight w:val="none"/>
          <w:u w:val="single"/>
          <w:lang w:bidi="ar"/>
        </w:rPr>
        <w:t xml:space="preserve">  / </w:t>
      </w:r>
      <w:r>
        <w:rPr>
          <w:rFonts w:hint="eastAsia" w:ascii="仿宋" w:hAnsi="仿宋" w:eastAsia="仿宋" w:cs="仿宋"/>
          <w:color w:val="auto"/>
          <w:szCs w:val="24"/>
          <w:highlight w:val="none"/>
          <w:lang w:bidi="ar"/>
        </w:rPr>
        <w:t xml:space="preserve"> 金额：</w:t>
      </w:r>
      <w:r>
        <w:rPr>
          <w:rFonts w:hint="eastAsia" w:ascii="仿宋" w:hAnsi="仿宋" w:eastAsia="仿宋" w:cs="仿宋"/>
          <w:color w:val="auto"/>
          <w:szCs w:val="24"/>
          <w:highlight w:val="none"/>
          <w:u w:val="single"/>
          <w:lang w:bidi="ar"/>
        </w:rPr>
        <w:t xml:space="preserve"> /  </w:t>
      </w:r>
      <w:r>
        <w:rPr>
          <w:rFonts w:hint="eastAsia" w:ascii="仿宋" w:hAnsi="仿宋" w:eastAsia="仿宋" w:cs="仿宋"/>
          <w:color w:val="auto"/>
          <w:szCs w:val="24"/>
          <w:highlight w:val="none"/>
          <w:lang w:bidi="ar"/>
        </w:rPr>
        <w:t xml:space="preserve"> </w:t>
      </w:r>
    </w:p>
    <w:p w14:paraId="5957F752">
      <w:pPr>
        <w:pStyle w:val="23"/>
        <w:widowControl/>
        <w:autoSpaceDE w:val="0"/>
        <w:autoSpaceDN w:val="0"/>
        <w:adjustRightInd w:val="0"/>
        <w:snapToGrid w:val="0"/>
        <w:spacing w:before="0" w:beforeAutospacing="0" w:after="0" w:afterAutospacing="0"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 xml:space="preserve">         ☑否</w:t>
      </w:r>
    </w:p>
    <w:p w14:paraId="69BA1F54">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（4）政府采购组织形式：</w:t>
      </w: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bidi="ar"/>
        </w:rPr>
        <w:t xml:space="preserve">政府集中采购  □部门集中采购  </w:t>
      </w: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bidi="ar"/>
        </w:rPr>
        <w:t>分散采购</w:t>
      </w:r>
    </w:p>
    <w:p w14:paraId="5E46E68F">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（5）政府采购方式：☑公开招标 □邀请招标 □竞争性谈判 □竞争性磋商</w:t>
      </w:r>
    </w:p>
    <w:p w14:paraId="05D7D3D4">
      <w:pPr>
        <w:pStyle w:val="23"/>
        <w:widowControl/>
        <w:autoSpaceDE w:val="0"/>
        <w:autoSpaceDN w:val="0"/>
        <w:adjustRightInd w:val="0"/>
        <w:snapToGrid w:val="0"/>
        <w:spacing w:before="0" w:beforeAutospacing="0" w:after="0" w:afterAutospacing="0" w:line="360" w:lineRule="auto"/>
        <w:ind w:firstLine="480" w:firstLineChars="200"/>
        <w:rPr>
          <w:rFonts w:hint="eastAsia" w:ascii="仿宋" w:hAnsi="仿宋" w:eastAsia="仿宋" w:cs="仿宋"/>
          <w:color w:val="auto"/>
          <w:szCs w:val="24"/>
          <w:highlight w:val="none"/>
          <w:u w:val="single"/>
        </w:rPr>
      </w:pPr>
      <w:r>
        <w:rPr>
          <w:rFonts w:hint="eastAsia" w:ascii="仿宋" w:hAnsi="仿宋" w:eastAsia="仿宋" w:cs="仿宋"/>
          <w:color w:val="auto"/>
          <w:szCs w:val="24"/>
          <w:highlight w:val="none"/>
          <w:lang w:bidi="ar"/>
        </w:rPr>
        <w:t xml:space="preserve">                  □询价 □单一来源 □框架协议 □其他：</w:t>
      </w:r>
      <w:r>
        <w:rPr>
          <w:rFonts w:hint="eastAsia" w:ascii="仿宋" w:hAnsi="仿宋" w:eastAsia="仿宋" w:cs="仿宋"/>
          <w:color w:val="auto"/>
          <w:szCs w:val="24"/>
          <w:highlight w:val="none"/>
          <w:u w:val="single"/>
          <w:lang w:bidi="ar"/>
        </w:rPr>
        <w:t xml:space="preserve">   /   </w:t>
      </w:r>
    </w:p>
    <w:p w14:paraId="1AB8D4DD">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（6）</w:t>
      </w:r>
      <w:r>
        <w:rPr>
          <w:rFonts w:hint="eastAsia" w:ascii="仿宋" w:hAnsi="仿宋" w:eastAsia="仿宋" w:cs="仿宋"/>
          <w:color w:val="auto"/>
          <w:sz w:val="24"/>
          <w:szCs w:val="24"/>
          <w:highlight w:val="none"/>
          <w:lang w:bidi="ar"/>
        </w:rPr>
        <w:t>中标（成交）采购标的制造商是否为中小企业：</w:t>
      </w:r>
      <w:r>
        <w:rPr>
          <w:rFonts w:hint="eastAsia" w:ascii="仿宋" w:hAnsi="仿宋" w:eastAsia="仿宋" w:cs="仿宋"/>
          <w:color w:val="auto"/>
          <w:sz w:val="24"/>
          <w:szCs w:val="24"/>
          <w:highlight w:val="none"/>
          <w:lang w:eastAsia="zh-CN" w:bidi="ar"/>
        </w:rPr>
        <w:t>□</w:t>
      </w:r>
      <w:r>
        <w:rPr>
          <w:rFonts w:hint="eastAsia" w:ascii="仿宋" w:hAnsi="仿宋" w:eastAsia="仿宋" w:cs="仿宋"/>
          <w:color w:val="auto"/>
          <w:sz w:val="24"/>
          <w:szCs w:val="24"/>
          <w:highlight w:val="none"/>
          <w:lang w:bidi="ar"/>
        </w:rPr>
        <w:t>是      □否</w:t>
      </w:r>
    </w:p>
    <w:p w14:paraId="6DD498D6">
      <w:pPr>
        <w:adjustRightInd w:val="0"/>
        <w:snapToGrid w:val="0"/>
        <w:spacing w:line="360" w:lineRule="auto"/>
        <w:rPr>
          <w:rFonts w:hint="eastAsia" w:ascii="仿宋" w:hAnsi="仿宋" w:eastAsia="仿宋" w:cs="仿宋"/>
          <w:iCs/>
          <w:color w:val="auto"/>
          <w:sz w:val="24"/>
          <w:szCs w:val="24"/>
          <w:highlight w:val="none"/>
        </w:rPr>
      </w:pPr>
      <w:r>
        <w:rPr>
          <w:rFonts w:hint="eastAsia" w:ascii="仿宋" w:hAnsi="仿宋" w:eastAsia="仿宋" w:cs="仿宋"/>
          <w:color w:val="auto"/>
          <w:sz w:val="24"/>
          <w:szCs w:val="24"/>
          <w:highlight w:val="none"/>
          <w:lang w:bidi="ar"/>
        </w:rPr>
        <w:t xml:space="preserve">        本合同是否为专门面向中小企业的采购合同（中小企业预留合同）：</w:t>
      </w:r>
      <w:r>
        <w:rPr>
          <w:rFonts w:hint="eastAsia" w:ascii="仿宋" w:hAnsi="仿宋" w:eastAsia="仿宋" w:cs="仿宋"/>
          <w:iCs/>
          <w:color w:val="auto"/>
          <w:sz w:val="24"/>
          <w:szCs w:val="24"/>
          <w:highlight w:val="none"/>
          <w:lang w:eastAsia="zh-CN" w:bidi="ar"/>
        </w:rPr>
        <w:t>□</w:t>
      </w:r>
      <w:r>
        <w:rPr>
          <w:rFonts w:hint="eastAsia" w:ascii="仿宋" w:hAnsi="仿宋" w:eastAsia="仿宋" w:cs="仿宋"/>
          <w:iCs/>
          <w:color w:val="auto"/>
          <w:sz w:val="24"/>
          <w:szCs w:val="24"/>
          <w:highlight w:val="none"/>
          <w:lang w:bidi="ar"/>
        </w:rPr>
        <w:t xml:space="preserve">是    </w:t>
      </w:r>
      <w:r>
        <w:rPr>
          <w:rFonts w:hint="eastAsia" w:ascii="仿宋" w:hAnsi="仿宋" w:eastAsia="仿宋" w:cs="仿宋"/>
          <w:iCs/>
          <w:color w:val="auto"/>
          <w:sz w:val="24"/>
          <w:szCs w:val="24"/>
          <w:highlight w:val="none"/>
          <w:lang w:eastAsia="zh-CN" w:bidi="ar"/>
        </w:rPr>
        <w:t>□</w:t>
      </w:r>
      <w:r>
        <w:rPr>
          <w:rFonts w:hint="eastAsia" w:ascii="仿宋" w:hAnsi="仿宋" w:eastAsia="仿宋" w:cs="仿宋"/>
          <w:iCs/>
          <w:color w:val="auto"/>
          <w:sz w:val="24"/>
          <w:szCs w:val="24"/>
          <w:highlight w:val="none"/>
          <w:lang w:bidi="ar"/>
        </w:rPr>
        <w:t>否</w:t>
      </w:r>
    </w:p>
    <w:p w14:paraId="5599A744">
      <w:pPr>
        <w:adjustRightInd w:val="0"/>
        <w:snapToGrid w:val="0"/>
        <w:spacing w:line="360" w:lineRule="auto"/>
        <w:rPr>
          <w:rFonts w:hint="eastAsia" w:ascii="仿宋" w:hAnsi="仿宋" w:eastAsia="仿宋" w:cs="仿宋"/>
          <w:iCs/>
          <w:color w:val="auto"/>
          <w:sz w:val="24"/>
          <w:szCs w:val="24"/>
          <w:highlight w:val="none"/>
        </w:rPr>
      </w:pPr>
      <w:r>
        <w:rPr>
          <w:rFonts w:hint="eastAsia" w:ascii="仿宋" w:hAnsi="仿宋" w:eastAsia="仿宋" w:cs="仿宋"/>
          <w:color w:val="auto"/>
          <w:sz w:val="24"/>
          <w:szCs w:val="24"/>
          <w:highlight w:val="none"/>
          <w:lang w:bidi="ar"/>
        </w:rPr>
        <w:t xml:space="preserve">        若本项目不专门面向中小企业采购，是否给予小微企业评审优惠：</w:t>
      </w:r>
      <w:r>
        <w:rPr>
          <w:rFonts w:hint="eastAsia" w:ascii="仿宋" w:hAnsi="仿宋" w:eastAsia="仿宋" w:cs="仿宋"/>
          <w:iCs/>
          <w:color w:val="auto"/>
          <w:sz w:val="24"/>
          <w:szCs w:val="24"/>
          <w:highlight w:val="none"/>
          <w:lang w:bidi="ar"/>
        </w:rPr>
        <w:t>□是   □否</w:t>
      </w:r>
    </w:p>
    <w:p w14:paraId="2C6CF7CC">
      <w:pPr>
        <w:adjustRightInd w:val="0"/>
        <w:snapToGrid w:val="0"/>
        <w:spacing w:line="360" w:lineRule="auto"/>
        <w:rPr>
          <w:rFonts w:hint="eastAsia" w:ascii="仿宋" w:hAnsi="仿宋" w:eastAsia="仿宋" w:cs="仿宋"/>
          <w:iCs/>
          <w:color w:val="auto"/>
          <w:sz w:val="24"/>
          <w:szCs w:val="24"/>
          <w:highlight w:val="none"/>
        </w:rPr>
      </w:pPr>
      <w:r>
        <w:rPr>
          <w:rFonts w:hint="eastAsia" w:ascii="仿宋" w:hAnsi="仿宋" w:eastAsia="仿宋" w:cs="仿宋"/>
          <w:color w:val="auto"/>
          <w:sz w:val="24"/>
          <w:szCs w:val="24"/>
          <w:highlight w:val="none"/>
          <w:lang w:bidi="ar"/>
        </w:rPr>
        <w:t xml:space="preserve">        中标（成交）采购标的制造商是否为残疾人福利性单位：</w:t>
      </w:r>
      <w:r>
        <w:rPr>
          <w:rFonts w:hint="eastAsia" w:ascii="仿宋" w:hAnsi="仿宋" w:eastAsia="仿宋" w:cs="仿宋"/>
          <w:iCs/>
          <w:color w:val="auto"/>
          <w:sz w:val="24"/>
          <w:szCs w:val="24"/>
          <w:highlight w:val="none"/>
          <w:lang w:bidi="ar"/>
        </w:rPr>
        <w:t>□是   □否</w:t>
      </w:r>
    </w:p>
    <w:p w14:paraId="437041B1">
      <w:pPr>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中标（成交）采购标的制造商是否为监狱企业：</w:t>
      </w:r>
      <w:r>
        <w:rPr>
          <w:rFonts w:hint="eastAsia" w:ascii="仿宋" w:hAnsi="仿宋" w:eastAsia="仿宋" w:cs="仿宋"/>
          <w:iCs/>
          <w:color w:val="auto"/>
          <w:sz w:val="24"/>
          <w:szCs w:val="24"/>
          <w:highlight w:val="none"/>
          <w:lang w:bidi="ar"/>
        </w:rPr>
        <w:t>□是      □否</w:t>
      </w:r>
    </w:p>
    <w:p w14:paraId="5F000B67">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（7）合同是否分包：</w:t>
      </w:r>
      <w:r>
        <w:rPr>
          <w:rFonts w:hint="eastAsia" w:ascii="仿宋" w:hAnsi="仿宋" w:eastAsia="仿宋" w:cs="仿宋"/>
          <w:iCs/>
          <w:color w:val="auto"/>
          <w:sz w:val="24"/>
          <w:szCs w:val="24"/>
          <w:highlight w:val="none"/>
          <w:lang w:bidi="ar"/>
        </w:rPr>
        <w:t>□是       ☑否</w:t>
      </w:r>
    </w:p>
    <w:p w14:paraId="1D0C9906">
      <w:pPr>
        <w:adjustRightInd w:val="0"/>
        <w:snapToGrid w:val="0"/>
        <w:spacing w:line="360" w:lineRule="auto"/>
        <w:ind w:firstLine="960" w:firstLineChars="4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bidi="ar"/>
        </w:rPr>
        <w:t>分包主要内容：</w:t>
      </w:r>
      <w:r>
        <w:rPr>
          <w:rFonts w:hint="eastAsia" w:ascii="仿宋" w:hAnsi="仿宋" w:eastAsia="仿宋" w:cs="仿宋"/>
          <w:color w:val="auto"/>
          <w:sz w:val="24"/>
          <w:szCs w:val="24"/>
          <w:highlight w:val="none"/>
          <w:u w:val="single"/>
          <w:lang w:bidi="ar"/>
        </w:rPr>
        <w:t xml:space="preserve">     /                                      </w:t>
      </w:r>
    </w:p>
    <w:p w14:paraId="44A75AF4">
      <w:pPr>
        <w:adjustRightInd w:val="0"/>
        <w:snapToGrid w:val="0"/>
        <w:spacing w:line="360" w:lineRule="auto"/>
        <w:ind w:firstLine="960" w:firstLineChars="4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分包供应商/制造商名称（如供应商和制造商不同，请分别填写）：</w:t>
      </w:r>
    </w:p>
    <w:p w14:paraId="65589ED0">
      <w:pPr>
        <w:adjustRightInd w:val="0"/>
        <w:snapToGrid w:val="0"/>
        <w:spacing w:line="360" w:lineRule="auto"/>
        <w:ind w:firstLine="960" w:firstLineChars="4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lang w:bidi="ar"/>
        </w:rPr>
        <w:t xml:space="preserve">                /                                         </w:t>
      </w:r>
    </w:p>
    <w:p w14:paraId="2E2F7504">
      <w:pPr>
        <w:adjustRightInd w:val="0"/>
        <w:snapToGrid w:val="0"/>
        <w:spacing w:line="360" w:lineRule="auto"/>
        <w:ind w:firstLine="960" w:firstLineChars="4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分包供应商/制造商类型（如果供应商和制造商不同，只填写制造商类型）：</w:t>
      </w:r>
    </w:p>
    <w:p w14:paraId="7D6BA4FE">
      <w:pPr>
        <w:adjustRightInd w:val="0"/>
        <w:snapToGrid w:val="0"/>
        <w:spacing w:line="360" w:lineRule="auto"/>
        <w:ind w:firstLine="960" w:firstLineChars="400"/>
        <w:rPr>
          <w:rFonts w:hint="eastAsia" w:ascii="仿宋" w:hAnsi="仿宋" w:eastAsia="仿宋" w:cs="仿宋"/>
          <w:iCs/>
          <w:color w:val="auto"/>
          <w:sz w:val="24"/>
          <w:szCs w:val="24"/>
          <w:highlight w:val="none"/>
        </w:rPr>
      </w:pPr>
      <w:r>
        <w:rPr>
          <w:rFonts w:hint="eastAsia" w:ascii="仿宋" w:hAnsi="仿宋" w:eastAsia="仿宋" w:cs="仿宋"/>
          <w:iCs/>
          <w:color w:val="auto"/>
          <w:sz w:val="24"/>
          <w:szCs w:val="24"/>
          <w:highlight w:val="none"/>
          <w:lang w:bidi="ar"/>
        </w:rPr>
        <w:t xml:space="preserve">□大型企业  □中型企业  □小微型企业  </w:t>
      </w:r>
    </w:p>
    <w:p w14:paraId="710CBFBA">
      <w:pPr>
        <w:adjustRightInd w:val="0"/>
        <w:snapToGrid w:val="0"/>
        <w:spacing w:line="360" w:lineRule="auto"/>
        <w:ind w:firstLine="960" w:firstLineChars="400"/>
        <w:rPr>
          <w:rFonts w:hint="eastAsia" w:ascii="仿宋" w:hAnsi="仿宋" w:eastAsia="仿宋" w:cs="仿宋"/>
          <w:color w:val="auto"/>
          <w:sz w:val="24"/>
          <w:szCs w:val="24"/>
          <w:highlight w:val="none"/>
          <w:lang w:bidi="ar"/>
        </w:rPr>
      </w:pPr>
      <w:r>
        <w:rPr>
          <w:rFonts w:hint="eastAsia" w:ascii="仿宋" w:hAnsi="仿宋" w:eastAsia="仿宋" w:cs="仿宋"/>
          <w:iCs/>
          <w:color w:val="auto"/>
          <w:sz w:val="24"/>
          <w:szCs w:val="24"/>
          <w:highlight w:val="none"/>
          <w:lang w:bidi="ar"/>
        </w:rPr>
        <w:t>□残疾人福利性单位 □监狱企业 □其他</w:t>
      </w:r>
    </w:p>
    <w:p w14:paraId="4793AB67">
      <w:pPr>
        <w:adjustRightInd w:val="0"/>
        <w:snapToGrid w:val="0"/>
        <w:spacing w:line="360" w:lineRule="auto"/>
        <w:ind w:firstLine="480" w:firstLineChars="200"/>
        <w:rPr>
          <w:rFonts w:hint="eastAsia" w:ascii="仿宋" w:hAnsi="仿宋" w:eastAsia="仿宋" w:cs="仿宋"/>
          <w:iCs/>
          <w:color w:val="auto"/>
          <w:sz w:val="24"/>
          <w:szCs w:val="24"/>
          <w:highlight w:val="none"/>
        </w:rPr>
      </w:pPr>
      <w:r>
        <w:rPr>
          <w:rFonts w:hint="eastAsia" w:ascii="仿宋" w:hAnsi="仿宋" w:eastAsia="仿宋" w:cs="仿宋"/>
          <w:color w:val="auto"/>
          <w:sz w:val="24"/>
          <w:szCs w:val="24"/>
          <w:highlight w:val="none"/>
          <w:lang w:bidi="ar"/>
        </w:rPr>
        <w:t>（8）中标（成交）供应商是否为外商投资企业：</w:t>
      </w:r>
      <w:r>
        <w:rPr>
          <w:rFonts w:hint="eastAsia" w:ascii="仿宋" w:hAnsi="仿宋" w:eastAsia="仿宋" w:cs="仿宋"/>
          <w:iCs/>
          <w:color w:val="auto"/>
          <w:sz w:val="24"/>
          <w:szCs w:val="24"/>
          <w:highlight w:val="none"/>
          <w:lang w:bidi="ar"/>
        </w:rPr>
        <w:t>□是       □否</w:t>
      </w:r>
    </w:p>
    <w:p w14:paraId="10FE6EBA">
      <w:pPr>
        <w:pStyle w:val="23"/>
        <w:widowControl/>
        <w:tabs>
          <w:tab w:val="left" w:pos="1340"/>
        </w:tabs>
        <w:autoSpaceDE w:val="0"/>
        <w:autoSpaceDN w:val="0"/>
        <w:adjustRightInd w:val="0"/>
        <w:spacing w:before="0" w:beforeAutospacing="0" w:after="0" w:afterAutospacing="0" w:line="360" w:lineRule="auto"/>
        <w:ind w:firstLine="480" w:firstLineChars="200"/>
        <w:rPr>
          <w:rFonts w:hint="eastAsia" w:ascii="仿宋" w:hAnsi="仿宋" w:eastAsia="仿宋" w:cs="仿宋"/>
          <w:color w:val="auto"/>
          <w:szCs w:val="24"/>
          <w:highlight w:val="none"/>
          <w:u w:val="single"/>
        </w:rPr>
      </w:pPr>
      <w:r>
        <w:rPr>
          <w:rFonts w:hint="eastAsia" w:ascii="仿宋" w:hAnsi="仿宋" w:eastAsia="仿宋" w:cs="仿宋"/>
          <w:color w:val="auto"/>
          <w:szCs w:val="24"/>
          <w:highlight w:val="none"/>
          <w:lang w:bidi="ar"/>
        </w:rPr>
        <w:t xml:space="preserve">    外商投资企业类型：</w:t>
      </w:r>
      <w:r>
        <w:rPr>
          <w:rFonts w:hint="eastAsia" w:ascii="仿宋" w:hAnsi="仿宋" w:eastAsia="仿宋" w:cs="仿宋"/>
          <w:iCs/>
          <w:color w:val="auto"/>
          <w:szCs w:val="24"/>
          <w:highlight w:val="none"/>
          <w:lang w:bidi="ar"/>
        </w:rPr>
        <w:t>□</w:t>
      </w:r>
      <w:r>
        <w:rPr>
          <w:rFonts w:hint="eastAsia" w:ascii="仿宋" w:hAnsi="仿宋" w:eastAsia="仿宋" w:cs="仿宋"/>
          <w:color w:val="auto"/>
          <w:szCs w:val="24"/>
          <w:highlight w:val="none"/>
          <w:lang w:bidi="ar"/>
        </w:rPr>
        <w:t xml:space="preserve">全部由外国投资者投资  </w:t>
      </w:r>
      <w:r>
        <w:rPr>
          <w:rFonts w:hint="eastAsia" w:ascii="仿宋" w:hAnsi="仿宋" w:eastAsia="仿宋" w:cs="仿宋"/>
          <w:iCs/>
          <w:color w:val="auto"/>
          <w:szCs w:val="24"/>
          <w:highlight w:val="none"/>
          <w:lang w:bidi="ar"/>
        </w:rPr>
        <w:t>□部分由外国投资者投资</w:t>
      </w:r>
    </w:p>
    <w:p w14:paraId="2F93C056">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（9）是否涉及进口产品：</w:t>
      </w:r>
    </w:p>
    <w:p w14:paraId="020D6279">
      <w:pPr>
        <w:adjustRightInd w:val="0"/>
        <w:snapToGrid w:val="0"/>
        <w:spacing w:line="360" w:lineRule="auto"/>
        <w:ind w:firstLine="960" w:firstLineChars="4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bidi="ar"/>
        </w:rPr>
        <w:t xml:space="preserve"> □是，《政府采购品目分类目录》底级品目名称：</w:t>
      </w:r>
      <w:r>
        <w:rPr>
          <w:rFonts w:hint="eastAsia" w:ascii="仿宋" w:hAnsi="仿宋" w:eastAsia="仿宋" w:cs="仿宋"/>
          <w:color w:val="auto"/>
          <w:sz w:val="24"/>
          <w:szCs w:val="24"/>
          <w:highlight w:val="none"/>
          <w:u w:val="single"/>
          <w:lang w:bidi="ar"/>
        </w:rPr>
        <w:t xml:space="preserve">   /  </w:t>
      </w:r>
      <w:r>
        <w:rPr>
          <w:rFonts w:hint="eastAsia" w:ascii="仿宋" w:hAnsi="仿宋" w:eastAsia="仿宋" w:cs="仿宋"/>
          <w:color w:val="auto"/>
          <w:sz w:val="24"/>
          <w:szCs w:val="24"/>
          <w:highlight w:val="none"/>
          <w:lang w:bidi="ar"/>
        </w:rPr>
        <w:t xml:space="preserve"> 金额：</w:t>
      </w:r>
      <w:r>
        <w:rPr>
          <w:rFonts w:hint="eastAsia" w:ascii="仿宋" w:hAnsi="仿宋" w:eastAsia="仿宋" w:cs="仿宋"/>
          <w:color w:val="auto"/>
          <w:sz w:val="24"/>
          <w:szCs w:val="24"/>
          <w:highlight w:val="none"/>
          <w:u w:val="single"/>
          <w:lang w:bidi="ar"/>
        </w:rPr>
        <w:t xml:space="preserve">  /     </w:t>
      </w:r>
    </w:p>
    <w:p w14:paraId="1C70A1C0">
      <w:pPr>
        <w:adjustRightInd w:val="0"/>
        <w:snapToGrid w:val="0"/>
        <w:spacing w:line="360" w:lineRule="auto"/>
        <w:ind w:firstLine="960" w:firstLineChars="4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国别：</w:t>
      </w:r>
      <w:r>
        <w:rPr>
          <w:rFonts w:hint="eastAsia" w:ascii="仿宋" w:hAnsi="仿宋" w:eastAsia="仿宋" w:cs="仿宋"/>
          <w:color w:val="auto"/>
          <w:sz w:val="24"/>
          <w:szCs w:val="24"/>
          <w:highlight w:val="none"/>
          <w:u w:val="single"/>
          <w:lang w:bidi="ar"/>
        </w:rPr>
        <w:t xml:space="preserve">    /  </w:t>
      </w:r>
      <w:r>
        <w:rPr>
          <w:rFonts w:hint="eastAsia" w:ascii="仿宋" w:hAnsi="仿宋" w:eastAsia="仿宋" w:cs="仿宋"/>
          <w:color w:val="auto"/>
          <w:sz w:val="24"/>
          <w:szCs w:val="24"/>
          <w:highlight w:val="none"/>
          <w:lang w:bidi="ar"/>
        </w:rPr>
        <w:t xml:space="preserve"> 品牌：</w:t>
      </w:r>
      <w:r>
        <w:rPr>
          <w:rFonts w:hint="eastAsia" w:ascii="仿宋" w:hAnsi="仿宋" w:eastAsia="仿宋" w:cs="仿宋"/>
          <w:color w:val="auto"/>
          <w:sz w:val="24"/>
          <w:szCs w:val="24"/>
          <w:highlight w:val="none"/>
          <w:u w:val="single"/>
          <w:lang w:bidi="ar"/>
        </w:rPr>
        <w:t xml:space="preserve">   /  </w:t>
      </w:r>
      <w:r>
        <w:rPr>
          <w:rFonts w:hint="eastAsia" w:ascii="仿宋" w:hAnsi="仿宋" w:eastAsia="仿宋" w:cs="仿宋"/>
          <w:color w:val="auto"/>
          <w:sz w:val="24"/>
          <w:szCs w:val="24"/>
          <w:highlight w:val="none"/>
          <w:lang w:bidi="ar"/>
        </w:rPr>
        <w:t xml:space="preserve"> 规格型号：</w:t>
      </w:r>
      <w:r>
        <w:rPr>
          <w:rFonts w:hint="eastAsia" w:ascii="仿宋" w:hAnsi="仿宋" w:eastAsia="仿宋" w:cs="仿宋"/>
          <w:color w:val="auto"/>
          <w:sz w:val="24"/>
          <w:szCs w:val="24"/>
          <w:highlight w:val="none"/>
          <w:u w:val="single"/>
          <w:lang w:bidi="ar"/>
        </w:rPr>
        <w:t xml:space="preserve">   /   </w:t>
      </w:r>
      <w:r>
        <w:rPr>
          <w:rFonts w:hint="eastAsia" w:ascii="仿宋" w:hAnsi="仿宋" w:eastAsia="仿宋" w:cs="仿宋"/>
          <w:color w:val="auto"/>
          <w:sz w:val="24"/>
          <w:szCs w:val="24"/>
          <w:highlight w:val="none"/>
          <w:lang w:bidi="ar"/>
        </w:rPr>
        <w:t xml:space="preserve">      </w:t>
      </w:r>
    </w:p>
    <w:p w14:paraId="16B52BD4">
      <w:pPr>
        <w:adjustRightInd w:val="0"/>
        <w:snapToGrid w:val="0"/>
        <w:spacing w:line="360" w:lineRule="auto"/>
        <w:ind w:firstLine="960" w:firstLineChars="400"/>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 xml:space="preserve"> ☑否</w:t>
      </w:r>
    </w:p>
    <w:p w14:paraId="7CEA84F6">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（10）是否涉及节能产品：</w:t>
      </w:r>
    </w:p>
    <w:p w14:paraId="337052D4">
      <w:pPr>
        <w:tabs>
          <w:tab w:val="left" w:pos="740"/>
        </w:tabs>
        <w:adjustRightInd w:val="0"/>
        <w:snapToGrid w:val="0"/>
        <w:spacing w:line="360" w:lineRule="auto"/>
        <w:rPr>
          <w:rFonts w:hint="eastAsia" w:ascii="仿宋" w:hAnsi="仿宋" w:eastAsia="仿宋" w:cs="仿宋"/>
          <w:iCs/>
          <w:color w:val="auto"/>
          <w:sz w:val="24"/>
          <w:szCs w:val="24"/>
          <w:highlight w:val="none"/>
        </w:rPr>
      </w:pPr>
      <w:r>
        <w:rPr>
          <w:rFonts w:hint="eastAsia" w:ascii="仿宋" w:hAnsi="仿宋" w:eastAsia="仿宋" w:cs="仿宋"/>
          <w:color w:val="auto"/>
          <w:sz w:val="24"/>
          <w:szCs w:val="24"/>
          <w:highlight w:val="none"/>
          <w:lang w:bidi="ar"/>
        </w:rPr>
        <w:t xml:space="preserve">         □是，《节能产品政府采购品目清单》的底级品目名称：</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iCs/>
          <w:color w:val="auto"/>
          <w:sz w:val="24"/>
          <w:szCs w:val="24"/>
          <w:highlight w:val="none"/>
          <w:lang w:bidi="ar"/>
        </w:rPr>
        <w:t xml:space="preserve">     </w:t>
      </w:r>
    </w:p>
    <w:p w14:paraId="195B0C6F">
      <w:pPr>
        <w:tabs>
          <w:tab w:val="left" w:pos="740"/>
        </w:tabs>
        <w:adjustRightInd w:val="0"/>
        <w:snapToGrid w:val="0"/>
        <w:spacing w:line="360" w:lineRule="auto"/>
        <w:rPr>
          <w:rFonts w:hint="eastAsia" w:ascii="仿宋" w:hAnsi="仿宋" w:eastAsia="仿宋" w:cs="仿宋"/>
          <w:iCs/>
          <w:color w:val="auto"/>
          <w:sz w:val="24"/>
          <w:szCs w:val="24"/>
          <w:highlight w:val="none"/>
        </w:rPr>
      </w:pPr>
      <w:r>
        <w:rPr>
          <w:rFonts w:hint="eastAsia" w:ascii="仿宋" w:hAnsi="仿宋" w:eastAsia="仿宋" w:cs="仿宋"/>
          <w:iCs/>
          <w:color w:val="auto"/>
          <w:sz w:val="24"/>
          <w:szCs w:val="24"/>
          <w:highlight w:val="none"/>
          <w:lang w:bidi="ar"/>
        </w:rPr>
        <w:t xml:space="preserve">                □强制采购       □优先采购    </w:t>
      </w:r>
    </w:p>
    <w:p w14:paraId="5F9848A7">
      <w:pPr>
        <w:tabs>
          <w:tab w:val="left" w:pos="740"/>
        </w:tabs>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iCs/>
          <w:color w:val="auto"/>
          <w:sz w:val="24"/>
          <w:szCs w:val="24"/>
          <w:highlight w:val="none"/>
          <w:lang w:bidi="ar"/>
        </w:rPr>
        <w:t xml:space="preserve">         </w:t>
      </w:r>
      <w:r>
        <w:rPr>
          <w:rFonts w:hint="eastAsia" w:ascii="仿宋" w:hAnsi="仿宋" w:eastAsia="仿宋" w:cs="仿宋"/>
          <w:color w:val="auto"/>
          <w:sz w:val="24"/>
          <w:szCs w:val="24"/>
          <w:highlight w:val="none"/>
          <w:lang w:bidi="ar"/>
        </w:rPr>
        <w:t>☑否</w:t>
      </w:r>
    </w:p>
    <w:p w14:paraId="5CE61623">
      <w:pPr>
        <w:tabs>
          <w:tab w:val="left" w:pos="740"/>
        </w:tabs>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是否涉及环境标志产品：</w:t>
      </w:r>
    </w:p>
    <w:p w14:paraId="1DE7AC1A">
      <w:pPr>
        <w:tabs>
          <w:tab w:val="left" w:pos="740"/>
        </w:tabs>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□是，《环境标志产品政府采购品目清单》的底级品目名称：</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iCs/>
          <w:color w:val="auto"/>
          <w:sz w:val="24"/>
          <w:szCs w:val="24"/>
          <w:highlight w:val="none"/>
          <w:lang w:bidi="ar"/>
        </w:rPr>
        <w:t xml:space="preserve"> </w:t>
      </w:r>
    </w:p>
    <w:p w14:paraId="6820958D">
      <w:pPr>
        <w:tabs>
          <w:tab w:val="left" w:pos="740"/>
        </w:tabs>
        <w:adjustRightInd w:val="0"/>
        <w:snapToGrid w:val="0"/>
        <w:spacing w:line="360" w:lineRule="auto"/>
        <w:rPr>
          <w:rFonts w:hint="eastAsia" w:ascii="仿宋" w:hAnsi="仿宋" w:eastAsia="仿宋" w:cs="仿宋"/>
          <w:iCs/>
          <w:color w:val="auto"/>
          <w:sz w:val="24"/>
          <w:szCs w:val="24"/>
          <w:highlight w:val="none"/>
        </w:rPr>
      </w:pPr>
      <w:r>
        <w:rPr>
          <w:rFonts w:hint="eastAsia" w:ascii="仿宋" w:hAnsi="仿宋" w:eastAsia="仿宋" w:cs="仿宋"/>
          <w:iCs/>
          <w:color w:val="auto"/>
          <w:sz w:val="24"/>
          <w:szCs w:val="24"/>
          <w:highlight w:val="none"/>
          <w:lang w:bidi="ar"/>
        </w:rPr>
        <w:t xml:space="preserve">                □强制采购       □优先采购    </w:t>
      </w:r>
    </w:p>
    <w:p w14:paraId="489FD0D7">
      <w:pPr>
        <w:tabs>
          <w:tab w:val="left" w:pos="740"/>
        </w:tabs>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iCs/>
          <w:color w:val="auto"/>
          <w:sz w:val="24"/>
          <w:szCs w:val="24"/>
          <w:highlight w:val="none"/>
          <w:lang w:bidi="ar"/>
        </w:rPr>
        <w:t xml:space="preserve">         </w:t>
      </w:r>
      <w:r>
        <w:rPr>
          <w:rFonts w:hint="eastAsia" w:ascii="仿宋" w:hAnsi="仿宋" w:eastAsia="仿宋" w:cs="仿宋"/>
          <w:color w:val="auto"/>
          <w:sz w:val="24"/>
          <w:szCs w:val="24"/>
          <w:highlight w:val="none"/>
          <w:lang w:bidi="ar"/>
        </w:rPr>
        <w:t>□否</w:t>
      </w:r>
    </w:p>
    <w:p w14:paraId="27AD836C">
      <w:pPr>
        <w:pStyle w:val="23"/>
        <w:widowControl/>
        <w:autoSpaceDE w:val="0"/>
        <w:autoSpaceDN w:val="0"/>
        <w:adjustRightInd w:val="0"/>
        <w:snapToGrid w:val="0"/>
        <w:spacing w:before="0" w:beforeAutospacing="0" w:after="0" w:afterAutospacing="0" w:line="360" w:lineRule="auto"/>
        <w:ind w:firstLine="480" w:firstLineChars="200"/>
        <w:rPr>
          <w:rFonts w:hint="eastAsia" w:ascii="仿宋" w:hAnsi="仿宋" w:eastAsia="仿宋" w:cs="仿宋"/>
          <w:color w:val="auto"/>
          <w:kern w:val="2"/>
          <w:szCs w:val="24"/>
          <w:highlight w:val="none"/>
        </w:rPr>
      </w:pPr>
      <w:r>
        <w:rPr>
          <w:rFonts w:hint="eastAsia" w:ascii="仿宋" w:hAnsi="仿宋" w:eastAsia="仿宋" w:cs="仿宋"/>
          <w:color w:val="auto"/>
          <w:szCs w:val="24"/>
          <w:highlight w:val="none"/>
          <w:lang w:bidi="ar"/>
        </w:rPr>
        <w:t xml:space="preserve">          </w:t>
      </w:r>
      <w:r>
        <w:rPr>
          <w:rFonts w:hint="eastAsia" w:ascii="仿宋" w:hAnsi="仿宋" w:eastAsia="仿宋" w:cs="仿宋"/>
          <w:color w:val="auto"/>
          <w:kern w:val="2"/>
          <w:szCs w:val="24"/>
          <w:highlight w:val="none"/>
          <w:lang w:bidi="ar"/>
        </w:rPr>
        <w:t xml:space="preserve">是否涉及绿色产品： </w:t>
      </w:r>
    </w:p>
    <w:p w14:paraId="66BB7453">
      <w:pPr>
        <w:pStyle w:val="23"/>
        <w:widowControl/>
        <w:autoSpaceDE w:val="0"/>
        <w:autoSpaceDN w:val="0"/>
        <w:adjustRightInd w:val="0"/>
        <w:spacing w:before="0" w:beforeAutospacing="0" w:after="0" w:afterAutospacing="0" w:line="360" w:lineRule="auto"/>
        <w:ind w:firstLine="420"/>
        <w:rPr>
          <w:rFonts w:hint="eastAsia" w:ascii="仿宋" w:hAnsi="仿宋" w:eastAsia="仿宋" w:cs="仿宋"/>
          <w:color w:val="auto"/>
          <w:szCs w:val="24"/>
          <w:highlight w:val="none"/>
          <w:u w:val="single"/>
        </w:rPr>
      </w:pPr>
      <w:r>
        <w:rPr>
          <w:rFonts w:hint="eastAsia" w:ascii="仿宋" w:hAnsi="仿宋" w:eastAsia="仿宋" w:cs="仿宋"/>
          <w:color w:val="auto"/>
          <w:kern w:val="2"/>
          <w:szCs w:val="24"/>
          <w:highlight w:val="none"/>
          <w:lang w:bidi="ar"/>
        </w:rPr>
        <w:t xml:space="preserve">     □是，绿色产品政府采购相关政策确定的底级品目名称：</w:t>
      </w:r>
      <w:r>
        <w:rPr>
          <w:rFonts w:hint="eastAsia" w:ascii="仿宋" w:hAnsi="仿宋" w:eastAsia="仿宋" w:cs="仿宋"/>
          <w:color w:val="auto"/>
          <w:szCs w:val="24"/>
          <w:highlight w:val="none"/>
          <w:u w:val="single"/>
          <w:lang w:bidi="ar"/>
        </w:rPr>
        <w:t xml:space="preserve">         </w:t>
      </w:r>
    </w:p>
    <w:p w14:paraId="4D35A8C1">
      <w:pPr>
        <w:tabs>
          <w:tab w:val="left" w:pos="740"/>
        </w:tabs>
        <w:adjustRightInd w:val="0"/>
        <w:snapToGrid w:val="0"/>
        <w:spacing w:line="360" w:lineRule="auto"/>
        <w:rPr>
          <w:rFonts w:hint="eastAsia" w:ascii="仿宋" w:hAnsi="仿宋" w:eastAsia="仿宋" w:cs="仿宋"/>
          <w:iCs/>
          <w:color w:val="auto"/>
          <w:sz w:val="24"/>
          <w:szCs w:val="24"/>
          <w:highlight w:val="none"/>
        </w:rPr>
      </w:pPr>
      <w:r>
        <w:rPr>
          <w:rFonts w:hint="eastAsia" w:ascii="仿宋" w:hAnsi="仿宋" w:eastAsia="仿宋" w:cs="仿宋"/>
          <w:iCs/>
          <w:color w:val="auto"/>
          <w:sz w:val="24"/>
          <w:szCs w:val="24"/>
          <w:highlight w:val="none"/>
          <w:lang w:bidi="ar"/>
        </w:rPr>
        <w:t xml:space="preserve">                □强制采购       □优先采购    </w:t>
      </w:r>
    </w:p>
    <w:p w14:paraId="70E35DC4">
      <w:pPr>
        <w:pStyle w:val="23"/>
        <w:widowControl/>
        <w:autoSpaceDE w:val="0"/>
        <w:autoSpaceDN w:val="0"/>
        <w:adjustRightInd w:val="0"/>
        <w:spacing w:before="0" w:beforeAutospacing="0" w:after="0" w:afterAutospacing="0" w:line="360" w:lineRule="auto"/>
        <w:ind w:firstLine="420"/>
        <w:rPr>
          <w:rFonts w:hint="eastAsia" w:ascii="仿宋" w:hAnsi="仿宋" w:eastAsia="仿宋" w:cs="仿宋"/>
          <w:color w:val="auto"/>
          <w:kern w:val="2"/>
          <w:szCs w:val="24"/>
          <w:highlight w:val="none"/>
          <w:lang w:bidi="ar"/>
        </w:rPr>
      </w:pPr>
      <w:r>
        <w:rPr>
          <w:rFonts w:hint="eastAsia" w:ascii="仿宋" w:hAnsi="仿宋" w:eastAsia="仿宋" w:cs="仿宋"/>
          <w:color w:val="auto"/>
          <w:kern w:val="2"/>
          <w:szCs w:val="24"/>
          <w:highlight w:val="none"/>
          <w:lang w:bidi="ar"/>
        </w:rPr>
        <w:t xml:space="preserve">     □否</w:t>
      </w:r>
    </w:p>
    <w:p w14:paraId="45E400E2">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（11）涉及商品包装和快递包装的，是否参考《商品包装政府采购需求标准（试行）》、《快递包装政府采购需求标准（试行）》明确产品及相关快递服务的具体包装要求：</w:t>
      </w:r>
    </w:p>
    <w:p w14:paraId="7965115A">
      <w:pPr>
        <w:adjustRightInd w:val="0"/>
        <w:snapToGrid w:val="0"/>
        <w:spacing w:line="360" w:lineRule="auto"/>
        <w:ind w:firstLine="960" w:firstLineChars="4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☑是       □否      □不涉及</w:t>
      </w:r>
    </w:p>
    <w:p w14:paraId="02076EC9">
      <w:pPr>
        <w:numPr>
          <w:ilvl w:val="0"/>
          <w:numId w:val="4"/>
        </w:numPr>
        <w:adjustRightInd w:val="0"/>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合同金额</w:t>
      </w:r>
    </w:p>
    <w:p w14:paraId="4787C09D">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（1）合同金额小写：</w:t>
      </w:r>
      <w:r>
        <w:rPr>
          <w:rFonts w:hint="eastAsia" w:ascii="仿宋" w:hAnsi="仿宋" w:eastAsia="仿宋" w:cs="仿宋"/>
          <w:color w:val="auto"/>
          <w:sz w:val="24"/>
          <w:szCs w:val="24"/>
          <w:highlight w:val="none"/>
          <w:u w:val="single"/>
          <w:lang w:bidi="ar"/>
        </w:rPr>
        <w:t xml:space="preserve">                           </w:t>
      </w:r>
    </w:p>
    <w:p w14:paraId="309F7935">
      <w:pPr>
        <w:adjustRightInd w:val="0"/>
        <w:snapToGrid w:val="0"/>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bidi="ar"/>
        </w:rPr>
        <w:t xml:space="preserve">                 大写：</w:t>
      </w:r>
      <w:r>
        <w:rPr>
          <w:rFonts w:hint="eastAsia" w:ascii="仿宋" w:hAnsi="仿宋" w:eastAsia="仿宋" w:cs="仿宋"/>
          <w:color w:val="auto"/>
          <w:sz w:val="24"/>
          <w:szCs w:val="24"/>
          <w:highlight w:val="none"/>
          <w:u w:val="single"/>
          <w:lang w:bidi="ar"/>
        </w:rPr>
        <w:t xml:space="preserve">                           </w:t>
      </w:r>
    </w:p>
    <w:p w14:paraId="4977DFDB">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分包金额（如有）小写：</w:t>
      </w:r>
      <w:r>
        <w:rPr>
          <w:rFonts w:hint="eastAsia" w:ascii="仿宋" w:hAnsi="仿宋" w:eastAsia="仿宋" w:cs="仿宋"/>
          <w:color w:val="auto"/>
          <w:sz w:val="24"/>
          <w:szCs w:val="24"/>
          <w:highlight w:val="none"/>
          <w:u w:val="single"/>
          <w:lang w:bidi="ar"/>
        </w:rPr>
        <w:t xml:space="preserve">    /              </w:t>
      </w:r>
    </w:p>
    <w:p w14:paraId="3EAD3C36">
      <w:pPr>
        <w:adjustRightInd w:val="0"/>
        <w:snapToGrid w:val="0"/>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bidi="ar"/>
        </w:rPr>
        <w:t xml:space="preserve">                     大写：</w:t>
      </w:r>
      <w:r>
        <w:rPr>
          <w:rFonts w:hint="eastAsia" w:ascii="仿宋" w:hAnsi="仿宋" w:eastAsia="仿宋" w:cs="仿宋"/>
          <w:color w:val="auto"/>
          <w:sz w:val="24"/>
          <w:szCs w:val="24"/>
          <w:highlight w:val="none"/>
          <w:u w:val="single"/>
          <w:lang w:bidi="ar"/>
        </w:rPr>
        <w:t xml:space="preserve">       /               </w:t>
      </w:r>
    </w:p>
    <w:p w14:paraId="79D5FCE5">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（注：固定单价合同应填写单价和最高限价）</w:t>
      </w:r>
    </w:p>
    <w:p w14:paraId="2797FF08">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（2）合同定价方式（采用组合定价方式的，可以勾选多项）：</w:t>
      </w:r>
    </w:p>
    <w:p w14:paraId="69BC0F97">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iCs/>
          <w:color w:val="auto"/>
          <w:sz w:val="24"/>
          <w:szCs w:val="24"/>
          <w:highlight w:val="none"/>
          <w:lang w:bidi="ar"/>
        </w:rPr>
        <w:t>□固定总价 ☑固定单价 □固定费率 □成本补偿 □绩效激励 □其他</w:t>
      </w:r>
      <w:r>
        <w:rPr>
          <w:rFonts w:hint="eastAsia" w:ascii="仿宋" w:hAnsi="仿宋" w:eastAsia="仿宋" w:cs="仿宋"/>
          <w:color w:val="auto"/>
          <w:sz w:val="24"/>
          <w:szCs w:val="24"/>
          <w:highlight w:val="none"/>
          <w:u w:val="single"/>
          <w:lang w:bidi="ar"/>
        </w:rPr>
        <w:t xml:space="preserve">  /    </w:t>
      </w:r>
    </w:p>
    <w:p w14:paraId="4CC25409">
      <w:pPr>
        <w:pStyle w:val="23"/>
        <w:spacing w:before="0" w:beforeAutospacing="0" w:after="0" w:afterAutospacing="0" w:line="360" w:lineRule="auto"/>
        <w:ind w:firstLine="480" w:firstLineChars="20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bidi="ar"/>
        </w:rPr>
        <w:t>（3）付款方式（按项目实际勾选填写）：</w:t>
      </w:r>
    </w:p>
    <w:p w14:paraId="07150D97">
      <w:pPr>
        <w:adjustRightInd w:val="0"/>
        <w:snapToGrid w:val="0"/>
        <w:spacing w:line="360" w:lineRule="auto"/>
        <w:ind w:firstLine="720" w:firstLineChars="3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bidi="ar"/>
        </w:rPr>
        <w:t>□全额付款：</w:t>
      </w:r>
      <w:r>
        <w:rPr>
          <w:rFonts w:hint="eastAsia" w:ascii="仿宋" w:hAnsi="仿宋" w:eastAsia="仿宋" w:cs="仿宋"/>
          <w:color w:val="auto"/>
          <w:sz w:val="24"/>
          <w:szCs w:val="24"/>
          <w:highlight w:val="none"/>
          <w:u w:val="single"/>
          <w:lang w:bidi="ar"/>
        </w:rPr>
        <w:t xml:space="preserve">    /                    </w:t>
      </w:r>
    </w:p>
    <w:p w14:paraId="4E33A17D">
      <w:pPr>
        <w:snapToGrid w:val="0"/>
        <w:spacing w:line="360" w:lineRule="auto"/>
        <w:ind w:firstLine="720" w:firstLineChars="300"/>
        <w:rPr>
          <w:rFonts w:hint="eastAsia" w:ascii="仿宋" w:hAnsi="仿宋" w:eastAsia="仿宋" w:cs="仿宋"/>
          <w:color w:val="auto"/>
          <w:sz w:val="24"/>
          <w:szCs w:val="24"/>
          <w:highlight w:val="none"/>
          <w:u w:val="single"/>
          <w:lang w:bidi="ar"/>
        </w:rPr>
      </w:pPr>
      <w:r>
        <w:rPr>
          <w:rFonts w:hint="eastAsia" w:ascii="仿宋" w:hAnsi="仿宋" w:eastAsia="仿宋" w:cs="仿宋"/>
          <w:color w:val="auto"/>
          <w:sz w:val="24"/>
          <w:szCs w:val="24"/>
          <w:highlight w:val="none"/>
          <w:lang w:bidi="ar"/>
        </w:rPr>
        <w:t>☑分期付款：</w:t>
      </w:r>
      <w:r>
        <w:rPr>
          <w:rFonts w:hint="eastAsia" w:ascii="仿宋" w:hAnsi="仿宋" w:eastAsia="仿宋" w:cs="仿宋"/>
          <w:color w:val="auto"/>
          <w:sz w:val="24"/>
          <w:szCs w:val="24"/>
          <w:highlight w:val="none"/>
          <w:u w:val="single"/>
          <w:lang w:bidi="ar"/>
        </w:rPr>
        <w:t>合同签订且具备实施条件后，支付合同价的40%预付款（预付款支付前，中标人须提供同等金额的见索即付保函），全部供货安装调试完毕并由采购人验收合格后，采购人请款额度须在政府资金调度会批准且发票送达后完成支付。</w:t>
      </w:r>
    </w:p>
    <w:p w14:paraId="233F82FC">
      <w:pPr>
        <w:snapToGrid w:val="0"/>
        <w:spacing w:line="360" w:lineRule="auto"/>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其中涉及预付款的：</w:t>
      </w:r>
      <w:r>
        <w:rPr>
          <w:rFonts w:hint="eastAsia" w:ascii="仿宋" w:hAnsi="仿宋" w:eastAsia="仿宋" w:cs="仿宋"/>
          <w:color w:val="auto"/>
          <w:sz w:val="24"/>
          <w:szCs w:val="24"/>
          <w:highlight w:val="none"/>
          <w:u w:val="single"/>
          <w:lang w:bidi="ar"/>
        </w:rPr>
        <w:t xml:space="preserve"> 合同签订且具备实施条件后，支付合同价的40%预付款（预付款支付前，中标人须提供同等金额的见索即付保函）。</w:t>
      </w:r>
    </w:p>
    <w:p w14:paraId="5738CB48">
      <w:pPr>
        <w:adjustRightInd w:val="0"/>
        <w:snapToGrid w:val="0"/>
        <w:spacing w:line="360" w:lineRule="auto"/>
        <w:ind w:firstLine="720" w:firstLineChars="3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bidi="ar"/>
        </w:rPr>
        <w:t>□成本补偿：</w:t>
      </w:r>
      <w:r>
        <w:rPr>
          <w:rFonts w:hint="eastAsia" w:ascii="仿宋" w:hAnsi="仿宋" w:eastAsia="仿宋" w:cs="仿宋"/>
          <w:color w:val="auto"/>
          <w:sz w:val="24"/>
          <w:szCs w:val="24"/>
          <w:highlight w:val="none"/>
          <w:u w:val="single"/>
          <w:lang w:bidi="ar"/>
        </w:rPr>
        <w:t xml:space="preserve">      /    </w:t>
      </w:r>
    </w:p>
    <w:p w14:paraId="4F2CCAAB">
      <w:pPr>
        <w:adjustRightInd w:val="0"/>
        <w:snapToGrid w:val="0"/>
        <w:spacing w:line="360" w:lineRule="auto"/>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□绩效激励：</w:t>
      </w:r>
      <w:r>
        <w:rPr>
          <w:rFonts w:hint="eastAsia" w:ascii="仿宋" w:hAnsi="仿宋" w:eastAsia="仿宋" w:cs="仿宋"/>
          <w:color w:val="auto"/>
          <w:sz w:val="24"/>
          <w:szCs w:val="24"/>
          <w:highlight w:val="none"/>
          <w:u w:val="single"/>
          <w:lang w:bidi="ar"/>
        </w:rPr>
        <w:t xml:space="preserve">      /    </w:t>
      </w:r>
    </w:p>
    <w:p w14:paraId="3441C86F">
      <w:pPr>
        <w:numPr>
          <w:ilvl w:val="0"/>
          <w:numId w:val="4"/>
        </w:numPr>
        <w:adjustRightInd w:val="0"/>
        <w:snapToGrid w:val="0"/>
        <w:spacing w:line="360" w:lineRule="auto"/>
        <w:ind w:firstLine="482" w:firstLineChars="200"/>
        <w:rPr>
          <w:rFonts w:hint="eastAsia" w:ascii="仿宋" w:hAnsi="仿宋" w:eastAsia="仿宋" w:cs="仿宋"/>
          <w:b/>
          <w:color w:val="auto"/>
          <w:sz w:val="24"/>
          <w:szCs w:val="24"/>
          <w:highlight w:val="none"/>
          <w:u w:val="single"/>
        </w:rPr>
      </w:pPr>
      <w:r>
        <w:rPr>
          <w:rFonts w:hint="eastAsia" w:ascii="仿宋" w:hAnsi="仿宋" w:eastAsia="仿宋" w:cs="仿宋"/>
          <w:b/>
          <w:color w:val="auto"/>
          <w:sz w:val="24"/>
          <w:szCs w:val="24"/>
          <w:highlight w:val="none"/>
          <w:lang w:bidi="ar"/>
        </w:rPr>
        <w:t>合同履行</w:t>
      </w:r>
    </w:p>
    <w:p w14:paraId="14C702E7">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（1）起始日期：</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年</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月</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日，完成日期：</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年</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月</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日。</w:t>
      </w:r>
    </w:p>
    <w:p w14:paraId="03ECEAA0">
      <w:pPr>
        <w:adjustRightInd w:val="0"/>
        <w:snapToGrid w:val="0"/>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bidi="ar"/>
        </w:rPr>
        <w:t>（2）履约地点</w:t>
      </w:r>
      <w:r>
        <w:rPr>
          <w:rFonts w:hint="eastAsia" w:ascii="仿宋" w:hAnsi="仿宋" w:eastAsia="仿宋" w:cs="仿宋"/>
          <w:bCs/>
          <w:color w:val="auto"/>
          <w:sz w:val="24"/>
          <w:szCs w:val="24"/>
          <w:highlight w:val="none"/>
          <w:lang w:bidi="ar"/>
        </w:rPr>
        <w:t>：</w:t>
      </w:r>
      <w:r>
        <w:rPr>
          <w:rFonts w:hint="eastAsia" w:ascii="仿宋" w:hAnsi="仿宋" w:eastAsia="仿宋" w:cs="仿宋"/>
          <w:color w:val="auto"/>
          <w:sz w:val="24"/>
          <w:szCs w:val="24"/>
          <w:highlight w:val="none"/>
          <w:u w:val="single"/>
          <w:lang w:bidi="ar"/>
        </w:rPr>
        <w:t xml:space="preserve">  采购人指定地点          </w:t>
      </w:r>
    </w:p>
    <w:p w14:paraId="3AE3C085">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lang w:bidi="ar"/>
        </w:rPr>
        <w:t>（3）履约担保：</w:t>
      </w:r>
      <w:r>
        <w:rPr>
          <w:rFonts w:hint="eastAsia" w:ascii="仿宋" w:hAnsi="仿宋" w:eastAsia="仿宋" w:cs="仿宋"/>
          <w:color w:val="auto"/>
          <w:sz w:val="24"/>
          <w:szCs w:val="24"/>
          <w:highlight w:val="none"/>
          <w:lang w:bidi="ar"/>
        </w:rPr>
        <w:t>是否收取履约保证金：☑是    □否</w:t>
      </w:r>
    </w:p>
    <w:p w14:paraId="36EB779B">
      <w:pPr>
        <w:pStyle w:val="23"/>
        <w:widowControl/>
        <w:autoSpaceDE w:val="0"/>
        <w:autoSpaceDN w:val="0"/>
        <w:adjustRightInd w:val="0"/>
        <w:spacing w:before="0" w:beforeAutospacing="0" w:after="0" w:afterAutospacing="0"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bCs/>
          <w:color w:val="auto"/>
          <w:szCs w:val="24"/>
          <w:highlight w:val="none"/>
          <w:lang w:bidi="ar"/>
        </w:rPr>
        <w:t xml:space="preserve">  </w:t>
      </w:r>
      <w:r>
        <w:rPr>
          <w:rFonts w:hint="eastAsia" w:ascii="仿宋" w:hAnsi="仿宋" w:eastAsia="仿宋" w:cs="仿宋"/>
          <w:color w:val="auto"/>
          <w:szCs w:val="24"/>
          <w:highlight w:val="none"/>
          <w:lang w:bidi="ar"/>
        </w:rPr>
        <w:t xml:space="preserve">  收取履约保证金形式：</w:t>
      </w:r>
      <w:r>
        <w:rPr>
          <w:rFonts w:hint="eastAsia" w:ascii="仿宋" w:hAnsi="仿宋" w:eastAsia="仿宋" w:cs="仿宋"/>
          <w:bCs/>
          <w:color w:val="auto"/>
          <w:szCs w:val="24"/>
          <w:highlight w:val="none"/>
          <w:u w:val="single"/>
          <w:lang w:bidi="ar"/>
        </w:rPr>
        <w:t xml:space="preserve">                            </w:t>
      </w:r>
    </w:p>
    <w:p w14:paraId="4334E777">
      <w:pPr>
        <w:pStyle w:val="23"/>
        <w:widowControl/>
        <w:autoSpaceDE w:val="0"/>
        <w:autoSpaceDN w:val="0"/>
        <w:adjustRightInd w:val="0"/>
        <w:spacing w:before="0" w:beforeAutospacing="0" w:after="0" w:afterAutospacing="0"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 xml:space="preserve">    收取履约保证金金额：</w:t>
      </w:r>
      <w:r>
        <w:rPr>
          <w:rFonts w:hint="eastAsia" w:ascii="仿宋" w:hAnsi="仿宋" w:eastAsia="仿宋" w:cs="仿宋"/>
          <w:bCs/>
          <w:color w:val="auto"/>
          <w:szCs w:val="24"/>
          <w:highlight w:val="none"/>
          <w:u w:val="single"/>
          <w:lang w:bidi="ar"/>
        </w:rPr>
        <w:t xml:space="preserve">                            </w:t>
      </w:r>
    </w:p>
    <w:p w14:paraId="29BFD212">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lang w:bidi="ar"/>
        </w:rPr>
        <w:t xml:space="preserve">    履约担保期限：</w:t>
      </w:r>
      <w:r>
        <w:rPr>
          <w:rFonts w:hint="eastAsia" w:ascii="仿宋" w:hAnsi="仿宋" w:eastAsia="仿宋" w:cs="仿宋"/>
          <w:bCs/>
          <w:color w:val="auto"/>
          <w:sz w:val="24"/>
          <w:szCs w:val="24"/>
          <w:highlight w:val="none"/>
          <w:u w:val="single"/>
          <w:lang w:bidi="ar"/>
        </w:rPr>
        <w:t xml:space="preserve">                                  </w:t>
      </w:r>
    </w:p>
    <w:p w14:paraId="4D7A54ED">
      <w:pPr>
        <w:adjustRightInd w:val="0"/>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（4）分期履行要求：</w:t>
      </w:r>
      <w:r>
        <w:rPr>
          <w:rFonts w:hint="eastAsia" w:ascii="仿宋" w:hAnsi="仿宋" w:eastAsia="仿宋" w:cs="仿宋"/>
          <w:bCs/>
          <w:color w:val="auto"/>
          <w:sz w:val="24"/>
          <w:szCs w:val="24"/>
          <w:highlight w:val="none"/>
          <w:u w:val="single"/>
          <w:lang w:bidi="ar"/>
        </w:rPr>
        <w:t xml:space="preserve">   /                                                   </w:t>
      </w:r>
    </w:p>
    <w:p w14:paraId="57AEA0EB">
      <w:pPr>
        <w:adjustRightInd w:val="0"/>
        <w:snapToGrid w:val="0"/>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bCs/>
          <w:color w:val="auto"/>
          <w:sz w:val="24"/>
          <w:szCs w:val="24"/>
          <w:highlight w:val="none"/>
          <w:lang w:bidi="ar"/>
        </w:rPr>
        <w:t>（5）风险处置措施和替代方案：</w:t>
      </w:r>
      <w:r>
        <w:rPr>
          <w:rFonts w:hint="eastAsia" w:ascii="仿宋" w:hAnsi="仿宋" w:eastAsia="仿宋" w:cs="仿宋"/>
          <w:color w:val="auto"/>
          <w:sz w:val="24"/>
          <w:szCs w:val="24"/>
          <w:highlight w:val="none"/>
          <w:u w:val="single"/>
          <w:lang w:bidi="ar"/>
        </w:rPr>
        <w:t xml:space="preserve">       /                                                      </w:t>
      </w:r>
    </w:p>
    <w:p w14:paraId="45A96314">
      <w:pPr>
        <w:numPr>
          <w:ilvl w:val="0"/>
          <w:numId w:val="4"/>
        </w:numPr>
        <w:adjustRightInd w:val="0"/>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合同验收</w:t>
      </w:r>
    </w:p>
    <w:p w14:paraId="32EA9E26">
      <w:pPr>
        <w:numPr>
          <w:ilvl w:val="0"/>
          <w:numId w:val="6"/>
        </w:numPr>
        <w:adjustRightInd w:val="0"/>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验收组织方式：</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 xml:space="preserve">自行组织 </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委托第三方组织</w:t>
      </w:r>
    </w:p>
    <w:p w14:paraId="75390CAD">
      <w:pPr>
        <w:adjustRightInd w:val="0"/>
        <w:snapToGrid w:val="0"/>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 xml:space="preserve">         验收主体：</w:t>
      </w:r>
      <w:r>
        <w:rPr>
          <w:rFonts w:hint="eastAsia" w:ascii="仿宋" w:hAnsi="仿宋" w:eastAsia="仿宋" w:cs="仿宋"/>
          <w:bCs/>
          <w:color w:val="auto"/>
          <w:sz w:val="24"/>
          <w:szCs w:val="24"/>
          <w:highlight w:val="none"/>
          <w:u w:val="single"/>
          <w:lang w:bidi="ar"/>
        </w:rPr>
        <w:t xml:space="preserve">   采购人        </w:t>
      </w:r>
    </w:p>
    <w:p w14:paraId="022E50AF">
      <w:pPr>
        <w:adjustRightInd w:val="0"/>
        <w:snapToGrid w:val="0"/>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 xml:space="preserve">        是否邀请本项目的其他供应商参加验收：</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 xml:space="preserve">是  </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否</w:t>
      </w:r>
    </w:p>
    <w:p w14:paraId="1E69634F">
      <w:pPr>
        <w:adjustRightInd w:val="0"/>
        <w:snapToGrid w:val="0"/>
        <w:spacing w:line="360" w:lineRule="auto"/>
        <w:ind w:firstLine="960" w:firstLineChars="4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是否邀请专家参加验收：</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 xml:space="preserve">是  </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否</w:t>
      </w:r>
    </w:p>
    <w:p w14:paraId="715CA32E">
      <w:pPr>
        <w:adjustRightInd w:val="0"/>
        <w:snapToGrid w:val="0"/>
        <w:spacing w:line="360" w:lineRule="auto"/>
        <w:ind w:firstLine="960" w:firstLineChars="4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是否邀请服务对象参加验收：</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 xml:space="preserve">是  </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否</w:t>
      </w:r>
    </w:p>
    <w:p w14:paraId="702357D8">
      <w:pPr>
        <w:adjustRightInd w:val="0"/>
        <w:snapToGrid w:val="0"/>
        <w:spacing w:line="360" w:lineRule="auto"/>
        <w:ind w:firstLine="960" w:firstLineChars="4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是否邀请第三方检测机构参加验收：</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 xml:space="preserve">是  </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否</w:t>
      </w:r>
    </w:p>
    <w:p w14:paraId="71CF28C7">
      <w:pPr>
        <w:adjustRightInd w:val="0"/>
        <w:snapToGrid w:val="0"/>
        <w:spacing w:line="360" w:lineRule="auto"/>
        <w:ind w:firstLine="960" w:firstLineChars="4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是否进行抽查检测：</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是，抽查比例：</w:t>
      </w:r>
      <w:r>
        <w:rPr>
          <w:rFonts w:hint="eastAsia" w:ascii="仿宋" w:hAnsi="仿宋" w:eastAsia="仿宋" w:cs="仿宋"/>
          <w:bCs/>
          <w:color w:val="auto"/>
          <w:sz w:val="24"/>
          <w:szCs w:val="24"/>
          <w:highlight w:val="none"/>
          <w:u w:val="single"/>
          <w:lang w:bidi="ar"/>
        </w:rPr>
        <w:t xml:space="preserve">        </w:t>
      </w:r>
      <w:r>
        <w:rPr>
          <w:rFonts w:hint="eastAsia" w:ascii="仿宋" w:hAnsi="仿宋" w:eastAsia="仿宋" w:cs="仿宋"/>
          <w:bCs/>
          <w:color w:val="auto"/>
          <w:sz w:val="24"/>
          <w:szCs w:val="24"/>
          <w:highlight w:val="none"/>
          <w:lang w:bidi="ar"/>
        </w:rPr>
        <w:t xml:space="preserve"> </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否</w:t>
      </w:r>
    </w:p>
    <w:p w14:paraId="3E348A53">
      <w:pPr>
        <w:adjustRightInd w:val="0"/>
        <w:snapToGrid w:val="0"/>
        <w:spacing w:line="360" w:lineRule="auto"/>
        <w:ind w:firstLine="960" w:firstLineChars="4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lang w:bidi="ar"/>
        </w:rPr>
        <w:t>是否存在破坏性检测：</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是，</w:t>
      </w:r>
      <w:r>
        <w:rPr>
          <w:rFonts w:hint="eastAsia" w:ascii="仿宋" w:hAnsi="仿宋" w:eastAsia="仿宋" w:cs="仿宋"/>
          <w:bCs/>
          <w:color w:val="auto"/>
          <w:sz w:val="24"/>
          <w:szCs w:val="24"/>
          <w:highlight w:val="none"/>
          <w:u w:val="single"/>
          <w:lang w:bidi="ar"/>
        </w:rPr>
        <w:t>（应明确对被破坏的检测产品的处理方式）</w:t>
      </w:r>
    </w:p>
    <w:p w14:paraId="7C1C18C8">
      <w:pPr>
        <w:adjustRightInd w:val="0"/>
        <w:snapToGrid w:val="0"/>
        <w:spacing w:line="360" w:lineRule="auto"/>
        <w:ind w:firstLine="960" w:firstLineChars="4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 xml:space="preserve">                    </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否</w:t>
      </w:r>
    </w:p>
    <w:p w14:paraId="7934B4FB">
      <w:pPr>
        <w:adjustRightInd w:val="0"/>
        <w:snapToGrid w:val="0"/>
        <w:spacing w:line="360" w:lineRule="auto"/>
        <w:ind w:firstLine="960" w:firstLineChars="4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lang w:bidi="ar"/>
        </w:rPr>
        <w:t>验收组织的其他事项：</w:t>
      </w:r>
      <w:r>
        <w:rPr>
          <w:rFonts w:hint="eastAsia" w:ascii="仿宋" w:hAnsi="仿宋" w:eastAsia="仿宋" w:cs="仿宋"/>
          <w:bCs/>
          <w:color w:val="auto"/>
          <w:sz w:val="24"/>
          <w:szCs w:val="24"/>
          <w:highlight w:val="none"/>
          <w:u w:val="single"/>
          <w:lang w:bidi="ar"/>
        </w:rPr>
        <w:t xml:space="preserve">                </w:t>
      </w:r>
    </w:p>
    <w:p w14:paraId="34612C57">
      <w:pPr>
        <w:adjustRightInd w:val="0"/>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lang w:bidi="ar"/>
        </w:rPr>
        <w:t>（2）履约验收时间：</w:t>
      </w:r>
      <w:r>
        <w:rPr>
          <w:rFonts w:hint="eastAsia" w:ascii="仿宋" w:hAnsi="仿宋" w:eastAsia="仿宋" w:cs="仿宋"/>
          <w:bCs/>
          <w:color w:val="auto"/>
          <w:sz w:val="24"/>
          <w:szCs w:val="24"/>
          <w:highlight w:val="none"/>
          <w:u w:val="single"/>
          <w:lang w:bidi="ar"/>
        </w:rPr>
        <w:t xml:space="preserve"> 供应商提出验收申请之日起5日内组织验收 </w:t>
      </w:r>
    </w:p>
    <w:p w14:paraId="2019F0E2">
      <w:pPr>
        <w:adjustRightInd w:val="0"/>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（3）履约验收方式：</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 xml:space="preserve">一次性验收         </w:t>
      </w:r>
    </w:p>
    <w:p w14:paraId="3D6F7D6F">
      <w:pPr>
        <w:adjustRightInd w:val="0"/>
        <w:snapToGrid w:val="0"/>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 xml:space="preserve">                       </w:t>
      </w:r>
      <w:r>
        <w:rPr>
          <w:rFonts w:hint="eastAsia" w:ascii="仿宋" w:hAnsi="仿宋" w:eastAsia="仿宋" w:cs="仿宋"/>
          <w:color w:val="auto"/>
          <w:sz w:val="24"/>
          <w:szCs w:val="24"/>
          <w:highlight w:val="none"/>
          <w:lang w:bidi="ar"/>
        </w:rPr>
        <w:t>□</w:t>
      </w:r>
      <w:r>
        <w:rPr>
          <w:rFonts w:hint="eastAsia" w:ascii="仿宋" w:hAnsi="仿宋" w:eastAsia="仿宋" w:cs="仿宋"/>
          <w:bCs/>
          <w:color w:val="auto"/>
          <w:sz w:val="24"/>
          <w:szCs w:val="24"/>
          <w:highlight w:val="none"/>
          <w:lang w:bidi="ar"/>
        </w:rPr>
        <w:t>分期/分项验收：</w:t>
      </w:r>
      <w:r>
        <w:rPr>
          <w:rFonts w:hint="eastAsia" w:ascii="仿宋" w:hAnsi="仿宋" w:eastAsia="仿宋" w:cs="仿宋"/>
          <w:bCs/>
          <w:color w:val="auto"/>
          <w:sz w:val="24"/>
          <w:szCs w:val="24"/>
          <w:highlight w:val="none"/>
          <w:u w:val="single"/>
          <w:lang w:bidi="ar"/>
        </w:rPr>
        <w:t xml:space="preserve"> </w:t>
      </w:r>
      <w:r>
        <w:rPr>
          <w:rFonts w:hint="eastAsia" w:ascii="仿宋" w:hAnsi="仿宋" w:eastAsia="仿宋" w:cs="仿宋"/>
          <w:bCs/>
          <w:color w:val="auto"/>
          <w:sz w:val="24"/>
          <w:szCs w:val="24"/>
          <w:highlight w:val="none"/>
          <w:u w:val="single"/>
          <w:lang w:val="en-US" w:eastAsia="zh-CN" w:bidi="ar"/>
        </w:rPr>
        <w:t xml:space="preserve">  </w:t>
      </w:r>
      <w:r>
        <w:rPr>
          <w:rFonts w:hint="eastAsia" w:ascii="仿宋" w:hAnsi="仿宋" w:eastAsia="仿宋" w:cs="仿宋"/>
          <w:bCs/>
          <w:color w:val="auto"/>
          <w:sz w:val="24"/>
          <w:szCs w:val="24"/>
          <w:highlight w:val="none"/>
          <w:u w:val="single"/>
          <w:lang w:bidi="ar"/>
        </w:rPr>
        <w:t xml:space="preserve">/  </w:t>
      </w:r>
    </w:p>
    <w:p w14:paraId="5C3B20FA">
      <w:pPr>
        <w:adjustRightInd w:val="0"/>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（4）履约验收程序：</w:t>
      </w:r>
      <w:r>
        <w:rPr>
          <w:rFonts w:hint="eastAsia" w:ascii="仿宋" w:hAnsi="仿宋" w:eastAsia="仿宋" w:cs="仿宋"/>
          <w:bCs/>
          <w:color w:val="auto"/>
          <w:sz w:val="24"/>
          <w:szCs w:val="24"/>
          <w:highlight w:val="none"/>
          <w:u w:val="single"/>
          <w:lang w:bidi="ar"/>
        </w:rPr>
        <w:t xml:space="preserve">                                         </w:t>
      </w:r>
    </w:p>
    <w:p w14:paraId="5491C5BB">
      <w:pPr>
        <w:adjustRightInd w:val="0"/>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lang w:bidi="ar"/>
        </w:rPr>
        <w:t>（5）履约验收的内容：</w:t>
      </w:r>
      <w:r>
        <w:rPr>
          <w:rFonts w:hint="eastAsia" w:ascii="仿宋" w:hAnsi="仿宋" w:eastAsia="仿宋" w:cs="仿宋"/>
          <w:bCs/>
          <w:color w:val="auto"/>
          <w:sz w:val="24"/>
          <w:szCs w:val="24"/>
          <w:highlight w:val="none"/>
          <w:u w:val="single"/>
          <w:lang w:bidi="ar"/>
        </w:rPr>
        <w:t xml:space="preserve"> （应当包括每一项技术和商务要求的履约情况，特别是落实政府采购扶持中小企业，支持绿色发展和乡村振兴等政策情况）                                      </w:t>
      </w:r>
    </w:p>
    <w:p w14:paraId="7A74BCF3">
      <w:pPr>
        <w:adjustRightInd w:val="0"/>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lang w:bidi="ar"/>
        </w:rPr>
        <w:t>（6）履约验收标准：</w:t>
      </w:r>
      <w:r>
        <w:rPr>
          <w:rFonts w:hint="eastAsia" w:ascii="仿宋" w:hAnsi="仿宋" w:eastAsia="仿宋" w:cs="仿宋"/>
          <w:bCs/>
          <w:color w:val="auto"/>
          <w:sz w:val="24"/>
          <w:szCs w:val="24"/>
          <w:highlight w:val="none"/>
          <w:u w:val="single"/>
          <w:lang w:bidi="ar"/>
        </w:rPr>
        <w:t xml:space="preserve">   符合国家标准                     </w:t>
      </w:r>
    </w:p>
    <w:p w14:paraId="5DE57CDF">
      <w:pPr>
        <w:pStyle w:val="23"/>
        <w:widowControl/>
        <w:autoSpaceDE w:val="0"/>
        <w:autoSpaceDN w:val="0"/>
        <w:adjustRightInd w:val="0"/>
        <w:spacing w:before="0" w:beforeAutospacing="0" w:after="0" w:afterAutospacing="0"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bCs/>
          <w:color w:val="auto"/>
          <w:szCs w:val="24"/>
          <w:highlight w:val="none"/>
          <w:lang w:bidi="ar"/>
        </w:rPr>
        <w:t>（7）是否以采购活动中供应商提供的样品作为参考：</w:t>
      </w:r>
      <w:r>
        <w:rPr>
          <w:rFonts w:hint="eastAsia" w:ascii="仿宋" w:hAnsi="仿宋" w:eastAsia="仿宋" w:cs="仿宋"/>
          <w:color w:val="auto"/>
          <w:szCs w:val="24"/>
          <w:highlight w:val="none"/>
          <w:lang w:bidi="ar"/>
        </w:rPr>
        <w:t>□</w:t>
      </w:r>
      <w:r>
        <w:rPr>
          <w:rFonts w:hint="eastAsia" w:ascii="仿宋" w:hAnsi="仿宋" w:eastAsia="仿宋" w:cs="仿宋"/>
          <w:bCs/>
          <w:color w:val="auto"/>
          <w:szCs w:val="24"/>
          <w:highlight w:val="none"/>
          <w:lang w:bidi="ar"/>
        </w:rPr>
        <w:t xml:space="preserve">是  </w:t>
      </w:r>
      <w:r>
        <w:rPr>
          <w:rFonts w:hint="eastAsia" w:ascii="仿宋" w:hAnsi="仿宋" w:eastAsia="仿宋" w:cs="仿宋"/>
          <w:color w:val="auto"/>
          <w:szCs w:val="24"/>
          <w:highlight w:val="none"/>
          <w:lang w:bidi="ar"/>
        </w:rPr>
        <w:t>☑</w:t>
      </w:r>
      <w:r>
        <w:rPr>
          <w:rFonts w:hint="eastAsia" w:ascii="仿宋" w:hAnsi="仿宋" w:eastAsia="仿宋" w:cs="仿宋"/>
          <w:bCs/>
          <w:color w:val="auto"/>
          <w:szCs w:val="24"/>
          <w:highlight w:val="none"/>
          <w:lang w:bidi="ar"/>
        </w:rPr>
        <w:t>否</w:t>
      </w:r>
    </w:p>
    <w:p w14:paraId="2908FB4E">
      <w:pPr>
        <w:adjustRightInd w:val="0"/>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lang w:bidi="ar"/>
        </w:rPr>
        <w:t>（8）履约验收其他事项：</w:t>
      </w:r>
      <w:r>
        <w:rPr>
          <w:rFonts w:hint="eastAsia" w:ascii="仿宋" w:hAnsi="仿宋" w:eastAsia="仿宋" w:cs="仿宋"/>
          <w:bCs/>
          <w:color w:val="auto"/>
          <w:sz w:val="24"/>
          <w:szCs w:val="24"/>
          <w:highlight w:val="none"/>
          <w:u w:val="single"/>
          <w:lang w:bidi="ar"/>
        </w:rPr>
        <w:t>1、乙方交付产品时，应提供《产品合格证明》（如有）、《质量检验报告》（如有）、《产品质量保证书》（如有）、《产品准用证》（如有），如果以上证明材料都没有，则需要提供同等证明材料符合招标文件技术要求，否则甲方有权拒绝接收产品。2、提供虚假检测报告、材料造假的，采购人有权单方面解除合同；3、累计三次交货验收不合格的，采购人有权单方面解除合同；</w:t>
      </w:r>
    </w:p>
    <w:p w14:paraId="5ADBFF72">
      <w:pPr>
        <w:numPr>
          <w:ilvl w:val="0"/>
          <w:numId w:val="4"/>
        </w:numPr>
        <w:adjustRightInd w:val="0"/>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组成合同的文件</w:t>
      </w:r>
    </w:p>
    <w:p w14:paraId="720EA1D8">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本协议书与下列文件一起构成合同文件，如下述文件之间有任何抵触、矛盾或歧义，应按以下顺序解释：</w:t>
      </w:r>
    </w:p>
    <w:p w14:paraId="0B3B9B67">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（1）政府采购合同协议书及其变更、补充协议</w:t>
      </w:r>
    </w:p>
    <w:p w14:paraId="64B99E18">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（2）政府采购合同专用条款</w:t>
      </w:r>
    </w:p>
    <w:p w14:paraId="5530194C">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（3）政府采购合同通用条款</w:t>
      </w:r>
    </w:p>
    <w:p w14:paraId="666AE1A6">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（4）中标（成交）通知书</w:t>
      </w:r>
    </w:p>
    <w:p w14:paraId="4DACC2E6">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（5）投标（响应）文件</w:t>
      </w:r>
    </w:p>
    <w:p w14:paraId="6786E68A">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（6）采购文件</w:t>
      </w:r>
    </w:p>
    <w:p w14:paraId="03050291">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（7）有关技术文件，图纸</w:t>
      </w:r>
    </w:p>
    <w:p w14:paraId="41A0846C">
      <w:pPr>
        <w:pStyle w:val="23"/>
        <w:widowControl/>
        <w:autoSpaceDE w:val="0"/>
        <w:autoSpaceDN w:val="0"/>
        <w:adjustRightInd w:val="0"/>
        <w:spacing w:before="0" w:beforeAutospacing="0" w:after="0" w:afterAutospacing="0" w:line="360" w:lineRule="auto"/>
        <w:ind w:firstLine="480" w:firstLineChars="200"/>
        <w:rPr>
          <w:rFonts w:hint="eastAsia" w:ascii="仿宋" w:hAnsi="仿宋" w:eastAsia="仿宋" w:cs="仿宋"/>
          <w:color w:val="auto"/>
          <w:kern w:val="2"/>
          <w:szCs w:val="24"/>
          <w:highlight w:val="none"/>
        </w:rPr>
      </w:pPr>
      <w:r>
        <w:rPr>
          <w:rFonts w:hint="eastAsia" w:ascii="仿宋" w:hAnsi="仿宋" w:eastAsia="仿宋" w:cs="仿宋"/>
          <w:color w:val="auto"/>
          <w:szCs w:val="24"/>
          <w:highlight w:val="none"/>
          <w:lang w:bidi="ar"/>
        </w:rPr>
        <w:t>（8）</w:t>
      </w:r>
      <w:r>
        <w:rPr>
          <w:rFonts w:hint="eastAsia" w:ascii="仿宋" w:hAnsi="仿宋" w:eastAsia="仿宋" w:cs="仿宋"/>
          <w:color w:val="auto"/>
          <w:kern w:val="2"/>
          <w:szCs w:val="24"/>
          <w:highlight w:val="none"/>
          <w:lang w:bidi="ar"/>
        </w:rPr>
        <w:t>国家法律、行政法规和规章制度规定或合同约定的作为合同组成部分的其他文件</w:t>
      </w:r>
    </w:p>
    <w:p w14:paraId="233D95F8">
      <w:pPr>
        <w:numPr>
          <w:ilvl w:val="0"/>
          <w:numId w:val="4"/>
        </w:numPr>
        <w:adjustRightInd w:val="0"/>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合同生效</w:t>
      </w:r>
    </w:p>
    <w:p w14:paraId="1788A8AB">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本合同自</w:t>
      </w:r>
      <w:r>
        <w:rPr>
          <w:rFonts w:hint="eastAsia" w:ascii="仿宋" w:hAnsi="仿宋" w:eastAsia="仿宋" w:cs="仿宋"/>
          <w:color w:val="auto"/>
          <w:sz w:val="24"/>
          <w:szCs w:val="24"/>
          <w:highlight w:val="none"/>
          <w:u w:val="single"/>
          <w:lang w:bidi="ar"/>
        </w:rPr>
        <w:t xml:space="preserve">     双方加盖印章之后          </w:t>
      </w:r>
      <w:r>
        <w:rPr>
          <w:rFonts w:hint="eastAsia" w:ascii="仿宋" w:hAnsi="仿宋" w:eastAsia="仿宋" w:cs="仿宋"/>
          <w:color w:val="auto"/>
          <w:sz w:val="24"/>
          <w:szCs w:val="24"/>
          <w:highlight w:val="none"/>
          <w:lang w:bidi="ar"/>
        </w:rPr>
        <w:t>生效。</w:t>
      </w:r>
    </w:p>
    <w:p w14:paraId="52BBCB51">
      <w:pPr>
        <w:numPr>
          <w:ilvl w:val="0"/>
          <w:numId w:val="4"/>
        </w:numPr>
        <w:adjustRightInd w:val="0"/>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合同份数</w:t>
      </w:r>
    </w:p>
    <w:p w14:paraId="22F993A1">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本合同一式</w:t>
      </w:r>
      <w:r>
        <w:rPr>
          <w:rFonts w:hint="eastAsia" w:ascii="仿宋" w:hAnsi="仿宋" w:eastAsia="仿宋" w:cs="仿宋"/>
          <w:color w:val="auto"/>
          <w:sz w:val="24"/>
          <w:szCs w:val="24"/>
          <w:highlight w:val="none"/>
          <w:u w:val="single"/>
          <w:lang w:bidi="ar"/>
        </w:rPr>
        <w:t xml:space="preserve">  六 </w:t>
      </w:r>
      <w:r>
        <w:rPr>
          <w:rFonts w:hint="eastAsia" w:ascii="仿宋" w:hAnsi="仿宋" w:eastAsia="仿宋" w:cs="仿宋"/>
          <w:color w:val="auto"/>
          <w:sz w:val="24"/>
          <w:szCs w:val="24"/>
          <w:highlight w:val="none"/>
          <w:lang w:bidi="ar"/>
        </w:rPr>
        <w:t>份，甲方执</w:t>
      </w:r>
      <w:r>
        <w:rPr>
          <w:rFonts w:hint="eastAsia" w:ascii="仿宋" w:hAnsi="仿宋" w:eastAsia="仿宋" w:cs="仿宋"/>
          <w:color w:val="auto"/>
          <w:sz w:val="24"/>
          <w:szCs w:val="24"/>
          <w:highlight w:val="none"/>
          <w:u w:val="single"/>
          <w:lang w:bidi="ar"/>
        </w:rPr>
        <w:t xml:space="preserve"> 三 </w:t>
      </w:r>
      <w:r>
        <w:rPr>
          <w:rFonts w:hint="eastAsia" w:ascii="仿宋" w:hAnsi="仿宋" w:eastAsia="仿宋" w:cs="仿宋"/>
          <w:color w:val="auto"/>
          <w:sz w:val="24"/>
          <w:szCs w:val="24"/>
          <w:highlight w:val="none"/>
          <w:lang w:bidi="ar"/>
        </w:rPr>
        <w:t>份，乙方执</w:t>
      </w:r>
      <w:r>
        <w:rPr>
          <w:rFonts w:hint="eastAsia" w:ascii="仿宋" w:hAnsi="仿宋" w:eastAsia="仿宋" w:cs="仿宋"/>
          <w:color w:val="auto"/>
          <w:sz w:val="24"/>
          <w:szCs w:val="24"/>
          <w:highlight w:val="none"/>
          <w:u w:val="single"/>
          <w:lang w:bidi="ar"/>
        </w:rPr>
        <w:t xml:space="preserve"> 三 </w:t>
      </w:r>
      <w:r>
        <w:rPr>
          <w:rFonts w:hint="eastAsia" w:ascii="仿宋" w:hAnsi="仿宋" w:eastAsia="仿宋" w:cs="仿宋"/>
          <w:color w:val="auto"/>
          <w:sz w:val="24"/>
          <w:szCs w:val="24"/>
          <w:highlight w:val="none"/>
          <w:lang w:bidi="ar"/>
        </w:rPr>
        <w:t>份，均具有同等法律效力。</w:t>
      </w:r>
    </w:p>
    <w:p w14:paraId="69153C53">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合同订立时间：</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年</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月</w:t>
      </w:r>
      <w:r>
        <w:rPr>
          <w:rFonts w:hint="eastAsia" w:ascii="仿宋" w:hAnsi="仿宋" w:eastAsia="仿宋" w:cs="仿宋"/>
          <w:color w:val="auto"/>
          <w:sz w:val="24"/>
          <w:szCs w:val="24"/>
          <w:highlight w:val="none"/>
          <w:u w:val="single"/>
          <w:lang w:bidi="ar"/>
        </w:rPr>
        <w:t xml:space="preserve">      </w:t>
      </w:r>
      <w:r>
        <w:rPr>
          <w:rFonts w:hint="eastAsia" w:ascii="仿宋" w:hAnsi="仿宋" w:eastAsia="仿宋" w:cs="仿宋"/>
          <w:color w:val="auto"/>
          <w:sz w:val="24"/>
          <w:szCs w:val="24"/>
          <w:highlight w:val="none"/>
          <w:lang w:bidi="ar"/>
        </w:rPr>
        <w:t>日</w:t>
      </w:r>
    </w:p>
    <w:p w14:paraId="63690E4D">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合同订立地点：</w:t>
      </w:r>
      <w:r>
        <w:rPr>
          <w:rFonts w:hint="eastAsia" w:ascii="仿宋" w:hAnsi="仿宋" w:eastAsia="仿宋" w:cs="仿宋"/>
          <w:color w:val="auto"/>
          <w:sz w:val="24"/>
          <w:szCs w:val="24"/>
          <w:highlight w:val="none"/>
          <w:u w:val="single"/>
          <w:lang w:bidi="ar"/>
        </w:rPr>
        <w:t xml:space="preserve">                          </w:t>
      </w:r>
    </w:p>
    <w:p w14:paraId="3A3FC139">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附件：具体标的及其技术要求和商务要求、联合协议、分包意向协议等。</w:t>
      </w:r>
    </w:p>
    <w:p w14:paraId="25279DB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br w:type="page"/>
      </w:r>
    </w:p>
    <w:p w14:paraId="08F2A214">
      <w:pPr>
        <w:pStyle w:val="23"/>
        <w:spacing w:before="0" w:beforeAutospacing="0" w:after="0" w:afterAutospacing="0" w:line="360" w:lineRule="auto"/>
        <w:ind w:firstLine="480" w:firstLineChars="20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bidi="ar"/>
        </w:rPr>
        <w:t xml:space="preserve"> </w:t>
      </w:r>
    </w:p>
    <w:tbl>
      <w:tblPr>
        <w:tblStyle w:val="27"/>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8"/>
        <w:gridCol w:w="2154"/>
        <w:gridCol w:w="2309"/>
      </w:tblGrid>
      <w:tr w14:paraId="77460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4" w:space="0"/>
              <w:right w:val="single" w:color="auto" w:sz="4" w:space="0"/>
            </w:tcBorders>
            <w:vAlign w:val="center"/>
          </w:tcPr>
          <w:p w14:paraId="54B0C9E7">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甲方（采购人、受采购人委托签订合同的单位或采购文件约定的合同甲方）</w:t>
            </w:r>
          </w:p>
        </w:tc>
        <w:tc>
          <w:tcPr>
            <w:tcW w:w="2437" w:type="pct"/>
            <w:gridSpan w:val="2"/>
            <w:tcBorders>
              <w:top w:val="single" w:color="auto" w:sz="4" w:space="0"/>
              <w:left w:val="single" w:color="auto" w:sz="4" w:space="0"/>
              <w:bottom w:val="single" w:color="auto" w:sz="2" w:space="0"/>
              <w:right w:val="single" w:color="auto" w:sz="4" w:space="0"/>
            </w:tcBorders>
            <w:vAlign w:val="center"/>
          </w:tcPr>
          <w:p w14:paraId="3C139115">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乙方（供应商）</w:t>
            </w:r>
          </w:p>
        </w:tc>
      </w:tr>
      <w:tr w14:paraId="0D68E8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4" w:space="0"/>
              <w:left w:val="single" w:color="auto" w:sz="4" w:space="0"/>
              <w:bottom w:val="single" w:color="auto" w:sz="4" w:space="0"/>
              <w:right w:val="single" w:color="auto" w:sz="4" w:space="0"/>
            </w:tcBorders>
            <w:vAlign w:val="center"/>
          </w:tcPr>
          <w:p w14:paraId="0F94D9C7">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单位名称（公章或合同章）</w:t>
            </w:r>
          </w:p>
        </w:tc>
        <w:tc>
          <w:tcPr>
            <w:tcW w:w="1436" w:type="pct"/>
            <w:tcBorders>
              <w:top w:val="single" w:color="auto" w:sz="4" w:space="0"/>
              <w:left w:val="single" w:color="auto" w:sz="4" w:space="0"/>
              <w:bottom w:val="single" w:color="auto" w:sz="4" w:space="0"/>
              <w:right w:val="single" w:color="auto" w:sz="4" w:space="0"/>
            </w:tcBorders>
            <w:vAlign w:val="center"/>
          </w:tcPr>
          <w:p w14:paraId="733FA75A">
            <w:pPr>
              <w:adjustRightInd w:val="0"/>
              <w:snapToGrid w:val="0"/>
              <w:spacing w:line="360" w:lineRule="auto"/>
              <w:jc w:val="center"/>
              <w:rPr>
                <w:rFonts w:hint="eastAsia" w:ascii="仿宋" w:hAnsi="仿宋" w:eastAsia="仿宋" w:cs="仿宋"/>
                <w:color w:val="auto"/>
                <w:sz w:val="24"/>
                <w:szCs w:val="24"/>
                <w:highlight w:val="none"/>
              </w:rPr>
            </w:pPr>
          </w:p>
        </w:tc>
        <w:tc>
          <w:tcPr>
            <w:tcW w:w="1177" w:type="pct"/>
            <w:tcBorders>
              <w:top w:val="single" w:color="auto" w:sz="4" w:space="0"/>
              <w:left w:val="single" w:color="auto" w:sz="4" w:space="0"/>
              <w:bottom w:val="single" w:color="auto" w:sz="2" w:space="0"/>
              <w:right w:val="single" w:color="auto" w:sz="4" w:space="0"/>
            </w:tcBorders>
            <w:vAlign w:val="center"/>
          </w:tcPr>
          <w:p w14:paraId="2D1CC940">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单位名称（公章或合同章）</w:t>
            </w:r>
          </w:p>
        </w:tc>
        <w:tc>
          <w:tcPr>
            <w:tcW w:w="1259" w:type="pct"/>
            <w:tcBorders>
              <w:top w:val="single" w:color="auto" w:sz="2" w:space="0"/>
              <w:left w:val="single" w:color="auto" w:sz="4" w:space="0"/>
              <w:bottom w:val="single" w:color="auto" w:sz="2" w:space="0"/>
              <w:right w:val="single" w:color="auto" w:sz="4" w:space="0"/>
            </w:tcBorders>
            <w:vAlign w:val="center"/>
          </w:tcPr>
          <w:p w14:paraId="3EAB8B00">
            <w:pPr>
              <w:adjustRightInd w:val="0"/>
              <w:snapToGrid w:val="0"/>
              <w:spacing w:line="360" w:lineRule="auto"/>
              <w:jc w:val="center"/>
              <w:rPr>
                <w:rFonts w:hint="eastAsia" w:ascii="仿宋" w:hAnsi="仿宋" w:eastAsia="仿宋" w:cs="仿宋"/>
                <w:color w:val="auto"/>
                <w:spacing w:val="20"/>
                <w:sz w:val="24"/>
                <w:szCs w:val="24"/>
                <w:highlight w:val="none"/>
              </w:rPr>
            </w:pPr>
          </w:p>
        </w:tc>
      </w:tr>
      <w:tr w14:paraId="32A70E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4" w:space="0"/>
              <w:left w:val="single" w:color="auto" w:sz="4" w:space="0"/>
              <w:bottom w:val="single" w:color="auto" w:sz="4" w:space="0"/>
              <w:right w:val="single" w:color="auto" w:sz="4" w:space="0"/>
            </w:tcBorders>
            <w:vAlign w:val="center"/>
          </w:tcPr>
          <w:p w14:paraId="03D84FAE">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法定代表人</w:t>
            </w:r>
          </w:p>
          <w:p w14:paraId="544C5EE7">
            <w:pPr>
              <w:adjustRightInd w:val="0"/>
              <w:snapToGrid w:val="0"/>
              <w:spacing w:line="360" w:lineRule="auto"/>
              <w:ind w:firstLine="115" w:firstLineChars="4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或其委托代理人（签章）</w:t>
            </w:r>
          </w:p>
        </w:tc>
        <w:tc>
          <w:tcPr>
            <w:tcW w:w="1436" w:type="pct"/>
            <w:vMerge w:val="restart"/>
            <w:tcBorders>
              <w:top w:val="single" w:color="auto" w:sz="4" w:space="0"/>
              <w:left w:val="single" w:color="auto" w:sz="4" w:space="0"/>
              <w:bottom w:val="single" w:color="auto" w:sz="4" w:space="0"/>
              <w:right w:val="single" w:color="auto" w:sz="4" w:space="0"/>
            </w:tcBorders>
            <w:vAlign w:val="center"/>
          </w:tcPr>
          <w:p w14:paraId="57CD2420">
            <w:pPr>
              <w:adjustRightInd w:val="0"/>
              <w:snapToGrid w:val="0"/>
              <w:spacing w:line="360" w:lineRule="auto"/>
              <w:jc w:val="center"/>
              <w:rPr>
                <w:rFonts w:hint="eastAsia" w:ascii="仿宋" w:hAnsi="仿宋" w:eastAsia="仿宋" w:cs="仿宋"/>
                <w:color w:val="auto"/>
                <w:sz w:val="24"/>
                <w:szCs w:val="24"/>
                <w:highlight w:val="none"/>
              </w:rPr>
            </w:pPr>
          </w:p>
        </w:tc>
        <w:tc>
          <w:tcPr>
            <w:tcW w:w="1177" w:type="pct"/>
            <w:tcBorders>
              <w:top w:val="single" w:color="auto" w:sz="2" w:space="0"/>
              <w:left w:val="single" w:color="auto" w:sz="4" w:space="0"/>
              <w:bottom w:val="single" w:color="auto" w:sz="4" w:space="0"/>
              <w:right w:val="single" w:color="auto" w:sz="4" w:space="0"/>
            </w:tcBorders>
            <w:vAlign w:val="center"/>
          </w:tcPr>
          <w:p w14:paraId="32BB3E2A">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法定代表人</w:t>
            </w:r>
          </w:p>
          <w:p w14:paraId="6EED4D01">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或其委托代理人（签章）</w:t>
            </w:r>
          </w:p>
        </w:tc>
        <w:tc>
          <w:tcPr>
            <w:tcW w:w="1259" w:type="pct"/>
            <w:tcBorders>
              <w:top w:val="single" w:color="auto" w:sz="2" w:space="0"/>
              <w:left w:val="single" w:color="auto" w:sz="4" w:space="0"/>
              <w:bottom w:val="single" w:color="auto" w:sz="2" w:space="0"/>
              <w:right w:val="single" w:color="auto" w:sz="4" w:space="0"/>
            </w:tcBorders>
            <w:vAlign w:val="center"/>
          </w:tcPr>
          <w:p w14:paraId="4B4F1A57">
            <w:pPr>
              <w:adjustRightInd w:val="0"/>
              <w:snapToGrid w:val="0"/>
              <w:spacing w:line="360" w:lineRule="auto"/>
              <w:jc w:val="center"/>
              <w:rPr>
                <w:rFonts w:hint="eastAsia" w:ascii="仿宋" w:hAnsi="仿宋" w:eastAsia="仿宋" w:cs="仿宋"/>
                <w:color w:val="auto"/>
                <w:sz w:val="24"/>
                <w:szCs w:val="24"/>
                <w:highlight w:val="none"/>
              </w:rPr>
            </w:pPr>
          </w:p>
        </w:tc>
      </w:tr>
      <w:tr w14:paraId="1DA602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top w:val="single" w:color="auto" w:sz="4" w:space="0"/>
              <w:left w:val="single" w:color="auto" w:sz="4" w:space="0"/>
              <w:bottom w:val="single" w:color="auto" w:sz="4" w:space="0"/>
              <w:right w:val="single" w:color="auto" w:sz="4" w:space="0"/>
            </w:tcBorders>
            <w:vAlign w:val="center"/>
          </w:tcPr>
          <w:p w14:paraId="3B8D6137">
            <w:pPr>
              <w:rPr>
                <w:rFonts w:hint="eastAsia" w:ascii="仿宋" w:hAnsi="仿宋" w:eastAsia="仿宋" w:cs="仿宋"/>
                <w:color w:val="auto"/>
                <w:sz w:val="20"/>
                <w:highlight w:val="none"/>
              </w:rPr>
            </w:pPr>
          </w:p>
        </w:tc>
        <w:tc>
          <w:tcPr>
            <w:tcW w:w="1436" w:type="pct"/>
            <w:vMerge w:val="continue"/>
            <w:tcBorders>
              <w:top w:val="single" w:color="auto" w:sz="4" w:space="0"/>
              <w:left w:val="single" w:color="auto" w:sz="4" w:space="0"/>
              <w:bottom w:val="single" w:color="auto" w:sz="4" w:space="0"/>
              <w:right w:val="single" w:color="auto" w:sz="4" w:space="0"/>
            </w:tcBorders>
            <w:vAlign w:val="center"/>
          </w:tcPr>
          <w:p w14:paraId="77A38135">
            <w:pPr>
              <w:rPr>
                <w:rFonts w:hint="eastAsia" w:ascii="仿宋" w:hAnsi="仿宋" w:eastAsia="仿宋" w:cs="仿宋"/>
                <w:color w:val="auto"/>
                <w:sz w:val="20"/>
                <w:highlight w:val="none"/>
              </w:rPr>
            </w:pPr>
          </w:p>
        </w:tc>
        <w:tc>
          <w:tcPr>
            <w:tcW w:w="1177" w:type="pct"/>
            <w:tcBorders>
              <w:top w:val="single" w:color="auto" w:sz="4" w:space="0"/>
              <w:left w:val="single" w:color="auto" w:sz="4" w:space="0"/>
              <w:bottom w:val="single" w:color="auto" w:sz="2" w:space="0"/>
              <w:right w:val="single" w:color="auto" w:sz="4" w:space="0"/>
            </w:tcBorders>
            <w:vAlign w:val="center"/>
          </w:tcPr>
          <w:p w14:paraId="0111B3E0">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拥有者性别</w:t>
            </w:r>
          </w:p>
        </w:tc>
        <w:tc>
          <w:tcPr>
            <w:tcW w:w="1259" w:type="pct"/>
            <w:tcBorders>
              <w:top w:val="single" w:color="auto" w:sz="2" w:space="0"/>
              <w:left w:val="single" w:color="auto" w:sz="4" w:space="0"/>
              <w:bottom w:val="single" w:color="auto" w:sz="2" w:space="0"/>
              <w:right w:val="single" w:color="auto" w:sz="4" w:space="0"/>
            </w:tcBorders>
            <w:vAlign w:val="center"/>
          </w:tcPr>
          <w:p w14:paraId="3CACE2D2">
            <w:pPr>
              <w:adjustRightInd w:val="0"/>
              <w:snapToGrid w:val="0"/>
              <w:spacing w:line="360" w:lineRule="auto"/>
              <w:jc w:val="center"/>
              <w:rPr>
                <w:rFonts w:hint="eastAsia" w:ascii="仿宋" w:hAnsi="仿宋" w:eastAsia="仿宋" w:cs="仿宋"/>
                <w:color w:val="auto"/>
                <w:spacing w:val="20"/>
                <w:sz w:val="24"/>
                <w:szCs w:val="24"/>
                <w:highlight w:val="none"/>
              </w:rPr>
            </w:pPr>
          </w:p>
        </w:tc>
      </w:tr>
      <w:tr w14:paraId="3D520D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2" w:space="0"/>
              <w:right w:val="single" w:color="auto" w:sz="4" w:space="0"/>
            </w:tcBorders>
            <w:vAlign w:val="center"/>
          </w:tcPr>
          <w:p w14:paraId="3B4A4EF9">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住  所</w:t>
            </w:r>
          </w:p>
        </w:tc>
        <w:tc>
          <w:tcPr>
            <w:tcW w:w="1436" w:type="pct"/>
            <w:tcBorders>
              <w:top w:val="single" w:color="auto" w:sz="4" w:space="0"/>
              <w:left w:val="single" w:color="auto" w:sz="4" w:space="0"/>
              <w:bottom w:val="single" w:color="auto" w:sz="2" w:space="0"/>
              <w:right w:val="single" w:color="auto" w:sz="4" w:space="0"/>
            </w:tcBorders>
            <w:vAlign w:val="center"/>
          </w:tcPr>
          <w:p w14:paraId="65EF0C4F">
            <w:pPr>
              <w:adjustRightInd w:val="0"/>
              <w:snapToGrid w:val="0"/>
              <w:spacing w:line="360" w:lineRule="auto"/>
              <w:jc w:val="center"/>
              <w:rPr>
                <w:rFonts w:hint="eastAsia" w:ascii="仿宋" w:hAnsi="仿宋" w:eastAsia="仿宋" w:cs="仿宋"/>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10302AF5">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住  所</w:t>
            </w:r>
          </w:p>
        </w:tc>
        <w:tc>
          <w:tcPr>
            <w:tcW w:w="1259" w:type="pct"/>
            <w:tcBorders>
              <w:top w:val="single" w:color="auto" w:sz="2" w:space="0"/>
              <w:left w:val="single" w:color="auto" w:sz="4" w:space="0"/>
              <w:bottom w:val="single" w:color="auto" w:sz="2" w:space="0"/>
              <w:right w:val="single" w:color="auto" w:sz="4" w:space="0"/>
            </w:tcBorders>
            <w:vAlign w:val="center"/>
          </w:tcPr>
          <w:p w14:paraId="1FBBBEF4">
            <w:pPr>
              <w:adjustRightInd w:val="0"/>
              <w:snapToGrid w:val="0"/>
              <w:spacing w:line="360" w:lineRule="auto"/>
              <w:jc w:val="center"/>
              <w:rPr>
                <w:rFonts w:hint="eastAsia" w:ascii="仿宋" w:hAnsi="仿宋" w:eastAsia="仿宋" w:cs="仿宋"/>
                <w:color w:val="auto"/>
                <w:spacing w:val="20"/>
                <w:sz w:val="24"/>
                <w:szCs w:val="24"/>
                <w:highlight w:val="none"/>
              </w:rPr>
            </w:pPr>
          </w:p>
        </w:tc>
      </w:tr>
      <w:tr w14:paraId="782BC1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31C8DE3F">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联 系 人</w:t>
            </w:r>
          </w:p>
        </w:tc>
        <w:tc>
          <w:tcPr>
            <w:tcW w:w="1436" w:type="pct"/>
            <w:tcBorders>
              <w:top w:val="single" w:color="auto" w:sz="2" w:space="0"/>
              <w:left w:val="single" w:color="auto" w:sz="4" w:space="0"/>
              <w:bottom w:val="single" w:color="auto" w:sz="2" w:space="0"/>
              <w:right w:val="single" w:color="auto" w:sz="4" w:space="0"/>
            </w:tcBorders>
            <w:vAlign w:val="center"/>
          </w:tcPr>
          <w:p w14:paraId="2E56AA28">
            <w:pPr>
              <w:adjustRightInd w:val="0"/>
              <w:snapToGrid w:val="0"/>
              <w:spacing w:line="360" w:lineRule="auto"/>
              <w:jc w:val="center"/>
              <w:rPr>
                <w:rFonts w:hint="eastAsia" w:ascii="仿宋" w:hAnsi="仿宋" w:eastAsia="仿宋" w:cs="仿宋"/>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4DBBE43B">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联 系 人</w:t>
            </w:r>
          </w:p>
        </w:tc>
        <w:tc>
          <w:tcPr>
            <w:tcW w:w="1259" w:type="pct"/>
            <w:tcBorders>
              <w:top w:val="single" w:color="auto" w:sz="2" w:space="0"/>
              <w:left w:val="single" w:color="auto" w:sz="4" w:space="0"/>
              <w:bottom w:val="single" w:color="auto" w:sz="2" w:space="0"/>
              <w:right w:val="single" w:color="auto" w:sz="4" w:space="0"/>
            </w:tcBorders>
            <w:vAlign w:val="center"/>
          </w:tcPr>
          <w:p w14:paraId="0F73994E">
            <w:pPr>
              <w:adjustRightInd w:val="0"/>
              <w:snapToGrid w:val="0"/>
              <w:spacing w:line="360" w:lineRule="auto"/>
              <w:jc w:val="center"/>
              <w:rPr>
                <w:rFonts w:hint="eastAsia" w:ascii="仿宋" w:hAnsi="仿宋" w:eastAsia="仿宋" w:cs="仿宋"/>
                <w:color w:val="auto"/>
                <w:spacing w:val="20"/>
                <w:sz w:val="24"/>
                <w:szCs w:val="24"/>
                <w:highlight w:val="none"/>
              </w:rPr>
            </w:pPr>
          </w:p>
        </w:tc>
      </w:tr>
      <w:tr w14:paraId="634037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282AF79C">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联系电话</w:t>
            </w:r>
          </w:p>
        </w:tc>
        <w:tc>
          <w:tcPr>
            <w:tcW w:w="1436" w:type="pct"/>
            <w:tcBorders>
              <w:top w:val="single" w:color="auto" w:sz="2" w:space="0"/>
              <w:left w:val="single" w:color="auto" w:sz="4" w:space="0"/>
              <w:bottom w:val="single" w:color="auto" w:sz="2" w:space="0"/>
              <w:right w:val="single" w:color="auto" w:sz="4" w:space="0"/>
            </w:tcBorders>
            <w:vAlign w:val="center"/>
          </w:tcPr>
          <w:p w14:paraId="5B8C71B6">
            <w:pPr>
              <w:adjustRightInd w:val="0"/>
              <w:snapToGrid w:val="0"/>
              <w:spacing w:line="360" w:lineRule="auto"/>
              <w:jc w:val="center"/>
              <w:rPr>
                <w:rFonts w:hint="eastAsia" w:ascii="仿宋" w:hAnsi="仿宋" w:eastAsia="仿宋" w:cs="仿宋"/>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7EDE25CB">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联系电话</w:t>
            </w:r>
          </w:p>
        </w:tc>
        <w:tc>
          <w:tcPr>
            <w:tcW w:w="1259" w:type="pct"/>
            <w:tcBorders>
              <w:top w:val="single" w:color="auto" w:sz="2" w:space="0"/>
              <w:left w:val="single" w:color="auto" w:sz="4" w:space="0"/>
              <w:bottom w:val="single" w:color="auto" w:sz="2" w:space="0"/>
              <w:right w:val="single" w:color="auto" w:sz="4" w:space="0"/>
            </w:tcBorders>
            <w:vAlign w:val="center"/>
          </w:tcPr>
          <w:p w14:paraId="087A1E8B">
            <w:pPr>
              <w:adjustRightInd w:val="0"/>
              <w:snapToGrid w:val="0"/>
              <w:spacing w:line="360" w:lineRule="auto"/>
              <w:jc w:val="center"/>
              <w:rPr>
                <w:rFonts w:hint="eastAsia" w:ascii="仿宋" w:hAnsi="仿宋" w:eastAsia="仿宋" w:cs="仿宋"/>
                <w:color w:val="auto"/>
                <w:spacing w:val="20"/>
                <w:sz w:val="24"/>
                <w:szCs w:val="24"/>
                <w:highlight w:val="none"/>
              </w:rPr>
            </w:pPr>
          </w:p>
        </w:tc>
      </w:tr>
      <w:tr w14:paraId="423FF9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01BD1351">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通信地址</w:t>
            </w:r>
          </w:p>
        </w:tc>
        <w:tc>
          <w:tcPr>
            <w:tcW w:w="1436" w:type="pct"/>
            <w:tcBorders>
              <w:top w:val="single" w:color="auto" w:sz="2" w:space="0"/>
              <w:left w:val="single" w:color="auto" w:sz="4" w:space="0"/>
              <w:bottom w:val="single" w:color="auto" w:sz="2" w:space="0"/>
              <w:right w:val="single" w:color="auto" w:sz="4" w:space="0"/>
            </w:tcBorders>
            <w:vAlign w:val="center"/>
          </w:tcPr>
          <w:p w14:paraId="01D97777">
            <w:pPr>
              <w:adjustRightInd w:val="0"/>
              <w:snapToGrid w:val="0"/>
              <w:spacing w:line="360" w:lineRule="auto"/>
              <w:jc w:val="center"/>
              <w:rPr>
                <w:rFonts w:hint="eastAsia" w:ascii="仿宋" w:hAnsi="仿宋" w:eastAsia="仿宋" w:cs="仿宋"/>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41551592">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通信地址</w:t>
            </w:r>
          </w:p>
        </w:tc>
        <w:tc>
          <w:tcPr>
            <w:tcW w:w="1259" w:type="pct"/>
            <w:tcBorders>
              <w:top w:val="single" w:color="auto" w:sz="2" w:space="0"/>
              <w:left w:val="single" w:color="auto" w:sz="4" w:space="0"/>
              <w:bottom w:val="single" w:color="auto" w:sz="2" w:space="0"/>
              <w:right w:val="single" w:color="auto" w:sz="4" w:space="0"/>
            </w:tcBorders>
            <w:vAlign w:val="center"/>
          </w:tcPr>
          <w:p w14:paraId="634A7EBC">
            <w:pPr>
              <w:adjustRightInd w:val="0"/>
              <w:snapToGrid w:val="0"/>
              <w:spacing w:line="360" w:lineRule="auto"/>
              <w:jc w:val="center"/>
              <w:rPr>
                <w:rFonts w:hint="eastAsia" w:ascii="仿宋" w:hAnsi="仿宋" w:eastAsia="仿宋" w:cs="仿宋"/>
                <w:color w:val="auto"/>
                <w:spacing w:val="20"/>
                <w:sz w:val="24"/>
                <w:szCs w:val="24"/>
                <w:highlight w:val="none"/>
              </w:rPr>
            </w:pPr>
          </w:p>
        </w:tc>
      </w:tr>
      <w:tr w14:paraId="19C241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16859ED9">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邮政编码</w:t>
            </w:r>
          </w:p>
        </w:tc>
        <w:tc>
          <w:tcPr>
            <w:tcW w:w="1436" w:type="pct"/>
            <w:tcBorders>
              <w:top w:val="single" w:color="auto" w:sz="2" w:space="0"/>
              <w:left w:val="single" w:color="auto" w:sz="4" w:space="0"/>
              <w:bottom w:val="single" w:color="auto" w:sz="2" w:space="0"/>
              <w:right w:val="single" w:color="auto" w:sz="4" w:space="0"/>
            </w:tcBorders>
            <w:vAlign w:val="center"/>
          </w:tcPr>
          <w:p w14:paraId="23333D6B">
            <w:pPr>
              <w:adjustRightInd w:val="0"/>
              <w:snapToGrid w:val="0"/>
              <w:spacing w:line="360" w:lineRule="auto"/>
              <w:jc w:val="center"/>
              <w:rPr>
                <w:rFonts w:hint="eastAsia" w:ascii="仿宋" w:hAnsi="仿宋" w:eastAsia="仿宋" w:cs="仿宋"/>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46B8D5EA">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邮政编码</w:t>
            </w:r>
          </w:p>
        </w:tc>
        <w:tc>
          <w:tcPr>
            <w:tcW w:w="1259" w:type="pct"/>
            <w:tcBorders>
              <w:top w:val="single" w:color="auto" w:sz="2" w:space="0"/>
              <w:left w:val="single" w:color="auto" w:sz="4" w:space="0"/>
              <w:bottom w:val="single" w:color="auto" w:sz="2" w:space="0"/>
              <w:right w:val="single" w:color="auto" w:sz="4" w:space="0"/>
            </w:tcBorders>
            <w:vAlign w:val="center"/>
          </w:tcPr>
          <w:p w14:paraId="03D2B632">
            <w:pPr>
              <w:adjustRightInd w:val="0"/>
              <w:snapToGrid w:val="0"/>
              <w:spacing w:line="360" w:lineRule="auto"/>
              <w:jc w:val="center"/>
              <w:rPr>
                <w:rFonts w:hint="eastAsia" w:ascii="仿宋" w:hAnsi="仿宋" w:eastAsia="仿宋" w:cs="仿宋"/>
                <w:color w:val="auto"/>
                <w:spacing w:val="20"/>
                <w:sz w:val="24"/>
                <w:szCs w:val="24"/>
                <w:highlight w:val="none"/>
              </w:rPr>
            </w:pPr>
          </w:p>
        </w:tc>
      </w:tr>
      <w:tr w14:paraId="10693C7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6AB23B7D">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电子邮箱</w:t>
            </w:r>
          </w:p>
        </w:tc>
        <w:tc>
          <w:tcPr>
            <w:tcW w:w="1436" w:type="pct"/>
            <w:tcBorders>
              <w:top w:val="single" w:color="auto" w:sz="2" w:space="0"/>
              <w:left w:val="single" w:color="auto" w:sz="4" w:space="0"/>
              <w:bottom w:val="single" w:color="auto" w:sz="2" w:space="0"/>
              <w:right w:val="single" w:color="auto" w:sz="4" w:space="0"/>
            </w:tcBorders>
            <w:vAlign w:val="center"/>
          </w:tcPr>
          <w:p w14:paraId="4B6ACC45">
            <w:pPr>
              <w:adjustRightInd w:val="0"/>
              <w:snapToGrid w:val="0"/>
              <w:spacing w:line="360" w:lineRule="auto"/>
              <w:jc w:val="center"/>
              <w:rPr>
                <w:rFonts w:hint="eastAsia" w:ascii="仿宋" w:hAnsi="仿宋" w:eastAsia="仿宋" w:cs="仿宋"/>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753D351B">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电子邮箱</w:t>
            </w:r>
          </w:p>
        </w:tc>
        <w:tc>
          <w:tcPr>
            <w:tcW w:w="1259" w:type="pct"/>
            <w:tcBorders>
              <w:top w:val="single" w:color="auto" w:sz="2" w:space="0"/>
              <w:left w:val="single" w:color="auto" w:sz="4" w:space="0"/>
              <w:bottom w:val="single" w:color="auto" w:sz="2" w:space="0"/>
              <w:right w:val="single" w:color="auto" w:sz="4" w:space="0"/>
            </w:tcBorders>
            <w:vAlign w:val="center"/>
          </w:tcPr>
          <w:p w14:paraId="20B62ECB">
            <w:pPr>
              <w:adjustRightInd w:val="0"/>
              <w:snapToGrid w:val="0"/>
              <w:spacing w:line="360" w:lineRule="auto"/>
              <w:jc w:val="center"/>
              <w:rPr>
                <w:rFonts w:hint="eastAsia" w:ascii="仿宋" w:hAnsi="仿宋" w:eastAsia="仿宋" w:cs="仿宋"/>
                <w:color w:val="auto"/>
                <w:spacing w:val="20"/>
                <w:sz w:val="24"/>
                <w:szCs w:val="24"/>
                <w:highlight w:val="none"/>
              </w:rPr>
            </w:pPr>
          </w:p>
        </w:tc>
      </w:tr>
      <w:tr w14:paraId="75149D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4F1B0433">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统一社会信用代码</w:t>
            </w:r>
          </w:p>
        </w:tc>
        <w:tc>
          <w:tcPr>
            <w:tcW w:w="1436" w:type="pct"/>
            <w:tcBorders>
              <w:top w:val="single" w:color="auto" w:sz="2" w:space="0"/>
              <w:left w:val="single" w:color="auto" w:sz="4" w:space="0"/>
              <w:bottom w:val="single" w:color="auto" w:sz="2" w:space="0"/>
              <w:right w:val="single" w:color="auto" w:sz="4" w:space="0"/>
            </w:tcBorders>
            <w:vAlign w:val="center"/>
          </w:tcPr>
          <w:p w14:paraId="35BE75C3">
            <w:pPr>
              <w:adjustRightInd w:val="0"/>
              <w:snapToGrid w:val="0"/>
              <w:spacing w:line="360" w:lineRule="auto"/>
              <w:jc w:val="center"/>
              <w:rPr>
                <w:rFonts w:hint="eastAsia" w:ascii="仿宋" w:hAnsi="仿宋" w:eastAsia="仿宋" w:cs="仿宋"/>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77641F55">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统一社会信用代码</w:t>
            </w:r>
          </w:p>
        </w:tc>
        <w:tc>
          <w:tcPr>
            <w:tcW w:w="1259" w:type="pct"/>
            <w:tcBorders>
              <w:top w:val="single" w:color="auto" w:sz="2" w:space="0"/>
              <w:left w:val="single" w:color="auto" w:sz="4" w:space="0"/>
              <w:bottom w:val="single" w:color="auto" w:sz="2" w:space="0"/>
              <w:right w:val="single" w:color="auto" w:sz="4" w:space="0"/>
            </w:tcBorders>
            <w:vAlign w:val="center"/>
          </w:tcPr>
          <w:p w14:paraId="1AAA1779">
            <w:pPr>
              <w:adjustRightInd w:val="0"/>
              <w:snapToGrid w:val="0"/>
              <w:spacing w:line="360" w:lineRule="auto"/>
              <w:jc w:val="center"/>
              <w:rPr>
                <w:rFonts w:hint="eastAsia" w:ascii="仿宋" w:hAnsi="仿宋" w:eastAsia="仿宋" w:cs="仿宋"/>
                <w:color w:val="auto"/>
                <w:spacing w:val="20"/>
                <w:sz w:val="24"/>
                <w:szCs w:val="24"/>
                <w:highlight w:val="none"/>
              </w:rPr>
            </w:pPr>
          </w:p>
        </w:tc>
      </w:tr>
      <w:tr w14:paraId="3BBFF6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58E0B7A7">
            <w:pPr>
              <w:adjustRightInd w:val="0"/>
              <w:snapToGrid w:val="0"/>
              <w:spacing w:line="360" w:lineRule="auto"/>
              <w:jc w:val="center"/>
              <w:rPr>
                <w:rFonts w:hint="eastAsia" w:ascii="仿宋" w:hAnsi="仿宋" w:eastAsia="仿宋" w:cs="仿宋"/>
                <w:color w:val="auto"/>
                <w:sz w:val="24"/>
                <w:szCs w:val="24"/>
                <w:highlight w:val="none"/>
              </w:rPr>
            </w:pPr>
          </w:p>
        </w:tc>
        <w:tc>
          <w:tcPr>
            <w:tcW w:w="1436" w:type="pct"/>
            <w:tcBorders>
              <w:top w:val="single" w:color="auto" w:sz="2" w:space="0"/>
              <w:left w:val="single" w:color="auto" w:sz="4" w:space="0"/>
              <w:bottom w:val="single" w:color="auto" w:sz="2" w:space="0"/>
              <w:right w:val="single" w:color="auto" w:sz="4" w:space="0"/>
            </w:tcBorders>
            <w:vAlign w:val="center"/>
          </w:tcPr>
          <w:p w14:paraId="6B784643">
            <w:pPr>
              <w:adjustRightInd w:val="0"/>
              <w:snapToGrid w:val="0"/>
              <w:spacing w:line="360" w:lineRule="auto"/>
              <w:jc w:val="center"/>
              <w:rPr>
                <w:rFonts w:hint="eastAsia" w:ascii="仿宋" w:hAnsi="仿宋" w:eastAsia="仿宋" w:cs="仿宋"/>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6B0F62D2">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开户名称</w:t>
            </w:r>
          </w:p>
        </w:tc>
        <w:tc>
          <w:tcPr>
            <w:tcW w:w="1259" w:type="pct"/>
            <w:tcBorders>
              <w:top w:val="single" w:color="auto" w:sz="2" w:space="0"/>
              <w:left w:val="single" w:color="auto" w:sz="4" w:space="0"/>
              <w:bottom w:val="single" w:color="auto" w:sz="2" w:space="0"/>
              <w:right w:val="single" w:color="auto" w:sz="4" w:space="0"/>
            </w:tcBorders>
            <w:vAlign w:val="center"/>
          </w:tcPr>
          <w:p w14:paraId="0F047E33">
            <w:pPr>
              <w:adjustRightInd w:val="0"/>
              <w:snapToGrid w:val="0"/>
              <w:spacing w:line="360" w:lineRule="auto"/>
              <w:jc w:val="center"/>
              <w:rPr>
                <w:rFonts w:hint="eastAsia" w:ascii="仿宋" w:hAnsi="仿宋" w:eastAsia="仿宋" w:cs="仿宋"/>
                <w:color w:val="auto"/>
                <w:spacing w:val="20"/>
                <w:sz w:val="24"/>
                <w:szCs w:val="24"/>
                <w:highlight w:val="none"/>
              </w:rPr>
            </w:pPr>
          </w:p>
        </w:tc>
      </w:tr>
      <w:tr w14:paraId="25AE8F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06D9FDAC">
            <w:pPr>
              <w:adjustRightInd w:val="0"/>
              <w:snapToGrid w:val="0"/>
              <w:spacing w:line="360" w:lineRule="auto"/>
              <w:jc w:val="center"/>
              <w:rPr>
                <w:rFonts w:hint="eastAsia" w:ascii="仿宋" w:hAnsi="仿宋" w:eastAsia="仿宋" w:cs="仿宋"/>
                <w:color w:val="auto"/>
                <w:sz w:val="24"/>
                <w:szCs w:val="24"/>
                <w:highlight w:val="none"/>
              </w:rPr>
            </w:pPr>
          </w:p>
        </w:tc>
        <w:tc>
          <w:tcPr>
            <w:tcW w:w="1436" w:type="pct"/>
            <w:tcBorders>
              <w:top w:val="single" w:color="auto" w:sz="2" w:space="0"/>
              <w:left w:val="single" w:color="auto" w:sz="4" w:space="0"/>
              <w:bottom w:val="single" w:color="auto" w:sz="2" w:space="0"/>
              <w:right w:val="single" w:color="auto" w:sz="4" w:space="0"/>
            </w:tcBorders>
            <w:vAlign w:val="center"/>
          </w:tcPr>
          <w:p w14:paraId="7EFEC308">
            <w:pPr>
              <w:adjustRightInd w:val="0"/>
              <w:snapToGrid w:val="0"/>
              <w:spacing w:line="360" w:lineRule="auto"/>
              <w:jc w:val="center"/>
              <w:rPr>
                <w:rFonts w:hint="eastAsia" w:ascii="仿宋" w:hAnsi="仿宋" w:eastAsia="仿宋" w:cs="仿宋"/>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1108C708">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开户银行</w:t>
            </w:r>
          </w:p>
        </w:tc>
        <w:tc>
          <w:tcPr>
            <w:tcW w:w="1259" w:type="pct"/>
            <w:tcBorders>
              <w:top w:val="single" w:color="auto" w:sz="2" w:space="0"/>
              <w:left w:val="single" w:color="auto" w:sz="4" w:space="0"/>
              <w:bottom w:val="single" w:color="auto" w:sz="2" w:space="0"/>
              <w:right w:val="single" w:color="auto" w:sz="4" w:space="0"/>
            </w:tcBorders>
            <w:vAlign w:val="center"/>
          </w:tcPr>
          <w:p w14:paraId="008DC120">
            <w:pPr>
              <w:adjustRightInd w:val="0"/>
              <w:snapToGrid w:val="0"/>
              <w:spacing w:line="360" w:lineRule="auto"/>
              <w:jc w:val="center"/>
              <w:rPr>
                <w:rFonts w:hint="eastAsia" w:ascii="仿宋" w:hAnsi="仿宋" w:eastAsia="仿宋" w:cs="仿宋"/>
                <w:color w:val="auto"/>
                <w:spacing w:val="20"/>
                <w:sz w:val="24"/>
                <w:szCs w:val="24"/>
                <w:highlight w:val="none"/>
              </w:rPr>
            </w:pPr>
          </w:p>
        </w:tc>
      </w:tr>
      <w:tr w14:paraId="0FD0FF6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165288FC">
            <w:pPr>
              <w:adjustRightInd w:val="0"/>
              <w:snapToGrid w:val="0"/>
              <w:spacing w:line="360" w:lineRule="auto"/>
              <w:jc w:val="center"/>
              <w:rPr>
                <w:rFonts w:hint="eastAsia" w:ascii="仿宋" w:hAnsi="仿宋" w:eastAsia="仿宋" w:cs="仿宋"/>
                <w:color w:val="auto"/>
                <w:sz w:val="24"/>
                <w:szCs w:val="24"/>
                <w:highlight w:val="none"/>
              </w:rPr>
            </w:pPr>
          </w:p>
        </w:tc>
        <w:tc>
          <w:tcPr>
            <w:tcW w:w="1436" w:type="pct"/>
            <w:tcBorders>
              <w:top w:val="single" w:color="auto" w:sz="2" w:space="0"/>
              <w:left w:val="single" w:color="auto" w:sz="4" w:space="0"/>
              <w:bottom w:val="single" w:color="auto" w:sz="4" w:space="0"/>
              <w:right w:val="single" w:color="auto" w:sz="4" w:space="0"/>
            </w:tcBorders>
            <w:vAlign w:val="center"/>
          </w:tcPr>
          <w:p w14:paraId="264A5E16">
            <w:pPr>
              <w:adjustRightInd w:val="0"/>
              <w:snapToGrid w:val="0"/>
              <w:spacing w:line="360" w:lineRule="auto"/>
              <w:jc w:val="center"/>
              <w:rPr>
                <w:rFonts w:hint="eastAsia" w:ascii="仿宋" w:hAnsi="仿宋" w:eastAsia="仿宋" w:cs="仿宋"/>
                <w:color w:val="auto"/>
                <w:sz w:val="24"/>
                <w:szCs w:val="24"/>
                <w:highlight w:val="none"/>
              </w:rPr>
            </w:pPr>
          </w:p>
        </w:tc>
        <w:tc>
          <w:tcPr>
            <w:tcW w:w="1177" w:type="pct"/>
            <w:tcBorders>
              <w:top w:val="single" w:color="auto" w:sz="2" w:space="0"/>
              <w:left w:val="single" w:color="auto" w:sz="4" w:space="0"/>
              <w:bottom w:val="single" w:color="auto" w:sz="4" w:space="0"/>
              <w:right w:val="single" w:color="auto" w:sz="4" w:space="0"/>
            </w:tcBorders>
            <w:vAlign w:val="center"/>
          </w:tcPr>
          <w:p w14:paraId="048A79D0">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银行账号</w:t>
            </w:r>
          </w:p>
        </w:tc>
        <w:tc>
          <w:tcPr>
            <w:tcW w:w="1259" w:type="pct"/>
            <w:tcBorders>
              <w:top w:val="single" w:color="auto" w:sz="2" w:space="0"/>
              <w:left w:val="single" w:color="auto" w:sz="4" w:space="0"/>
              <w:bottom w:val="single" w:color="auto" w:sz="2" w:space="0"/>
              <w:right w:val="single" w:color="auto" w:sz="4" w:space="0"/>
            </w:tcBorders>
            <w:vAlign w:val="center"/>
          </w:tcPr>
          <w:p w14:paraId="020415CC">
            <w:pPr>
              <w:adjustRightInd w:val="0"/>
              <w:snapToGrid w:val="0"/>
              <w:spacing w:line="360" w:lineRule="auto"/>
              <w:jc w:val="center"/>
              <w:rPr>
                <w:rFonts w:hint="eastAsia" w:ascii="仿宋" w:hAnsi="仿宋" w:eastAsia="仿宋" w:cs="仿宋"/>
                <w:color w:val="auto"/>
                <w:spacing w:val="20"/>
                <w:sz w:val="24"/>
                <w:szCs w:val="24"/>
                <w:highlight w:val="none"/>
              </w:rPr>
            </w:pPr>
          </w:p>
        </w:tc>
      </w:tr>
      <w:tr w14:paraId="01DEA5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2EC98A72">
            <w:pPr>
              <w:pStyle w:val="23"/>
              <w:adjustRightInd w:val="0"/>
              <w:snapToGrid w:val="0"/>
              <w:spacing w:before="156" w:beforeLines="50" w:beforeAutospacing="0" w:after="0" w:afterAutospacing="0" w:line="360" w:lineRule="auto"/>
              <w:rPr>
                <w:rFonts w:hint="eastAsia" w:ascii="仿宋" w:hAnsi="仿宋" w:eastAsia="仿宋" w:cs="仿宋"/>
                <w:color w:val="auto"/>
                <w:spacing w:val="20"/>
                <w:kern w:val="2"/>
                <w:szCs w:val="24"/>
                <w:highlight w:val="none"/>
              </w:rPr>
            </w:pPr>
            <w:r>
              <w:rPr>
                <w:rFonts w:hint="eastAsia" w:ascii="仿宋" w:hAnsi="仿宋" w:eastAsia="仿宋" w:cs="仿宋"/>
                <w:color w:val="auto"/>
                <w:kern w:val="2"/>
                <w:szCs w:val="24"/>
                <w:highlight w:val="none"/>
                <w:lang w:bidi="ar"/>
              </w:rPr>
              <w:t>注：涉及联合体或其他合同主体的信息应按上表格式加列。</w:t>
            </w:r>
          </w:p>
        </w:tc>
      </w:tr>
    </w:tbl>
    <w:p w14:paraId="7FFA02BC">
      <w:pPr>
        <w:spacing w:line="360" w:lineRule="auto"/>
        <w:jc w:val="center"/>
        <w:outlineLvl w:val="1"/>
        <w:rPr>
          <w:rFonts w:hint="eastAsia" w:ascii="仿宋" w:hAnsi="仿宋" w:eastAsia="仿宋" w:cs="仿宋"/>
          <w:b/>
          <w:color w:val="auto"/>
          <w:sz w:val="24"/>
          <w:szCs w:val="24"/>
          <w:highlight w:val="none"/>
          <w:lang w:bidi="ar"/>
        </w:rPr>
      </w:pPr>
      <w:r>
        <w:rPr>
          <w:rFonts w:hint="eastAsia" w:ascii="仿宋" w:hAnsi="仿宋" w:eastAsia="仿宋" w:cs="仿宋"/>
          <w:color w:val="auto"/>
          <w:highlight w:val="none"/>
          <w:u w:val="single"/>
        </w:rPr>
        <w:br w:type="page"/>
      </w:r>
      <w:bookmarkStart w:id="45" w:name="_Toc4762"/>
      <w:r>
        <w:rPr>
          <w:rFonts w:hint="eastAsia" w:ascii="仿宋" w:hAnsi="仿宋" w:eastAsia="仿宋" w:cs="仿宋"/>
          <w:b/>
          <w:color w:val="auto"/>
          <w:sz w:val="24"/>
          <w:szCs w:val="24"/>
          <w:highlight w:val="none"/>
          <w:lang w:bidi="ar"/>
        </w:rPr>
        <w:t>第二节 政府采购合同通用条款</w:t>
      </w:r>
      <w:bookmarkEnd w:id="45"/>
    </w:p>
    <w:p w14:paraId="113D184A">
      <w:pPr>
        <w:keepNext w:val="0"/>
        <w:keepLines w:val="0"/>
        <w:pageBreakBefore w:val="0"/>
        <w:widowControl w:val="0"/>
        <w:tabs>
          <w:tab w:val="left" w:pos="8820"/>
          <w:tab w:val="left" w:pos="9345"/>
          <w:tab w:val="left" w:pos="9765"/>
        </w:tabs>
        <w:kinsoku/>
        <w:wordWrap/>
        <w:overflowPunct/>
        <w:topLinePunct w:val="0"/>
        <w:bidi w:val="0"/>
        <w:adjustRightInd w:val="0"/>
        <w:snapToGrid w:val="0"/>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lang w:bidi="ar"/>
        </w:rPr>
        <w:t xml:space="preserve">1. </w:t>
      </w:r>
      <w:r>
        <w:rPr>
          <w:rFonts w:hint="eastAsia" w:ascii="仿宋" w:hAnsi="仿宋" w:eastAsia="仿宋" w:cs="仿宋"/>
          <w:b/>
          <w:bCs/>
          <w:color w:val="auto"/>
          <w:sz w:val="24"/>
          <w:szCs w:val="24"/>
          <w:highlight w:val="none"/>
          <w:lang w:bidi="ar"/>
        </w:rPr>
        <w:t>定义</w:t>
      </w:r>
    </w:p>
    <w:p w14:paraId="1D4FC2EA">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1.1合同当事人</w:t>
      </w:r>
    </w:p>
    <w:p w14:paraId="756AB2B4">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（1）采购人（以下称甲方）是指使用财政性资金，通过政府采购方式向供应商购买货物及其相关服务的国家机关、事业单位、团体组织。</w:t>
      </w:r>
    </w:p>
    <w:p w14:paraId="31491BF5">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（2）供应商（以下称乙方）是指参加政府采购活动并且中标（成交），向采购人提供合同约定的货物及其相关服务的法人、非法人组织或者自然人。</w:t>
      </w:r>
    </w:p>
    <w:p w14:paraId="44FC68B2">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（3）其他合同主体是指除采购人和供应商以外，</w:t>
      </w:r>
      <w:r>
        <w:rPr>
          <w:rFonts w:hint="eastAsia" w:ascii="仿宋" w:hAnsi="仿宋" w:eastAsia="仿宋" w:cs="仿宋"/>
          <w:bCs/>
          <w:color w:val="auto"/>
          <w:sz w:val="24"/>
          <w:szCs w:val="24"/>
          <w:highlight w:val="none"/>
          <w:lang w:bidi="ar"/>
        </w:rPr>
        <w:t>依法参与合同缔结或履行，享有权利、承担义务的合同当事人</w:t>
      </w:r>
      <w:r>
        <w:rPr>
          <w:rFonts w:hint="eastAsia" w:ascii="仿宋" w:hAnsi="仿宋" w:eastAsia="仿宋" w:cs="仿宋"/>
          <w:color w:val="auto"/>
          <w:sz w:val="24"/>
          <w:szCs w:val="24"/>
          <w:highlight w:val="none"/>
          <w:lang w:bidi="ar"/>
        </w:rPr>
        <w:t>。</w:t>
      </w:r>
    </w:p>
    <w:p w14:paraId="1B78E05C">
      <w:pPr>
        <w:keepNext w:val="0"/>
        <w:keepLines w:val="0"/>
        <w:pageBreakBefore w:val="0"/>
        <w:widowControl w:val="0"/>
        <w:tabs>
          <w:tab w:val="left" w:pos="570"/>
          <w:tab w:val="left" w:pos="9240"/>
          <w:tab w:val="left" w:pos="9555"/>
        </w:tabs>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1.2本合同下列术语应解释为：</w:t>
      </w:r>
    </w:p>
    <w:p w14:paraId="58E764CC">
      <w:pPr>
        <w:keepNext w:val="0"/>
        <w:keepLines w:val="0"/>
        <w:pageBreakBefore w:val="0"/>
        <w:widowControl w:val="0"/>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（1）“合同”系指</w:t>
      </w:r>
      <w:r>
        <w:rPr>
          <w:rFonts w:hint="eastAsia" w:ascii="仿宋" w:hAnsi="仿宋" w:eastAsia="仿宋" w:cs="仿宋"/>
          <w:bCs/>
          <w:color w:val="auto"/>
          <w:sz w:val="24"/>
          <w:szCs w:val="24"/>
          <w:highlight w:val="none"/>
          <w:lang w:bidi="ar"/>
        </w:rPr>
        <w:t>合同当事人意思表示达成一致的任何协议，包括签署的</w:t>
      </w:r>
      <w:r>
        <w:rPr>
          <w:rFonts w:hint="eastAsia" w:ascii="仿宋" w:hAnsi="仿宋" w:eastAsia="仿宋" w:cs="仿宋"/>
          <w:color w:val="auto"/>
          <w:sz w:val="24"/>
          <w:szCs w:val="24"/>
          <w:highlight w:val="none"/>
          <w:lang w:bidi="ar"/>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1E3E45D0">
      <w:pPr>
        <w:keepNext w:val="0"/>
        <w:keepLines w:val="0"/>
        <w:pageBreakBefore w:val="0"/>
        <w:widowControl w:val="0"/>
        <w:tabs>
          <w:tab w:val="left" w:pos="570"/>
          <w:tab w:val="left" w:pos="9240"/>
          <w:tab w:val="left" w:pos="9555"/>
        </w:tabs>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（2）“合同价款”系指根据本合同规定乙方在全面履行合同义务后甲方应支付给乙方的价款。</w:t>
      </w:r>
    </w:p>
    <w:p w14:paraId="00204C22">
      <w:pPr>
        <w:keepNext w:val="0"/>
        <w:keepLines w:val="0"/>
        <w:pageBreakBefore w:val="0"/>
        <w:widowControl w:val="0"/>
        <w:tabs>
          <w:tab w:val="left" w:pos="570"/>
          <w:tab w:val="left" w:pos="9240"/>
          <w:tab w:val="left" w:pos="9555"/>
        </w:tabs>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（3）“货物”系指乙方根据本合同规定须向甲方提供的各种形态和种类的物品，包括原材料、设备、产品（包括软件）及相关的其备品备件、工具、手册及其他技术资料和材料等。</w:t>
      </w:r>
    </w:p>
    <w:p w14:paraId="262D56B0">
      <w:pPr>
        <w:keepNext w:val="0"/>
        <w:keepLines w:val="0"/>
        <w:pageBreakBefore w:val="0"/>
        <w:widowControl w:val="0"/>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7774BADA">
      <w:pPr>
        <w:keepNext w:val="0"/>
        <w:keepLines w:val="0"/>
        <w:pageBreakBefore w:val="0"/>
        <w:widowControl w:val="0"/>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（5）“分包”系指中标（成交）供应商按采购文件、投标（响应）文件的规定，根据分包意向协议，将中标（成交）项目中的部分履约内容，分给具有相应资质条件的供应商履行合同的行为。</w:t>
      </w:r>
    </w:p>
    <w:p w14:paraId="31AFDBDC">
      <w:pPr>
        <w:keepNext w:val="0"/>
        <w:keepLines w:val="0"/>
        <w:pageBreakBefore w:val="0"/>
        <w:widowControl w:val="0"/>
        <w:tabs>
          <w:tab w:val="left" w:pos="570"/>
          <w:tab w:val="left" w:pos="9240"/>
          <w:tab w:val="left" w:pos="9555"/>
        </w:tabs>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仿宋" w:hAnsi="仿宋" w:eastAsia="仿宋" w:cs="仿宋"/>
          <w:b/>
          <w:bCs/>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w:t>
      </w:r>
    </w:p>
    <w:p w14:paraId="104510EB">
      <w:pPr>
        <w:tabs>
          <w:tab w:val="left" w:pos="570"/>
          <w:tab w:val="left" w:pos="9240"/>
          <w:tab w:val="left" w:pos="9555"/>
        </w:tabs>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（7）其他术语解释，见【</w:t>
      </w:r>
      <w:r>
        <w:rPr>
          <w:rFonts w:hint="eastAsia" w:ascii="仿宋" w:hAnsi="仿宋" w:eastAsia="仿宋" w:cs="仿宋"/>
          <w:b/>
          <w:bCs/>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w:t>
      </w:r>
    </w:p>
    <w:p w14:paraId="24476E88">
      <w:pPr>
        <w:numPr>
          <w:ilvl w:val="0"/>
          <w:numId w:val="7"/>
        </w:numPr>
        <w:autoSpaceDE w:val="0"/>
        <w:autoSpaceDN w:val="0"/>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lang w:bidi="ar"/>
        </w:rPr>
        <w:t>合同标的及金额</w:t>
      </w:r>
    </w:p>
    <w:p w14:paraId="3518A09A">
      <w:pPr>
        <w:autoSpaceDE w:val="0"/>
        <w:autoSpaceDN w:val="0"/>
        <w:adjustRightInd w:val="0"/>
        <w:snapToGrid w:val="0"/>
        <w:spacing w:line="360" w:lineRule="auto"/>
        <w:ind w:firstLine="480" w:firstLineChars="200"/>
        <w:jc w:val="left"/>
        <w:rPr>
          <w:rFonts w:hint="eastAsia" w:ascii="仿宋" w:hAnsi="仿宋" w:eastAsia="仿宋" w:cs="仿宋"/>
          <w:b/>
          <w:bCs/>
          <w:i/>
          <w:iCs/>
          <w:color w:val="auto"/>
          <w:sz w:val="24"/>
          <w:szCs w:val="24"/>
          <w:highlight w:val="none"/>
        </w:rPr>
      </w:pPr>
      <w:r>
        <w:rPr>
          <w:rFonts w:hint="eastAsia" w:ascii="仿宋" w:hAnsi="仿宋" w:eastAsia="仿宋" w:cs="仿宋"/>
          <w:color w:val="auto"/>
          <w:sz w:val="24"/>
          <w:szCs w:val="24"/>
          <w:highlight w:val="none"/>
          <w:lang w:bidi="ar"/>
        </w:rPr>
        <w:t>2.1 合同标的及金额应与中标（成交）结果一致。乙方为履行本合同而发生的所有费用均应包含在合同价款中，甲方不再另行支付其他任何费用。</w:t>
      </w:r>
    </w:p>
    <w:p w14:paraId="370577B0">
      <w:pPr>
        <w:adjustRightInd w:val="0"/>
        <w:snapToGrid w:val="0"/>
        <w:spacing w:line="360" w:lineRule="auto"/>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3. 履行合同的时间、地点和方式</w:t>
      </w:r>
    </w:p>
    <w:p w14:paraId="70BFCE34">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3.1 乙方应当在约定的时间、地点，按照约定方式履行合同。</w:t>
      </w:r>
    </w:p>
    <w:p w14:paraId="5BE9C1AF">
      <w:pPr>
        <w:autoSpaceDE w:val="0"/>
        <w:autoSpaceDN w:val="0"/>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4. 甲方的权利和义务</w:t>
      </w:r>
    </w:p>
    <w:p w14:paraId="75C187AE">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4.1 签署合同后，甲方应确定项目负责人（或项目联系人），负责与本合同有关的事务。甲方有权对乙方的履约行为进行检查，并及时确认乙方提交的事项。甲方应当配合乙方完成相关项目实施工作。</w:t>
      </w:r>
    </w:p>
    <w:p w14:paraId="58493342">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4.2 甲方有权要求乙方按时提交各阶段有关安排计划，并有权定期核对乙方提供货物数量、规格、质量等内容。甲方有权督促乙方工作并要求乙方更换不符合要求的货物。</w:t>
      </w:r>
    </w:p>
    <w:p w14:paraId="2882E816">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4.3 甲方有权要求乙方对缺陷部分予以修复，并按合同约定享有货物保修及其他合同约定的权利。</w:t>
      </w:r>
    </w:p>
    <w:p w14:paraId="71AFBA5A">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4.4 甲方应当按照合同约定及时对交付的货物进行验收，未在</w:t>
      </w:r>
      <w:r>
        <w:rPr>
          <w:rFonts w:hint="eastAsia" w:ascii="仿宋" w:hAnsi="仿宋" w:eastAsia="仿宋" w:cs="仿宋"/>
          <w:b/>
          <w:bCs/>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约定的期限内对乙方履约提出任何异议或者向乙方作出任何说明的，视为验收通过。</w:t>
      </w:r>
    </w:p>
    <w:p w14:paraId="4F1DF17E">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4.5 甲方应当根据合同约定及时向乙方支付合同价款，不得以内部人员变更、履行内部付款流程等为由，拒绝或迟延支付。</w:t>
      </w:r>
    </w:p>
    <w:p w14:paraId="23FA00A6">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4.6 国家法律法规规定及</w:t>
      </w:r>
      <w:r>
        <w:rPr>
          <w:rFonts w:hint="eastAsia" w:ascii="仿宋" w:hAnsi="仿宋" w:eastAsia="仿宋" w:cs="仿宋"/>
          <w:b/>
          <w:bCs/>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约定应由甲方承担的其他义务和责任。</w:t>
      </w:r>
    </w:p>
    <w:p w14:paraId="2A8847C7">
      <w:pPr>
        <w:autoSpaceDE w:val="0"/>
        <w:autoSpaceDN w:val="0"/>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5. 乙方的权利和义务</w:t>
      </w:r>
    </w:p>
    <w:p w14:paraId="426CB469">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5.1 签署合同后，乙方应确定项目负责人（或项目联系人），负责与本合同有关的事务。</w:t>
      </w:r>
    </w:p>
    <w:p w14:paraId="4FC84AC7">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FDE9C8E">
      <w:pPr>
        <w:pStyle w:val="23"/>
        <w:spacing w:before="0" w:after="0" w:afterAutospacing="0" w:line="360" w:lineRule="auto"/>
        <w:ind w:firstLine="422" w:firstLineChars="176"/>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bidi="ar"/>
        </w:rPr>
        <w:t>5.3乙方有权根据合同约定向甲方收取合同价款。</w:t>
      </w:r>
    </w:p>
    <w:p w14:paraId="6836911C">
      <w:pPr>
        <w:pStyle w:val="23"/>
        <w:spacing w:before="0" w:after="0" w:afterAutospacing="0" w:line="360" w:lineRule="auto"/>
        <w:ind w:firstLine="422" w:firstLineChars="176"/>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bidi="ar"/>
        </w:rPr>
        <w:t>5.4国家法律法规规定及</w:t>
      </w:r>
      <w:r>
        <w:rPr>
          <w:rFonts w:hint="eastAsia" w:ascii="仿宋" w:hAnsi="仿宋" w:eastAsia="仿宋" w:cs="仿宋"/>
          <w:b/>
          <w:bCs/>
          <w:color w:val="auto"/>
          <w:kern w:val="2"/>
          <w:szCs w:val="24"/>
          <w:highlight w:val="none"/>
          <w:lang w:bidi="ar"/>
        </w:rPr>
        <w:t>【政府采购合同专用条款】</w:t>
      </w:r>
      <w:r>
        <w:rPr>
          <w:rFonts w:hint="eastAsia" w:ascii="仿宋" w:hAnsi="仿宋" w:eastAsia="仿宋" w:cs="仿宋"/>
          <w:color w:val="auto"/>
          <w:kern w:val="2"/>
          <w:szCs w:val="24"/>
          <w:highlight w:val="none"/>
          <w:lang w:bidi="ar"/>
        </w:rPr>
        <w:t>约定应由乙方承担的其他义务和责任。</w:t>
      </w:r>
    </w:p>
    <w:p w14:paraId="250471B0">
      <w:pPr>
        <w:numPr>
          <w:ilvl w:val="0"/>
          <w:numId w:val="8"/>
        </w:numPr>
        <w:autoSpaceDE w:val="0"/>
        <w:autoSpaceDN w:val="0"/>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合同履行</w:t>
      </w:r>
    </w:p>
    <w:p w14:paraId="1EF1FC6D">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6.1 甲乙双方应当按照</w:t>
      </w:r>
      <w:r>
        <w:rPr>
          <w:rFonts w:hint="eastAsia" w:ascii="仿宋" w:hAnsi="仿宋" w:eastAsia="仿宋" w:cs="仿宋"/>
          <w:b/>
          <w:bCs/>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约定顺序履行合同义务；如果没有先后顺序的，应当同时履行。</w:t>
      </w:r>
    </w:p>
    <w:p w14:paraId="17B4F638">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6.2 甲乙双方按照合同约定顺序履行合同义务时，应当先履行一方未履行的，后履行一方有权拒绝其履行请求。先履行一方履行不符合约定的，后履行一方有权拒绝其相应的履行请求。</w:t>
      </w:r>
    </w:p>
    <w:p w14:paraId="396519F9">
      <w:pPr>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7. 货物包装、运输、保险和交付要求</w:t>
      </w:r>
    </w:p>
    <w:p w14:paraId="35CE817D">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7.1 本合同</w:t>
      </w:r>
      <w:r>
        <w:rPr>
          <w:rFonts w:hint="eastAsia" w:ascii="仿宋" w:hAnsi="仿宋" w:eastAsia="仿宋" w:cs="仿宋"/>
          <w:bCs/>
          <w:color w:val="auto"/>
          <w:sz w:val="24"/>
          <w:szCs w:val="24"/>
          <w:highlight w:val="none"/>
          <w:lang w:bidi="ar"/>
        </w:rPr>
        <w:t>涉及商品包装、快递包装的，</w:t>
      </w:r>
      <w:r>
        <w:rPr>
          <w:rFonts w:hint="eastAsia" w:ascii="仿宋" w:hAnsi="仿宋" w:eastAsia="仿宋" w:cs="仿宋"/>
          <w:color w:val="auto"/>
          <w:sz w:val="24"/>
          <w:szCs w:val="24"/>
          <w:highlight w:val="none"/>
          <w:lang w:bidi="ar"/>
        </w:rPr>
        <w:t>除</w:t>
      </w:r>
      <w:r>
        <w:rPr>
          <w:rFonts w:hint="eastAsia" w:ascii="仿宋" w:hAnsi="仿宋" w:eastAsia="仿宋" w:cs="仿宋"/>
          <w:b/>
          <w:color w:val="auto"/>
          <w:sz w:val="24"/>
          <w:szCs w:val="24"/>
          <w:highlight w:val="none"/>
          <w:lang w:bidi="ar"/>
        </w:rPr>
        <w:t>【政府采购合同专用条款】</w:t>
      </w:r>
      <w:r>
        <w:rPr>
          <w:rFonts w:hint="eastAsia" w:ascii="仿宋" w:hAnsi="仿宋" w:eastAsia="仿宋" w:cs="仿宋"/>
          <w:bCs/>
          <w:color w:val="auto"/>
          <w:sz w:val="24"/>
          <w:szCs w:val="24"/>
          <w:highlight w:val="none"/>
          <w:lang w:bidi="ar"/>
        </w:rPr>
        <w:t>另有约定外，</w:t>
      </w:r>
      <w:r>
        <w:rPr>
          <w:rFonts w:hint="eastAsia" w:ascii="仿宋" w:hAnsi="仿宋" w:eastAsia="仿宋" w:cs="仿宋"/>
          <w:color w:val="auto"/>
          <w:sz w:val="24"/>
          <w:szCs w:val="24"/>
          <w:highlight w:val="none"/>
          <w:lang w:bidi="ar"/>
        </w:rPr>
        <w:t>包装应适应远距离运输、防潮、防震、防锈和防野蛮装卸等要求，确保货物安全无损地运抵</w:t>
      </w:r>
      <w:r>
        <w:rPr>
          <w:rFonts w:hint="eastAsia" w:ascii="仿宋" w:hAnsi="仿宋" w:eastAsia="仿宋" w:cs="仿宋"/>
          <w:b/>
          <w:color w:val="auto"/>
          <w:sz w:val="24"/>
          <w:szCs w:val="24"/>
          <w:highlight w:val="none"/>
          <w:lang w:bidi="ar"/>
        </w:rPr>
        <w:t>【政府采购合同专用条款】</w:t>
      </w:r>
      <w:r>
        <w:rPr>
          <w:rFonts w:hint="eastAsia" w:ascii="仿宋" w:hAnsi="仿宋" w:eastAsia="仿宋" w:cs="仿宋"/>
          <w:bCs/>
          <w:color w:val="auto"/>
          <w:sz w:val="24"/>
          <w:szCs w:val="24"/>
          <w:highlight w:val="none"/>
          <w:lang w:bidi="ar"/>
        </w:rPr>
        <w:t>约定的</w:t>
      </w:r>
      <w:r>
        <w:rPr>
          <w:rFonts w:hint="eastAsia" w:ascii="仿宋" w:hAnsi="仿宋" w:eastAsia="仿宋" w:cs="仿宋"/>
          <w:color w:val="auto"/>
          <w:sz w:val="24"/>
          <w:szCs w:val="24"/>
          <w:highlight w:val="none"/>
          <w:lang w:bidi="ar"/>
        </w:rPr>
        <w:t>指定现场。</w:t>
      </w:r>
    </w:p>
    <w:p w14:paraId="744792E2">
      <w:pPr>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7.2 除</w:t>
      </w:r>
      <w:r>
        <w:rPr>
          <w:rFonts w:hint="eastAsia" w:ascii="仿宋" w:hAnsi="仿宋" w:eastAsia="仿宋" w:cs="仿宋"/>
          <w:b/>
          <w:color w:val="auto"/>
          <w:sz w:val="24"/>
          <w:szCs w:val="24"/>
          <w:highlight w:val="none"/>
          <w:lang w:bidi="ar"/>
        </w:rPr>
        <w:t>【政府采购合同专用条款】</w:t>
      </w:r>
      <w:r>
        <w:rPr>
          <w:rFonts w:hint="eastAsia" w:ascii="仿宋" w:hAnsi="仿宋" w:eastAsia="仿宋" w:cs="仿宋"/>
          <w:bCs/>
          <w:color w:val="auto"/>
          <w:sz w:val="24"/>
          <w:szCs w:val="24"/>
          <w:highlight w:val="none"/>
          <w:lang w:bidi="ar"/>
        </w:rPr>
        <w:t>另有约定外，</w:t>
      </w:r>
      <w:r>
        <w:rPr>
          <w:rFonts w:hint="eastAsia" w:ascii="仿宋" w:hAnsi="仿宋" w:eastAsia="仿宋" w:cs="仿宋"/>
          <w:color w:val="auto"/>
          <w:sz w:val="24"/>
          <w:szCs w:val="24"/>
          <w:highlight w:val="none"/>
          <w:lang w:bidi="ar"/>
        </w:rPr>
        <w:t>乙方负责办理将货物运抵本合同规定的交货地点，并装卸、交付至甲方的一切运输事项，相关费用应包含在合同价款中。</w:t>
      </w:r>
    </w:p>
    <w:p w14:paraId="5DEC51E8">
      <w:pPr>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7.3 货物保险要求按</w:t>
      </w:r>
      <w:r>
        <w:rPr>
          <w:rFonts w:hint="eastAsia" w:ascii="仿宋" w:hAnsi="仿宋" w:eastAsia="仿宋" w:cs="仿宋"/>
          <w:b/>
          <w:color w:val="auto"/>
          <w:sz w:val="24"/>
          <w:szCs w:val="24"/>
          <w:highlight w:val="none"/>
          <w:lang w:bidi="ar"/>
        </w:rPr>
        <w:t>【政府采购合同专用条款】</w:t>
      </w:r>
      <w:r>
        <w:rPr>
          <w:rFonts w:hint="eastAsia" w:ascii="仿宋" w:hAnsi="仿宋" w:eastAsia="仿宋" w:cs="仿宋"/>
          <w:bCs/>
          <w:color w:val="auto"/>
          <w:sz w:val="24"/>
          <w:szCs w:val="24"/>
          <w:highlight w:val="none"/>
          <w:lang w:bidi="ar"/>
        </w:rPr>
        <w:t>规定执行</w:t>
      </w:r>
      <w:r>
        <w:rPr>
          <w:rFonts w:hint="eastAsia" w:ascii="仿宋" w:hAnsi="仿宋" w:eastAsia="仿宋" w:cs="仿宋"/>
          <w:color w:val="auto"/>
          <w:sz w:val="24"/>
          <w:szCs w:val="24"/>
          <w:highlight w:val="none"/>
          <w:lang w:bidi="ar"/>
        </w:rPr>
        <w:t>。</w:t>
      </w:r>
    </w:p>
    <w:p w14:paraId="00C15B95">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6AAC6CC">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7.5 乙方在运输到达之前应提前通知甲方，并提示货物运输装卸的注意事项，甲方配合乙方做好货物的接收工作。</w:t>
      </w:r>
    </w:p>
    <w:p w14:paraId="192E28B9">
      <w:pPr>
        <w:pStyle w:val="23"/>
        <w:widowControl/>
        <w:autoSpaceDE w:val="0"/>
        <w:autoSpaceDN w:val="0"/>
        <w:adjustRightInd w:val="0"/>
        <w:spacing w:before="0" w:beforeAutospacing="0" w:after="0" w:afterAutospacing="0"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kern w:val="2"/>
          <w:szCs w:val="24"/>
          <w:highlight w:val="none"/>
          <w:lang w:bidi="ar"/>
        </w:rPr>
        <w:t>7.6 如因包装、运输问题导致货物损毁、丢失或者品质下降，甲方有权要求降价、换货、拒收部分或整批货物，由此产生的费用和损失，均由乙方承担。</w:t>
      </w:r>
    </w:p>
    <w:p w14:paraId="6B8E9A75">
      <w:pPr>
        <w:adjustRightInd w:val="0"/>
        <w:snapToGrid w:val="0"/>
        <w:spacing w:line="360" w:lineRule="auto"/>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8. 质量标准和保证</w:t>
      </w:r>
    </w:p>
    <w:p w14:paraId="68DC6B4C">
      <w:pPr>
        <w:pStyle w:val="23"/>
        <w:adjustRightInd w:val="0"/>
        <w:snapToGrid w:val="0"/>
        <w:spacing w:before="0" w:beforeAutospacing="0" w:after="0" w:afterAutospacing="0" w:line="360" w:lineRule="auto"/>
        <w:ind w:firstLine="480" w:firstLineChars="200"/>
        <w:rPr>
          <w:rFonts w:hint="eastAsia" w:ascii="仿宋" w:hAnsi="仿宋" w:eastAsia="仿宋" w:cs="仿宋"/>
          <w:b/>
          <w:color w:val="auto"/>
          <w:kern w:val="2"/>
          <w:szCs w:val="24"/>
          <w:highlight w:val="none"/>
        </w:rPr>
      </w:pPr>
      <w:r>
        <w:rPr>
          <w:rFonts w:hint="eastAsia" w:ascii="仿宋" w:hAnsi="仿宋" w:eastAsia="仿宋" w:cs="仿宋"/>
          <w:color w:val="auto"/>
          <w:kern w:val="2"/>
          <w:szCs w:val="24"/>
          <w:highlight w:val="none"/>
          <w:lang w:bidi="ar"/>
        </w:rPr>
        <w:t>8.1 质量标准</w:t>
      </w:r>
    </w:p>
    <w:p w14:paraId="2561BF4D">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981CDF4">
      <w:pPr>
        <w:pStyle w:val="23"/>
        <w:adjustRightInd w:val="0"/>
        <w:snapToGrid w:val="0"/>
        <w:spacing w:before="0" w:beforeAutospacing="0" w:after="0" w:afterAutospacing="0" w:line="360" w:lineRule="auto"/>
        <w:ind w:firstLine="480" w:firstLineChars="200"/>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bidi="ar"/>
        </w:rPr>
        <w:t>（2）采用中华人民共和国法定计量单位。</w:t>
      </w:r>
    </w:p>
    <w:p w14:paraId="077C9244">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（3）乙方所提供的货物应符合国家有关安全、环保、卫生的规定。</w:t>
      </w:r>
    </w:p>
    <w:p w14:paraId="2947C561">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（4）乙方应向甲方提交所提供货物的技术文件，包括相应的中文技术文件，如：产品目录、图纸、操作手册、使用说明、维护手册或服务指南等。上述文件应包装好随货物一同发运。</w:t>
      </w:r>
    </w:p>
    <w:p w14:paraId="3294A29B">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8.2 保证</w:t>
      </w:r>
    </w:p>
    <w:p w14:paraId="293891E3">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仿宋" w:hAnsi="仿宋" w:eastAsia="仿宋" w:cs="仿宋"/>
          <w:b/>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规定或乙方书面承诺（两者以较长的为准）的质量保证期内，本保证保持有效。</w:t>
      </w:r>
    </w:p>
    <w:p w14:paraId="4BC887AB">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（2）在质量保证期内所发现的缺陷，甲方应尽快以书面形式通知乙方。</w:t>
      </w:r>
    </w:p>
    <w:p w14:paraId="0FF715A8">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（3）乙方收到通知后，应在</w:t>
      </w:r>
      <w:r>
        <w:rPr>
          <w:rFonts w:hint="eastAsia" w:ascii="仿宋" w:hAnsi="仿宋" w:eastAsia="仿宋" w:cs="仿宋"/>
          <w:b/>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规定的响应时间内以合理的速度免费维修或更换有缺陷的货物或部件。</w:t>
      </w:r>
    </w:p>
    <w:p w14:paraId="4EB2AA19">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（4）在质量保证期内，如果货物的质量或规格与合同不符，或证实货物是有缺陷的，包括潜在的缺陷或使用不符合要求的材料等，甲方可以根据本合同第15.1条规定以书面形式追究乙方的违约责任。</w:t>
      </w:r>
    </w:p>
    <w:p w14:paraId="4F9EEFFD">
      <w:pPr>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（5）乙方在约定的时间内未能弥补缺陷，甲方可采取必要的补救措施，但其风险和费用将由乙方承担，甲方根据合同约定对乙方行使的其他权利不受影响。</w:t>
      </w:r>
    </w:p>
    <w:p w14:paraId="59B14AEF">
      <w:pPr>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9. 权利瑕疵担保</w:t>
      </w:r>
    </w:p>
    <w:p w14:paraId="2AAFE205">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9.1 乙方保证对其出售的货物享有合法的权利。</w:t>
      </w:r>
    </w:p>
    <w:p w14:paraId="6CF40C65">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9.2 乙方保证在交付的货物上不存在抵押权等担保物权。</w:t>
      </w:r>
    </w:p>
    <w:p w14:paraId="1AB1ABD6">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9.3 如甲方使用上述货物构成对第三人侵权的，则由乙方承担全部责任。</w:t>
      </w:r>
    </w:p>
    <w:p w14:paraId="6A15C698">
      <w:pPr>
        <w:autoSpaceDE w:val="0"/>
        <w:autoSpaceDN w:val="0"/>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10. 知识产权保护</w:t>
      </w:r>
    </w:p>
    <w:p w14:paraId="4D97BEBE">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7CE7668F">
      <w:pPr>
        <w:autoSpaceDE w:val="0"/>
        <w:autoSpaceDN w:val="0"/>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11. 保密义务</w:t>
      </w:r>
    </w:p>
    <w:p w14:paraId="732AE4AC">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仿宋" w:hAnsi="仿宋" w:eastAsia="仿宋" w:cs="仿宋"/>
          <w:b/>
          <w:bCs/>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中约定。</w:t>
      </w:r>
    </w:p>
    <w:p w14:paraId="783CEDE2">
      <w:pPr>
        <w:autoSpaceDE w:val="0"/>
        <w:autoSpaceDN w:val="0"/>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12. 合同价款支付</w:t>
      </w:r>
    </w:p>
    <w:p w14:paraId="53827FCA">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12.1 合同价款支付按照国库集中支付制度及财政管理相关规定执行。</w:t>
      </w:r>
    </w:p>
    <w:p w14:paraId="7E54786E">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仿宋" w:hAnsi="仿宋" w:eastAsia="仿宋" w:cs="仿宋"/>
          <w:b/>
          <w:bCs/>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】中约定。</w:t>
      </w:r>
    </w:p>
    <w:p w14:paraId="700E6AD3">
      <w:pPr>
        <w:pStyle w:val="23"/>
        <w:spacing w:before="0" w:after="0" w:afterAutospacing="0" w:line="360" w:lineRule="auto"/>
        <w:jc w:val="both"/>
        <w:rPr>
          <w:rFonts w:hint="eastAsia" w:ascii="仿宋" w:hAnsi="仿宋" w:eastAsia="仿宋" w:cs="仿宋"/>
          <w:b/>
          <w:bCs/>
          <w:color w:val="auto"/>
          <w:kern w:val="2"/>
          <w:szCs w:val="24"/>
          <w:highlight w:val="none"/>
        </w:rPr>
      </w:pPr>
      <w:r>
        <w:rPr>
          <w:rFonts w:hint="eastAsia" w:ascii="仿宋" w:hAnsi="仿宋" w:eastAsia="仿宋" w:cs="仿宋"/>
          <w:b/>
          <w:bCs/>
          <w:color w:val="auto"/>
          <w:kern w:val="2"/>
          <w:szCs w:val="24"/>
          <w:highlight w:val="none"/>
          <w:lang w:bidi="ar"/>
        </w:rPr>
        <w:t>13. 履约保证金</w:t>
      </w:r>
    </w:p>
    <w:p w14:paraId="0E980F97">
      <w:pPr>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13.1 乙方应当以支票、汇票、本票或者金融机构、担保机构出具的保函等非现金形式提交。</w:t>
      </w:r>
    </w:p>
    <w:p w14:paraId="5D8E539E">
      <w:pPr>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13.2 如果乙方出现</w:t>
      </w:r>
      <w:r>
        <w:rPr>
          <w:rFonts w:hint="eastAsia" w:ascii="仿宋" w:hAnsi="仿宋" w:eastAsia="仿宋" w:cs="仿宋"/>
          <w:b/>
          <w:bCs/>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约定情形的，履约保证金不予退还；如果乙方未能按合同约定全面履行义务，甲方有权从履约保证金中取得补偿或赔偿，且不影响甲方要求乙方承担合同约定的超过履约保证金的违约责任的权利。</w:t>
      </w:r>
    </w:p>
    <w:p w14:paraId="1D6A1D3C">
      <w:pPr>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13.3 甲方在项目通过验收后按照</w:t>
      </w:r>
      <w:r>
        <w:rPr>
          <w:rFonts w:hint="eastAsia" w:ascii="仿宋" w:hAnsi="仿宋" w:eastAsia="仿宋" w:cs="仿宋"/>
          <w:b/>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规定的时间内将履约保证金退还乙方；逾期退还的，乙方可要求甲方支付违约金，违约金按照</w:t>
      </w:r>
      <w:r>
        <w:rPr>
          <w:rFonts w:hint="eastAsia" w:ascii="仿宋" w:hAnsi="仿宋" w:eastAsia="仿宋" w:cs="仿宋"/>
          <w:b/>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规定支付。</w:t>
      </w:r>
    </w:p>
    <w:p w14:paraId="00975944">
      <w:pPr>
        <w:autoSpaceDE w:val="0"/>
        <w:autoSpaceDN w:val="0"/>
        <w:adjustRightInd w:val="0"/>
        <w:snapToGrid w:val="0"/>
        <w:spacing w:line="360" w:lineRule="auto"/>
        <w:jc w:val="lef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lang w:bidi="ar"/>
        </w:rPr>
        <w:t xml:space="preserve">14. </w:t>
      </w:r>
      <w:r>
        <w:rPr>
          <w:rFonts w:hint="eastAsia" w:ascii="仿宋" w:hAnsi="仿宋" w:eastAsia="仿宋" w:cs="仿宋"/>
          <w:b/>
          <w:color w:val="auto"/>
          <w:sz w:val="24"/>
          <w:szCs w:val="24"/>
          <w:highlight w:val="none"/>
          <w:lang w:bidi="ar"/>
        </w:rPr>
        <w:t>售后服务</w:t>
      </w:r>
    </w:p>
    <w:p w14:paraId="03349765">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14.1 除项目不涉及或采购活动中明确约定无须承担外，乙方还应提供下列服务：</w:t>
      </w:r>
    </w:p>
    <w:p w14:paraId="69F1AE3D">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（1）货物的现场移动、安装、调试、启动监督及技术支持；</w:t>
      </w:r>
    </w:p>
    <w:p w14:paraId="084DE12C">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（2）提供货物组装和维修所需的专用工具和辅助材料；</w:t>
      </w:r>
    </w:p>
    <w:p w14:paraId="1FC18F7C">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（3）在</w:t>
      </w:r>
      <w:r>
        <w:rPr>
          <w:rFonts w:hint="eastAsia" w:ascii="仿宋" w:hAnsi="仿宋" w:eastAsia="仿宋" w:cs="仿宋"/>
          <w:b/>
          <w:bCs/>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约定的期限内对所有的货物实施运行监督、维修，但前提条件是该服务并不能免除乙方在质量保证期内所承担的义务；</w:t>
      </w:r>
    </w:p>
    <w:p w14:paraId="263CD3E1">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（4）在制造商所在地或指定现场就货物的安装、启动、运营、维护、废弃处置等对甲方操作人员进行培训；</w:t>
      </w:r>
    </w:p>
    <w:p w14:paraId="56DFB1F7">
      <w:pPr>
        <w:pStyle w:val="23"/>
        <w:widowControl/>
        <w:autoSpaceDE w:val="0"/>
        <w:autoSpaceDN w:val="0"/>
        <w:adjustRightInd w:val="0"/>
        <w:spacing w:before="0" w:beforeAutospacing="0" w:after="0" w:afterAutospacing="0"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（5）依照法律、行政法规的规定或者按照</w:t>
      </w:r>
      <w:r>
        <w:rPr>
          <w:rFonts w:hint="eastAsia" w:ascii="仿宋" w:hAnsi="仿宋" w:eastAsia="仿宋" w:cs="仿宋"/>
          <w:b/>
          <w:bCs/>
          <w:color w:val="auto"/>
          <w:szCs w:val="24"/>
          <w:highlight w:val="none"/>
          <w:lang w:bidi="ar"/>
        </w:rPr>
        <w:t>【政府采购合同专用条款】</w:t>
      </w:r>
      <w:r>
        <w:rPr>
          <w:rFonts w:hint="eastAsia" w:ascii="仿宋" w:hAnsi="仿宋" w:eastAsia="仿宋" w:cs="仿宋"/>
          <w:color w:val="auto"/>
          <w:szCs w:val="24"/>
          <w:highlight w:val="none"/>
          <w:lang w:bidi="ar"/>
        </w:rPr>
        <w:t>约定，货物在有效使用年限届满后应予回收的，乙方负有自行或者委托第三人对货物予以回收的义务；</w:t>
      </w:r>
    </w:p>
    <w:p w14:paraId="172857CD">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（6）</w:t>
      </w:r>
      <w:r>
        <w:rPr>
          <w:rFonts w:hint="eastAsia" w:ascii="仿宋" w:hAnsi="仿宋" w:eastAsia="仿宋" w:cs="仿宋"/>
          <w:b/>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规定由乙方提供的其他服务。</w:t>
      </w:r>
    </w:p>
    <w:p w14:paraId="45EEA6A2">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14.2 乙方提供的售后服务的费用已包含在合同价款中，甲方不再另行支付。</w:t>
      </w:r>
    </w:p>
    <w:p w14:paraId="0B073B96">
      <w:pPr>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15. 违约责任</w:t>
      </w:r>
    </w:p>
    <w:p w14:paraId="4F7401AD">
      <w:pPr>
        <w:adjustRightInd w:val="0"/>
        <w:snapToGrid w:val="0"/>
        <w:spacing w:line="360" w:lineRule="auto"/>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15.1质量瑕疵的违约责任</w:t>
      </w:r>
    </w:p>
    <w:p w14:paraId="44EA4B3D">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乙方提供的产品不符合合同约定的质量标准或存在产品质量缺陷，甲方有权要求乙方根据</w:t>
      </w:r>
      <w:r>
        <w:rPr>
          <w:rFonts w:hint="eastAsia" w:ascii="仿宋" w:hAnsi="仿宋" w:eastAsia="仿宋" w:cs="仿宋"/>
          <w:b/>
          <w:color w:val="auto"/>
          <w:sz w:val="24"/>
          <w:szCs w:val="24"/>
          <w:highlight w:val="none"/>
          <w:lang w:bidi="ar"/>
        </w:rPr>
        <w:t>【政府采购合同专用条款】</w:t>
      </w:r>
      <w:r>
        <w:rPr>
          <w:rFonts w:hint="eastAsia" w:ascii="仿宋" w:hAnsi="仿宋" w:eastAsia="仿宋" w:cs="仿宋"/>
          <w:bCs/>
          <w:color w:val="auto"/>
          <w:sz w:val="24"/>
          <w:szCs w:val="24"/>
          <w:highlight w:val="none"/>
          <w:lang w:bidi="ar"/>
        </w:rPr>
        <w:t>要求</w:t>
      </w:r>
      <w:r>
        <w:rPr>
          <w:rFonts w:hint="eastAsia" w:ascii="仿宋" w:hAnsi="仿宋" w:eastAsia="仿宋" w:cs="仿宋"/>
          <w:color w:val="auto"/>
          <w:sz w:val="24"/>
          <w:szCs w:val="24"/>
          <w:highlight w:val="none"/>
          <w:lang w:bidi="ar"/>
        </w:rPr>
        <w:t>及时修理、重作、更换，并承担由此给甲方造成的损失。</w:t>
      </w:r>
    </w:p>
    <w:p w14:paraId="3EE0EC81">
      <w:pPr>
        <w:autoSpaceDE w:val="0"/>
        <w:autoSpaceDN w:val="0"/>
        <w:adjustRightInd w:val="0"/>
        <w:snapToGrid w:val="0"/>
        <w:spacing w:line="360" w:lineRule="auto"/>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15.2 迟延交货的违约责任</w:t>
      </w:r>
    </w:p>
    <w:p w14:paraId="30A09593">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E981B29">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（2）如果乙方没有按照合同规定的时间交货和提供相关服务，甲方有权从货款中扣除误期赔偿费而不影响合同项下的其他补救方法，赔偿费按</w:t>
      </w:r>
      <w:r>
        <w:rPr>
          <w:rFonts w:hint="eastAsia" w:ascii="仿宋" w:hAnsi="仿宋" w:eastAsia="仿宋" w:cs="仿宋"/>
          <w:b/>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规定执行。如果涉及公共利益，且赔偿金额无法弥补公共利益损失，甲方可要求继续履行或者采取其他补救措施。</w:t>
      </w:r>
    </w:p>
    <w:p w14:paraId="7F8A6D65">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15.3 迟延支付的违约责任</w:t>
      </w:r>
    </w:p>
    <w:p w14:paraId="706815BE">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甲方存在迟延支付乙方合同款项的，应当承担</w:t>
      </w:r>
      <w:r>
        <w:rPr>
          <w:rFonts w:hint="eastAsia" w:ascii="仿宋" w:hAnsi="仿宋" w:eastAsia="仿宋" w:cs="仿宋"/>
          <w:b/>
          <w:bCs/>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规定的逾期付款利息。</w:t>
      </w:r>
    </w:p>
    <w:p w14:paraId="67548CE6">
      <w:pPr>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lang w:bidi="ar"/>
        </w:rPr>
        <w:t>15.4其他违约责任根据项目实际需要按</w:t>
      </w:r>
      <w:r>
        <w:rPr>
          <w:rFonts w:hint="eastAsia" w:ascii="仿宋" w:hAnsi="仿宋" w:eastAsia="仿宋" w:cs="仿宋"/>
          <w:b/>
          <w:bCs/>
          <w:color w:val="auto"/>
          <w:sz w:val="24"/>
          <w:szCs w:val="24"/>
          <w:highlight w:val="none"/>
          <w:lang w:bidi="ar"/>
        </w:rPr>
        <w:t>【政府采购合同专用条款】</w:t>
      </w:r>
      <w:r>
        <w:rPr>
          <w:rFonts w:hint="eastAsia" w:ascii="仿宋" w:hAnsi="仿宋" w:eastAsia="仿宋" w:cs="仿宋"/>
          <w:color w:val="auto"/>
          <w:sz w:val="24"/>
          <w:szCs w:val="24"/>
          <w:highlight w:val="none"/>
          <w:lang w:bidi="ar"/>
        </w:rPr>
        <w:t>规定执行。</w:t>
      </w:r>
    </w:p>
    <w:p w14:paraId="249CC024">
      <w:pPr>
        <w:numPr>
          <w:ilvl w:val="0"/>
          <w:numId w:val="9"/>
        </w:numPr>
        <w:autoSpaceDE w:val="0"/>
        <w:autoSpaceDN w:val="0"/>
        <w:adjustRightInd w:val="0"/>
        <w:snapToGrid w:val="0"/>
        <w:spacing w:line="360" w:lineRule="auto"/>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合同变更、中止与终止</w:t>
      </w:r>
    </w:p>
    <w:p w14:paraId="267A0F33">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 xml:space="preserve">    16.1合同的变更</w:t>
      </w:r>
    </w:p>
    <w:p w14:paraId="630280BB">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政府采购合同履行中，在不改变合同其他条款的前提下，甲方可以在合同价款10%的范围内追加与合同标的相同的货物，并就此与乙方协商一致后签订补充协议。</w:t>
      </w:r>
    </w:p>
    <w:p w14:paraId="5D481214">
      <w:pPr>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16.2合同的中止</w:t>
      </w:r>
    </w:p>
    <w:p w14:paraId="0861D191">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（1）合同履行过程中因供应商就采购文件、采购过程或结果提起投诉的，甲方认为有必要的，可以中止合同的履行。</w:t>
      </w:r>
    </w:p>
    <w:p w14:paraId="5D11B453">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2E6D7D7">
      <w:pPr>
        <w:pStyle w:val="23"/>
        <w:widowControl/>
        <w:autoSpaceDE w:val="0"/>
        <w:autoSpaceDN w:val="0"/>
        <w:adjustRightInd w:val="0"/>
        <w:spacing w:before="0" w:beforeAutospacing="0" w:after="0" w:afterAutospacing="0" w:line="360" w:lineRule="auto"/>
        <w:ind w:firstLine="480" w:firstLineChars="20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（3）乙方分立、合并或者变更住所的，应当及时以书面形式告知甲方。乙方没有及时告知甲方，致使合同履行发生困难的，甲方可以中止合同履行并要求乙方承担由此给甲方造成的损失。</w:t>
      </w:r>
    </w:p>
    <w:p w14:paraId="49F44471">
      <w:pPr>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（4）甲方不得以行政区划调整、政府换届、机构或者职能调整以及相关责任人更替为由中止合同。</w:t>
      </w:r>
    </w:p>
    <w:p w14:paraId="5938EDCC">
      <w:pPr>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16.3合同的终止</w:t>
      </w:r>
    </w:p>
    <w:p w14:paraId="7120AAA1">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（1）合同因有效期限届满而终止；</w:t>
      </w:r>
    </w:p>
    <w:p w14:paraId="2065F765">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（2）乙方未按合同约定履行，构成根本性违约的，甲方有权终止合同，并追究乙方的违约责任。</w:t>
      </w:r>
    </w:p>
    <w:p w14:paraId="2E03DA28">
      <w:pPr>
        <w:pStyle w:val="23"/>
        <w:widowControl/>
        <w:autoSpaceDE w:val="0"/>
        <w:autoSpaceDN w:val="0"/>
        <w:adjustRightInd w:val="0"/>
        <w:spacing w:before="0" w:beforeAutospacing="0" w:after="0" w:afterAutospacing="0"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 xml:space="preserve">16.4 </w:t>
      </w:r>
      <w:r>
        <w:rPr>
          <w:rFonts w:hint="eastAsia" w:ascii="仿宋" w:hAnsi="仿宋" w:eastAsia="仿宋" w:cs="仿宋"/>
          <w:color w:val="auto"/>
          <w:kern w:val="2"/>
          <w:szCs w:val="24"/>
          <w:highlight w:val="none"/>
          <w:lang w:bidi="ar"/>
        </w:rPr>
        <w:t>涉及国家利益、社会公共利益的情形</w:t>
      </w:r>
    </w:p>
    <w:p w14:paraId="2AE2E26F">
      <w:pPr>
        <w:pStyle w:val="23"/>
        <w:widowControl/>
        <w:autoSpaceDE w:val="0"/>
        <w:autoSpaceDN w:val="0"/>
        <w:adjustRightInd w:val="0"/>
        <w:spacing w:before="0" w:beforeAutospacing="0" w:after="0" w:afterAutospacing="0" w:line="360" w:lineRule="auto"/>
        <w:ind w:firstLine="480" w:firstLineChars="20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政府采购合同继续履行将损害国家利益和社会公共利益的，双方当事人应当变更、中止或者终止合同。有过错的一方应当承担赔偿责任，双方都有过错的，各自承担相应的责任。</w:t>
      </w:r>
    </w:p>
    <w:p w14:paraId="6A6A4367">
      <w:pPr>
        <w:autoSpaceDE w:val="0"/>
        <w:autoSpaceDN w:val="0"/>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17. 合同分包</w:t>
      </w:r>
    </w:p>
    <w:p w14:paraId="77AB2D80">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17.1 乙方不得将合同转包给其他供应商。涉及合同分包的，乙方应根据采购文件和投标（响应）文件规定进行合同分包。</w:t>
      </w:r>
    </w:p>
    <w:p w14:paraId="2FE36892">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17.2 乙方执行政府采购政策向中小企业依法分包的，乙方应当按采购文件和投标（响应）文件签订分包意向协议，分包意向协议属于本合同组成部分。</w:t>
      </w:r>
    </w:p>
    <w:p w14:paraId="210B76BD">
      <w:pPr>
        <w:autoSpaceDE w:val="0"/>
        <w:autoSpaceDN w:val="0"/>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18. 不可抗力</w:t>
      </w:r>
    </w:p>
    <w:p w14:paraId="5DA7E8AF">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18.1 不可抗力是指合同双方不能预见、不能避免且不能克服的客观情况。</w:t>
      </w:r>
    </w:p>
    <w:p w14:paraId="4F6B6BA9">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18.2 任何一方对由于不可抗力造成的部分或全部不能履行合同不承担违约责任。但迟延履行后发生不可抗力的，不能免除责任。</w:t>
      </w:r>
    </w:p>
    <w:p w14:paraId="365E2902">
      <w:pPr>
        <w:autoSpaceDE w:val="0"/>
        <w:autoSpaceDN w:val="0"/>
        <w:adjustRightInd w:val="0"/>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EC1BCBD">
      <w:pPr>
        <w:autoSpaceDE w:val="0"/>
        <w:autoSpaceDN w:val="0"/>
        <w:adjustRightInd w:val="0"/>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19. 解决争议的方法</w:t>
      </w:r>
    </w:p>
    <w:p w14:paraId="140D3CB6">
      <w:pPr>
        <w:pStyle w:val="23"/>
        <w:widowControl/>
        <w:autoSpaceDE w:val="0"/>
        <w:autoSpaceDN w:val="0"/>
        <w:adjustRightInd w:val="0"/>
        <w:spacing w:before="0" w:beforeAutospacing="0" w:after="0" w:afterAutospacing="0" w:line="360" w:lineRule="auto"/>
        <w:ind w:firstLine="480" w:firstLineChars="20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19.1 因本合同及合同有关事项发生的争议，由甲乙双方友好协商解决。协商不成时，可以向有关组织申请调解。合同一方或双方不愿调解或调解不成的，可以通过仲裁或诉讼的方式解决争议。</w:t>
      </w:r>
    </w:p>
    <w:p w14:paraId="22DC3BDE">
      <w:pPr>
        <w:pStyle w:val="23"/>
        <w:keepNext w:val="0"/>
        <w:keepLines w:val="0"/>
        <w:pageBreakBefore w:val="0"/>
        <w:widowControl/>
        <w:kinsoku/>
        <w:wordWrap/>
        <w:overflowPunct/>
        <w:topLinePunct w:val="0"/>
        <w:autoSpaceDE w:val="0"/>
        <w:autoSpaceDN w:val="0"/>
        <w:bidi w:val="0"/>
        <w:adjustRightInd w:val="0"/>
        <w:spacing w:before="0" w:beforeAutospacing="0" w:after="0" w:afterAutospacing="0" w:line="440" w:lineRule="exact"/>
        <w:ind w:firstLine="480" w:firstLineChars="200"/>
        <w:jc w:val="both"/>
        <w:textAlignment w:val="auto"/>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19.2 选择仲裁的，应在</w:t>
      </w:r>
      <w:r>
        <w:rPr>
          <w:rFonts w:hint="eastAsia" w:ascii="仿宋" w:hAnsi="仿宋" w:eastAsia="仿宋" w:cs="仿宋"/>
          <w:b/>
          <w:bCs/>
          <w:color w:val="auto"/>
          <w:szCs w:val="24"/>
          <w:highlight w:val="none"/>
          <w:lang w:bidi="ar"/>
        </w:rPr>
        <w:t>【政府采购合同专用条款】</w:t>
      </w:r>
      <w:r>
        <w:rPr>
          <w:rFonts w:hint="eastAsia" w:ascii="仿宋" w:hAnsi="仿宋" w:eastAsia="仿宋" w:cs="仿宋"/>
          <w:color w:val="auto"/>
          <w:szCs w:val="24"/>
          <w:highlight w:val="none"/>
          <w:lang w:bidi="ar"/>
        </w:rPr>
        <w:t>中明确仲裁机构及仲裁地；通过诉讼方式解决的，可以在</w:t>
      </w:r>
      <w:r>
        <w:rPr>
          <w:rFonts w:hint="eastAsia" w:ascii="仿宋" w:hAnsi="仿宋" w:eastAsia="仿宋" w:cs="仿宋"/>
          <w:b/>
          <w:bCs/>
          <w:color w:val="auto"/>
          <w:szCs w:val="24"/>
          <w:highlight w:val="none"/>
          <w:lang w:bidi="ar"/>
        </w:rPr>
        <w:t>【政府采购合同专用条款】</w:t>
      </w:r>
      <w:r>
        <w:rPr>
          <w:rFonts w:hint="eastAsia" w:ascii="仿宋" w:hAnsi="仿宋" w:eastAsia="仿宋" w:cs="仿宋"/>
          <w:color w:val="auto"/>
          <w:szCs w:val="24"/>
          <w:highlight w:val="none"/>
          <w:lang w:bidi="ar"/>
        </w:rPr>
        <w:t>中进一步约定选择与争议有实际联系的地点的人民法院管辖，但管辖法院的约定不得违反级别管辖和专属管辖的规定。</w:t>
      </w:r>
    </w:p>
    <w:p w14:paraId="792F1A7A">
      <w:pPr>
        <w:pStyle w:val="23"/>
        <w:keepNext w:val="0"/>
        <w:keepLines w:val="0"/>
        <w:pageBreakBefore w:val="0"/>
        <w:widowControl/>
        <w:kinsoku/>
        <w:wordWrap/>
        <w:overflowPunct/>
        <w:topLinePunct w:val="0"/>
        <w:autoSpaceDE w:val="0"/>
        <w:autoSpaceDN w:val="0"/>
        <w:bidi w:val="0"/>
        <w:adjustRightInd w:val="0"/>
        <w:spacing w:before="0" w:beforeAutospacing="0" w:after="0" w:afterAutospacing="0" w:line="440" w:lineRule="exact"/>
        <w:ind w:firstLine="480" w:firstLineChars="200"/>
        <w:jc w:val="both"/>
        <w:textAlignment w:val="auto"/>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19.3 如甲乙双方有争议的事项不影响合同其他部分的履行，在争议解决期间，合同其他部分应当继续履行。</w:t>
      </w:r>
    </w:p>
    <w:p w14:paraId="27157C0E">
      <w:pPr>
        <w:keepNext w:val="0"/>
        <w:keepLines w:val="0"/>
        <w:pageBreakBefore w:val="0"/>
        <w:kinsoku/>
        <w:wordWrap/>
        <w:overflowPunct/>
        <w:topLinePunct w:val="0"/>
        <w:autoSpaceDE w:val="0"/>
        <w:autoSpaceDN w:val="0"/>
        <w:bidi w:val="0"/>
        <w:adjustRightInd w:val="0"/>
        <w:snapToGrid w:val="0"/>
        <w:spacing w:beforeAutospacing="0"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bidi="ar"/>
        </w:rPr>
        <w:t>20. 政府采购政策</w:t>
      </w:r>
    </w:p>
    <w:p w14:paraId="4724AF96">
      <w:pPr>
        <w:keepNext w:val="0"/>
        <w:keepLines w:val="0"/>
        <w:pageBreakBefore w:val="0"/>
        <w:kinsoku/>
        <w:wordWrap/>
        <w:overflowPunct/>
        <w:topLinePunct w:val="0"/>
        <w:autoSpaceDE w:val="0"/>
        <w:autoSpaceDN w:val="0"/>
        <w:bidi w:val="0"/>
        <w:adjustRightInd w:val="0"/>
        <w:snapToGrid w:val="0"/>
        <w:spacing w:beforeAutospacing="0"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20.1 本合同应当按照规定执行政府采购政策。</w:t>
      </w:r>
    </w:p>
    <w:p w14:paraId="07272E59">
      <w:pPr>
        <w:keepNext w:val="0"/>
        <w:keepLines w:val="0"/>
        <w:pageBreakBefore w:val="0"/>
        <w:kinsoku/>
        <w:wordWrap/>
        <w:overflowPunct/>
        <w:topLinePunct w:val="0"/>
        <w:autoSpaceDE w:val="0"/>
        <w:autoSpaceDN w:val="0"/>
        <w:bidi w:val="0"/>
        <w:adjustRightInd w:val="0"/>
        <w:snapToGrid w:val="0"/>
        <w:spacing w:beforeAutospacing="0"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76948D0F">
      <w:pPr>
        <w:pStyle w:val="23"/>
        <w:keepNext w:val="0"/>
        <w:keepLines w:val="0"/>
        <w:pageBreakBefore w:val="0"/>
        <w:kinsoku/>
        <w:wordWrap/>
        <w:overflowPunct/>
        <w:topLinePunct w:val="0"/>
        <w:bidi w:val="0"/>
        <w:spacing w:before="0" w:beforeAutospacing="0" w:after="0" w:afterAutospacing="0" w:line="440" w:lineRule="exact"/>
        <w:ind w:firstLine="480" w:firstLineChars="200"/>
        <w:jc w:val="both"/>
        <w:textAlignment w:val="auto"/>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bidi="ar"/>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62B0B42">
      <w:pPr>
        <w:keepNext w:val="0"/>
        <w:keepLines w:val="0"/>
        <w:pageBreakBefore w:val="0"/>
        <w:kinsoku/>
        <w:wordWrap/>
        <w:overflowPunct/>
        <w:topLinePunct w:val="0"/>
        <w:autoSpaceDE w:val="0"/>
        <w:autoSpaceDN w:val="0"/>
        <w:bidi w:val="0"/>
        <w:adjustRightInd w:val="0"/>
        <w:snapToGrid w:val="0"/>
        <w:spacing w:beforeAutospacing="0"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21. 法律适用</w:t>
      </w:r>
    </w:p>
    <w:p w14:paraId="4133F473">
      <w:pPr>
        <w:pStyle w:val="23"/>
        <w:keepNext w:val="0"/>
        <w:keepLines w:val="0"/>
        <w:pageBreakBefore w:val="0"/>
        <w:widowControl/>
        <w:kinsoku/>
        <w:wordWrap/>
        <w:overflowPunct/>
        <w:topLinePunct w:val="0"/>
        <w:autoSpaceDE w:val="0"/>
        <w:autoSpaceDN w:val="0"/>
        <w:bidi w:val="0"/>
        <w:adjustRightInd w:val="0"/>
        <w:spacing w:before="0" w:beforeAutospacing="0" w:after="0" w:afterAutospacing="0" w:line="440" w:lineRule="exact"/>
        <w:ind w:firstLine="480" w:firstLineChars="200"/>
        <w:jc w:val="both"/>
        <w:textAlignment w:val="auto"/>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21.1 本合同的订立、生效、解释、履行及与本合同有关的争议解决，均适用法律、行政法规。</w:t>
      </w:r>
    </w:p>
    <w:p w14:paraId="5FDFE8F4">
      <w:pPr>
        <w:pStyle w:val="23"/>
        <w:keepNext w:val="0"/>
        <w:keepLines w:val="0"/>
        <w:pageBreakBefore w:val="0"/>
        <w:widowControl/>
        <w:kinsoku/>
        <w:wordWrap/>
        <w:overflowPunct/>
        <w:topLinePunct w:val="0"/>
        <w:autoSpaceDE w:val="0"/>
        <w:autoSpaceDN w:val="0"/>
        <w:bidi w:val="0"/>
        <w:adjustRightInd w:val="0"/>
        <w:spacing w:before="0" w:beforeAutospacing="0" w:after="0" w:afterAutospacing="0" w:line="440" w:lineRule="exact"/>
        <w:ind w:firstLine="480" w:firstLineChars="200"/>
        <w:jc w:val="both"/>
        <w:textAlignment w:val="auto"/>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21.2 本合同条款与法律、行政法规的强制性规定不一致的，双方当事人应按照法律、行政法规的强制性规定修改本合同的相关条款。</w:t>
      </w:r>
    </w:p>
    <w:p w14:paraId="13ACE632">
      <w:pPr>
        <w:keepNext w:val="0"/>
        <w:keepLines w:val="0"/>
        <w:pageBreakBefore w:val="0"/>
        <w:kinsoku/>
        <w:wordWrap/>
        <w:overflowPunct/>
        <w:topLinePunct w:val="0"/>
        <w:autoSpaceDE w:val="0"/>
        <w:autoSpaceDN w:val="0"/>
        <w:bidi w:val="0"/>
        <w:adjustRightInd w:val="0"/>
        <w:snapToGrid w:val="0"/>
        <w:spacing w:beforeAutospacing="0"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22. 通知</w:t>
      </w:r>
    </w:p>
    <w:p w14:paraId="211DE61C">
      <w:pPr>
        <w:pStyle w:val="23"/>
        <w:keepNext w:val="0"/>
        <w:keepLines w:val="0"/>
        <w:pageBreakBefore w:val="0"/>
        <w:widowControl/>
        <w:kinsoku/>
        <w:wordWrap/>
        <w:overflowPunct/>
        <w:topLinePunct w:val="0"/>
        <w:autoSpaceDE w:val="0"/>
        <w:autoSpaceDN w:val="0"/>
        <w:bidi w:val="0"/>
        <w:adjustRightInd w:val="0"/>
        <w:spacing w:before="0" w:beforeAutospacing="0" w:after="0" w:afterAutospacing="0" w:line="440" w:lineRule="exact"/>
        <w:ind w:firstLine="480" w:firstLineChars="200"/>
        <w:jc w:val="both"/>
        <w:textAlignment w:val="auto"/>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22.1 本合同任何一方向对方发出的通知、信件、数据电文等，应当发送至本合同第一部分《政府采购合同协议书》所约定的通讯地址、联系人、联系电话或电子邮箱。</w:t>
      </w:r>
    </w:p>
    <w:p w14:paraId="5345026F">
      <w:pPr>
        <w:pStyle w:val="23"/>
        <w:keepNext w:val="0"/>
        <w:keepLines w:val="0"/>
        <w:pageBreakBefore w:val="0"/>
        <w:widowControl/>
        <w:kinsoku/>
        <w:wordWrap/>
        <w:overflowPunct/>
        <w:topLinePunct w:val="0"/>
        <w:autoSpaceDE w:val="0"/>
        <w:autoSpaceDN w:val="0"/>
        <w:bidi w:val="0"/>
        <w:adjustRightInd w:val="0"/>
        <w:spacing w:before="0" w:beforeAutospacing="0" w:after="0" w:afterAutospacing="0" w:line="440" w:lineRule="exact"/>
        <w:jc w:val="both"/>
        <w:textAlignment w:val="auto"/>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 xml:space="preserve">    22.2 一方当事人变更名称、住所、联系人、联系电话或电子邮箱等信息的，应当在变更后3日内及时书面通知对方，对方实际收到变更通知前的送达仍为有效送达。</w:t>
      </w:r>
    </w:p>
    <w:p w14:paraId="5FD05DB8">
      <w:pPr>
        <w:keepNext w:val="0"/>
        <w:keepLines w:val="0"/>
        <w:pageBreakBefore w:val="0"/>
        <w:kinsoku/>
        <w:wordWrap/>
        <w:overflowPunct/>
        <w:topLinePunct w:val="0"/>
        <w:bidi w:val="0"/>
        <w:adjustRightInd w:val="0"/>
        <w:snapToGrid w:val="0"/>
        <w:spacing w:beforeAutospacing="0"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22.3本合同一方给另一方的通知均应采用书面形式，传真或快递送到本合同中规定的对方的地址和办理签收手续。</w:t>
      </w:r>
    </w:p>
    <w:p w14:paraId="57E02A56">
      <w:pPr>
        <w:keepNext w:val="0"/>
        <w:keepLines w:val="0"/>
        <w:pageBreakBefore w:val="0"/>
        <w:kinsoku/>
        <w:wordWrap/>
        <w:overflowPunct/>
        <w:topLinePunct w:val="0"/>
        <w:bidi w:val="0"/>
        <w:adjustRightInd w:val="0"/>
        <w:snapToGrid w:val="0"/>
        <w:spacing w:beforeAutospacing="0"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22.4通知以送达之日或通知书中规定的生效之日起生效，两者中以较迟之日为准。</w:t>
      </w:r>
    </w:p>
    <w:p w14:paraId="4ABEE6F6">
      <w:pPr>
        <w:keepNext w:val="0"/>
        <w:keepLines w:val="0"/>
        <w:pageBreakBefore w:val="0"/>
        <w:numPr>
          <w:ilvl w:val="0"/>
          <w:numId w:val="10"/>
        </w:numPr>
        <w:kinsoku/>
        <w:wordWrap/>
        <w:overflowPunct/>
        <w:topLinePunct w:val="0"/>
        <w:bidi w:val="0"/>
        <w:adjustRightInd w:val="0"/>
        <w:snapToGrid w:val="0"/>
        <w:spacing w:beforeAutospacing="0"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bidi="ar"/>
        </w:rPr>
        <w:t>合同未尽事项</w:t>
      </w:r>
    </w:p>
    <w:p w14:paraId="329A75C2">
      <w:pPr>
        <w:keepNext w:val="0"/>
        <w:keepLines w:val="0"/>
        <w:pageBreakBefore w:val="0"/>
        <w:kinsoku/>
        <w:wordWrap/>
        <w:overflowPunct/>
        <w:topLinePunct w:val="0"/>
        <w:bidi w:val="0"/>
        <w:adjustRightInd w:val="0"/>
        <w:snapToGrid w:val="0"/>
        <w:spacing w:beforeAutospacing="0" w:line="440" w:lineRule="exact"/>
        <w:ind w:firstLine="480" w:firstLineChars="200"/>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bidi="ar"/>
        </w:rPr>
        <w:t>23.1合同未尽事项见</w:t>
      </w:r>
      <w:r>
        <w:rPr>
          <w:rFonts w:hint="eastAsia" w:ascii="仿宋" w:hAnsi="仿宋" w:eastAsia="仿宋" w:cs="仿宋"/>
          <w:b/>
          <w:color w:val="auto"/>
          <w:sz w:val="24"/>
          <w:szCs w:val="24"/>
          <w:highlight w:val="none"/>
          <w:lang w:bidi="ar"/>
        </w:rPr>
        <w:t>【政府采购合同专用条款】</w:t>
      </w:r>
      <w:r>
        <w:rPr>
          <w:rFonts w:hint="eastAsia" w:ascii="仿宋" w:hAnsi="仿宋" w:eastAsia="仿宋" w:cs="仿宋"/>
          <w:bCs/>
          <w:color w:val="auto"/>
          <w:sz w:val="24"/>
          <w:szCs w:val="24"/>
          <w:highlight w:val="none"/>
          <w:lang w:bidi="ar"/>
        </w:rPr>
        <w:t>。</w:t>
      </w:r>
    </w:p>
    <w:p w14:paraId="6804EE7F">
      <w:pPr>
        <w:keepNext w:val="0"/>
        <w:keepLines w:val="0"/>
        <w:pageBreakBefore w:val="0"/>
        <w:kinsoku/>
        <w:wordWrap/>
        <w:overflowPunct/>
        <w:topLinePunct w:val="0"/>
        <w:bidi w:val="0"/>
        <w:adjustRightInd w:val="0"/>
        <w:snapToGrid w:val="0"/>
        <w:spacing w:beforeAutospacing="0"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lang w:bidi="ar"/>
        </w:rPr>
        <w:t xml:space="preserve">    23.2 合同附件与合同正文具有同等的法律效力。</w:t>
      </w:r>
    </w:p>
    <w:p w14:paraId="43C43766">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br w:type="page"/>
      </w:r>
    </w:p>
    <w:p w14:paraId="4A977547">
      <w:pPr>
        <w:pStyle w:val="5"/>
        <w:rPr>
          <w:rFonts w:hint="eastAsia" w:ascii="仿宋" w:hAnsi="仿宋" w:eastAsia="仿宋" w:cs="仿宋"/>
          <w:color w:val="auto"/>
          <w:highlight w:val="none"/>
        </w:rPr>
      </w:pPr>
      <w:bookmarkStart w:id="46" w:name="_Toc28284"/>
      <w:r>
        <w:rPr>
          <w:rFonts w:hint="eastAsia" w:ascii="仿宋" w:hAnsi="仿宋" w:eastAsia="仿宋" w:cs="仿宋"/>
          <w:color w:val="auto"/>
          <w:highlight w:val="none"/>
        </w:rPr>
        <w:t>第三节 政府采购合同专用条款</w:t>
      </w:r>
      <w:bookmarkEnd w:id="46"/>
    </w:p>
    <w:tbl>
      <w:tblPr>
        <w:tblStyle w:val="27"/>
        <w:tblW w:w="9110" w:type="dxa"/>
        <w:tblInd w:w="108"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761"/>
      </w:tblGrid>
      <w:tr w14:paraId="00A36E1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2" w:space="0"/>
              <w:left w:val="double" w:color="auto" w:sz="2" w:space="0"/>
              <w:bottom w:val="single" w:color="auto" w:sz="6" w:space="0"/>
              <w:right w:val="single" w:color="auto" w:sz="6" w:space="0"/>
            </w:tcBorders>
            <w:vAlign w:val="center"/>
          </w:tcPr>
          <w:p w14:paraId="49798900">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3D23876E">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第1.2（6）项</w:t>
            </w:r>
          </w:p>
        </w:tc>
        <w:tc>
          <w:tcPr>
            <w:tcW w:w="1742" w:type="dxa"/>
            <w:tcBorders>
              <w:top w:val="double" w:color="auto" w:sz="2" w:space="0"/>
              <w:left w:val="single" w:color="auto" w:sz="6" w:space="0"/>
              <w:bottom w:val="single" w:color="auto" w:sz="6" w:space="0"/>
              <w:right w:val="single" w:color="auto" w:sz="6" w:space="0"/>
            </w:tcBorders>
            <w:vAlign w:val="center"/>
          </w:tcPr>
          <w:p w14:paraId="74390B2A">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联合体具体要求</w:t>
            </w:r>
          </w:p>
        </w:tc>
        <w:tc>
          <w:tcPr>
            <w:tcW w:w="5761" w:type="dxa"/>
            <w:tcBorders>
              <w:top w:val="double" w:color="auto" w:sz="2" w:space="0"/>
              <w:left w:val="single" w:color="auto" w:sz="6" w:space="0"/>
              <w:bottom w:val="single" w:color="auto" w:sz="6" w:space="0"/>
              <w:right w:val="double" w:color="auto" w:sz="2" w:space="0"/>
            </w:tcBorders>
            <w:vAlign w:val="center"/>
          </w:tcPr>
          <w:p w14:paraId="37C52947">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不接受联合体投标</w:t>
            </w:r>
          </w:p>
        </w:tc>
      </w:tr>
      <w:tr w14:paraId="1920DF5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2" w:space="0"/>
              <w:bottom w:val="single" w:color="auto" w:sz="6" w:space="0"/>
              <w:right w:val="single" w:color="auto" w:sz="6" w:space="0"/>
            </w:tcBorders>
            <w:vAlign w:val="center"/>
          </w:tcPr>
          <w:p w14:paraId="53353029">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17603D5B">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38CE6377">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其他术语解释</w:t>
            </w:r>
          </w:p>
        </w:tc>
        <w:tc>
          <w:tcPr>
            <w:tcW w:w="5761" w:type="dxa"/>
            <w:tcBorders>
              <w:top w:val="single" w:color="auto" w:sz="6" w:space="0"/>
              <w:left w:val="single" w:color="auto" w:sz="6" w:space="0"/>
              <w:bottom w:val="single" w:color="auto" w:sz="6" w:space="0"/>
              <w:right w:val="double" w:color="auto" w:sz="2" w:space="0"/>
            </w:tcBorders>
            <w:vAlign w:val="center"/>
          </w:tcPr>
          <w:p w14:paraId="41B13222">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w:t>
            </w:r>
          </w:p>
        </w:tc>
      </w:tr>
      <w:tr w14:paraId="496C232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AC25A5D">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216A9C26">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7835B48A">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履约验收中甲方提出异议或作出说明的期限</w:t>
            </w:r>
          </w:p>
        </w:tc>
        <w:tc>
          <w:tcPr>
            <w:tcW w:w="5761" w:type="dxa"/>
            <w:tcBorders>
              <w:top w:val="single" w:color="auto" w:sz="6" w:space="0"/>
              <w:left w:val="single" w:color="auto" w:sz="6" w:space="0"/>
              <w:bottom w:val="single" w:color="auto" w:sz="6" w:space="0"/>
              <w:right w:val="double" w:color="auto" w:sz="2" w:space="0"/>
            </w:tcBorders>
            <w:vAlign w:val="center"/>
          </w:tcPr>
          <w:p w14:paraId="39560307">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5个工作日</w:t>
            </w:r>
          </w:p>
        </w:tc>
      </w:tr>
      <w:tr w14:paraId="63F0B8B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DA4C073">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0AE2BBED">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2784C1C3">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约定甲方承担的其他义务和责任</w:t>
            </w:r>
          </w:p>
        </w:tc>
        <w:tc>
          <w:tcPr>
            <w:tcW w:w="5761" w:type="dxa"/>
            <w:tcBorders>
              <w:top w:val="single" w:color="auto" w:sz="6" w:space="0"/>
              <w:left w:val="single" w:color="auto" w:sz="6" w:space="0"/>
              <w:bottom w:val="single" w:color="auto" w:sz="6" w:space="0"/>
              <w:right w:val="double" w:color="auto" w:sz="2" w:space="0"/>
            </w:tcBorders>
            <w:vAlign w:val="center"/>
          </w:tcPr>
          <w:p w14:paraId="6960DF50">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(1)在合同生效后，非因产品质量问题，买方要求退货的，应向卖方偿付合同总价款的5%，作为违约金，违约金不足以补偿损失的，卖方有权要求甲方补足。</w:t>
            </w:r>
          </w:p>
          <w:p w14:paraId="272528B1">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(2)买方逾期付款的应按照逾期付款金额的每天万分之四支付逾期付款违约金。</w:t>
            </w:r>
          </w:p>
          <w:p w14:paraId="6F54A68C">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(3)买方违反合同规定，无正当理由拒绝接收卖方交付的符合招标文件要求的合格标的物，应当承担卖方由此造成的损失。</w:t>
            </w:r>
          </w:p>
        </w:tc>
      </w:tr>
      <w:tr w14:paraId="7C02024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31A7EC00">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7BDFC6D5">
            <w:pPr>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106EF578">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约定乙方承担的其他义务和责任</w:t>
            </w:r>
          </w:p>
        </w:tc>
        <w:tc>
          <w:tcPr>
            <w:tcW w:w="5761" w:type="dxa"/>
            <w:tcBorders>
              <w:top w:val="single" w:color="auto" w:sz="6" w:space="0"/>
              <w:left w:val="single" w:color="auto" w:sz="6" w:space="0"/>
              <w:bottom w:val="single" w:color="auto" w:sz="6" w:space="0"/>
              <w:right w:val="double" w:color="auto" w:sz="2" w:space="0"/>
            </w:tcBorders>
            <w:vAlign w:val="center"/>
          </w:tcPr>
          <w:p w14:paraId="65594AA3">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(1)乙方不能交货（逾期超过五天视为不能交货），或交货不合格从而影响甲方按期正常使用的，应向甲方偿付合同总价款5%的违约金，违约金不足以补偿损失的，甲方有权要求乙方补足。此外，若乙方无正当理由逾期交货超过十五个自然日，甲方有权单方面解除本合同。</w:t>
            </w:r>
          </w:p>
          <w:p w14:paraId="62597554">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p w14:paraId="38D868F8">
            <w:pPr>
              <w:adjustRightInd w:val="0"/>
              <w:snapToGrid w:val="0"/>
              <w:spacing w:line="360" w:lineRule="auto"/>
              <w:jc w:val="left"/>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lang w:bidi="ar"/>
              </w:rPr>
              <w:t>（3）乙方在收到甲方提出的产品维保或者伴随服务要求之日起24小时内未提供相应的维保或者伴随服务，乙方应按照合同总价款的每天万分之四支付违约金。乙方如不按时提供相应的维保或者伴随服务，甲方有权自行委托第三方进行维保或者提供相应服务，产生的费用应由乙方承担，如乙方不支付该费用，甲方有权向乙方追偿。</w:t>
            </w:r>
          </w:p>
        </w:tc>
      </w:tr>
      <w:tr w14:paraId="7428766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31CD3559">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0EC55992">
            <w:pPr>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440DAE1A">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履行合同义务的顺序</w:t>
            </w:r>
          </w:p>
        </w:tc>
        <w:tc>
          <w:tcPr>
            <w:tcW w:w="5761" w:type="dxa"/>
            <w:tcBorders>
              <w:top w:val="single" w:color="auto" w:sz="6" w:space="0"/>
              <w:left w:val="single" w:color="auto" w:sz="6" w:space="0"/>
              <w:bottom w:val="single" w:color="auto" w:sz="6" w:space="0"/>
              <w:right w:val="double" w:color="auto" w:sz="2" w:space="0"/>
            </w:tcBorders>
            <w:vAlign w:val="center"/>
          </w:tcPr>
          <w:p w14:paraId="7C1FFDCD">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乙方按规定履行合同义务后，甲方再履行合同义务。</w:t>
            </w:r>
          </w:p>
        </w:tc>
      </w:tr>
      <w:tr w14:paraId="1A0DCC9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2" w:space="0"/>
              <w:bottom w:val="single" w:color="auto" w:sz="6" w:space="0"/>
              <w:right w:val="single" w:color="auto" w:sz="6" w:space="0"/>
            </w:tcBorders>
            <w:vAlign w:val="center"/>
          </w:tcPr>
          <w:p w14:paraId="1E1C7AA7">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046FB213">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7BA62E5D">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包装特殊要求</w:t>
            </w:r>
          </w:p>
        </w:tc>
        <w:tc>
          <w:tcPr>
            <w:tcW w:w="5761" w:type="dxa"/>
            <w:tcBorders>
              <w:top w:val="single" w:color="auto" w:sz="6" w:space="0"/>
              <w:left w:val="single" w:color="auto" w:sz="6" w:space="0"/>
              <w:bottom w:val="single" w:color="auto" w:sz="6" w:space="0"/>
              <w:right w:val="double" w:color="auto" w:sz="2" w:space="0"/>
            </w:tcBorders>
            <w:vAlign w:val="center"/>
          </w:tcPr>
          <w:p w14:paraId="7C9606F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w:t>
            </w:r>
          </w:p>
        </w:tc>
      </w:tr>
      <w:tr w14:paraId="5312D20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2" w:space="0"/>
              <w:bottom w:val="single" w:color="auto" w:sz="6" w:space="0"/>
              <w:right w:val="single" w:color="auto" w:sz="6" w:space="0"/>
            </w:tcBorders>
            <w:vAlign w:val="center"/>
          </w:tcPr>
          <w:p w14:paraId="1EE31055">
            <w:pPr>
              <w:rPr>
                <w:rFonts w:hint="eastAsia" w:ascii="仿宋" w:hAnsi="仿宋" w:eastAsia="仿宋" w:cs="仿宋"/>
                <w:color w:val="auto"/>
                <w:sz w:val="20"/>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506524EE">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指定现场</w:t>
            </w:r>
          </w:p>
        </w:tc>
        <w:tc>
          <w:tcPr>
            <w:tcW w:w="5761" w:type="dxa"/>
            <w:tcBorders>
              <w:top w:val="single" w:color="auto" w:sz="6" w:space="0"/>
              <w:left w:val="single" w:color="auto" w:sz="6" w:space="0"/>
              <w:bottom w:val="single" w:color="auto" w:sz="6" w:space="0"/>
              <w:right w:val="double" w:color="auto" w:sz="2" w:space="0"/>
            </w:tcBorders>
            <w:vAlign w:val="center"/>
          </w:tcPr>
          <w:p w14:paraId="028EA6C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甲方指定地点</w:t>
            </w:r>
          </w:p>
        </w:tc>
      </w:tr>
      <w:tr w14:paraId="3B2BE74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2" w:space="0"/>
              <w:bottom w:val="single" w:color="auto" w:sz="6" w:space="0"/>
              <w:right w:val="single" w:color="auto" w:sz="6" w:space="0"/>
            </w:tcBorders>
            <w:vAlign w:val="center"/>
          </w:tcPr>
          <w:p w14:paraId="723A0C92">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7AD1A3D0">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68365E05">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运输特殊要求</w:t>
            </w:r>
          </w:p>
        </w:tc>
        <w:tc>
          <w:tcPr>
            <w:tcW w:w="5761" w:type="dxa"/>
            <w:tcBorders>
              <w:top w:val="single" w:color="auto" w:sz="6" w:space="0"/>
              <w:left w:val="single" w:color="auto" w:sz="6" w:space="0"/>
              <w:bottom w:val="single" w:color="auto" w:sz="6" w:space="0"/>
              <w:right w:val="double" w:color="auto" w:sz="2" w:space="0"/>
            </w:tcBorders>
            <w:vAlign w:val="center"/>
          </w:tcPr>
          <w:p w14:paraId="0F545C2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w:t>
            </w:r>
          </w:p>
        </w:tc>
      </w:tr>
      <w:tr w14:paraId="4E26E1D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2" w:space="0"/>
              <w:bottom w:val="single" w:color="auto" w:sz="6" w:space="0"/>
              <w:right w:val="single" w:color="auto" w:sz="6" w:space="0"/>
            </w:tcBorders>
            <w:vAlign w:val="center"/>
          </w:tcPr>
          <w:p w14:paraId="0A9DB55C">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3FBB7AAE">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26711F92">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保险要求</w:t>
            </w:r>
          </w:p>
        </w:tc>
        <w:tc>
          <w:tcPr>
            <w:tcW w:w="5761" w:type="dxa"/>
            <w:tcBorders>
              <w:top w:val="single" w:color="auto" w:sz="6" w:space="0"/>
              <w:left w:val="single" w:color="auto" w:sz="6" w:space="0"/>
              <w:bottom w:val="single" w:color="auto" w:sz="6" w:space="0"/>
              <w:right w:val="double" w:color="auto" w:sz="2" w:space="0"/>
            </w:tcBorders>
            <w:vAlign w:val="center"/>
          </w:tcPr>
          <w:p w14:paraId="76ABB34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按规定购买保险</w:t>
            </w:r>
          </w:p>
        </w:tc>
      </w:tr>
      <w:tr w14:paraId="5EE0405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91E17B7">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26CDBCEA">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6D87D0F3">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质量保证期</w:t>
            </w:r>
          </w:p>
        </w:tc>
        <w:tc>
          <w:tcPr>
            <w:tcW w:w="5761" w:type="dxa"/>
            <w:tcBorders>
              <w:top w:val="single" w:color="auto" w:sz="6" w:space="0"/>
              <w:left w:val="single" w:color="auto" w:sz="6" w:space="0"/>
              <w:bottom w:val="single" w:color="auto" w:sz="6" w:space="0"/>
              <w:right w:val="double" w:color="auto" w:sz="2" w:space="0"/>
            </w:tcBorders>
            <w:vAlign w:val="center"/>
          </w:tcPr>
          <w:p w14:paraId="5C6F673D">
            <w:pPr>
              <w:autoSpaceDE w:val="0"/>
              <w:autoSpaceDN w:val="0"/>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乙方书面承诺的期限</w:t>
            </w:r>
          </w:p>
        </w:tc>
      </w:tr>
      <w:tr w14:paraId="264875C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F3076DB">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6A980077">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6423E7C5">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货物质量缺陷</w:t>
            </w:r>
          </w:p>
          <w:p w14:paraId="7FA9A924">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响应时间</w:t>
            </w:r>
          </w:p>
        </w:tc>
        <w:tc>
          <w:tcPr>
            <w:tcW w:w="5761" w:type="dxa"/>
            <w:tcBorders>
              <w:top w:val="single" w:color="auto" w:sz="6" w:space="0"/>
              <w:left w:val="single" w:color="auto" w:sz="6" w:space="0"/>
              <w:bottom w:val="single" w:color="auto" w:sz="6" w:space="0"/>
              <w:right w:val="double" w:color="auto" w:sz="2" w:space="0"/>
            </w:tcBorders>
            <w:vAlign w:val="center"/>
          </w:tcPr>
          <w:p w14:paraId="777ED6AD">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如货物出现故障，电话响应无法解决，卖方必须在接报修电话24小时内到现场并解决问题。</w:t>
            </w:r>
          </w:p>
        </w:tc>
      </w:tr>
      <w:tr w14:paraId="601370E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597AAF9">
            <w:pPr>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7AA6B16A">
            <w:pPr>
              <w:pStyle w:val="23"/>
              <w:widowControl/>
              <w:autoSpaceDE w:val="0"/>
              <w:autoSpaceDN w:val="0"/>
              <w:adjustRightInd w:val="0"/>
              <w:spacing w:before="0" w:beforeAutospacing="0" w:after="0" w:afterAutospacing="0"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bidi="ar"/>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01E8A851">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其他应当保密的信息</w:t>
            </w:r>
          </w:p>
        </w:tc>
        <w:tc>
          <w:tcPr>
            <w:tcW w:w="5761" w:type="dxa"/>
            <w:tcBorders>
              <w:top w:val="single" w:color="auto" w:sz="6" w:space="0"/>
              <w:left w:val="single" w:color="auto" w:sz="6" w:space="0"/>
              <w:bottom w:val="single" w:color="auto" w:sz="6" w:space="0"/>
              <w:right w:val="double" w:color="auto" w:sz="2" w:space="0"/>
            </w:tcBorders>
            <w:vAlign w:val="center"/>
          </w:tcPr>
          <w:p w14:paraId="50EDC135">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w:t>
            </w:r>
          </w:p>
        </w:tc>
      </w:tr>
      <w:tr w14:paraId="740D33B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2A906F3B">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01F9DAD5">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05C206B5">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合同价款支付时间</w:t>
            </w:r>
          </w:p>
        </w:tc>
        <w:tc>
          <w:tcPr>
            <w:tcW w:w="5761" w:type="dxa"/>
            <w:tcBorders>
              <w:top w:val="single" w:color="auto" w:sz="6" w:space="0"/>
              <w:left w:val="single" w:color="auto" w:sz="6" w:space="0"/>
              <w:bottom w:val="single" w:color="auto" w:sz="6" w:space="0"/>
              <w:right w:val="double" w:color="auto" w:sz="2" w:space="0"/>
            </w:tcBorders>
            <w:vAlign w:val="center"/>
          </w:tcPr>
          <w:p w14:paraId="536DB1AC">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按第一节政府采购合同协议书相关内容执行</w:t>
            </w:r>
          </w:p>
        </w:tc>
      </w:tr>
      <w:tr w14:paraId="507DA1D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03DF2F25">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61278B25">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5EEDF2A2">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履约保证金不予退还的情形</w:t>
            </w:r>
          </w:p>
        </w:tc>
        <w:tc>
          <w:tcPr>
            <w:tcW w:w="5761" w:type="dxa"/>
            <w:tcBorders>
              <w:top w:val="single" w:color="auto" w:sz="6" w:space="0"/>
              <w:left w:val="single" w:color="auto" w:sz="6" w:space="0"/>
              <w:bottom w:val="single" w:color="auto" w:sz="6" w:space="0"/>
              <w:right w:val="double" w:color="auto" w:sz="2" w:space="0"/>
            </w:tcBorders>
            <w:vAlign w:val="center"/>
          </w:tcPr>
          <w:p w14:paraId="45A824E2">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因乙方原因导致合同终止的</w:t>
            </w:r>
          </w:p>
        </w:tc>
      </w:tr>
      <w:tr w14:paraId="6F857DC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252" w:hRule="atLeast"/>
        </w:trPr>
        <w:tc>
          <w:tcPr>
            <w:tcW w:w="1607" w:type="dxa"/>
            <w:tcBorders>
              <w:top w:val="single" w:color="auto" w:sz="6" w:space="0"/>
              <w:left w:val="double" w:color="auto" w:sz="2" w:space="0"/>
              <w:bottom w:val="single" w:color="auto" w:sz="6" w:space="0"/>
              <w:right w:val="single" w:color="auto" w:sz="6" w:space="0"/>
            </w:tcBorders>
            <w:vAlign w:val="center"/>
          </w:tcPr>
          <w:p w14:paraId="7F5F8F3A">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6E6057AF">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63543AA5">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履约保证金退还时间及逾期退还的违约金</w:t>
            </w:r>
          </w:p>
        </w:tc>
        <w:tc>
          <w:tcPr>
            <w:tcW w:w="5761" w:type="dxa"/>
            <w:tcBorders>
              <w:top w:val="single" w:color="auto" w:sz="6" w:space="0"/>
              <w:left w:val="single" w:color="auto" w:sz="6" w:space="0"/>
              <w:bottom w:val="single" w:color="auto" w:sz="6" w:space="0"/>
              <w:right w:val="double" w:color="auto" w:sz="2" w:space="0"/>
            </w:tcBorders>
            <w:vAlign w:val="center"/>
          </w:tcPr>
          <w:p w14:paraId="57310295">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按招标文件相关内容执行</w:t>
            </w:r>
          </w:p>
        </w:tc>
      </w:tr>
      <w:tr w14:paraId="6341C1C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7BB6A004">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79890CFD">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67790490">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运行监督、维修期限</w:t>
            </w:r>
          </w:p>
        </w:tc>
        <w:tc>
          <w:tcPr>
            <w:tcW w:w="5761" w:type="dxa"/>
            <w:tcBorders>
              <w:top w:val="single" w:color="auto" w:sz="6" w:space="0"/>
              <w:left w:val="single" w:color="auto" w:sz="6" w:space="0"/>
              <w:bottom w:val="single" w:color="auto" w:sz="6" w:space="0"/>
              <w:right w:val="double" w:color="auto" w:sz="2" w:space="0"/>
            </w:tcBorders>
            <w:vAlign w:val="center"/>
          </w:tcPr>
          <w:p w14:paraId="689F77D1">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乙方书面承诺的质保期内</w:t>
            </w:r>
          </w:p>
        </w:tc>
      </w:tr>
      <w:tr w14:paraId="19D4AC7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02F7CAE0">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4A2A7CE6">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496862A2">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货物回收的约定</w:t>
            </w:r>
          </w:p>
        </w:tc>
        <w:tc>
          <w:tcPr>
            <w:tcW w:w="5761" w:type="dxa"/>
            <w:tcBorders>
              <w:top w:val="single" w:color="auto" w:sz="6" w:space="0"/>
              <w:left w:val="single" w:color="auto" w:sz="6" w:space="0"/>
              <w:bottom w:val="single" w:color="auto" w:sz="6" w:space="0"/>
              <w:right w:val="double" w:color="auto" w:sz="2" w:space="0"/>
            </w:tcBorders>
            <w:vAlign w:val="center"/>
          </w:tcPr>
          <w:p w14:paraId="485876BD">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由乙方在规定时间内自行组织回收，相关费用自行承担，甲方不另行支付相关费用。</w:t>
            </w:r>
          </w:p>
        </w:tc>
      </w:tr>
      <w:tr w14:paraId="53D81A1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0EE6BAC">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00B04197">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453F93EC">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乙方提供的其他服务</w:t>
            </w:r>
          </w:p>
        </w:tc>
        <w:tc>
          <w:tcPr>
            <w:tcW w:w="5761" w:type="dxa"/>
            <w:tcBorders>
              <w:top w:val="single" w:color="auto" w:sz="6" w:space="0"/>
              <w:left w:val="single" w:color="auto" w:sz="6" w:space="0"/>
              <w:bottom w:val="single" w:color="auto" w:sz="6" w:space="0"/>
              <w:right w:val="double" w:color="auto" w:sz="2" w:space="0"/>
            </w:tcBorders>
            <w:vAlign w:val="center"/>
          </w:tcPr>
          <w:p w14:paraId="7D187457">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按甲方要求须提供的其他相关服务</w:t>
            </w:r>
          </w:p>
        </w:tc>
      </w:tr>
      <w:tr w14:paraId="06886D1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AC74380">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770A228A">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79238404">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修理、重作、更换相关具体规定</w:t>
            </w:r>
          </w:p>
        </w:tc>
        <w:tc>
          <w:tcPr>
            <w:tcW w:w="5761" w:type="dxa"/>
            <w:tcBorders>
              <w:top w:val="single" w:color="auto" w:sz="6" w:space="0"/>
              <w:left w:val="single" w:color="auto" w:sz="6" w:space="0"/>
              <w:bottom w:val="single" w:color="auto" w:sz="6" w:space="0"/>
              <w:right w:val="double" w:color="auto" w:sz="2" w:space="0"/>
            </w:tcBorders>
            <w:vAlign w:val="center"/>
          </w:tcPr>
          <w:p w14:paraId="5CAC94C6">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保修期内两次修理仍不能正常使用的的必须更换新设备</w:t>
            </w:r>
          </w:p>
        </w:tc>
      </w:tr>
      <w:tr w14:paraId="7BA1F30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5C20622">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180BBD94">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43DB6C71">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迟延交货赔偿费</w:t>
            </w:r>
          </w:p>
        </w:tc>
        <w:tc>
          <w:tcPr>
            <w:tcW w:w="5761" w:type="dxa"/>
            <w:tcBorders>
              <w:top w:val="single" w:color="auto" w:sz="6" w:space="0"/>
              <w:left w:val="single" w:color="auto" w:sz="6" w:space="0"/>
              <w:bottom w:val="single" w:color="auto" w:sz="6" w:space="0"/>
              <w:right w:val="double" w:color="auto" w:sz="2" w:space="0"/>
            </w:tcBorders>
            <w:vAlign w:val="center"/>
          </w:tcPr>
          <w:p w14:paraId="35932F40">
            <w:pPr>
              <w:adjustRightInd w:val="0"/>
              <w:snapToGrid w:val="0"/>
              <w:spacing w:line="360" w:lineRule="auto"/>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lang w:bidi="ar"/>
              </w:rPr>
              <w:t>(1)乙方不能交货（逾期超过五天视为不能交货），或交货不合格从而影响甲方按期正常使用的，应向甲方偿付合同总价款5%的违约金，违约金不足以补偿损失的，甲方有权要求乙方补足。</w:t>
            </w:r>
          </w:p>
          <w:p w14:paraId="3D712C2D">
            <w:pPr>
              <w:adjustRightInd w:val="0"/>
              <w:snapToGrid w:val="0"/>
              <w:spacing w:line="360" w:lineRule="auto"/>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tc>
      </w:tr>
      <w:tr w14:paraId="5783C2B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76C3596">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6D8D6C25">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第15.3款</w:t>
            </w:r>
          </w:p>
        </w:tc>
        <w:tc>
          <w:tcPr>
            <w:tcW w:w="1742" w:type="dxa"/>
            <w:tcBorders>
              <w:top w:val="single" w:color="auto" w:sz="6" w:space="0"/>
              <w:left w:val="single" w:color="auto" w:sz="6" w:space="0"/>
              <w:bottom w:val="single" w:color="auto" w:sz="4" w:space="0"/>
              <w:right w:val="single" w:color="auto" w:sz="6" w:space="0"/>
            </w:tcBorders>
            <w:vAlign w:val="center"/>
          </w:tcPr>
          <w:p w14:paraId="17316B6B">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逾期付款利息</w:t>
            </w:r>
          </w:p>
        </w:tc>
        <w:tc>
          <w:tcPr>
            <w:tcW w:w="5761" w:type="dxa"/>
            <w:tcBorders>
              <w:top w:val="single" w:color="auto" w:sz="6" w:space="0"/>
              <w:left w:val="single" w:color="auto" w:sz="6" w:space="0"/>
              <w:bottom w:val="single" w:color="auto" w:sz="6" w:space="0"/>
              <w:right w:val="double" w:color="auto" w:sz="2" w:space="0"/>
            </w:tcBorders>
            <w:vAlign w:val="center"/>
          </w:tcPr>
          <w:p w14:paraId="2C88DE0B">
            <w:pPr>
              <w:adjustRightInd w:val="0"/>
              <w:snapToGrid w:val="0"/>
              <w:spacing w:line="360" w:lineRule="auto"/>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lang w:bidi="ar"/>
              </w:rPr>
              <w:t>/</w:t>
            </w:r>
          </w:p>
        </w:tc>
      </w:tr>
      <w:tr w14:paraId="03277AE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2" w:space="0"/>
              <w:bottom w:val="single" w:color="auto" w:sz="2" w:space="0"/>
              <w:right w:val="single" w:color="auto" w:sz="4" w:space="0"/>
            </w:tcBorders>
            <w:vAlign w:val="center"/>
          </w:tcPr>
          <w:p w14:paraId="78476E49">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00671E47">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第15.4款</w:t>
            </w:r>
          </w:p>
        </w:tc>
        <w:tc>
          <w:tcPr>
            <w:tcW w:w="1742" w:type="dxa"/>
            <w:tcBorders>
              <w:top w:val="single" w:color="auto" w:sz="4" w:space="0"/>
              <w:left w:val="single" w:color="auto" w:sz="4" w:space="0"/>
              <w:bottom w:val="single" w:color="auto" w:sz="2" w:space="0"/>
              <w:right w:val="single" w:color="auto" w:sz="4" w:space="0"/>
            </w:tcBorders>
            <w:vAlign w:val="center"/>
          </w:tcPr>
          <w:p w14:paraId="0B21845B">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其他违约责任</w:t>
            </w:r>
          </w:p>
        </w:tc>
        <w:tc>
          <w:tcPr>
            <w:tcW w:w="5761" w:type="dxa"/>
            <w:tcBorders>
              <w:top w:val="single" w:color="auto" w:sz="6" w:space="0"/>
              <w:left w:val="single" w:color="auto" w:sz="4" w:space="0"/>
              <w:bottom w:val="single" w:color="auto" w:sz="2" w:space="0"/>
              <w:right w:val="double" w:color="auto" w:sz="2" w:space="0"/>
            </w:tcBorders>
            <w:vAlign w:val="center"/>
          </w:tcPr>
          <w:p w14:paraId="200CFD85">
            <w:pPr>
              <w:adjustRightInd w:val="0"/>
              <w:snapToGrid w:val="0"/>
              <w:spacing w:line="360" w:lineRule="auto"/>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lang w:bidi="ar"/>
              </w:rPr>
              <w:t>合同一方不履行合同义务或者履行合同义务不符合约定的，应当承担继续履行、采取补救措施或者赔偿损失等违约责任。</w:t>
            </w:r>
          </w:p>
        </w:tc>
      </w:tr>
      <w:tr w14:paraId="0232B70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2" w:space="0"/>
              <w:bottom w:val="single" w:color="auto" w:sz="6" w:space="0"/>
              <w:right w:val="single" w:color="auto" w:sz="4" w:space="0"/>
            </w:tcBorders>
            <w:vAlign w:val="center"/>
          </w:tcPr>
          <w:p w14:paraId="326502E8">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7E2B7694">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第19.2款</w:t>
            </w:r>
          </w:p>
        </w:tc>
        <w:tc>
          <w:tcPr>
            <w:tcW w:w="1742" w:type="dxa"/>
            <w:tcBorders>
              <w:top w:val="single" w:color="auto" w:sz="2" w:space="0"/>
              <w:left w:val="single" w:color="auto" w:sz="4" w:space="0"/>
              <w:bottom w:val="single" w:color="auto" w:sz="4" w:space="0"/>
              <w:right w:val="single" w:color="auto" w:sz="4" w:space="0"/>
            </w:tcBorders>
            <w:vAlign w:val="center"/>
          </w:tcPr>
          <w:p w14:paraId="0DAC2252">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解决争议的方法</w:t>
            </w:r>
          </w:p>
        </w:tc>
        <w:tc>
          <w:tcPr>
            <w:tcW w:w="5761" w:type="dxa"/>
            <w:tcBorders>
              <w:top w:val="single" w:color="auto" w:sz="2" w:space="0"/>
              <w:left w:val="single" w:color="auto" w:sz="4" w:space="0"/>
              <w:bottom w:val="single" w:color="auto" w:sz="6" w:space="0"/>
              <w:right w:val="double" w:color="auto" w:sz="2" w:space="0"/>
            </w:tcBorders>
            <w:vAlign w:val="center"/>
          </w:tcPr>
          <w:p w14:paraId="3FFCA968">
            <w:pPr>
              <w:autoSpaceDE w:val="0"/>
              <w:autoSpaceDN w:val="0"/>
              <w:adjustRightInd w:val="0"/>
              <w:snapToGrid w:val="0"/>
              <w:spacing w:line="360" w:lineRule="auto"/>
              <w:jc w:val="left"/>
              <w:rPr>
                <w:rFonts w:hint="eastAsia" w:ascii="仿宋" w:hAnsi="仿宋" w:eastAsia="仿宋" w:cs="仿宋"/>
                <w:iCs/>
                <w:color w:val="auto"/>
                <w:sz w:val="24"/>
                <w:szCs w:val="24"/>
                <w:highlight w:val="none"/>
              </w:rPr>
            </w:pPr>
            <w:r>
              <w:rPr>
                <w:rFonts w:hint="eastAsia" w:ascii="仿宋" w:hAnsi="仿宋" w:eastAsia="仿宋" w:cs="仿宋"/>
                <w:iCs/>
                <w:color w:val="auto"/>
                <w:sz w:val="24"/>
                <w:szCs w:val="24"/>
                <w:highlight w:val="none"/>
                <w:lang w:bidi="ar"/>
              </w:rPr>
              <w:t>因本合同及合同有关事项发生的争议，按下列第</w:t>
            </w:r>
            <w:r>
              <w:rPr>
                <w:rFonts w:hint="eastAsia" w:ascii="仿宋" w:hAnsi="仿宋" w:eastAsia="仿宋" w:cs="仿宋"/>
                <w:iCs/>
                <w:color w:val="auto"/>
                <w:sz w:val="24"/>
                <w:szCs w:val="24"/>
                <w:highlight w:val="none"/>
                <w:u w:val="single"/>
                <w:lang w:bidi="ar"/>
              </w:rPr>
              <w:t xml:space="preserve"> （1） </w:t>
            </w:r>
            <w:r>
              <w:rPr>
                <w:rFonts w:hint="eastAsia" w:ascii="仿宋" w:hAnsi="仿宋" w:eastAsia="仿宋" w:cs="仿宋"/>
                <w:iCs/>
                <w:color w:val="auto"/>
                <w:sz w:val="24"/>
                <w:szCs w:val="24"/>
                <w:highlight w:val="none"/>
                <w:lang w:bidi="ar"/>
              </w:rPr>
              <w:t>种方式解决：</w:t>
            </w:r>
          </w:p>
          <w:p w14:paraId="493DDDEC">
            <w:pPr>
              <w:autoSpaceDE w:val="0"/>
              <w:autoSpaceDN w:val="0"/>
              <w:adjustRightInd w:val="0"/>
              <w:snapToGrid w:val="0"/>
              <w:spacing w:line="360" w:lineRule="auto"/>
              <w:jc w:val="left"/>
              <w:rPr>
                <w:rFonts w:hint="eastAsia" w:ascii="仿宋" w:hAnsi="仿宋" w:eastAsia="仿宋" w:cs="仿宋"/>
                <w:iCs/>
                <w:color w:val="auto"/>
                <w:sz w:val="24"/>
                <w:szCs w:val="24"/>
                <w:highlight w:val="none"/>
              </w:rPr>
            </w:pPr>
            <w:r>
              <w:rPr>
                <w:rFonts w:hint="eastAsia" w:ascii="仿宋" w:hAnsi="仿宋" w:eastAsia="仿宋" w:cs="仿宋"/>
                <w:iCs/>
                <w:color w:val="auto"/>
                <w:sz w:val="24"/>
                <w:szCs w:val="24"/>
                <w:highlight w:val="none"/>
                <w:lang w:bidi="ar"/>
              </w:rPr>
              <w:t>（1）向</w:t>
            </w:r>
            <w:r>
              <w:rPr>
                <w:rFonts w:hint="eastAsia" w:ascii="仿宋" w:hAnsi="仿宋" w:eastAsia="仿宋" w:cs="仿宋"/>
                <w:iCs/>
                <w:color w:val="auto"/>
                <w:sz w:val="24"/>
                <w:szCs w:val="24"/>
                <w:highlight w:val="none"/>
                <w:u w:val="single"/>
                <w:lang w:bidi="ar"/>
              </w:rPr>
              <w:t xml:space="preserve"> 滁州 </w:t>
            </w:r>
            <w:r>
              <w:rPr>
                <w:rFonts w:hint="eastAsia" w:ascii="仿宋" w:hAnsi="仿宋" w:eastAsia="仿宋" w:cs="仿宋"/>
                <w:iCs/>
                <w:color w:val="auto"/>
                <w:sz w:val="24"/>
                <w:szCs w:val="24"/>
                <w:highlight w:val="none"/>
                <w:lang w:bidi="ar"/>
              </w:rPr>
              <w:t>仲裁委员会申请仲裁，仲裁地点为</w:t>
            </w:r>
            <w:r>
              <w:rPr>
                <w:rFonts w:hint="eastAsia" w:ascii="仿宋" w:hAnsi="仿宋" w:eastAsia="仿宋" w:cs="仿宋"/>
                <w:iCs/>
                <w:color w:val="auto"/>
                <w:sz w:val="24"/>
                <w:szCs w:val="24"/>
                <w:highlight w:val="none"/>
                <w:u w:val="single"/>
                <w:lang w:bidi="ar"/>
              </w:rPr>
              <w:t xml:space="preserve">  滁州市 </w:t>
            </w:r>
            <w:r>
              <w:rPr>
                <w:rFonts w:hint="eastAsia" w:ascii="仿宋" w:hAnsi="仿宋" w:eastAsia="仿宋" w:cs="仿宋"/>
                <w:iCs/>
                <w:color w:val="auto"/>
                <w:sz w:val="24"/>
                <w:szCs w:val="24"/>
                <w:highlight w:val="none"/>
                <w:lang w:bidi="ar"/>
              </w:rPr>
              <w:t>；</w:t>
            </w:r>
          </w:p>
          <w:p w14:paraId="2A4B0CEC">
            <w:pPr>
              <w:adjustRightInd w:val="0"/>
              <w:snapToGrid w:val="0"/>
              <w:spacing w:line="360" w:lineRule="auto"/>
              <w:jc w:val="left"/>
              <w:rPr>
                <w:rFonts w:hint="eastAsia" w:ascii="仿宋" w:hAnsi="仿宋" w:eastAsia="仿宋" w:cs="仿宋"/>
                <w:color w:val="auto"/>
                <w:sz w:val="24"/>
                <w:szCs w:val="24"/>
                <w:highlight w:val="none"/>
                <w:u w:val="single"/>
              </w:rPr>
            </w:pPr>
            <w:r>
              <w:rPr>
                <w:rFonts w:hint="eastAsia" w:ascii="仿宋" w:hAnsi="仿宋" w:eastAsia="仿宋" w:cs="仿宋"/>
                <w:iCs/>
                <w:color w:val="auto"/>
                <w:sz w:val="24"/>
                <w:szCs w:val="24"/>
                <w:highlight w:val="none"/>
                <w:lang w:bidi="ar"/>
              </w:rPr>
              <w:t>（2）向</w:t>
            </w:r>
            <w:r>
              <w:rPr>
                <w:rFonts w:hint="eastAsia" w:ascii="仿宋" w:hAnsi="仿宋" w:eastAsia="仿宋" w:cs="仿宋"/>
                <w:iCs/>
                <w:color w:val="auto"/>
                <w:sz w:val="24"/>
                <w:szCs w:val="24"/>
                <w:highlight w:val="none"/>
                <w:u w:val="single"/>
                <w:lang w:bidi="ar"/>
              </w:rPr>
              <w:t xml:space="preserve">  项目所在地  </w:t>
            </w:r>
            <w:r>
              <w:rPr>
                <w:rFonts w:hint="eastAsia" w:ascii="仿宋" w:hAnsi="仿宋" w:eastAsia="仿宋" w:cs="仿宋"/>
                <w:iCs/>
                <w:color w:val="auto"/>
                <w:sz w:val="24"/>
                <w:szCs w:val="24"/>
                <w:highlight w:val="none"/>
                <w:lang w:bidi="ar"/>
              </w:rPr>
              <w:t>人民法院起诉。</w:t>
            </w:r>
          </w:p>
        </w:tc>
      </w:tr>
      <w:tr w14:paraId="14850E8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2" w:space="0"/>
              <w:bottom w:val="double" w:color="auto" w:sz="2" w:space="0"/>
              <w:right w:val="single" w:color="auto" w:sz="6" w:space="0"/>
            </w:tcBorders>
            <w:vAlign w:val="center"/>
          </w:tcPr>
          <w:p w14:paraId="1038F587">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第二节</w:t>
            </w:r>
          </w:p>
          <w:p w14:paraId="1A64FA63">
            <w:pPr>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第23.1款</w:t>
            </w:r>
          </w:p>
        </w:tc>
        <w:tc>
          <w:tcPr>
            <w:tcW w:w="1742" w:type="dxa"/>
            <w:tcBorders>
              <w:top w:val="single" w:color="auto" w:sz="4" w:space="0"/>
              <w:left w:val="single" w:color="auto" w:sz="6" w:space="0"/>
              <w:bottom w:val="double" w:color="auto" w:sz="2" w:space="0"/>
              <w:right w:val="single" w:color="auto" w:sz="6" w:space="0"/>
            </w:tcBorders>
            <w:vAlign w:val="center"/>
          </w:tcPr>
          <w:p w14:paraId="2E547492">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lang w:bidi="ar"/>
              </w:rPr>
              <w:t>其他专用条款</w:t>
            </w:r>
          </w:p>
        </w:tc>
        <w:tc>
          <w:tcPr>
            <w:tcW w:w="5761" w:type="dxa"/>
            <w:tcBorders>
              <w:top w:val="single" w:color="auto" w:sz="6" w:space="0"/>
              <w:left w:val="single" w:color="auto" w:sz="6" w:space="0"/>
              <w:bottom w:val="double" w:color="auto" w:sz="2" w:space="0"/>
              <w:right w:val="double" w:color="auto" w:sz="2" w:space="0"/>
            </w:tcBorders>
            <w:vAlign w:val="center"/>
          </w:tcPr>
          <w:p w14:paraId="672C6248">
            <w:pPr>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bidi="ar"/>
              </w:rPr>
              <w:t>本合同未尽事宜应按《中华人民共和国政府采购法》、《中华人民共和国民法典》、《中华人民共和国产品质量法》之规定解释或签订合同时补充</w:t>
            </w:r>
          </w:p>
        </w:tc>
      </w:tr>
    </w:tbl>
    <w:p w14:paraId="05899B87">
      <w:pPr>
        <w:pStyle w:val="13"/>
        <w:ind w:left="1260"/>
        <w:rPr>
          <w:rFonts w:hint="eastAsia" w:ascii="仿宋" w:hAnsi="仿宋" w:eastAsia="仿宋" w:cs="仿宋"/>
          <w:color w:val="auto"/>
          <w:highlight w:val="none"/>
        </w:rPr>
      </w:pPr>
    </w:p>
    <w:p w14:paraId="4B6F678E">
      <w:pPr>
        <w:widowControl/>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5749A5BD">
      <w:pPr>
        <w:spacing w:line="360" w:lineRule="auto"/>
        <w:jc w:val="center"/>
        <w:outlineLvl w:val="0"/>
        <w:rPr>
          <w:rFonts w:hint="eastAsia" w:ascii="仿宋" w:hAnsi="仿宋" w:eastAsia="仿宋" w:cs="仿宋"/>
          <w:b/>
          <w:color w:val="auto"/>
          <w:sz w:val="28"/>
          <w:highlight w:val="none"/>
        </w:rPr>
      </w:pPr>
      <w:bookmarkStart w:id="47" w:name="_Toc12152"/>
      <w:r>
        <w:rPr>
          <w:rFonts w:hint="eastAsia" w:ascii="仿宋" w:hAnsi="仿宋" w:eastAsia="仿宋" w:cs="仿宋"/>
          <w:b/>
          <w:color w:val="auto"/>
          <w:sz w:val="28"/>
          <w:highlight w:val="none"/>
        </w:rPr>
        <w:t>第六章  投标文件格式</w:t>
      </w:r>
      <w:bookmarkEnd w:id="47"/>
    </w:p>
    <w:p w14:paraId="5E2D97D7">
      <w:pPr>
        <w:spacing w:line="900" w:lineRule="exact"/>
        <w:jc w:val="center"/>
        <w:rPr>
          <w:rFonts w:hint="eastAsia" w:ascii="仿宋" w:hAnsi="仿宋" w:eastAsia="仿宋" w:cs="仿宋"/>
          <w:b/>
          <w:color w:val="auto"/>
          <w:sz w:val="72"/>
          <w:highlight w:val="none"/>
        </w:rPr>
      </w:pPr>
    </w:p>
    <w:p w14:paraId="02AE9BEC">
      <w:pPr>
        <w:spacing w:line="900" w:lineRule="exact"/>
        <w:jc w:val="center"/>
        <w:outlineLvl w:val="1"/>
        <w:rPr>
          <w:rFonts w:hint="eastAsia" w:ascii="仿宋" w:hAnsi="仿宋" w:eastAsia="仿宋" w:cs="仿宋"/>
          <w:b/>
          <w:color w:val="auto"/>
          <w:sz w:val="72"/>
          <w:highlight w:val="none"/>
        </w:rPr>
      </w:pPr>
      <w:bookmarkStart w:id="48" w:name="_Toc651"/>
      <w:bookmarkStart w:id="49" w:name="_Toc7628"/>
      <w:r>
        <w:rPr>
          <w:rFonts w:hint="eastAsia" w:ascii="仿宋" w:hAnsi="仿宋" w:eastAsia="仿宋" w:cs="仿宋"/>
          <w:b/>
          <w:color w:val="auto"/>
          <w:sz w:val="72"/>
          <w:highlight w:val="none"/>
        </w:rPr>
        <w:t>投</w:t>
      </w:r>
      <w:bookmarkEnd w:id="48"/>
      <w:bookmarkEnd w:id="49"/>
    </w:p>
    <w:p w14:paraId="267BFE77">
      <w:pPr>
        <w:spacing w:line="900" w:lineRule="exact"/>
        <w:jc w:val="center"/>
        <w:rPr>
          <w:rFonts w:hint="eastAsia" w:ascii="仿宋" w:hAnsi="仿宋" w:eastAsia="仿宋" w:cs="仿宋"/>
          <w:b/>
          <w:color w:val="auto"/>
          <w:sz w:val="72"/>
          <w:highlight w:val="none"/>
        </w:rPr>
      </w:pPr>
    </w:p>
    <w:p w14:paraId="134F2D13">
      <w:pPr>
        <w:spacing w:line="900" w:lineRule="exact"/>
        <w:jc w:val="center"/>
        <w:outlineLvl w:val="1"/>
        <w:rPr>
          <w:rFonts w:hint="eastAsia" w:ascii="仿宋" w:hAnsi="仿宋" w:eastAsia="仿宋" w:cs="仿宋"/>
          <w:b/>
          <w:color w:val="auto"/>
          <w:sz w:val="72"/>
          <w:highlight w:val="none"/>
        </w:rPr>
      </w:pPr>
      <w:bookmarkStart w:id="50" w:name="_Toc29027"/>
      <w:bookmarkStart w:id="51" w:name="_Toc6148"/>
      <w:r>
        <w:rPr>
          <w:rFonts w:hint="eastAsia" w:ascii="仿宋" w:hAnsi="仿宋" w:eastAsia="仿宋" w:cs="仿宋"/>
          <w:b/>
          <w:color w:val="auto"/>
          <w:sz w:val="72"/>
          <w:highlight w:val="none"/>
        </w:rPr>
        <w:t>标</w:t>
      </w:r>
      <w:bookmarkEnd w:id="50"/>
      <w:bookmarkEnd w:id="51"/>
    </w:p>
    <w:p w14:paraId="06E73C21">
      <w:pPr>
        <w:spacing w:line="900" w:lineRule="exact"/>
        <w:jc w:val="center"/>
        <w:rPr>
          <w:rFonts w:hint="eastAsia" w:ascii="仿宋" w:hAnsi="仿宋" w:eastAsia="仿宋" w:cs="仿宋"/>
          <w:b/>
          <w:color w:val="auto"/>
          <w:sz w:val="72"/>
          <w:highlight w:val="none"/>
        </w:rPr>
      </w:pPr>
    </w:p>
    <w:p w14:paraId="0BA146F2">
      <w:pPr>
        <w:spacing w:line="900" w:lineRule="exact"/>
        <w:jc w:val="center"/>
        <w:outlineLvl w:val="1"/>
        <w:rPr>
          <w:rFonts w:hint="eastAsia" w:ascii="仿宋" w:hAnsi="仿宋" w:eastAsia="仿宋" w:cs="仿宋"/>
          <w:b/>
          <w:color w:val="auto"/>
          <w:sz w:val="72"/>
          <w:highlight w:val="none"/>
        </w:rPr>
      </w:pPr>
      <w:bookmarkStart w:id="52" w:name="_Toc17303"/>
      <w:bookmarkStart w:id="53" w:name="_Toc1338"/>
      <w:r>
        <w:rPr>
          <w:rFonts w:hint="eastAsia" w:ascii="仿宋" w:hAnsi="仿宋" w:eastAsia="仿宋" w:cs="仿宋"/>
          <w:b/>
          <w:color w:val="auto"/>
          <w:sz w:val="72"/>
          <w:highlight w:val="none"/>
        </w:rPr>
        <w:t>文</w:t>
      </w:r>
      <w:bookmarkEnd w:id="52"/>
      <w:bookmarkEnd w:id="53"/>
    </w:p>
    <w:p w14:paraId="2CC4805C">
      <w:pPr>
        <w:spacing w:line="900" w:lineRule="exact"/>
        <w:jc w:val="center"/>
        <w:rPr>
          <w:rFonts w:hint="eastAsia" w:ascii="仿宋" w:hAnsi="仿宋" w:eastAsia="仿宋" w:cs="仿宋"/>
          <w:b/>
          <w:color w:val="auto"/>
          <w:sz w:val="72"/>
          <w:highlight w:val="none"/>
        </w:rPr>
      </w:pPr>
    </w:p>
    <w:p w14:paraId="05A4D932">
      <w:pPr>
        <w:jc w:val="center"/>
        <w:outlineLvl w:val="1"/>
        <w:rPr>
          <w:rFonts w:hint="eastAsia" w:ascii="仿宋" w:hAnsi="仿宋" w:eastAsia="仿宋" w:cs="仿宋"/>
          <w:b/>
          <w:color w:val="auto"/>
          <w:sz w:val="72"/>
          <w:highlight w:val="none"/>
        </w:rPr>
      </w:pPr>
      <w:bookmarkStart w:id="54" w:name="_Toc10796"/>
      <w:bookmarkStart w:id="55" w:name="_Toc11266"/>
      <w:r>
        <w:rPr>
          <w:rFonts w:hint="eastAsia" w:ascii="仿宋" w:hAnsi="仿宋" w:eastAsia="仿宋" w:cs="仿宋"/>
          <w:b/>
          <w:color w:val="auto"/>
          <w:sz w:val="72"/>
          <w:highlight w:val="none"/>
        </w:rPr>
        <w:t>件</w:t>
      </w:r>
      <w:bookmarkEnd w:id="54"/>
      <w:bookmarkEnd w:id="55"/>
    </w:p>
    <w:p w14:paraId="4D4D81DB">
      <w:pPr>
        <w:spacing w:after="156" w:afterLines="50"/>
        <w:jc w:val="center"/>
        <w:rPr>
          <w:rFonts w:hint="eastAsia" w:ascii="仿宋" w:hAnsi="仿宋" w:eastAsia="仿宋" w:cs="仿宋"/>
          <w:b/>
          <w:color w:val="auto"/>
          <w:sz w:val="72"/>
          <w:highlight w:val="none"/>
        </w:rPr>
      </w:pPr>
    </w:p>
    <w:p w14:paraId="367A1838">
      <w:pPr>
        <w:spacing w:before="156" w:beforeLines="50" w:after="156" w:afterLines="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 </w:t>
      </w:r>
    </w:p>
    <w:p w14:paraId="278D8633">
      <w:pPr>
        <w:spacing w:after="156" w:afterLines="50" w:line="500" w:lineRule="exact"/>
        <w:jc w:val="center"/>
        <w:rPr>
          <w:rFonts w:hint="eastAsia" w:ascii="仿宋" w:hAnsi="仿宋" w:eastAsia="仿宋" w:cs="仿宋"/>
          <w:b/>
          <w:color w:val="auto"/>
          <w:sz w:val="28"/>
          <w:szCs w:val="28"/>
          <w:highlight w:val="none"/>
        </w:rPr>
      </w:pPr>
    </w:p>
    <w:p w14:paraId="4924CD18">
      <w:pPr>
        <w:tabs>
          <w:tab w:val="left" w:pos="2410"/>
        </w:tabs>
        <w:autoSpaceDE w:val="0"/>
        <w:autoSpaceDN w:val="0"/>
        <w:adjustRightInd w:val="0"/>
        <w:snapToGrid w:val="0"/>
        <w:spacing w:line="360" w:lineRule="auto"/>
        <w:ind w:firstLine="643" w:firstLineChars="200"/>
        <w:rPr>
          <w:rFonts w:hint="eastAsia" w:ascii="仿宋" w:hAnsi="仿宋" w:eastAsia="仿宋" w:cs="仿宋"/>
          <w:b/>
          <w:color w:val="auto"/>
          <w:spacing w:val="20"/>
          <w:kern w:val="0"/>
          <w:sz w:val="32"/>
          <w:szCs w:val="32"/>
          <w:highlight w:val="none"/>
        </w:rPr>
      </w:pPr>
      <w:r>
        <w:rPr>
          <w:rFonts w:hint="eastAsia" w:ascii="仿宋" w:hAnsi="仿宋" w:eastAsia="仿宋" w:cs="仿宋"/>
          <w:b/>
          <w:color w:val="auto"/>
          <w:sz w:val="32"/>
          <w:highlight w:val="none"/>
        </w:rPr>
        <w:t>项目名称：</w:t>
      </w:r>
      <w:r>
        <w:rPr>
          <w:rFonts w:hint="eastAsia" w:ascii="仿宋" w:hAnsi="仿宋" w:eastAsia="仿宋" w:cs="仿宋"/>
          <w:b/>
          <w:color w:val="auto"/>
          <w:sz w:val="32"/>
          <w:highlight w:val="none"/>
          <w:u w:val="single"/>
        </w:rPr>
        <w:t xml:space="preserve">                  </w:t>
      </w:r>
    </w:p>
    <w:p w14:paraId="09C367CF">
      <w:pPr>
        <w:tabs>
          <w:tab w:val="left" w:pos="2410"/>
        </w:tabs>
        <w:autoSpaceDE w:val="0"/>
        <w:autoSpaceDN w:val="0"/>
        <w:adjustRightInd w:val="0"/>
        <w:snapToGrid w:val="0"/>
        <w:spacing w:line="360" w:lineRule="auto"/>
        <w:ind w:firstLine="643" w:firstLineChars="200"/>
        <w:rPr>
          <w:rFonts w:hint="eastAsia" w:ascii="仿宋" w:hAnsi="仿宋" w:eastAsia="仿宋" w:cs="仿宋"/>
          <w:b/>
          <w:color w:val="auto"/>
          <w:sz w:val="32"/>
          <w:highlight w:val="none"/>
          <w:u w:val="single"/>
        </w:rPr>
      </w:pPr>
      <w:r>
        <w:rPr>
          <w:rFonts w:hint="eastAsia" w:ascii="仿宋" w:hAnsi="仿宋" w:eastAsia="仿宋" w:cs="仿宋"/>
          <w:b/>
          <w:color w:val="auto"/>
          <w:sz w:val="32"/>
          <w:highlight w:val="none"/>
        </w:rPr>
        <w:t>项目编号：</w:t>
      </w:r>
      <w:r>
        <w:rPr>
          <w:rFonts w:hint="eastAsia" w:ascii="仿宋" w:hAnsi="仿宋" w:eastAsia="仿宋" w:cs="仿宋"/>
          <w:b/>
          <w:color w:val="auto"/>
          <w:sz w:val="32"/>
          <w:highlight w:val="none"/>
          <w:u w:val="single"/>
        </w:rPr>
        <w:t xml:space="preserve">                  </w:t>
      </w:r>
    </w:p>
    <w:p w14:paraId="10735B97">
      <w:pPr>
        <w:tabs>
          <w:tab w:val="left" w:pos="2410"/>
        </w:tabs>
        <w:autoSpaceDE w:val="0"/>
        <w:autoSpaceDN w:val="0"/>
        <w:adjustRightInd w:val="0"/>
        <w:snapToGrid w:val="0"/>
        <w:spacing w:line="360" w:lineRule="auto"/>
        <w:ind w:firstLine="643" w:firstLineChars="200"/>
        <w:rPr>
          <w:rFonts w:hint="eastAsia" w:ascii="仿宋" w:hAnsi="仿宋" w:eastAsia="仿宋" w:cs="仿宋"/>
          <w:b/>
          <w:color w:val="auto"/>
          <w:sz w:val="32"/>
          <w:highlight w:val="none"/>
          <w:u w:val="single"/>
        </w:rPr>
      </w:pPr>
      <w:r>
        <w:rPr>
          <w:rFonts w:hint="eastAsia" w:ascii="仿宋" w:hAnsi="仿宋" w:eastAsia="仿宋" w:cs="仿宋"/>
          <w:b/>
          <w:color w:val="auto"/>
          <w:sz w:val="32"/>
          <w:highlight w:val="none"/>
        </w:rPr>
        <w:t>投 标 人：</w:t>
      </w:r>
      <w:r>
        <w:rPr>
          <w:rFonts w:hint="eastAsia" w:ascii="仿宋" w:hAnsi="仿宋" w:eastAsia="仿宋" w:cs="仿宋"/>
          <w:b/>
          <w:color w:val="auto"/>
          <w:sz w:val="32"/>
          <w:highlight w:val="none"/>
          <w:u w:val="single"/>
        </w:rPr>
        <w:t xml:space="preserve">                  </w:t>
      </w:r>
    </w:p>
    <w:p w14:paraId="474CA35F">
      <w:pPr>
        <w:spacing w:after="156" w:afterLines="50" w:line="500" w:lineRule="exact"/>
        <w:jc w:val="center"/>
        <w:outlineLvl w:val="1"/>
        <w:rPr>
          <w:rFonts w:hint="eastAsia" w:ascii="仿宋" w:hAnsi="仿宋" w:eastAsia="仿宋" w:cs="仿宋"/>
          <w:b/>
          <w:color w:val="auto"/>
          <w:sz w:val="32"/>
          <w:highlight w:val="none"/>
        </w:rPr>
      </w:pPr>
      <w:r>
        <w:rPr>
          <w:rFonts w:hint="eastAsia" w:ascii="仿宋" w:hAnsi="仿宋" w:eastAsia="仿宋" w:cs="仿宋"/>
          <w:b/>
          <w:color w:val="auto"/>
          <w:sz w:val="32"/>
          <w:highlight w:val="none"/>
          <w:u w:val="single"/>
        </w:rPr>
        <w:t xml:space="preserve">  </w:t>
      </w:r>
      <w:bookmarkStart w:id="56" w:name="_Toc8037"/>
      <w:bookmarkStart w:id="57" w:name="_Toc9994"/>
      <w:bookmarkStart w:id="58" w:name="_Toc17375"/>
      <w:r>
        <w:rPr>
          <w:rFonts w:hint="eastAsia" w:ascii="仿宋" w:hAnsi="仿宋" w:eastAsia="仿宋" w:cs="仿宋"/>
          <w:b/>
          <w:color w:val="auto"/>
          <w:sz w:val="32"/>
          <w:highlight w:val="none"/>
        </w:rPr>
        <w:t>年</w:t>
      </w:r>
      <w:r>
        <w:rPr>
          <w:rFonts w:hint="eastAsia" w:ascii="仿宋" w:hAnsi="仿宋" w:eastAsia="仿宋" w:cs="仿宋"/>
          <w:b/>
          <w:color w:val="auto"/>
          <w:sz w:val="32"/>
          <w:highlight w:val="none"/>
          <w:u w:val="single"/>
        </w:rPr>
        <w:t xml:space="preserve">  </w:t>
      </w:r>
      <w:r>
        <w:rPr>
          <w:rFonts w:hint="eastAsia" w:ascii="仿宋" w:hAnsi="仿宋" w:eastAsia="仿宋" w:cs="仿宋"/>
          <w:b/>
          <w:color w:val="auto"/>
          <w:sz w:val="32"/>
          <w:highlight w:val="none"/>
        </w:rPr>
        <w:t>月</w:t>
      </w:r>
      <w:r>
        <w:rPr>
          <w:rFonts w:hint="eastAsia" w:ascii="仿宋" w:hAnsi="仿宋" w:eastAsia="仿宋" w:cs="仿宋"/>
          <w:b/>
          <w:color w:val="auto"/>
          <w:sz w:val="32"/>
          <w:highlight w:val="none"/>
          <w:u w:val="single"/>
        </w:rPr>
        <w:t xml:space="preserve">  </w:t>
      </w:r>
      <w:r>
        <w:rPr>
          <w:rFonts w:hint="eastAsia" w:ascii="仿宋" w:hAnsi="仿宋" w:eastAsia="仿宋" w:cs="仿宋"/>
          <w:b/>
          <w:color w:val="auto"/>
          <w:sz w:val="32"/>
          <w:highlight w:val="none"/>
        </w:rPr>
        <w:t>日</w:t>
      </w:r>
      <w:bookmarkEnd w:id="56"/>
      <w:bookmarkEnd w:id="57"/>
      <w:bookmarkEnd w:id="58"/>
    </w:p>
    <w:p w14:paraId="2FDA9A7A">
      <w:pPr>
        <w:widowControl/>
        <w:jc w:val="left"/>
        <w:rPr>
          <w:rFonts w:hint="eastAsia" w:ascii="仿宋" w:hAnsi="仿宋" w:eastAsia="仿宋" w:cs="仿宋"/>
          <w:b/>
          <w:color w:val="auto"/>
          <w:sz w:val="28"/>
          <w:highlight w:val="none"/>
        </w:rPr>
      </w:pPr>
      <w:r>
        <w:rPr>
          <w:rFonts w:hint="eastAsia" w:ascii="仿宋" w:hAnsi="仿宋" w:eastAsia="仿宋" w:cs="仿宋"/>
          <w:b/>
          <w:color w:val="auto"/>
          <w:sz w:val="28"/>
          <w:highlight w:val="none"/>
        </w:rPr>
        <w:br w:type="page"/>
      </w:r>
    </w:p>
    <w:p w14:paraId="7E5035ED">
      <w:pPr>
        <w:spacing w:line="360" w:lineRule="auto"/>
        <w:jc w:val="center"/>
        <w:outlineLvl w:val="1"/>
        <w:rPr>
          <w:rFonts w:hint="eastAsia" w:ascii="仿宋" w:hAnsi="仿宋" w:eastAsia="仿宋" w:cs="仿宋"/>
          <w:b/>
          <w:color w:val="auto"/>
          <w:sz w:val="24"/>
          <w:highlight w:val="none"/>
        </w:rPr>
      </w:pPr>
      <w:bookmarkStart w:id="59" w:name="_Toc28960"/>
      <w:bookmarkStart w:id="60" w:name="_Toc5555"/>
      <w:bookmarkStart w:id="61" w:name="_Toc32348"/>
      <w:r>
        <w:rPr>
          <w:rFonts w:hint="eastAsia" w:ascii="仿宋" w:hAnsi="仿宋" w:eastAsia="仿宋" w:cs="仿宋"/>
          <w:b/>
          <w:color w:val="auto"/>
          <w:sz w:val="24"/>
          <w:highlight w:val="none"/>
        </w:rPr>
        <w:t>一、开标一览表</w:t>
      </w:r>
      <w:bookmarkEnd w:id="59"/>
      <w:bookmarkEnd w:id="60"/>
      <w:bookmarkEnd w:id="61"/>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1"/>
        <w:gridCol w:w="6777"/>
      </w:tblGrid>
      <w:tr w14:paraId="735F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361264A0">
            <w:pPr>
              <w:widowControl/>
              <w:spacing w:line="36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3D07CAC4">
            <w:pPr>
              <w:spacing w:line="360" w:lineRule="exact"/>
              <w:jc w:val="center"/>
              <w:rPr>
                <w:rFonts w:hint="eastAsia" w:ascii="仿宋" w:hAnsi="仿宋" w:eastAsia="仿宋" w:cs="仿宋"/>
                <w:bCs/>
                <w:color w:val="auto"/>
                <w:sz w:val="24"/>
                <w:highlight w:val="none"/>
                <w:u w:val="single"/>
              </w:rPr>
            </w:pPr>
          </w:p>
        </w:tc>
      </w:tr>
      <w:tr w14:paraId="448A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48BF577F">
            <w:pPr>
              <w:spacing w:line="36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投标人全称</w:t>
            </w:r>
          </w:p>
        </w:tc>
        <w:tc>
          <w:tcPr>
            <w:tcW w:w="3648" w:type="pct"/>
            <w:tcBorders>
              <w:top w:val="nil"/>
            </w:tcBorders>
            <w:vAlign w:val="center"/>
          </w:tcPr>
          <w:p w14:paraId="4BD18E00">
            <w:pPr>
              <w:spacing w:line="360" w:lineRule="auto"/>
              <w:rPr>
                <w:rFonts w:hint="eastAsia" w:ascii="仿宋" w:hAnsi="仿宋" w:eastAsia="仿宋" w:cs="仿宋"/>
                <w:color w:val="auto"/>
                <w:sz w:val="24"/>
                <w:highlight w:val="none"/>
              </w:rPr>
            </w:pPr>
          </w:p>
        </w:tc>
      </w:tr>
      <w:tr w14:paraId="40A7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8A8E0DD">
            <w:pPr>
              <w:spacing w:line="36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投标范围</w:t>
            </w:r>
          </w:p>
        </w:tc>
        <w:tc>
          <w:tcPr>
            <w:tcW w:w="3648" w:type="pct"/>
            <w:tcBorders>
              <w:top w:val="nil"/>
            </w:tcBorders>
            <w:vAlign w:val="center"/>
          </w:tcPr>
          <w:p w14:paraId="3484B2BD">
            <w:pPr>
              <w:widowControl/>
              <w:spacing w:line="360" w:lineRule="auto"/>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 xml:space="preserve">全部 </w:t>
            </w:r>
          </w:p>
        </w:tc>
      </w:tr>
      <w:tr w14:paraId="6C99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7D83CB4B">
            <w:pPr>
              <w:spacing w:line="36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w:t>
            </w:r>
          </w:p>
        </w:tc>
        <w:tc>
          <w:tcPr>
            <w:tcW w:w="3648" w:type="pct"/>
            <w:tcBorders>
              <w:top w:val="nil"/>
            </w:tcBorders>
            <w:vAlign w:val="center"/>
          </w:tcPr>
          <w:p w14:paraId="6278C729">
            <w:pPr>
              <w:snapToGrid w:val="0"/>
              <w:spacing w:line="360" w:lineRule="auto"/>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大写：</w:t>
            </w:r>
            <w:r>
              <w:rPr>
                <w:rFonts w:hint="eastAsia" w:ascii="仿宋" w:hAnsi="仿宋" w:eastAsia="仿宋" w:cs="仿宋"/>
                <w:bCs/>
                <w:color w:val="auto"/>
                <w:sz w:val="24"/>
                <w:szCs w:val="24"/>
                <w:highlight w:val="none"/>
                <w:u w:val="single"/>
              </w:rPr>
              <w:t xml:space="preserve">                     </w:t>
            </w:r>
          </w:p>
          <w:p w14:paraId="41BAB1E9">
            <w:pPr>
              <w:spacing w:line="360" w:lineRule="auto"/>
              <w:ind w:right="-670"/>
              <w:rPr>
                <w:rFonts w:hint="eastAsia" w:ascii="仿宋" w:hAnsi="仿宋" w:eastAsia="仿宋" w:cs="仿宋"/>
                <w:color w:val="auto"/>
                <w:sz w:val="24"/>
                <w:highlight w:val="none"/>
              </w:rPr>
            </w:pPr>
            <w:r>
              <w:rPr>
                <w:rFonts w:hint="eastAsia" w:ascii="仿宋" w:hAnsi="仿宋" w:eastAsia="仿宋" w:cs="仿宋"/>
                <w:bCs/>
                <w:color w:val="auto"/>
                <w:sz w:val="24"/>
                <w:szCs w:val="24"/>
                <w:highlight w:val="none"/>
              </w:rPr>
              <w:t>小写：</w:t>
            </w:r>
            <w:r>
              <w:rPr>
                <w:rFonts w:hint="eastAsia" w:ascii="仿宋" w:hAnsi="仿宋" w:eastAsia="仿宋" w:cs="仿宋"/>
                <w:bCs/>
                <w:color w:val="auto"/>
                <w:sz w:val="24"/>
                <w:szCs w:val="24"/>
                <w:highlight w:val="none"/>
                <w:u w:val="single"/>
              </w:rPr>
              <w:t xml:space="preserve">                     </w:t>
            </w:r>
          </w:p>
        </w:tc>
      </w:tr>
      <w:tr w14:paraId="4120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376F4A1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其他</w:t>
            </w:r>
          </w:p>
        </w:tc>
        <w:tc>
          <w:tcPr>
            <w:tcW w:w="3648" w:type="pct"/>
            <w:tcBorders>
              <w:top w:val="nil"/>
            </w:tcBorders>
            <w:vAlign w:val="center"/>
          </w:tcPr>
          <w:p w14:paraId="471CF522">
            <w:pPr>
              <w:spacing w:line="360" w:lineRule="auto"/>
              <w:jc w:val="left"/>
              <w:rPr>
                <w:rFonts w:hint="eastAsia" w:ascii="仿宋" w:hAnsi="仿宋" w:eastAsia="仿宋" w:cs="仿宋"/>
                <w:color w:val="auto"/>
                <w:sz w:val="24"/>
                <w:szCs w:val="28"/>
                <w:highlight w:val="none"/>
              </w:rPr>
            </w:pPr>
          </w:p>
        </w:tc>
      </w:tr>
    </w:tbl>
    <w:p w14:paraId="771D7E5D">
      <w:pPr>
        <w:spacing w:line="360" w:lineRule="auto"/>
        <w:ind w:firstLine="4320" w:firstLineChars="1800"/>
        <w:jc w:val="center"/>
        <w:rPr>
          <w:rFonts w:hint="eastAsia" w:ascii="仿宋" w:hAnsi="仿宋" w:eastAsia="仿宋" w:cs="仿宋"/>
          <w:bCs/>
          <w:color w:val="auto"/>
          <w:sz w:val="24"/>
          <w:highlight w:val="none"/>
          <w:u w:val="single"/>
        </w:rPr>
      </w:pPr>
      <w:r>
        <w:rPr>
          <w:rFonts w:hint="eastAsia" w:ascii="仿宋" w:hAnsi="仿宋" w:eastAsia="仿宋" w:cs="仿宋"/>
          <w:bCs/>
          <w:color w:val="auto"/>
          <w:sz w:val="24"/>
          <w:highlight w:val="none"/>
        </w:rPr>
        <w:t>投标人电子签章：</w:t>
      </w:r>
      <w:r>
        <w:rPr>
          <w:rFonts w:hint="eastAsia" w:ascii="仿宋" w:hAnsi="仿宋" w:eastAsia="仿宋" w:cs="仿宋"/>
          <w:bCs/>
          <w:color w:val="auto"/>
          <w:sz w:val="24"/>
          <w:highlight w:val="none"/>
          <w:u w:val="single"/>
        </w:rPr>
        <w:t xml:space="preserve">             </w:t>
      </w:r>
    </w:p>
    <w:p w14:paraId="5F616BD8">
      <w:pPr>
        <w:spacing w:line="360" w:lineRule="auto"/>
        <w:ind w:firstLine="4320" w:firstLineChars="1800"/>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日          期：</w:t>
      </w:r>
      <w:r>
        <w:rPr>
          <w:rFonts w:hint="eastAsia" w:ascii="仿宋" w:hAnsi="仿宋" w:eastAsia="仿宋" w:cs="仿宋"/>
          <w:bCs/>
          <w:color w:val="auto"/>
          <w:sz w:val="24"/>
          <w:highlight w:val="none"/>
          <w:u w:val="single"/>
        </w:rPr>
        <w:t xml:space="preserve">             </w:t>
      </w:r>
    </w:p>
    <w:p w14:paraId="6505FDB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1474E0EE">
      <w:pPr>
        <w:spacing w:line="360" w:lineRule="auto"/>
        <w:ind w:firstLine="360" w:firstLineChars="150"/>
        <w:rPr>
          <w:rFonts w:hint="eastAsia" w:ascii="仿宋" w:hAnsi="仿宋" w:eastAsia="仿宋" w:cs="仿宋"/>
          <w:color w:val="auto"/>
          <w:sz w:val="24"/>
          <w:highlight w:val="none"/>
        </w:rPr>
      </w:pPr>
    </w:p>
    <w:p w14:paraId="5EA16117">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w:t>
      </w:r>
    </w:p>
    <w:p w14:paraId="2F064FF0">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1.此表用于开标唱标之用。</w:t>
      </w:r>
    </w:p>
    <w:p w14:paraId="32564024">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2.表中投标报价即为优惠后报价，并作为评审及定标依据。任何有选择或有条件的投标报价，或者表中某一包别填写多个报价，均为无效报价。</w:t>
      </w:r>
    </w:p>
    <w:p w14:paraId="34CDD49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3.表中大写金额与小写金额不一致的，以大写金额为准。</w:t>
      </w:r>
      <w:r>
        <w:rPr>
          <w:rFonts w:hint="eastAsia" w:ascii="仿宋" w:hAnsi="仿宋" w:eastAsia="仿宋" w:cs="仿宋"/>
          <w:color w:val="auto"/>
          <w:sz w:val="24"/>
          <w:highlight w:val="none"/>
        </w:rPr>
        <w:br w:type="page"/>
      </w:r>
    </w:p>
    <w:p w14:paraId="46E71361">
      <w:pPr>
        <w:spacing w:line="360" w:lineRule="auto"/>
        <w:jc w:val="center"/>
        <w:outlineLvl w:val="1"/>
        <w:rPr>
          <w:rFonts w:hint="eastAsia" w:ascii="仿宋" w:hAnsi="仿宋" w:eastAsia="仿宋" w:cs="仿宋"/>
          <w:b/>
          <w:color w:val="auto"/>
          <w:sz w:val="24"/>
          <w:highlight w:val="none"/>
        </w:rPr>
      </w:pPr>
      <w:bookmarkStart w:id="62" w:name="_Toc6441"/>
      <w:bookmarkStart w:id="63" w:name="_Toc18010"/>
      <w:bookmarkStart w:id="64" w:name="_Toc10330"/>
      <w:r>
        <w:rPr>
          <w:rFonts w:hint="eastAsia" w:ascii="仿宋" w:hAnsi="仿宋" w:eastAsia="仿宋" w:cs="仿宋"/>
          <w:b/>
          <w:color w:val="auto"/>
          <w:sz w:val="24"/>
          <w:highlight w:val="none"/>
        </w:rPr>
        <w:t>二、投标函</w:t>
      </w:r>
      <w:bookmarkEnd w:id="62"/>
      <w:bookmarkEnd w:id="63"/>
      <w:bookmarkEnd w:id="64"/>
    </w:p>
    <w:p w14:paraId="203DB2CA">
      <w:pPr>
        <w:pStyle w:val="16"/>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采购人</w:t>
      </w:r>
    </w:p>
    <w:p w14:paraId="4CC0101D">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根据贵方的招标公告和投标邀请，我方兹宣布同意如下：</w:t>
      </w:r>
    </w:p>
    <w:p w14:paraId="254EF99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szCs w:val="24"/>
          <w:highlight w:val="none"/>
        </w:rPr>
        <w:t>我方根据招标文件的规定，严格履行合同的责任和义务,并保证于买方要求的日期内完成，并通过买方验收。</w:t>
      </w:r>
    </w:p>
    <w:p w14:paraId="5E7C0EBA">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2.我方已详细审核全部招标文件，包括招标文件附件及更正公告（如有），我方正式认可并遵守本次招标文件，并对招标文件各项条款、规定及要求均无异议。</w:t>
      </w:r>
    </w:p>
    <w:p w14:paraId="47AAB380">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3.我方同意从招标文件规定的开标日期起遵循本招标文件，并在招标文件规定的投标有效期之前均具有约束力。</w:t>
      </w:r>
    </w:p>
    <w:p w14:paraId="729CD159">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237A2E87">
      <w:pPr>
        <w:spacing w:line="360" w:lineRule="auto"/>
        <w:ind w:firstLine="4800" w:firstLineChars="2000"/>
        <w:rPr>
          <w:rFonts w:hint="eastAsia" w:ascii="仿宋" w:hAnsi="仿宋" w:eastAsia="仿宋" w:cs="仿宋"/>
          <w:color w:val="auto"/>
          <w:sz w:val="24"/>
          <w:highlight w:val="none"/>
        </w:rPr>
      </w:pPr>
    </w:p>
    <w:p w14:paraId="17C2E3FF">
      <w:pPr>
        <w:spacing w:line="360" w:lineRule="auto"/>
        <w:ind w:firstLine="4800" w:firstLineChars="20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投标人电子签章：</w:t>
      </w:r>
      <w:r>
        <w:rPr>
          <w:rFonts w:hint="eastAsia" w:ascii="仿宋" w:hAnsi="仿宋" w:eastAsia="仿宋" w:cs="仿宋"/>
          <w:color w:val="auto"/>
          <w:sz w:val="24"/>
          <w:highlight w:val="none"/>
          <w:u w:val="single"/>
        </w:rPr>
        <w:t xml:space="preserve">             </w:t>
      </w:r>
    </w:p>
    <w:p w14:paraId="75BD71AF">
      <w:pPr>
        <w:spacing w:line="360" w:lineRule="auto"/>
        <w:ind w:firstLine="4800" w:firstLineChars="20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日          期：</w:t>
      </w:r>
      <w:r>
        <w:rPr>
          <w:rFonts w:hint="eastAsia" w:ascii="仿宋" w:hAnsi="仿宋" w:eastAsia="仿宋" w:cs="仿宋"/>
          <w:color w:val="auto"/>
          <w:sz w:val="24"/>
          <w:highlight w:val="none"/>
          <w:u w:val="single"/>
        </w:rPr>
        <w:t xml:space="preserve">             </w:t>
      </w:r>
    </w:p>
    <w:p w14:paraId="0D0E5E46">
      <w:pPr>
        <w:widowControl/>
        <w:jc w:val="lef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br w:type="page"/>
      </w:r>
    </w:p>
    <w:p w14:paraId="52C13ECA">
      <w:pPr>
        <w:spacing w:line="360" w:lineRule="auto"/>
        <w:jc w:val="center"/>
        <w:outlineLvl w:val="1"/>
        <w:rPr>
          <w:rFonts w:hint="eastAsia" w:ascii="仿宋" w:hAnsi="仿宋" w:eastAsia="仿宋" w:cs="仿宋"/>
          <w:b/>
          <w:color w:val="auto"/>
          <w:sz w:val="24"/>
          <w:highlight w:val="none"/>
        </w:rPr>
      </w:pPr>
      <w:bookmarkStart w:id="65" w:name="_Toc16117"/>
      <w:bookmarkStart w:id="66" w:name="_Toc1328"/>
      <w:r>
        <w:rPr>
          <w:rFonts w:hint="eastAsia" w:ascii="仿宋" w:hAnsi="仿宋" w:eastAsia="仿宋" w:cs="仿宋"/>
          <w:b/>
          <w:color w:val="auto"/>
          <w:sz w:val="24"/>
          <w:highlight w:val="none"/>
        </w:rPr>
        <w:t>三．投标人资格声明书</w:t>
      </w:r>
      <w:bookmarkEnd w:id="65"/>
      <w:bookmarkEnd w:id="66"/>
      <w:r>
        <w:rPr>
          <w:rFonts w:hint="eastAsia" w:ascii="仿宋" w:hAnsi="仿宋" w:eastAsia="仿宋" w:cs="仿宋"/>
          <w:b/>
          <w:color w:val="auto"/>
          <w:sz w:val="24"/>
          <w:highlight w:val="none"/>
        </w:rPr>
        <w:t xml:space="preserve"> </w:t>
      </w:r>
    </w:p>
    <w:p w14:paraId="460EDDBE">
      <w:pPr>
        <w:pStyle w:val="16"/>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采购人</w:t>
      </w:r>
    </w:p>
    <w:p w14:paraId="689ADDB7">
      <w:pPr>
        <w:widowControl/>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在参与本次项目投标中，我单位承诺：</w:t>
      </w:r>
    </w:p>
    <w:p w14:paraId="6D3B9A3C">
      <w:pPr>
        <w:widowControl/>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（一）具有良好的商业信誉和健全的财务会计制度；</w:t>
      </w:r>
    </w:p>
    <w:p w14:paraId="19BBCC5D">
      <w:pPr>
        <w:widowControl/>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（二）具有履行合同所必需的设备和专业技术能力；</w:t>
      </w:r>
    </w:p>
    <w:p w14:paraId="515E95D1">
      <w:pPr>
        <w:widowControl/>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（三）有依法缴纳税收和社会保障资金的良好记录；</w:t>
      </w:r>
    </w:p>
    <w:p w14:paraId="00D86917">
      <w:pPr>
        <w:widowControl/>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E90E10B">
      <w:pPr>
        <w:widowControl/>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2E9F80B0">
      <w:pPr>
        <w:widowControl/>
        <w:spacing w:line="360" w:lineRule="auto"/>
        <w:ind w:firstLine="480" w:firstLineChars="20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0BF8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Pr>
          <w:p w14:paraId="7E8070E0">
            <w:pPr>
              <w:widowControl/>
              <w:spacing w:before="156" w:beforeLines="50" w:after="10"/>
              <w:jc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序号</w:t>
            </w:r>
          </w:p>
        </w:tc>
        <w:tc>
          <w:tcPr>
            <w:tcW w:w="2841" w:type="dxa"/>
          </w:tcPr>
          <w:p w14:paraId="7C2829CE">
            <w:pPr>
              <w:pStyle w:val="12"/>
              <w:spacing w:before="156" w:beforeLines="50" w:after="10"/>
              <w:jc w:val="center"/>
              <w:rPr>
                <w:rFonts w:hint="eastAsia" w:ascii="仿宋" w:hAnsi="仿宋" w:eastAsia="仿宋" w:cs="仿宋"/>
                <w:color w:val="auto"/>
                <w:kern w:val="0"/>
                <w:sz w:val="24"/>
                <w:highlight w:val="none"/>
                <w:lang w:val="en-US" w:bidi="ar"/>
              </w:rPr>
            </w:pPr>
            <w:r>
              <w:rPr>
                <w:rFonts w:hint="eastAsia" w:ascii="仿宋" w:hAnsi="仿宋" w:eastAsia="仿宋" w:cs="仿宋"/>
                <w:color w:val="auto"/>
                <w:kern w:val="0"/>
                <w:sz w:val="24"/>
                <w:highlight w:val="none"/>
                <w:lang w:val="en-US" w:bidi="ar"/>
              </w:rPr>
              <w:t>单位名称</w:t>
            </w:r>
          </w:p>
        </w:tc>
        <w:tc>
          <w:tcPr>
            <w:tcW w:w="2841" w:type="dxa"/>
          </w:tcPr>
          <w:p w14:paraId="5D903FC5">
            <w:pPr>
              <w:pStyle w:val="12"/>
              <w:spacing w:before="156" w:beforeLines="50" w:after="10"/>
              <w:jc w:val="center"/>
              <w:rPr>
                <w:rFonts w:hint="eastAsia" w:ascii="仿宋" w:hAnsi="仿宋" w:eastAsia="仿宋" w:cs="仿宋"/>
                <w:color w:val="auto"/>
                <w:kern w:val="0"/>
                <w:sz w:val="24"/>
                <w:highlight w:val="none"/>
                <w:lang w:val="en-US" w:bidi="ar"/>
              </w:rPr>
            </w:pPr>
            <w:r>
              <w:rPr>
                <w:rFonts w:hint="eastAsia" w:ascii="仿宋" w:hAnsi="仿宋" w:eastAsia="仿宋" w:cs="仿宋"/>
                <w:color w:val="auto"/>
                <w:kern w:val="0"/>
                <w:sz w:val="24"/>
                <w:highlight w:val="none"/>
                <w:lang w:val="en-US" w:bidi="ar"/>
              </w:rPr>
              <w:t>相互关系</w:t>
            </w:r>
          </w:p>
        </w:tc>
      </w:tr>
      <w:tr w14:paraId="2450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A8E4911">
            <w:pPr>
              <w:pStyle w:val="12"/>
              <w:spacing w:before="156" w:beforeLines="50" w:after="10"/>
              <w:jc w:val="center"/>
              <w:rPr>
                <w:rFonts w:hint="eastAsia" w:ascii="仿宋" w:hAnsi="仿宋" w:eastAsia="仿宋" w:cs="仿宋"/>
                <w:color w:val="auto"/>
                <w:kern w:val="0"/>
                <w:sz w:val="24"/>
                <w:highlight w:val="none"/>
                <w:lang w:val="en-US" w:bidi="ar"/>
              </w:rPr>
            </w:pPr>
            <w:r>
              <w:rPr>
                <w:rFonts w:hint="eastAsia" w:ascii="仿宋" w:hAnsi="仿宋" w:eastAsia="仿宋" w:cs="仿宋"/>
                <w:color w:val="auto"/>
                <w:kern w:val="0"/>
                <w:sz w:val="24"/>
                <w:highlight w:val="none"/>
                <w:lang w:val="en-US" w:bidi="ar"/>
              </w:rPr>
              <w:t>1</w:t>
            </w:r>
          </w:p>
        </w:tc>
        <w:tc>
          <w:tcPr>
            <w:tcW w:w="2841" w:type="dxa"/>
          </w:tcPr>
          <w:p w14:paraId="23F376D7">
            <w:pPr>
              <w:pStyle w:val="12"/>
              <w:spacing w:before="156" w:beforeLines="50" w:after="10"/>
              <w:jc w:val="center"/>
              <w:rPr>
                <w:rFonts w:hint="eastAsia" w:ascii="仿宋" w:hAnsi="仿宋" w:eastAsia="仿宋" w:cs="仿宋"/>
                <w:color w:val="auto"/>
                <w:kern w:val="0"/>
                <w:sz w:val="24"/>
                <w:highlight w:val="none"/>
                <w:lang w:val="en-US" w:bidi="ar"/>
              </w:rPr>
            </w:pPr>
          </w:p>
        </w:tc>
        <w:tc>
          <w:tcPr>
            <w:tcW w:w="2841" w:type="dxa"/>
          </w:tcPr>
          <w:p w14:paraId="6C5A10B7">
            <w:pPr>
              <w:pStyle w:val="12"/>
              <w:spacing w:before="156" w:beforeLines="50" w:after="10"/>
              <w:jc w:val="center"/>
              <w:rPr>
                <w:rFonts w:hint="eastAsia" w:ascii="仿宋" w:hAnsi="仿宋" w:eastAsia="仿宋" w:cs="仿宋"/>
                <w:color w:val="auto"/>
                <w:kern w:val="0"/>
                <w:sz w:val="24"/>
                <w:highlight w:val="none"/>
                <w:lang w:val="en-US" w:bidi="ar"/>
              </w:rPr>
            </w:pPr>
          </w:p>
        </w:tc>
      </w:tr>
      <w:tr w14:paraId="3258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2DB0AAF">
            <w:pPr>
              <w:pStyle w:val="12"/>
              <w:spacing w:before="156" w:beforeLines="50" w:after="10"/>
              <w:jc w:val="center"/>
              <w:rPr>
                <w:rFonts w:hint="eastAsia" w:ascii="仿宋" w:hAnsi="仿宋" w:eastAsia="仿宋" w:cs="仿宋"/>
                <w:color w:val="auto"/>
                <w:kern w:val="0"/>
                <w:sz w:val="24"/>
                <w:highlight w:val="none"/>
                <w:lang w:val="en-US" w:bidi="ar"/>
              </w:rPr>
            </w:pPr>
            <w:r>
              <w:rPr>
                <w:rFonts w:hint="eastAsia" w:ascii="仿宋" w:hAnsi="仿宋" w:eastAsia="仿宋" w:cs="仿宋"/>
                <w:color w:val="auto"/>
                <w:kern w:val="0"/>
                <w:sz w:val="24"/>
                <w:highlight w:val="none"/>
                <w:lang w:val="en-US" w:bidi="ar"/>
              </w:rPr>
              <w:t>2</w:t>
            </w:r>
          </w:p>
        </w:tc>
        <w:tc>
          <w:tcPr>
            <w:tcW w:w="2841" w:type="dxa"/>
          </w:tcPr>
          <w:p w14:paraId="0F8CE56C">
            <w:pPr>
              <w:pStyle w:val="12"/>
              <w:spacing w:before="156" w:beforeLines="50" w:after="10"/>
              <w:jc w:val="center"/>
              <w:rPr>
                <w:rFonts w:hint="eastAsia" w:ascii="仿宋" w:hAnsi="仿宋" w:eastAsia="仿宋" w:cs="仿宋"/>
                <w:color w:val="auto"/>
                <w:kern w:val="0"/>
                <w:sz w:val="24"/>
                <w:highlight w:val="none"/>
                <w:lang w:val="en-US" w:bidi="ar"/>
              </w:rPr>
            </w:pPr>
          </w:p>
        </w:tc>
        <w:tc>
          <w:tcPr>
            <w:tcW w:w="2841" w:type="dxa"/>
          </w:tcPr>
          <w:p w14:paraId="31146592">
            <w:pPr>
              <w:pStyle w:val="12"/>
              <w:spacing w:before="156" w:beforeLines="50" w:after="10"/>
              <w:jc w:val="center"/>
              <w:rPr>
                <w:rFonts w:hint="eastAsia" w:ascii="仿宋" w:hAnsi="仿宋" w:eastAsia="仿宋" w:cs="仿宋"/>
                <w:color w:val="auto"/>
                <w:kern w:val="0"/>
                <w:sz w:val="24"/>
                <w:highlight w:val="none"/>
                <w:lang w:val="en-US" w:bidi="ar"/>
              </w:rPr>
            </w:pPr>
          </w:p>
        </w:tc>
      </w:tr>
    </w:tbl>
    <w:p w14:paraId="3F6B368E">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29E8111B">
      <w:pPr>
        <w:spacing w:line="360" w:lineRule="auto"/>
        <w:ind w:firstLine="4800" w:firstLineChars="20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投标人电子签章：</w:t>
      </w:r>
      <w:r>
        <w:rPr>
          <w:rFonts w:hint="eastAsia" w:ascii="仿宋" w:hAnsi="仿宋" w:eastAsia="仿宋" w:cs="仿宋"/>
          <w:color w:val="auto"/>
          <w:sz w:val="24"/>
          <w:highlight w:val="none"/>
          <w:u w:val="single"/>
        </w:rPr>
        <w:t xml:space="preserve">             </w:t>
      </w:r>
    </w:p>
    <w:p w14:paraId="77251062">
      <w:pPr>
        <w:tabs>
          <w:tab w:val="left" w:pos="630"/>
        </w:tabs>
        <w:spacing w:line="360" w:lineRule="auto"/>
        <w:ind w:firstLine="4800" w:firstLineChars="20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日          期：</w:t>
      </w:r>
      <w:r>
        <w:rPr>
          <w:rFonts w:hint="eastAsia" w:ascii="仿宋" w:hAnsi="仿宋" w:eastAsia="仿宋" w:cs="仿宋"/>
          <w:color w:val="auto"/>
          <w:sz w:val="24"/>
          <w:highlight w:val="none"/>
          <w:u w:val="single"/>
        </w:rPr>
        <w:t xml:space="preserve">             </w:t>
      </w:r>
    </w:p>
    <w:p w14:paraId="28C73B1A">
      <w:pPr>
        <w:pStyle w:val="12"/>
        <w:rPr>
          <w:rFonts w:hint="eastAsia" w:ascii="仿宋" w:hAnsi="仿宋" w:eastAsia="仿宋" w:cs="仿宋"/>
          <w:color w:val="auto"/>
          <w:kern w:val="0"/>
          <w:sz w:val="24"/>
          <w:highlight w:val="none"/>
          <w:lang w:val="en-US" w:bidi="ar"/>
        </w:rPr>
      </w:pPr>
    </w:p>
    <w:p w14:paraId="5AD3D07F">
      <w:pPr>
        <w:pStyle w:val="12"/>
        <w:rPr>
          <w:rFonts w:hint="eastAsia" w:ascii="仿宋" w:hAnsi="仿宋" w:eastAsia="仿宋" w:cs="仿宋"/>
          <w:color w:val="auto"/>
          <w:kern w:val="0"/>
          <w:sz w:val="24"/>
          <w:highlight w:val="none"/>
          <w:lang w:val="en-US" w:bidi="ar"/>
        </w:rPr>
      </w:pPr>
    </w:p>
    <w:p w14:paraId="13F50D0A">
      <w:pPr>
        <w:pStyle w:val="12"/>
        <w:rPr>
          <w:rFonts w:hint="eastAsia" w:ascii="仿宋" w:hAnsi="仿宋" w:eastAsia="仿宋" w:cs="仿宋"/>
          <w:color w:val="auto"/>
          <w:kern w:val="0"/>
          <w:sz w:val="24"/>
          <w:highlight w:val="none"/>
          <w:lang w:val="en-US" w:bidi="ar"/>
        </w:rPr>
      </w:pPr>
    </w:p>
    <w:p w14:paraId="1982B380">
      <w:pPr>
        <w:rPr>
          <w:rFonts w:hint="eastAsia" w:ascii="仿宋" w:hAnsi="仿宋" w:eastAsia="仿宋" w:cs="仿宋"/>
          <w:b/>
          <w:color w:val="auto"/>
          <w:sz w:val="24"/>
          <w:highlight w:val="none"/>
        </w:rPr>
      </w:pPr>
      <w:bookmarkStart w:id="67" w:name="_Toc11607"/>
      <w:r>
        <w:rPr>
          <w:rFonts w:hint="eastAsia" w:ascii="仿宋" w:hAnsi="仿宋" w:eastAsia="仿宋" w:cs="仿宋"/>
          <w:b/>
          <w:color w:val="auto"/>
          <w:sz w:val="24"/>
          <w:highlight w:val="none"/>
        </w:rPr>
        <w:br w:type="page"/>
      </w:r>
    </w:p>
    <w:p w14:paraId="5D3A8733">
      <w:pPr>
        <w:spacing w:line="360" w:lineRule="auto"/>
        <w:jc w:val="center"/>
        <w:outlineLvl w:val="1"/>
        <w:rPr>
          <w:rFonts w:hint="eastAsia" w:ascii="仿宋" w:hAnsi="仿宋" w:eastAsia="仿宋" w:cs="仿宋"/>
          <w:b/>
          <w:color w:val="auto"/>
          <w:sz w:val="24"/>
          <w:highlight w:val="none"/>
        </w:rPr>
      </w:pPr>
      <w:bookmarkStart w:id="68" w:name="_Toc16960"/>
      <w:bookmarkStart w:id="69" w:name="_Toc6803"/>
      <w:r>
        <w:rPr>
          <w:rFonts w:hint="eastAsia" w:ascii="仿宋" w:hAnsi="仿宋" w:eastAsia="仿宋" w:cs="仿宋"/>
          <w:b/>
          <w:color w:val="auto"/>
          <w:sz w:val="24"/>
          <w:highlight w:val="none"/>
        </w:rPr>
        <w:t>四、授权书</w:t>
      </w:r>
      <w:bookmarkEnd w:id="67"/>
      <w:bookmarkEnd w:id="68"/>
      <w:bookmarkEnd w:id="69"/>
    </w:p>
    <w:p w14:paraId="5ECADE29">
      <w:pPr>
        <w:pStyle w:val="15"/>
        <w:snapToGrid w:val="0"/>
        <w:spacing w:line="360" w:lineRule="auto"/>
        <w:ind w:firstLine="480" w:firstLineChars="200"/>
        <w:jc w:val="left"/>
        <w:rPr>
          <w:rFonts w:hint="eastAsia" w:ascii="仿宋" w:hAnsi="仿宋" w:eastAsia="仿宋" w:cs="仿宋"/>
          <w:color w:val="auto"/>
          <w:sz w:val="24"/>
          <w:szCs w:val="28"/>
          <w:highlight w:val="none"/>
        </w:rPr>
      </w:pPr>
    </w:p>
    <w:p w14:paraId="6DEF917B">
      <w:pPr>
        <w:spacing w:line="360" w:lineRule="auto"/>
        <w:ind w:firstLine="435"/>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本</w:t>
      </w:r>
      <w:r>
        <w:rPr>
          <w:rFonts w:hint="eastAsia" w:ascii="仿宋" w:hAnsi="仿宋" w:eastAsia="仿宋" w:cs="仿宋"/>
          <w:color w:val="auto"/>
          <w:sz w:val="24"/>
          <w:highlight w:val="none"/>
        </w:rPr>
        <w:t>授权</w:t>
      </w:r>
      <w:r>
        <w:rPr>
          <w:rFonts w:hint="eastAsia" w:ascii="仿宋" w:hAnsi="仿宋" w:eastAsia="仿宋" w:cs="仿宋"/>
          <w:color w:val="auto"/>
          <w:sz w:val="24"/>
          <w:szCs w:val="28"/>
          <w:highlight w:val="none"/>
        </w:rPr>
        <w:t>书声明：</w:t>
      </w:r>
      <w:r>
        <w:rPr>
          <w:rFonts w:hint="eastAsia" w:ascii="仿宋" w:hAnsi="仿宋" w:eastAsia="仿宋" w:cs="仿宋"/>
          <w:color w:val="auto"/>
          <w:sz w:val="24"/>
          <w:szCs w:val="28"/>
          <w:highlight w:val="none"/>
          <w:u w:val="single"/>
        </w:rPr>
        <w:t xml:space="preserve">           </w:t>
      </w:r>
      <w:r>
        <w:rPr>
          <w:rFonts w:hint="eastAsia" w:ascii="仿宋" w:hAnsi="仿宋" w:eastAsia="仿宋" w:cs="仿宋"/>
          <w:color w:val="auto"/>
          <w:sz w:val="24"/>
          <w:szCs w:val="28"/>
          <w:highlight w:val="none"/>
        </w:rPr>
        <w:t>（投标人名称）授权</w:t>
      </w:r>
      <w:r>
        <w:rPr>
          <w:rFonts w:hint="eastAsia" w:ascii="仿宋" w:hAnsi="仿宋" w:eastAsia="仿宋" w:cs="仿宋"/>
          <w:color w:val="auto"/>
          <w:sz w:val="24"/>
          <w:szCs w:val="28"/>
          <w:highlight w:val="none"/>
          <w:u w:val="single"/>
        </w:rPr>
        <w:t xml:space="preserve">       </w:t>
      </w:r>
      <w:r>
        <w:rPr>
          <w:rFonts w:hint="eastAsia" w:ascii="仿宋" w:hAnsi="仿宋" w:eastAsia="仿宋" w:cs="仿宋"/>
          <w:color w:val="auto"/>
          <w:sz w:val="24"/>
          <w:szCs w:val="28"/>
          <w:highlight w:val="none"/>
        </w:rPr>
        <w:t>（投标人授权代表姓名）代表我方参加本项目</w:t>
      </w:r>
      <w:r>
        <w:rPr>
          <w:rFonts w:hint="eastAsia" w:ascii="仿宋" w:hAnsi="仿宋" w:eastAsia="仿宋" w:cs="仿宋"/>
          <w:bCs/>
          <w:color w:val="auto"/>
          <w:sz w:val="24"/>
          <w:szCs w:val="28"/>
          <w:highlight w:val="none"/>
        </w:rPr>
        <w:t>采购活动</w:t>
      </w:r>
      <w:r>
        <w:rPr>
          <w:rFonts w:hint="eastAsia" w:ascii="仿宋" w:hAnsi="仿宋" w:eastAsia="仿宋" w:cs="仿宋"/>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23AB904E">
      <w:pPr>
        <w:spacing w:line="360" w:lineRule="auto"/>
        <w:ind w:firstLine="435"/>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本授权书自出具之日起生效。</w:t>
      </w:r>
    </w:p>
    <w:p w14:paraId="2EC37138">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授权</w:t>
      </w:r>
      <w:r>
        <w:rPr>
          <w:rFonts w:hint="eastAsia" w:ascii="仿宋" w:hAnsi="仿宋" w:eastAsia="仿宋" w:cs="仿宋"/>
          <w:color w:val="auto"/>
          <w:sz w:val="24"/>
          <w:highlight w:val="none"/>
        </w:rPr>
        <w:t>代表身份证明扫描件：</w:t>
      </w:r>
    </w:p>
    <w:p w14:paraId="2FD7DAE0">
      <w:pPr>
        <w:spacing w:line="360" w:lineRule="auto"/>
        <w:ind w:firstLine="435"/>
        <w:rPr>
          <w:rFonts w:hint="eastAsia" w:ascii="仿宋" w:hAnsi="仿宋" w:eastAsia="仿宋" w:cs="仿宋"/>
          <w:color w:val="auto"/>
          <w:sz w:val="24"/>
          <w:highlight w:val="none"/>
        </w:rPr>
      </w:pPr>
    </w:p>
    <w:p w14:paraId="3EED6E6D">
      <w:pPr>
        <w:spacing w:line="360" w:lineRule="auto"/>
        <w:ind w:firstLine="435"/>
        <w:rPr>
          <w:rFonts w:hint="eastAsia" w:ascii="仿宋" w:hAnsi="仿宋" w:eastAsia="仿宋" w:cs="仿宋"/>
          <w:color w:val="auto"/>
          <w:sz w:val="24"/>
          <w:highlight w:val="none"/>
        </w:rPr>
      </w:pPr>
    </w:p>
    <w:p w14:paraId="68651A38">
      <w:pPr>
        <w:spacing w:line="360" w:lineRule="auto"/>
        <w:ind w:firstLine="435"/>
        <w:rPr>
          <w:rFonts w:hint="eastAsia" w:ascii="仿宋" w:hAnsi="仿宋" w:eastAsia="仿宋" w:cs="仿宋"/>
          <w:color w:val="auto"/>
          <w:sz w:val="24"/>
          <w:highlight w:val="none"/>
        </w:rPr>
      </w:pPr>
    </w:p>
    <w:p w14:paraId="3F1CAC58">
      <w:pPr>
        <w:spacing w:line="360" w:lineRule="auto"/>
        <w:ind w:firstLine="435"/>
        <w:rPr>
          <w:rFonts w:hint="eastAsia" w:ascii="仿宋" w:hAnsi="仿宋" w:eastAsia="仿宋" w:cs="仿宋"/>
          <w:color w:val="auto"/>
          <w:sz w:val="24"/>
          <w:szCs w:val="28"/>
          <w:highlight w:val="none"/>
          <w:u w:val="single"/>
          <w:lang w:val="zh-CN"/>
        </w:rPr>
      </w:pPr>
      <w:r>
        <w:rPr>
          <w:rFonts w:hint="eastAsia" w:ascii="仿宋" w:hAnsi="仿宋" w:eastAsia="仿宋" w:cs="仿宋"/>
          <w:color w:val="auto"/>
          <w:sz w:val="24"/>
          <w:szCs w:val="28"/>
          <w:highlight w:val="none"/>
        </w:rPr>
        <w:t>授权代表联系方式：</w:t>
      </w:r>
      <w:r>
        <w:rPr>
          <w:rFonts w:hint="eastAsia" w:ascii="仿宋" w:hAnsi="仿宋" w:eastAsia="仿宋" w:cs="仿宋"/>
          <w:color w:val="auto"/>
          <w:sz w:val="24"/>
          <w:szCs w:val="28"/>
          <w:highlight w:val="none"/>
          <w:u w:val="single"/>
        </w:rPr>
        <w:t xml:space="preserve">          （请填写手机号码）</w:t>
      </w:r>
    </w:p>
    <w:p w14:paraId="678EF810">
      <w:pPr>
        <w:spacing w:line="360" w:lineRule="auto"/>
        <w:ind w:firstLine="435"/>
        <w:rPr>
          <w:rFonts w:hint="eastAsia" w:ascii="仿宋" w:hAnsi="仿宋" w:eastAsia="仿宋" w:cs="仿宋"/>
          <w:color w:val="auto"/>
          <w:sz w:val="24"/>
          <w:szCs w:val="28"/>
          <w:highlight w:val="none"/>
          <w:lang w:val="zh-CN"/>
        </w:rPr>
      </w:pPr>
    </w:p>
    <w:p w14:paraId="05D4FCBA">
      <w:pPr>
        <w:spacing w:line="360" w:lineRule="auto"/>
        <w:ind w:firstLine="435"/>
        <w:rPr>
          <w:rFonts w:hint="eastAsia" w:ascii="仿宋" w:hAnsi="仿宋" w:eastAsia="仿宋" w:cs="仿宋"/>
          <w:color w:val="auto"/>
          <w:sz w:val="24"/>
          <w:szCs w:val="28"/>
          <w:highlight w:val="none"/>
        </w:rPr>
      </w:pPr>
      <w:r>
        <w:rPr>
          <w:rFonts w:hint="eastAsia" w:ascii="仿宋" w:hAnsi="仿宋" w:eastAsia="仿宋" w:cs="仿宋"/>
          <w:color w:val="auto"/>
          <w:sz w:val="24"/>
          <w:highlight w:val="none"/>
        </w:rPr>
        <w:t>特此</w:t>
      </w:r>
      <w:r>
        <w:rPr>
          <w:rFonts w:hint="eastAsia" w:ascii="仿宋" w:hAnsi="仿宋" w:eastAsia="仿宋" w:cs="仿宋"/>
          <w:color w:val="auto"/>
          <w:sz w:val="24"/>
          <w:szCs w:val="28"/>
          <w:highlight w:val="none"/>
        </w:rPr>
        <w:t>声明。</w:t>
      </w:r>
    </w:p>
    <w:p w14:paraId="2F7D1CF3">
      <w:pPr>
        <w:spacing w:line="360" w:lineRule="auto"/>
        <w:rPr>
          <w:rFonts w:hint="eastAsia" w:ascii="仿宋" w:hAnsi="仿宋" w:eastAsia="仿宋" w:cs="仿宋"/>
          <w:color w:val="auto"/>
          <w:sz w:val="24"/>
          <w:szCs w:val="28"/>
          <w:highlight w:val="none"/>
        </w:rPr>
      </w:pPr>
    </w:p>
    <w:p w14:paraId="2B028714">
      <w:pPr>
        <w:spacing w:line="360" w:lineRule="auto"/>
        <w:ind w:firstLine="435"/>
        <w:jc w:val="center"/>
        <w:rPr>
          <w:rFonts w:hint="eastAsia" w:ascii="仿宋" w:hAnsi="仿宋" w:eastAsia="仿宋" w:cs="仿宋"/>
          <w:bCs/>
          <w:color w:val="auto"/>
          <w:sz w:val="24"/>
          <w:szCs w:val="28"/>
          <w:highlight w:val="none"/>
        </w:rPr>
      </w:pPr>
      <w:r>
        <w:rPr>
          <w:rFonts w:hint="eastAsia" w:ascii="仿宋" w:hAnsi="仿宋" w:eastAsia="仿宋" w:cs="仿宋"/>
          <w:bCs/>
          <w:color w:val="auto"/>
          <w:sz w:val="24"/>
          <w:szCs w:val="28"/>
          <w:highlight w:val="none"/>
        </w:rPr>
        <w:t xml:space="preserve">                            投标人电子签章：</w:t>
      </w:r>
      <w:r>
        <w:rPr>
          <w:rFonts w:hint="eastAsia" w:ascii="仿宋" w:hAnsi="仿宋" w:eastAsia="仿宋" w:cs="仿宋"/>
          <w:bCs/>
          <w:color w:val="auto"/>
          <w:sz w:val="24"/>
          <w:szCs w:val="28"/>
          <w:highlight w:val="none"/>
          <w:u w:val="single"/>
        </w:rPr>
        <w:t xml:space="preserve">                    </w:t>
      </w:r>
    </w:p>
    <w:p w14:paraId="545F6D27">
      <w:pPr>
        <w:spacing w:line="360" w:lineRule="auto"/>
        <w:ind w:firstLine="435"/>
        <w:jc w:val="center"/>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                            日          期：</w:t>
      </w:r>
      <w:r>
        <w:rPr>
          <w:rFonts w:hint="eastAsia" w:ascii="仿宋" w:hAnsi="仿宋" w:eastAsia="仿宋" w:cs="仿宋"/>
          <w:b/>
          <w:bCs/>
          <w:color w:val="auto"/>
          <w:sz w:val="24"/>
          <w:szCs w:val="28"/>
          <w:highlight w:val="none"/>
          <w:u w:val="single"/>
        </w:rPr>
        <w:t xml:space="preserve">                    </w:t>
      </w:r>
    </w:p>
    <w:p w14:paraId="3CB8F68E">
      <w:pPr>
        <w:spacing w:line="360" w:lineRule="auto"/>
        <w:ind w:firstLine="435"/>
        <w:rPr>
          <w:rFonts w:hint="eastAsia" w:ascii="仿宋" w:hAnsi="仿宋" w:eastAsia="仿宋" w:cs="仿宋"/>
          <w:color w:val="auto"/>
          <w:sz w:val="24"/>
          <w:highlight w:val="none"/>
        </w:rPr>
      </w:pPr>
    </w:p>
    <w:p w14:paraId="5E5F5C07">
      <w:pPr>
        <w:spacing w:line="360" w:lineRule="auto"/>
        <w:ind w:firstLine="435"/>
        <w:rPr>
          <w:rFonts w:hint="eastAsia" w:ascii="仿宋" w:hAnsi="仿宋" w:eastAsia="仿宋" w:cs="仿宋"/>
          <w:color w:val="auto"/>
          <w:sz w:val="24"/>
          <w:highlight w:val="none"/>
        </w:rPr>
      </w:pPr>
    </w:p>
    <w:p w14:paraId="5828992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16CE1595">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1.本项目只允许有唯一的投标人授权代表，提供身份证明扫描件；</w:t>
      </w:r>
    </w:p>
    <w:p w14:paraId="0DD38F0D">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2.法定代表人参加投标的无需提供授权书，提供身份证明扫描件。</w:t>
      </w:r>
    </w:p>
    <w:p w14:paraId="31B805AD">
      <w:pPr>
        <w:widowControl/>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2B99469D">
      <w:pPr>
        <w:spacing w:line="360" w:lineRule="auto"/>
        <w:jc w:val="center"/>
        <w:outlineLvl w:val="1"/>
        <w:rPr>
          <w:rFonts w:hint="eastAsia" w:ascii="仿宋" w:hAnsi="仿宋" w:eastAsia="仿宋" w:cs="仿宋"/>
          <w:b/>
          <w:color w:val="auto"/>
          <w:sz w:val="24"/>
          <w:highlight w:val="none"/>
        </w:rPr>
      </w:pPr>
      <w:bookmarkStart w:id="70" w:name="_Toc6796"/>
      <w:bookmarkStart w:id="71" w:name="_Toc31991"/>
      <w:bookmarkStart w:id="72" w:name="_Toc20954"/>
      <w:r>
        <w:rPr>
          <w:rFonts w:hint="eastAsia" w:ascii="仿宋" w:hAnsi="仿宋" w:eastAsia="仿宋" w:cs="仿宋"/>
          <w:b/>
          <w:color w:val="auto"/>
          <w:sz w:val="24"/>
          <w:highlight w:val="none"/>
        </w:rPr>
        <w:t>五、投标分项报价表</w:t>
      </w:r>
      <w:bookmarkEnd w:id="70"/>
      <w:bookmarkEnd w:id="71"/>
      <w:bookmarkEnd w:id="72"/>
    </w:p>
    <w:p w14:paraId="4E5C8718">
      <w:pPr>
        <w:pStyle w:val="54"/>
        <w:jc w:val="left"/>
        <w:rPr>
          <w:rFonts w:hint="eastAsia" w:ascii="仿宋" w:hAnsi="仿宋" w:eastAsia="仿宋" w:cs="仿宋"/>
          <w:b/>
          <w:bCs/>
          <w:color w:val="auto"/>
          <w:highlight w:val="none"/>
        </w:rPr>
      </w:pPr>
      <w:r>
        <w:rPr>
          <w:rFonts w:hint="eastAsia" w:ascii="仿宋" w:hAnsi="仿宋" w:eastAsia="仿宋" w:cs="仿宋"/>
          <w:b/>
          <w:bCs/>
          <w:color w:val="auto"/>
          <w:highlight w:val="none"/>
        </w:rPr>
        <w:t>5-1货物部分</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601"/>
        <w:gridCol w:w="838"/>
        <w:gridCol w:w="951"/>
        <w:gridCol w:w="679"/>
        <w:gridCol w:w="985"/>
        <w:gridCol w:w="956"/>
        <w:gridCol w:w="890"/>
        <w:gridCol w:w="922"/>
        <w:gridCol w:w="730"/>
      </w:tblGrid>
      <w:tr w14:paraId="4385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vAlign w:val="center"/>
          </w:tcPr>
          <w:p w14:paraId="003F3C3A">
            <w:pPr>
              <w:pStyle w:val="46"/>
              <w:widowControl w:val="0"/>
              <w:spacing w:before="0" w:beforeAutospacing="0" w:after="0" w:afterAutospacing="0"/>
              <w:rPr>
                <w:rFonts w:hint="eastAsia" w:ascii="仿宋" w:hAnsi="仿宋" w:eastAsia="仿宋" w:cs="仿宋"/>
                <w:bCs w:val="0"/>
                <w:color w:val="auto"/>
                <w:kern w:val="2"/>
                <w:sz w:val="24"/>
                <w:szCs w:val="20"/>
                <w:highlight w:val="none"/>
              </w:rPr>
            </w:pPr>
            <w:r>
              <w:rPr>
                <w:rFonts w:hint="eastAsia" w:ascii="仿宋" w:hAnsi="仿宋" w:eastAsia="仿宋" w:cs="仿宋"/>
                <w:bCs w:val="0"/>
                <w:color w:val="auto"/>
                <w:kern w:val="2"/>
                <w:sz w:val="24"/>
                <w:szCs w:val="20"/>
                <w:highlight w:val="none"/>
              </w:rPr>
              <w:t>序号</w:t>
            </w:r>
          </w:p>
        </w:tc>
        <w:tc>
          <w:tcPr>
            <w:tcW w:w="862" w:type="pct"/>
            <w:vAlign w:val="center"/>
          </w:tcPr>
          <w:p w14:paraId="4A46D26F">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货物名称</w:t>
            </w:r>
          </w:p>
        </w:tc>
        <w:tc>
          <w:tcPr>
            <w:tcW w:w="451" w:type="pct"/>
            <w:vAlign w:val="center"/>
          </w:tcPr>
          <w:p w14:paraId="7E227C63">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品牌、型</w:t>
            </w:r>
          </w:p>
          <w:p w14:paraId="39742F9B">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号规格</w:t>
            </w:r>
          </w:p>
        </w:tc>
        <w:tc>
          <w:tcPr>
            <w:tcW w:w="512" w:type="pct"/>
            <w:vAlign w:val="center"/>
          </w:tcPr>
          <w:p w14:paraId="087856C6">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原产地及</w:t>
            </w:r>
          </w:p>
          <w:p w14:paraId="446472E0">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生产厂商</w:t>
            </w:r>
          </w:p>
        </w:tc>
        <w:tc>
          <w:tcPr>
            <w:tcW w:w="365" w:type="pct"/>
            <w:vAlign w:val="center"/>
          </w:tcPr>
          <w:p w14:paraId="59041F5F">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单位</w:t>
            </w:r>
          </w:p>
        </w:tc>
        <w:tc>
          <w:tcPr>
            <w:tcW w:w="530" w:type="pct"/>
            <w:vAlign w:val="center"/>
          </w:tcPr>
          <w:p w14:paraId="303BDD05">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514" w:type="pct"/>
            <w:vAlign w:val="center"/>
          </w:tcPr>
          <w:p w14:paraId="467D558F">
            <w:pPr>
              <w:jc w:val="cente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单价最高限价（元）</w:t>
            </w:r>
          </w:p>
        </w:tc>
        <w:tc>
          <w:tcPr>
            <w:tcW w:w="479" w:type="pct"/>
            <w:vAlign w:val="center"/>
          </w:tcPr>
          <w:p w14:paraId="5B7F29BD">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p w14:paraId="3646EDFE">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（元）</w:t>
            </w:r>
          </w:p>
        </w:tc>
        <w:tc>
          <w:tcPr>
            <w:tcW w:w="496" w:type="pct"/>
            <w:vAlign w:val="center"/>
          </w:tcPr>
          <w:p w14:paraId="5FE72D38">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小计</w:t>
            </w:r>
          </w:p>
          <w:p w14:paraId="67E060E3">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（元）</w:t>
            </w:r>
          </w:p>
        </w:tc>
        <w:tc>
          <w:tcPr>
            <w:tcW w:w="393" w:type="pct"/>
            <w:vAlign w:val="center"/>
          </w:tcPr>
          <w:p w14:paraId="207693C1">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4854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vAlign w:val="center"/>
          </w:tcPr>
          <w:p w14:paraId="3D7D27B0">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862" w:type="pct"/>
            <w:vAlign w:val="center"/>
          </w:tcPr>
          <w:p w14:paraId="783A4B91">
            <w:pPr>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生活垃圾分类集中投放站点改造（四投口</w:t>
            </w:r>
            <w:r>
              <w:rPr>
                <w:rFonts w:hint="eastAsia" w:ascii="仿宋" w:hAnsi="仿宋" w:eastAsia="仿宋" w:cs="仿宋"/>
                <w:b w:val="0"/>
                <w:bCs/>
                <w:color w:val="auto"/>
                <w:sz w:val="24"/>
                <w:highlight w:val="none"/>
              </w:rPr>
              <w:t>分类箱</w:t>
            </w:r>
            <w:r>
              <w:rPr>
                <w:rFonts w:hint="eastAsia" w:ascii="仿宋" w:hAnsi="仿宋" w:eastAsia="仿宋" w:cs="仿宋"/>
                <w:b w:val="0"/>
                <w:bCs/>
                <w:color w:val="auto"/>
                <w:sz w:val="24"/>
                <w:highlight w:val="none"/>
                <w:lang w:val="en-US" w:eastAsia="zh-CN"/>
              </w:rPr>
              <w:t>）</w:t>
            </w:r>
          </w:p>
        </w:tc>
        <w:tc>
          <w:tcPr>
            <w:tcW w:w="451" w:type="pct"/>
            <w:vAlign w:val="center"/>
          </w:tcPr>
          <w:p w14:paraId="3AD2192B">
            <w:pPr>
              <w:widowControl/>
              <w:spacing w:line="500" w:lineRule="exact"/>
              <w:jc w:val="center"/>
              <w:textAlignment w:val="center"/>
              <w:rPr>
                <w:rFonts w:hint="eastAsia" w:ascii="仿宋" w:hAnsi="仿宋" w:eastAsia="仿宋" w:cs="仿宋"/>
                <w:color w:val="auto"/>
                <w:szCs w:val="21"/>
                <w:highlight w:val="none"/>
              </w:rPr>
            </w:pPr>
          </w:p>
        </w:tc>
        <w:tc>
          <w:tcPr>
            <w:tcW w:w="512" w:type="pct"/>
            <w:vAlign w:val="center"/>
          </w:tcPr>
          <w:p w14:paraId="59874FCE">
            <w:pPr>
              <w:jc w:val="center"/>
              <w:rPr>
                <w:rFonts w:hint="eastAsia" w:ascii="仿宋" w:hAnsi="仿宋" w:eastAsia="仿宋" w:cs="仿宋"/>
                <w:color w:val="auto"/>
                <w:szCs w:val="21"/>
                <w:highlight w:val="none"/>
              </w:rPr>
            </w:pPr>
          </w:p>
        </w:tc>
        <w:tc>
          <w:tcPr>
            <w:tcW w:w="365" w:type="pct"/>
            <w:vAlign w:val="center"/>
          </w:tcPr>
          <w:p w14:paraId="53D51ABF">
            <w:pPr>
              <w:jc w:val="center"/>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座</w:t>
            </w:r>
          </w:p>
        </w:tc>
        <w:tc>
          <w:tcPr>
            <w:tcW w:w="530" w:type="pct"/>
            <w:vAlign w:val="center"/>
          </w:tcPr>
          <w:p w14:paraId="5DC0F91F">
            <w:pPr>
              <w:jc w:val="center"/>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300</w:t>
            </w:r>
          </w:p>
        </w:tc>
        <w:tc>
          <w:tcPr>
            <w:tcW w:w="956" w:type="dxa"/>
            <w:vAlign w:val="center"/>
          </w:tcPr>
          <w:p w14:paraId="5CAE6735">
            <w:pPr>
              <w:jc w:val="center"/>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16500</w:t>
            </w:r>
          </w:p>
        </w:tc>
        <w:tc>
          <w:tcPr>
            <w:tcW w:w="479" w:type="pct"/>
          </w:tcPr>
          <w:p w14:paraId="0AD1FB06">
            <w:pPr>
              <w:rPr>
                <w:rFonts w:hint="eastAsia" w:ascii="仿宋" w:hAnsi="仿宋" w:eastAsia="仿宋" w:cs="仿宋"/>
                <w:color w:val="auto"/>
                <w:sz w:val="24"/>
                <w:highlight w:val="none"/>
              </w:rPr>
            </w:pPr>
          </w:p>
        </w:tc>
        <w:tc>
          <w:tcPr>
            <w:tcW w:w="496" w:type="pct"/>
          </w:tcPr>
          <w:p w14:paraId="310CB3FF">
            <w:pPr>
              <w:rPr>
                <w:rFonts w:hint="eastAsia" w:ascii="仿宋" w:hAnsi="仿宋" w:eastAsia="仿宋" w:cs="仿宋"/>
                <w:color w:val="auto"/>
                <w:sz w:val="24"/>
                <w:highlight w:val="none"/>
              </w:rPr>
            </w:pPr>
          </w:p>
        </w:tc>
        <w:tc>
          <w:tcPr>
            <w:tcW w:w="393" w:type="pct"/>
          </w:tcPr>
          <w:p w14:paraId="7CE28C2E">
            <w:pPr>
              <w:rPr>
                <w:rFonts w:hint="eastAsia" w:ascii="仿宋" w:hAnsi="仿宋" w:eastAsia="仿宋" w:cs="仿宋"/>
                <w:color w:val="auto"/>
                <w:sz w:val="24"/>
                <w:highlight w:val="none"/>
              </w:rPr>
            </w:pPr>
          </w:p>
        </w:tc>
      </w:tr>
      <w:tr w14:paraId="03C2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vAlign w:val="center"/>
          </w:tcPr>
          <w:p w14:paraId="1E4A1C60">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862" w:type="pct"/>
            <w:vAlign w:val="center"/>
          </w:tcPr>
          <w:p w14:paraId="0B7F2E0B">
            <w:pPr>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生活垃圾分类集中投放站点改造（三投口</w:t>
            </w:r>
            <w:r>
              <w:rPr>
                <w:rFonts w:hint="eastAsia" w:ascii="仿宋" w:hAnsi="仿宋" w:eastAsia="仿宋" w:cs="仿宋"/>
                <w:b w:val="0"/>
                <w:bCs/>
                <w:color w:val="auto"/>
                <w:sz w:val="24"/>
                <w:highlight w:val="none"/>
              </w:rPr>
              <w:t>分类箱</w:t>
            </w:r>
            <w:r>
              <w:rPr>
                <w:rFonts w:hint="eastAsia" w:ascii="仿宋" w:hAnsi="仿宋" w:eastAsia="仿宋" w:cs="仿宋"/>
                <w:b w:val="0"/>
                <w:bCs/>
                <w:color w:val="auto"/>
                <w:sz w:val="24"/>
                <w:highlight w:val="none"/>
                <w:lang w:val="en-US" w:eastAsia="zh-CN"/>
              </w:rPr>
              <w:t>）</w:t>
            </w:r>
          </w:p>
        </w:tc>
        <w:tc>
          <w:tcPr>
            <w:tcW w:w="451" w:type="pct"/>
            <w:vAlign w:val="center"/>
          </w:tcPr>
          <w:p w14:paraId="6FC07FC8">
            <w:pPr>
              <w:widowControl/>
              <w:spacing w:line="500" w:lineRule="exact"/>
              <w:jc w:val="center"/>
              <w:textAlignment w:val="center"/>
              <w:rPr>
                <w:rFonts w:hint="eastAsia" w:ascii="仿宋" w:hAnsi="仿宋" w:eastAsia="仿宋" w:cs="仿宋"/>
                <w:color w:val="auto"/>
                <w:szCs w:val="21"/>
                <w:highlight w:val="none"/>
              </w:rPr>
            </w:pPr>
          </w:p>
        </w:tc>
        <w:tc>
          <w:tcPr>
            <w:tcW w:w="512" w:type="pct"/>
            <w:vAlign w:val="center"/>
          </w:tcPr>
          <w:p w14:paraId="441F20C1">
            <w:pPr>
              <w:jc w:val="center"/>
              <w:rPr>
                <w:rFonts w:hint="eastAsia" w:ascii="仿宋" w:hAnsi="仿宋" w:eastAsia="仿宋" w:cs="仿宋"/>
                <w:color w:val="auto"/>
                <w:szCs w:val="21"/>
                <w:highlight w:val="none"/>
              </w:rPr>
            </w:pPr>
          </w:p>
        </w:tc>
        <w:tc>
          <w:tcPr>
            <w:tcW w:w="365" w:type="pct"/>
            <w:vAlign w:val="center"/>
          </w:tcPr>
          <w:p w14:paraId="1DFA5FE0">
            <w:pPr>
              <w:jc w:val="center"/>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座</w:t>
            </w:r>
          </w:p>
        </w:tc>
        <w:tc>
          <w:tcPr>
            <w:tcW w:w="530" w:type="pct"/>
            <w:vAlign w:val="center"/>
          </w:tcPr>
          <w:p w14:paraId="7C00B4BE">
            <w:pPr>
              <w:jc w:val="center"/>
              <w:rPr>
                <w:rFonts w:hint="default"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20</w:t>
            </w:r>
          </w:p>
        </w:tc>
        <w:tc>
          <w:tcPr>
            <w:tcW w:w="956" w:type="dxa"/>
            <w:vAlign w:val="center"/>
          </w:tcPr>
          <w:p w14:paraId="121DA089">
            <w:pPr>
              <w:jc w:val="center"/>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12500</w:t>
            </w:r>
          </w:p>
        </w:tc>
        <w:tc>
          <w:tcPr>
            <w:tcW w:w="479" w:type="pct"/>
          </w:tcPr>
          <w:p w14:paraId="57CC5FA3">
            <w:pPr>
              <w:rPr>
                <w:rFonts w:hint="eastAsia" w:ascii="仿宋" w:hAnsi="仿宋" w:eastAsia="仿宋" w:cs="仿宋"/>
                <w:color w:val="auto"/>
                <w:sz w:val="24"/>
                <w:highlight w:val="none"/>
              </w:rPr>
            </w:pPr>
          </w:p>
        </w:tc>
        <w:tc>
          <w:tcPr>
            <w:tcW w:w="496" w:type="pct"/>
          </w:tcPr>
          <w:p w14:paraId="3703D734">
            <w:pPr>
              <w:rPr>
                <w:rFonts w:hint="eastAsia" w:ascii="仿宋" w:hAnsi="仿宋" w:eastAsia="仿宋" w:cs="仿宋"/>
                <w:color w:val="auto"/>
                <w:sz w:val="24"/>
                <w:highlight w:val="none"/>
              </w:rPr>
            </w:pPr>
          </w:p>
        </w:tc>
        <w:tc>
          <w:tcPr>
            <w:tcW w:w="393" w:type="pct"/>
          </w:tcPr>
          <w:p w14:paraId="05270306">
            <w:pPr>
              <w:rPr>
                <w:rFonts w:hint="eastAsia" w:ascii="仿宋" w:hAnsi="仿宋" w:eastAsia="仿宋" w:cs="仿宋"/>
                <w:color w:val="auto"/>
                <w:sz w:val="24"/>
                <w:highlight w:val="none"/>
              </w:rPr>
            </w:pPr>
          </w:p>
        </w:tc>
      </w:tr>
      <w:tr w14:paraId="464A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vAlign w:val="center"/>
          </w:tcPr>
          <w:p w14:paraId="3304BF5E">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862" w:type="pct"/>
            <w:vAlign w:val="center"/>
          </w:tcPr>
          <w:p w14:paraId="14E900D3">
            <w:pPr>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生活垃圾分类集中投放站点改造（二投口</w:t>
            </w:r>
            <w:r>
              <w:rPr>
                <w:rFonts w:hint="eastAsia" w:ascii="仿宋" w:hAnsi="仿宋" w:eastAsia="仿宋" w:cs="仿宋"/>
                <w:b w:val="0"/>
                <w:bCs/>
                <w:color w:val="auto"/>
                <w:sz w:val="24"/>
                <w:highlight w:val="none"/>
              </w:rPr>
              <w:t>分类箱</w:t>
            </w:r>
            <w:r>
              <w:rPr>
                <w:rFonts w:hint="eastAsia" w:ascii="仿宋" w:hAnsi="仿宋" w:eastAsia="仿宋" w:cs="仿宋"/>
                <w:b w:val="0"/>
                <w:bCs/>
                <w:color w:val="auto"/>
                <w:sz w:val="24"/>
                <w:highlight w:val="none"/>
                <w:lang w:val="en-US" w:eastAsia="zh-CN"/>
              </w:rPr>
              <w:t>）</w:t>
            </w:r>
          </w:p>
        </w:tc>
        <w:tc>
          <w:tcPr>
            <w:tcW w:w="451" w:type="pct"/>
            <w:vAlign w:val="center"/>
          </w:tcPr>
          <w:p w14:paraId="1E3CAE02">
            <w:pPr>
              <w:widowControl/>
              <w:spacing w:line="500" w:lineRule="exact"/>
              <w:jc w:val="center"/>
              <w:textAlignment w:val="center"/>
              <w:rPr>
                <w:rFonts w:hint="eastAsia" w:ascii="仿宋" w:hAnsi="仿宋" w:eastAsia="仿宋" w:cs="仿宋"/>
                <w:color w:val="auto"/>
                <w:szCs w:val="21"/>
                <w:highlight w:val="none"/>
              </w:rPr>
            </w:pPr>
          </w:p>
        </w:tc>
        <w:tc>
          <w:tcPr>
            <w:tcW w:w="512" w:type="pct"/>
            <w:vAlign w:val="center"/>
          </w:tcPr>
          <w:p w14:paraId="262539B2">
            <w:pPr>
              <w:jc w:val="center"/>
              <w:rPr>
                <w:rFonts w:hint="eastAsia" w:ascii="仿宋" w:hAnsi="仿宋" w:eastAsia="仿宋" w:cs="仿宋"/>
                <w:color w:val="auto"/>
                <w:szCs w:val="21"/>
                <w:highlight w:val="none"/>
              </w:rPr>
            </w:pPr>
          </w:p>
        </w:tc>
        <w:tc>
          <w:tcPr>
            <w:tcW w:w="365" w:type="pct"/>
            <w:vAlign w:val="center"/>
          </w:tcPr>
          <w:p w14:paraId="1190F567">
            <w:pPr>
              <w:jc w:val="center"/>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座</w:t>
            </w:r>
          </w:p>
        </w:tc>
        <w:tc>
          <w:tcPr>
            <w:tcW w:w="530" w:type="pct"/>
            <w:vAlign w:val="center"/>
          </w:tcPr>
          <w:p w14:paraId="4A91A3E6">
            <w:pPr>
              <w:jc w:val="center"/>
              <w:rPr>
                <w:rFonts w:hint="default"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30</w:t>
            </w:r>
          </w:p>
        </w:tc>
        <w:tc>
          <w:tcPr>
            <w:tcW w:w="956" w:type="dxa"/>
            <w:vAlign w:val="center"/>
          </w:tcPr>
          <w:p w14:paraId="72DB0C22">
            <w:pPr>
              <w:jc w:val="center"/>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10500</w:t>
            </w:r>
          </w:p>
        </w:tc>
        <w:tc>
          <w:tcPr>
            <w:tcW w:w="479" w:type="pct"/>
          </w:tcPr>
          <w:p w14:paraId="14AFF029">
            <w:pPr>
              <w:rPr>
                <w:rFonts w:hint="eastAsia" w:ascii="仿宋" w:hAnsi="仿宋" w:eastAsia="仿宋" w:cs="仿宋"/>
                <w:color w:val="auto"/>
                <w:sz w:val="24"/>
                <w:highlight w:val="none"/>
              </w:rPr>
            </w:pPr>
          </w:p>
        </w:tc>
        <w:tc>
          <w:tcPr>
            <w:tcW w:w="496" w:type="pct"/>
          </w:tcPr>
          <w:p w14:paraId="4F7BDE5B">
            <w:pPr>
              <w:rPr>
                <w:rFonts w:hint="eastAsia" w:ascii="仿宋" w:hAnsi="仿宋" w:eastAsia="仿宋" w:cs="仿宋"/>
                <w:color w:val="auto"/>
                <w:sz w:val="24"/>
                <w:highlight w:val="none"/>
              </w:rPr>
            </w:pPr>
          </w:p>
        </w:tc>
        <w:tc>
          <w:tcPr>
            <w:tcW w:w="393" w:type="pct"/>
          </w:tcPr>
          <w:p w14:paraId="5927082F">
            <w:pPr>
              <w:rPr>
                <w:rFonts w:hint="eastAsia" w:ascii="仿宋" w:hAnsi="仿宋" w:eastAsia="仿宋" w:cs="仿宋"/>
                <w:color w:val="auto"/>
                <w:sz w:val="24"/>
                <w:highlight w:val="none"/>
              </w:rPr>
            </w:pPr>
          </w:p>
        </w:tc>
      </w:tr>
      <w:tr w14:paraId="2E15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vAlign w:val="center"/>
          </w:tcPr>
          <w:p w14:paraId="49DCB72D">
            <w:pPr>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4</w:t>
            </w:r>
          </w:p>
        </w:tc>
        <w:tc>
          <w:tcPr>
            <w:tcW w:w="862" w:type="pct"/>
            <w:vAlign w:val="center"/>
          </w:tcPr>
          <w:p w14:paraId="5E08D970">
            <w:pPr>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生活垃圾分类集中投放站点提标（四投口</w:t>
            </w:r>
            <w:r>
              <w:rPr>
                <w:rFonts w:hint="eastAsia" w:ascii="仿宋" w:hAnsi="仿宋" w:eastAsia="仿宋" w:cs="仿宋"/>
                <w:b w:val="0"/>
                <w:bCs/>
                <w:color w:val="auto"/>
                <w:sz w:val="24"/>
                <w:highlight w:val="none"/>
              </w:rPr>
              <w:t>分类箱</w:t>
            </w:r>
            <w:r>
              <w:rPr>
                <w:rFonts w:hint="eastAsia" w:ascii="仿宋" w:hAnsi="仿宋" w:eastAsia="仿宋" w:cs="仿宋"/>
                <w:b w:val="0"/>
                <w:bCs/>
                <w:color w:val="auto"/>
                <w:sz w:val="24"/>
                <w:highlight w:val="none"/>
                <w:lang w:val="en-US" w:eastAsia="zh-CN"/>
              </w:rPr>
              <w:t>）</w:t>
            </w:r>
          </w:p>
        </w:tc>
        <w:tc>
          <w:tcPr>
            <w:tcW w:w="451" w:type="pct"/>
            <w:vAlign w:val="center"/>
          </w:tcPr>
          <w:p w14:paraId="2E9FBEC1">
            <w:pPr>
              <w:widowControl/>
              <w:spacing w:line="500" w:lineRule="exact"/>
              <w:jc w:val="center"/>
              <w:textAlignment w:val="center"/>
              <w:rPr>
                <w:rFonts w:hint="eastAsia" w:ascii="仿宋" w:hAnsi="仿宋" w:eastAsia="仿宋" w:cs="仿宋"/>
                <w:color w:val="auto"/>
                <w:szCs w:val="21"/>
                <w:highlight w:val="none"/>
              </w:rPr>
            </w:pPr>
          </w:p>
        </w:tc>
        <w:tc>
          <w:tcPr>
            <w:tcW w:w="512" w:type="pct"/>
            <w:vAlign w:val="center"/>
          </w:tcPr>
          <w:p w14:paraId="04A57984">
            <w:pPr>
              <w:jc w:val="center"/>
              <w:rPr>
                <w:rFonts w:hint="eastAsia" w:ascii="仿宋" w:hAnsi="仿宋" w:eastAsia="仿宋" w:cs="仿宋"/>
                <w:color w:val="auto"/>
                <w:szCs w:val="21"/>
                <w:highlight w:val="none"/>
              </w:rPr>
            </w:pPr>
          </w:p>
        </w:tc>
        <w:tc>
          <w:tcPr>
            <w:tcW w:w="365" w:type="pct"/>
            <w:vAlign w:val="center"/>
          </w:tcPr>
          <w:p w14:paraId="3B085420">
            <w:pPr>
              <w:jc w:val="center"/>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座</w:t>
            </w:r>
          </w:p>
        </w:tc>
        <w:tc>
          <w:tcPr>
            <w:tcW w:w="530" w:type="pct"/>
            <w:vAlign w:val="center"/>
          </w:tcPr>
          <w:p w14:paraId="3FDA3437">
            <w:pPr>
              <w:jc w:val="center"/>
              <w:rPr>
                <w:rFonts w:hint="default"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50</w:t>
            </w:r>
          </w:p>
        </w:tc>
        <w:tc>
          <w:tcPr>
            <w:tcW w:w="956" w:type="dxa"/>
            <w:vAlign w:val="center"/>
          </w:tcPr>
          <w:p w14:paraId="0569DDF9">
            <w:pPr>
              <w:jc w:val="center"/>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9500</w:t>
            </w:r>
          </w:p>
        </w:tc>
        <w:tc>
          <w:tcPr>
            <w:tcW w:w="479" w:type="pct"/>
          </w:tcPr>
          <w:p w14:paraId="7CAF6CF0">
            <w:pPr>
              <w:rPr>
                <w:rFonts w:hint="eastAsia" w:ascii="仿宋" w:hAnsi="仿宋" w:eastAsia="仿宋" w:cs="仿宋"/>
                <w:color w:val="auto"/>
                <w:sz w:val="24"/>
                <w:highlight w:val="none"/>
              </w:rPr>
            </w:pPr>
          </w:p>
        </w:tc>
        <w:tc>
          <w:tcPr>
            <w:tcW w:w="496" w:type="pct"/>
          </w:tcPr>
          <w:p w14:paraId="1E772811">
            <w:pPr>
              <w:rPr>
                <w:rFonts w:hint="eastAsia" w:ascii="仿宋" w:hAnsi="仿宋" w:eastAsia="仿宋" w:cs="仿宋"/>
                <w:color w:val="auto"/>
                <w:sz w:val="24"/>
                <w:highlight w:val="none"/>
              </w:rPr>
            </w:pPr>
          </w:p>
        </w:tc>
        <w:tc>
          <w:tcPr>
            <w:tcW w:w="393" w:type="pct"/>
          </w:tcPr>
          <w:p w14:paraId="43CD43FD">
            <w:pPr>
              <w:rPr>
                <w:rFonts w:hint="eastAsia" w:ascii="仿宋" w:hAnsi="仿宋" w:eastAsia="仿宋" w:cs="仿宋"/>
                <w:color w:val="auto"/>
                <w:sz w:val="24"/>
                <w:highlight w:val="none"/>
              </w:rPr>
            </w:pPr>
          </w:p>
        </w:tc>
      </w:tr>
      <w:tr w14:paraId="51BB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vAlign w:val="center"/>
          </w:tcPr>
          <w:p w14:paraId="511FAC8B">
            <w:pPr>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5</w:t>
            </w:r>
          </w:p>
        </w:tc>
        <w:tc>
          <w:tcPr>
            <w:tcW w:w="862" w:type="pct"/>
            <w:vAlign w:val="center"/>
          </w:tcPr>
          <w:p w14:paraId="03FC51AF">
            <w:pPr>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240L垃圾桶</w:t>
            </w:r>
            <w:r>
              <w:rPr>
                <w:rFonts w:hint="eastAsia" w:ascii="仿宋" w:hAnsi="仿宋" w:eastAsia="仿宋" w:cs="仿宋"/>
                <w:b w:val="0"/>
                <w:bCs/>
                <w:color w:val="auto"/>
                <w:sz w:val="24"/>
                <w:highlight w:val="none"/>
                <w:lang w:val="en-US" w:eastAsia="zh-CN"/>
              </w:rPr>
              <w:t>采购</w:t>
            </w:r>
          </w:p>
        </w:tc>
        <w:tc>
          <w:tcPr>
            <w:tcW w:w="451" w:type="pct"/>
            <w:vAlign w:val="center"/>
          </w:tcPr>
          <w:p w14:paraId="7757581D">
            <w:pPr>
              <w:widowControl/>
              <w:spacing w:line="500" w:lineRule="exact"/>
              <w:jc w:val="center"/>
              <w:textAlignment w:val="center"/>
              <w:rPr>
                <w:rFonts w:hint="eastAsia" w:ascii="仿宋" w:hAnsi="仿宋" w:eastAsia="仿宋" w:cs="仿宋"/>
                <w:color w:val="auto"/>
                <w:szCs w:val="21"/>
                <w:highlight w:val="none"/>
              </w:rPr>
            </w:pPr>
          </w:p>
        </w:tc>
        <w:tc>
          <w:tcPr>
            <w:tcW w:w="512" w:type="pct"/>
            <w:vAlign w:val="center"/>
          </w:tcPr>
          <w:p w14:paraId="71326EEC">
            <w:pPr>
              <w:jc w:val="center"/>
              <w:rPr>
                <w:rFonts w:hint="eastAsia" w:ascii="仿宋" w:hAnsi="仿宋" w:eastAsia="仿宋" w:cs="仿宋"/>
                <w:color w:val="auto"/>
                <w:szCs w:val="21"/>
                <w:highlight w:val="none"/>
              </w:rPr>
            </w:pPr>
          </w:p>
        </w:tc>
        <w:tc>
          <w:tcPr>
            <w:tcW w:w="365" w:type="pct"/>
            <w:vAlign w:val="center"/>
          </w:tcPr>
          <w:p w14:paraId="3ABF0FD5">
            <w:pPr>
              <w:jc w:val="center"/>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个</w:t>
            </w:r>
          </w:p>
        </w:tc>
        <w:tc>
          <w:tcPr>
            <w:tcW w:w="530" w:type="pct"/>
            <w:vAlign w:val="center"/>
          </w:tcPr>
          <w:p w14:paraId="1C162BF4">
            <w:pPr>
              <w:jc w:val="center"/>
              <w:rPr>
                <w:rFonts w:hint="default"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1520</w:t>
            </w:r>
          </w:p>
        </w:tc>
        <w:tc>
          <w:tcPr>
            <w:tcW w:w="956" w:type="dxa"/>
            <w:vAlign w:val="center"/>
          </w:tcPr>
          <w:p w14:paraId="1E9A64CF">
            <w:pPr>
              <w:jc w:val="center"/>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200</w:t>
            </w:r>
          </w:p>
        </w:tc>
        <w:tc>
          <w:tcPr>
            <w:tcW w:w="479" w:type="pct"/>
          </w:tcPr>
          <w:p w14:paraId="76E7FCFA">
            <w:pPr>
              <w:rPr>
                <w:rFonts w:hint="eastAsia" w:ascii="仿宋" w:hAnsi="仿宋" w:eastAsia="仿宋" w:cs="仿宋"/>
                <w:color w:val="auto"/>
                <w:sz w:val="24"/>
                <w:highlight w:val="none"/>
              </w:rPr>
            </w:pPr>
          </w:p>
        </w:tc>
        <w:tc>
          <w:tcPr>
            <w:tcW w:w="496" w:type="pct"/>
          </w:tcPr>
          <w:p w14:paraId="770A67E7">
            <w:pPr>
              <w:rPr>
                <w:rFonts w:hint="eastAsia" w:ascii="仿宋" w:hAnsi="仿宋" w:eastAsia="仿宋" w:cs="仿宋"/>
                <w:color w:val="auto"/>
                <w:sz w:val="24"/>
                <w:highlight w:val="none"/>
              </w:rPr>
            </w:pPr>
          </w:p>
        </w:tc>
        <w:tc>
          <w:tcPr>
            <w:tcW w:w="393" w:type="pct"/>
          </w:tcPr>
          <w:p w14:paraId="60CBC77C">
            <w:pPr>
              <w:rPr>
                <w:rFonts w:hint="eastAsia" w:ascii="仿宋" w:hAnsi="仿宋" w:eastAsia="仿宋" w:cs="仿宋"/>
                <w:color w:val="auto"/>
                <w:sz w:val="24"/>
                <w:highlight w:val="none"/>
              </w:rPr>
            </w:pPr>
          </w:p>
        </w:tc>
      </w:tr>
      <w:tr w14:paraId="4378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110" w:type="pct"/>
            <w:gridSpan w:val="8"/>
            <w:vAlign w:val="center"/>
          </w:tcPr>
          <w:p w14:paraId="59E77140">
            <w:pPr>
              <w:jc w:val="center"/>
              <w:rPr>
                <w:rFonts w:hint="eastAsia" w:ascii="仿宋" w:hAnsi="仿宋" w:eastAsia="仿宋" w:cs="仿宋"/>
                <w:color w:val="auto"/>
                <w:sz w:val="24"/>
                <w:highlight w:val="none"/>
              </w:rPr>
            </w:pPr>
            <w:r>
              <w:rPr>
                <w:rFonts w:hint="eastAsia" w:ascii="仿宋" w:hAnsi="仿宋" w:eastAsia="仿宋" w:cs="仿宋"/>
                <w:b/>
                <w:color w:val="auto"/>
                <w:sz w:val="24"/>
                <w:highlight w:val="none"/>
              </w:rPr>
              <w:t>合计金额（元）</w:t>
            </w:r>
          </w:p>
        </w:tc>
        <w:tc>
          <w:tcPr>
            <w:tcW w:w="889" w:type="pct"/>
            <w:gridSpan w:val="2"/>
          </w:tcPr>
          <w:p w14:paraId="288CD39B">
            <w:pPr>
              <w:rPr>
                <w:rFonts w:hint="eastAsia" w:ascii="仿宋" w:hAnsi="仿宋" w:eastAsia="仿宋" w:cs="仿宋"/>
                <w:color w:val="auto"/>
                <w:sz w:val="24"/>
                <w:highlight w:val="none"/>
              </w:rPr>
            </w:pPr>
          </w:p>
        </w:tc>
      </w:tr>
    </w:tbl>
    <w:p w14:paraId="3F734D5C">
      <w:pPr>
        <w:spacing w:line="360" w:lineRule="auto"/>
        <w:ind w:firstLine="435"/>
        <w:jc w:val="right"/>
        <w:rPr>
          <w:rFonts w:hint="eastAsia" w:ascii="仿宋" w:hAnsi="仿宋" w:eastAsia="仿宋" w:cs="仿宋"/>
          <w:bCs/>
          <w:color w:val="auto"/>
          <w:sz w:val="24"/>
          <w:szCs w:val="28"/>
          <w:highlight w:val="none"/>
          <w:u w:val="single"/>
        </w:rPr>
      </w:pPr>
    </w:p>
    <w:p w14:paraId="10CF6C86">
      <w:pPr>
        <w:spacing w:line="360" w:lineRule="auto"/>
        <w:ind w:firstLine="435"/>
        <w:jc w:val="right"/>
        <w:rPr>
          <w:rFonts w:hint="eastAsia" w:ascii="仿宋" w:hAnsi="仿宋" w:eastAsia="仿宋" w:cs="仿宋"/>
          <w:bCs/>
          <w:color w:val="auto"/>
          <w:sz w:val="24"/>
          <w:szCs w:val="28"/>
          <w:highlight w:val="none"/>
          <w:u w:val="single"/>
        </w:rPr>
      </w:pPr>
    </w:p>
    <w:p w14:paraId="174DC6B0">
      <w:pPr>
        <w:spacing w:line="360" w:lineRule="auto"/>
        <w:ind w:firstLine="435"/>
        <w:jc w:val="right"/>
        <w:rPr>
          <w:rFonts w:hint="eastAsia" w:ascii="仿宋" w:hAnsi="仿宋" w:eastAsia="仿宋" w:cs="仿宋"/>
          <w:bCs/>
          <w:color w:val="auto"/>
          <w:sz w:val="24"/>
          <w:szCs w:val="28"/>
          <w:highlight w:val="none"/>
          <w:u w:val="single"/>
        </w:rPr>
      </w:pPr>
    </w:p>
    <w:p w14:paraId="6AB12716">
      <w:pPr>
        <w:spacing w:line="360" w:lineRule="auto"/>
        <w:ind w:firstLine="435"/>
        <w:jc w:val="right"/>
        <w:rPr>
          <w:rFonts w:hint="eastAsia" w:ascii="仿宋" w:hAnsi="仿宋" w:eastAsia="仿宋" w:cs="仿宋"/>
          <w:bCs/>
          <w:color w:val="auto"/>
          <w:sz w:val="24"/>
          <w:szCs w:val="28"/>
          <w:highlight w:val="none"/>
          <w:u w:val="single"/>
        </w:rPr>
      </w:pPr>
    </w:p>
    <w:p w14:paraId="44BE124C">
      <w:pPr>
        <w:spacing w:line="360" w:lineRule="auto"/>
        <w:ind w:firstLine="435"/>
        <w:jc w:val="right"/>
        <w:rPr>
          <w:rFonts w:hint="eastAsia" w:ascii="仿宋" w:hAnsi="仿宋" w:eastAsia="仿宋" w:cs="仿宋"/>
          <w:bCs/>
          <w:color w:val="auto"/>
          <w:sz w:val="24"/>
          <w:szCs w:val="28"/>
          <w:highlight w:val="none"/>
          <w:u w:val="single"/>
        </w:rPr>
      </w:pPr>
    </w:p>
    <w:p w14:paraId="28332473">
      <w:pPr>
        <w:spacing w:line="360" w:lineRule="auto"/>
        <w:ind w:firstLine="435"/>
        <w:jc w:val="right"/>
        <w:rPr>
          <w:rFonts w:hint="eastAsia" w:ascii="仿宋" w:hAnsi="仿宋" w:eastAsia="仿宋" w:cs="仿宋"/>
          <w:bCs/>
          <w:color w:val="auto"/>
          <w:sz w:val="24"/>
          <w:szCs w:val="28"/>
          <w:highlight w:val="none"/>
          <w:u w:val="single"/>
        </w:rPr>
      </w:pPr>
    </w:p>
    <w:p w14:paraId="0D7A5745">
      <w:pPr>
        <w:spacing w:line="360" w:lineRule="auto"/>
        <w:ind w:firstLine="435"/>
        <w:jc w:val="right"/>
        <w:rPr>
          <w:rFonts w:hint="eastAsia" w:ascii="仿宋" w:hAnsi="仿宋" w:eastAsia="仿宋" w:cs="仿宋"/>
          <w:bCs/>
          <w:color w:val="auto"/>
          <w:sz w:val="24"/>
          <w:szCs w:val="28"/>
          <w:highlight w:val="none"/>
          <w:u w:val="single"/>
        </w:rPr>
      </w:pPr>
    </w:p>
    <w:p w14:paraId="48AB4ABB">
      <w:pPr>
        <w:spacing w:line="360" w:lineRule="auto"/>
        <w:ind w:firstLine="435"/>
        <w:jc w:val="right"/>
        <w:rPr>
          <w:rFonts w:hint="eastAsia" w:ascii="仿宋" w:hAnsi="仿宋" w:eastAsia="仿宋" w:cs="仿宋"/>
          <w:bCs/>
          <w:color w:val="auto"/>
          <w:sz w:val="24"/>
          <w:szCs w:val="28"/>
          <w:highlight w:val="none"/>
          <w:u w:val="single"/>
        </w:rPr>
      </w:pPr>
    </w:p>
    <w:p w14:paraId="65703C50">
      <w:pPr>
        <w:spacing w:line="360" w:lineRule="auto"/>
        <w:ind w:firstLine="435"/>
        <w:jc w:val="right"/>
        <w:rPr>
          <w:rFonts w:hint="eastAsia" w:ascii="仿宋" w:hAnsi="仿宋" w:eastAsia="仿宋" w:cs="仿宋"/>
          <w:bCs/>
          <w:color w:val="auto"/>
          <w:sz w:val="24"/>
          <w:szCs w:val="28"/>
          <w:highlight w:val="none"/>
          <w:u w:val="single"/>
        </w:rPr>
      </w:pPr>
    </w:p>
    <w:p w14:paraId="16442CAC">
      <w:pPr>
        <w:spacing w:line="360" w:lineRule="auto"/>
        <w:ind w:firstLine="435"/>
        <w:jc w:val="right"/>
        <w:rPr>
          <w:rFonts w:hint="eastAsia" w:ascii="仿宋" w:hAnsi="仿宋" w:eastAsia="仿宋" w:cs="仿宋"/>
          <w:bCs/>
          <w:color w:val="auto"/>
          <w:sz w:val="24"/>
          <w:szCs w:val="28"/>
          <w:highlight w:val="none"/>
          <w:u w:val="single"/>
        </w:rPr>
      </w:pPr>
    </w:p>
    <w:p w14:paraId="32C692FD">
      <w:pPr>
        <w:spacing w:line="360" w:lineRule="auto"/>
        <w:ind w:firstLine="435"/>
        <w:jc w:val="right"/>
        <w:rPr>
          <w:rFonts w:hint="eastAsia" w:ascii="仿宋" w:hAnsi="仿宋" w:eastAsia="仿宋" w:cs="仿宋"/>
          <w:bCs/>
          <w:color w:val="auto"/>
          <w:sz w:val="24"/>
          <w:szCs w:val="28"/>
          <w:highlight w:val="none"/>
          <w:u w:val="single"/>
        </w:rPr>
      </w:pPr>
    </w:p>
    <w:p w14:paraId="7921DB76">
      <w:pPr>
        <w:spacing w:line="360" w:lineRule="auto"/>
        <w:ind w:firstLine="435"/>
        <w:jc w:val="right"/>
        <w:rPr>
          <w:rFonts w:hint="eastAsia" w:ascii="仿宋" w:hAnsi="仿宋" w:eastAsia="仿宋" w:cs="仿宋"/>
          <w:b/>
          <w:bCs/>
          <w:color w:val="auto"/>
          <w:highlight w:val="none"/>
        </w:rPr>
      </w:pPr>
      <w:r>
        <w:rPr>
          <w:rFonts w:hint="eastAsia" w:ascii="仿宋" w:hAnsi="仿宋" w:eastAsia="仿宋" w:cs="仿宋"/>
          <w:bCs/>
          <w:color w:val="auto"/>
          <w:sz w:val="24"/>
          <w:szCs w:val="28"/>
          <w:highlight w:val="none"/>
          <w:u w:val="single"/>
        </w:rPr>
        <w:t xml:space="preserve">     </w:t>
      </w:r>
    </w:p>
    <w:p w14:paraId="765D9621">
      <w:pPr>
        <w:pStyle w:val="54"/>
        <w:rPr>
          <w:rFonts w:hint="eastAsia" w:ascii="仿宋" w:hAnsi="仿宋" w:eastAsia="仿宋" w:cs="仿宋"/>
          <w:b/>
          <w:bCs/>
          <w:color w:val="auto"/>
          <w:highlight w:val="none"/>
        </w:rPr>
      </w:pPr>
    </w:p>
    <w:p w14:paraId="1435DE40">
      <w:pPr>
        <w:pStyle w:val="54"/>
        <w:rPr>
          <w:rFonts w:hint="eastAsia" w:ascii="仿宋" w:hAnsi="仿宋" w:eastAsia="仿宋" w:cs="仿宋"/>
          <w:b/>
          <w:bCs/>
          <w:color w:val="auto"/>
          <w:highlight w:val="none"/>
        </w:rPr>
      </w:pPr>
      <w:r>
        <w:rPr>
          <w:rFonts w:hint="eastAsia" w:ascii="仿宋" w:hAnsi="仿宋" w:eastAsia="仿宋" w:cs="仿宋"/>
          <w:b/>
          <w:bCs/>
          <w:color w:val="auto"/>
          <w:highlight w:val="none"/>
        </w:rPr>
        <w:t>5-</w:t>
      </w:r>
      <w:r>
        <w:rPr>
          <w:rFonts w:hint="eastAsia" w:ascii="仿宋" w:hAnsi="仿宋" w:eastAsia="仿宋" w:cs="仿宋"/>
          <w:b/>
          <w:bCs/>
          <w:color w:val="auto"/>
          <w:highlight w:val="none"/>
          <w:lang w:val="en-US" w:eastAsia="zh-CN"/>
        </w:rPr>
        <w:t>2</w:t>
      </w:r>
      <w:r>
        <w:rPr>
          <w:rFonts w:hint="eastAsia" w:ascii="仿宋" w:hAnsi="仿宋" w:eastAsia="仿宋" w:cs="仿宋"/>
          <w:b/>
          <w:bCs/>
          <w:color w:val="auto"/>
          <w:highlight w:val="none"/>
        </w:rPr>
        <w:t>符合本国产品标准的产品成本之和占比</w:t>
      </w:r>
    </w:p>
    <w:tbl>
      <w:tblPr>
        <w:tblStyle w:val="28"/>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50AD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tcPr>
          <w:p w14:paraId="1F0FA48D">
            <w:pPr>
              <w:spacing w:line="360" w:lineRule="auto"/>
              <w:rPr>
                <w:rFonts w:hint="eastAsia" w:ascii="仿宋" w:hAnsi="仿宋" w:eastAsia="仿宋" w:cs="仿宋"/>
                <w:b/>
                <w:bCs/>
                <w:color w:val="auto"/>
                <w:szCs w:val="21"/>
                <w:highlight w:val="none"/>
              </w:rPr>
            </w:pPr>
            <w:r>
              <w:rPr>
                <w:rFonts w:hint="eastAsia" w:ascii="仿宋" w:hAnsi="仿宋" w:eastAsia="仿宋" w:cs="仿宋"/>
                <w:color w:val="auto"/>
                <w:sz w:val="24"/>
                <w:szCs w:val="24"/>
                <w:highlight w:val="none"/>
              </w:rPr>
              <w:t>本公司（单位）提供的符合本国产品标准的产品成本之和占提供的全部产品成本之和的比例</w:t>
            </w:r>
          </w:p>
        </w:tc>
        <w:tc>
          <w:tcPr>
            <w:tcW w:w="1766" w:type="dxa"/>
          </w:tcPr>
          <w:p w14:paraId="5466FD65">
            <w:pPr>
              <w:spacing w:line="360" w:lineRule="auto"/>
              <w:rPr>
                <w:rFonts w:hint="eastAsia" w:ascii="仿宋" w:hAnsi="仿宋" w:eastAsia="仿宋" w:cs="仿宋"/>
                <w:color w:val="auto"/>
                <w:sz w:val="24"/>
                <w:szCs w:val="24"/>
                <w:highlight w:val="none"/>
                <w:u w:val="single"/>
              </w:rPr>
            </w:pPr>
          </w:p>
          <w:p w14:paraId="59B7C819">
            <w:pPr>
              <w:spacing w:line="360" w:lineRule="auto"/>
              <w:rPr>
                <w:rFonts w:hint="eastAsia" w:ascii="仿宋" w:hAnsi="仿宋" w:eastAsia="仿宋" w:cs="仿宋"/>
                <w:b/>
                <w:bCs/>
                <w:color w:val="auto"/>
                <w:szCs w:val="21"/>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Cs w:val="24"/>
                <w:highlight w:val="none"/>
              </w:rPr>
              <w:t>%</w:t>
            </w:r>
          </w:p>
        </w:tc>
      </w:tr>
      <w:tr w14:paraId="3DCD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tcPr>
          <w:p w14:paraId="0FD3CFA7">
            <w:pPr>
              <w:tabs>
                <w:tab w:val="left" w:pos="4620"/>
              </w:tabs>
              <w:spacing w:line="360" w:lineRule="auto"/>
              <w:jc w:val="left"/>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提醒：</w:t>
            </w:r>
          </w:p>
          <w:p w14:paraId="40E17859">
            <w:pPr>
              <w:tabs>
                <w:tab w:val="left" w:pos="4620"/>
              </w:tabs>
              <w:spacing w:line="360" w:lineRule="auto"/>
              <w:jc w:val="left"/>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1.投标人为该采购项目或者采购包提供的符合本国产品标准的产品成本之和占该投标人提供的全部产品成本之和的比例达到80%以上时，对该投标人提供的全部产品给予价格评审优惠。</w:t>
            </w:r>
          </w:p>
          <w:p w14:paraId="00F4A315">
            <w:pPr>
              <w:spacing w:line="360" w:lineRule="auto"/>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03BCA007">
            <w:pPr>
              <w:spacing w:line="360" w:lineRule="auto"/>
              <w:rPr>
                <w:rFonts w:hint="eastAsia" w:ascii="仿宋" w:hAnsi="仿宋" w:eastAsia="仿宋" w:cs="仿宋"/>
                <w:bCs/>
                <w:color w:val="auto"/>
                <w:szCs w:val="24"/>
                <w:highlight w:val="none"/>
              </w:rPr>
            </w:pPr>
          </w:p>
          <w:p w14:paraId="6B1EC773">
            <w:pPr>
              <w:spacing w:line="360" w:lineRule="auto"/>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3.</w:t>
            </w:r>
            <w:r>
              <w:rPr>
                <w:rFonts w:hint="eastAsia" w:ascii="仿宋" w:hAnsi="仿宋" w:eastAsia="仿宋" w:cs="仿宋"/>
                <w:bCs/>
                <w:color w:val="auto"/>
                <w:szCs w:val="21"/>
                <w:highlight w:val="none"/>
                <w:lang w:bidi="ar"/>
              </w:rPr>
              <w:t>上表中全部产品成本之和是指表5-1和表5-2包含的全部货物、服务产品成本之和。</w:t>
            </w:r>
          </w:p>
        </w:tc>
      </w:tr>
    </w:tbl>
    <w:p w14:paraId="0B115B3A">
      <w:pPr>
        <w:spacing w:line="360" w:lineRule="auto"/>
        <w:rPr>
          <w:rFonts w:hint="eastAsia" w:ascii="仿宋" w:hAnsi="仿宋" w:eastAsia="仿宋" w:cs="仿宋"/>
          <w:b/>
          <w:bCs/>
          <w:color w:val="auto"/>
          <w:szCs w:val="21"/>
          <w:highlight w:val="none"/>
        </w:rPr>
      </w:pPr>
    </w:p>
    <w:p w14:paraId="6F2F7E05">
      <w:pPr>
        <w:spacing w:line="360" w:lineRule="auto"/>
        <w:ind w:firstLine="4800" w:firstLineChars="2000"/>
        <w:jc w:val="cente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投标人电子签章：</w:t>
      </w:r>
      <w:r>
        <w:rPr>
          <w:rFonts w:hint="eastAsia" w:ascii="仿宋" w:hAnsi="仿宋" w:eastAsia="仿宋" w:cs="仿宋"/>
          <w:color w:val="auto"/>
          <w:sz w:val="24"/>
          <w:highlight w:val="none"/>
          <w:u w:val="single"/>
        </w:rPr>
        <w:t xml:space="preserve">             </w:t>
      </w:r>
    </w:p>
    <w:p w14:paraId="75D65ADA">
      <w:pPr>
        <w:tabs>
          <w:tab w:val="left" w:pos="630"/>
        </w:tabs>
        <w:spacing w:line="360" w:lineRule="auto"/>
        <w:ind w:firstLine="4800" w:firstLineChars="20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r>
        <w:rPr>
          <w:rFonts w:hint="eastAsia" w:ascii="仿宋" w:hAnsi="仿宋" w:eastAsia="仿宋" w:cs="仿宋"/>
          <w:color w:val="auto"/>
          <w:sz w:val="24"/>
          <w:highlight w:val="none"/>
          <w:u w:val="single"/>
        </w:rPr>
        <w:t xml:space="preserve">             </w:t>
      </w:r>
    </w:p>
    <w:p w14:paraId="237924FA">
      <w:pPr>
        <w:spacing w:line="360" w:lineRule="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注：</w:t>
      </w:r>
    </w:p>
    <w:p w14:paraId="2D65822F">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1.表5-1中须明确列出所投产品的货物名称、品牌、型号规格、原产地及生产厂商，否则可能导致</w:t>
      </w:r>
      <w:r>
        <w:rPr>
          <w:rFonts w:hint="eastAsia" w:ascii="仿宋" w:hAnsi="仿宋" w:eastAsia="仿宋" w:cs="仿宋"/>
          <w:b/>
          <w:bCs/>
          <w:color w:val="auto"/>
          <w:szCs w:val="21"/>
          <w:highlight w:val="none"/>
        </w:rPr>
        <w:t>投标无效。</w:t>
      </w:r>
    </w:p>
    <w:p w14:paraId="4DB4D736">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2.上述报价为投标人完成本项目内容的全部费用，如有漏项或缺项，自行承担全部责任。</w:t>
      </w:r>
    </w:p>
    <w:p w14:paraId="38C0744F">
      <w:pPr>
        <w:widowControl/>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531F33EA">
      <w:pPr>
        <w:spacing w:line="360" w:lineRule="auto"/>
        <w:jc w:val="center"/>
        <w:outlineLvl w:val="1"/>
        <w:rPr>
          <w:rFonts w:hint="eastAsia" w:ascii="仿宋" w:hAnsi="仿宋" w:eastAsia="仿宋" w:cs="仿宋"/>
          <w:b/>
          <w:color w:val="auto"/>
          <w:sz w:val="24"/>
          <w:highlight w:val="none"/>
        </w:rPr>
      </w:pPr>
      <w:bookmarkStart w:id="73" w:name="_Toc11940"/>
      <w:bookmarkStart w:id="74" w:name="_Toc20329"/>
      <w:bookmarkStart w:id="75" w:name="_Toc5200"/>
      <w:r>
        <w:rPr>
          <w:rFonts w:hint="eastAsia" w:ascii="仿宋" w:hAnsi="仿宋" w:eastAsia="仿宋" w:cs="仿宋"/>
          <w:b/>
          <w:color w:val="auto"/>
          <w:sz w:val="24"/>
          <w:highlight w:val="none"/>
        </w:rPr>
        <w:t>六、投标响应表</w:t>
      </w:r>
      <w:bookmarkEnd w:id="73"/>
      <w:bookmarkEnd w:id="74"/>
      <w:bookmarkEnd w:id="75"/>
    </w:p>
    <w:p w14:paraId="60545A48">
      <w:pPr>
        <w:spacing w:line="360" w:lineRule="auto"/>
        <w:ind w:firstLine="435"/>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6.1商务响应表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089"/>
        <w:gridCol w:w="2723"/>
        <w:gridCol w:w="2806"/>
        <w:gridCol w:w="883"/>
      </w:tblGrid>
      <w:tr w14:paraId="6400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4ABE961">
            <w:pPr>
              <w:pStyle w:val="15"/>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124" w:type="pct"/>
            <w:vAlign w:val="center"/>
          </w:tcPr>
          <w:p w14:paraId="1230C176">
            <w:pPr>
              <w:pStyle w:val="15"/>
              <w:jc w:val="center"/>
              <w:rPr>
                <w:rFonts w:hint="eastAsia" w:ascii="仿宋" w:hAnsi="仿宋" w:eastAsia="仿宋" w:cs="仿宋"/>
                <w:b/>
                <w:color w:val="auto"/>
                <w:sz w:val="24"/>
                <w:highlight w:val="none"/>
              </w:rPr>
            </w:pPr>
            <w:r>
              <w:rPr>
                <w:rFonts w:hint="eastAsia" w:ascii="仿宋" w:hAnsi="仿宋" w:eastAsia="仿宋" w:cs="仿宋"/>
                <w:b/>
                <w:bCs/>
                <w:color w:val="auto"/>
                <w:sz w:val="24"/>
                <w:szCs w:val="24"/>
                <w:highlight w:val="none"/>
              </w:rPr>
              <w:t>商务条款</w:t>
            </w:r>
          </w:p>
        </w:tc>
        <w:tc>
          <w:tcPr>
            <w:tcW w:w="1465" w:type="pct"/>
            <w:vAlign w:val="center"/>
          </w:tcPr>
          <w:p w14:paraId="6D79F899">
            <w:pPr>
              <w:pStyle w:val="15"/>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招标文件要求</w:t>
            </w:r>
          </w:p>
        </w:tc>
        <w:tc>
          <w:tcPr>
            <w:tcW w:w="1510" w:type="pct"/>
            <w:vAlign w:val="center"/>
          </w:tcPr>
          <w:p w14:paraId="0CA330A3">
            <w:pPr>
              <w:pStyle w:val="15"/>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投标人承诺</w:t>
            </w:r>
          </w:p>
        </w:tc>
        <w:tc>
          <w:tcPr>
            <w:tcW w:w="475" w:type="pct"/>
            <w:vAlign w:val="center"/>
          </w:tcPr>
          <w:p w14:paraId="14665152">
            <w:pPr>
              <w:pStyle w:val="15"/>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偏离说明</w:t>
            </w:r>
          </w:p>
        </w:tc>
      </w:tr>
      <w:tr w14:paraId="3762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9C20A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124" w:type="pct"/>
            <w:vAlign w:val="center"/>
          </w:tcPr>
          <w:p w14:paraId="7A9FD59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付款方式</w:t>
            </w:r>
          </w:p>
        </w:tc>
        <w:tc>
          <w:tcPr>
            <w:tcW w:w="1465" w:type="pct"/>
            <w:vAlign w:val="center"/>
          </w:tcPr>
          <w:p w14:paraId="6E262DB8">
            <w:pPr>
              <w:jc w:val="center"/>
              <w:rPr>
                <w:rFonts w:hint="eastAsia" w:ascii="仿宋" w:hAnsi="仿宋" w:eastAsia="仿宋" w:cs="仿宋"/>
                <w:color w:val="auto"/>
                <w:sz w:val="24"/>
                <w:highlight w:val="none"/>
              </w:rPr>
            </w:pPr>
          </w:p>
        </w:tc>
        <w:tc>
          <w:tcPr>
            <w:tcW w:w="1510" w:type="pct"/>
            <w:vAlign w:val="center"/>
          </w:tcPr>
          <w:p w14:paraId="6FC69904">
            <w:pPr>
              <w:jc w:val="center"/>
              <w:rPr>
                <w:rFonts w:hint="eastAsia" w:ascii="仿宋" w:hAnsi="仿宋" w:eastAsia="仿宋" w:cs="仿宋"/>
                <w:color w:val="auto"/>
                <w:sz w:val="24"/>
                <w:highlight w:val="none"/>
              </w:rPr>
            </w:pPr>
          </w:p>
        </w:tc>
        <w:tc>
          <w:tcPr>
            <w:tcW w:w="475" w:type="pct"/>
            <w:vAlign w:val="center"/>
          </w:tcPr>
          <w:p w14:paraId="5AAEF47D">
            <w:pPr>
              <w:jc w:val="center"/>
              <w:rPr>
                <w:rFonts w:hint="eastAsia" w:ascii="仿宋" w:hAnsi="仿宋" w:eastAsia="仿宋" w:cs="仿宋"/>
                <w:color w:val="auto"/>
                <w:sz w:val="24"/>
                <w:highlight w:val="none"/>
              </w:rPr>
            </w:pPr>
          </w:p>
        </w:tc>
      </w:tr>
      <w:tr w14:paraId="3CDA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AE03F07">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124" w:type="pct"/>
            <w:vAlign w:val="center"/>
          </w:tcPr>
          <w:p w14:paraId="7AF7A0B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供货及安装地点</w:t>
            </w:r>
          </w:p>
        </w:tc>
        <w:tc>
          <w:tcPr>
            <w:tcW w:w="1465" w:type="pct"/>
            <w:vAlign w:val="center"/>
          </w:tcPr>
          <w:p w14:paraId="77DF16E7">
            <w:pPr>
              <w:jc w:val="center"/>
              <w:rPr>
                <w:rFonts w:hint="eastAsia" w:ascii="仿宋" w:hAnsi="仿宋" w:eastAsia="仿宋" w:cs="仿宋"/>
                <w:color w:val="auto"/>
                <w:sz w:val="24"/>
                <w:highlight w:val="none"/>
              </w:rPr>
            </w:pPr>
          </w:p>
        </w:tc>
        <w:tc>
          <w:tcPr>
            <w:tcW w:w="1510" w:type="pct"/>
            <w:vAlign w:val="center"/>
          </w:tcPr>
          <w:p w14:paraId="0E0D6ABD">
            <w:pPr>
              <w:jc w:val="center"/>
              <w:rPr>
                <w:rFonts w:hint="eastAsia" w:ascii="仿宋" w:hAnsi="仿宋" w:eastAsia="仿宋" w:cs="仿宋"/>
                <w:color w:val="auto"/>
                <w:sz w:val="24"/>
                <w:highlight w:val="none"/>
              </w:rPr>
            </w:pPr>
          </w:p>
        </w:tc>
        <w:tc>
          <w:tcPr>
            <w:tcW w:w="475" w:type="pct"/>
            <w:vAlign w:val="center"/>
          </w:tcPr>
          <w:p w14:paraId="775A1929">
            <w:pPr>
              <w:jc w:val="center"/>
              <w:rPr>
                <w:rFonts w:hint="eastAsia" w:ascii="仿宋" w:hAnsi="仿宋" w:eastAsia="仿宋" w:cs="仿宋"/>
                <w:color w:val="auto"/>
                <w:sz w:val="24"/>
                <w:highlight w:val="none"/>
              </w:rPr>
            </w:pPr>
          </w:p>
        </w:tc>
      </w:tr>
      <w:tr w14:paraId="10640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1452FDD">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124" w:type="pct"/>
            <w:vAlign w:val="center"/>
          </w:tcPr>
          <w:p w14:paraId="17A40AF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供货及安装期限</w:t>
            </w:r>
          </w:p>
        </w:tc>
        <w:tc>
          <w:tcPr>
            <w:tcW w:w="1465" w:type="pct"/>
            <w:vAlign w:val="center"/>
          </w:tcPr>
          <w:p w14:paraId="71E6DBB4">
            <w:pPr>
              <w:jc w:val="center"/>
              <w:rPr>
                <w:rFonts w:hint="eastAsia" w:ascii="仿宋" w:hAnsi="仿宋" w:eastAsia="仿宋" w:cs="仿宋"/>
                <w:color w:val="auto"/>
                <w:sz w:val="24"/>
                <w:highlight w:val="none"/>
              </w:rPr>
            </w:pPr>
          </w:p>
        </w:tc>
        <w:tc>
          <w:tcPr>
            <w:tcW w:w="1510" w:type="pct"/>
            <w:vAlign w:val="center"/>
          </w:tcPr>
          <w:p w14:paraId="25E70A33">
            <w:pPr>
              <w:pStyle w:val="54"/>
              <w:jc w:val="center"/>
              <w:rPr>
                <w:rFonts w:hint="eastAsia" w:ascii="仿宋" w:hAnsi="仿宋" w:eastAsia="仿宋" w:cs="仿宋"/>
                <w:color w:val="auto"/>
                <w:highlight w:val="none"/>
              </w:rPr>
            </w:pPr>
          </w:p>
        </w:tc>
        <w:tc>
          <w:tcPr>
            <w:tcW w:w="475" w:type="pct"/>
            <w:vAlign w:val="center"/>
          </w:tcPr>
          <w:p w14:paraId="36AA3544">
            <w:pPr>
              <w:jc w:val="center"/>
              <w:rPr>
                <w:rFonts w:hint="eastAsia" w:ascii="仿宋" w:hAnsi="仿宋" w:eastAsia="仿宋" w:cs="仿宋"/>
                <w:color w:val="auto"/>
                <w:sz w:val="24"/>
                <w:highlight w:val="none"/>
              </w:rPr>
            </w:pPr>
          </w:p>
        </w:tc>
      </w:tr>
      <w:tr w14:paraId="3F95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8C371D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124" w:type="pct"/>
            <w:vAlign w:val="center"/>
          </w:tcPr>
          <w:p w14:paraId="55F5B9D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免费质保期</w:t>
            </w:r>
          </w:p>
        </w:tc>
        <w:tc>
          <w:tcPr>
            <w:tcW w:w="1465" w:type="pct"/>
            <w:vAlign w:val="center"/>
          </w:tcPr>
          <w:p w14:paraId="0084D77A">
            <w:pPr>
              <w:jc w:val="center"/>
              <w:rPr>
                <w:rFonts w:hint="eastAsia" w:ascii="仿宋" w:hAnsi="仿宋" w:eastAsia="仿宋" w:cs="仿宋"/>
                <w:color w:val="auto"/>
                <w:sz w:val="24"/>
                <w:highlight w:val="none"/>
              </w:rPr>
            </w:pPr>
          </w:p>
        </w:tc>
        <w:tc>
          <w:tcPr>
            <w:tcW w:w="1510" w:type="pct"/>
            <w:vAlign w:val="center"/>
          </w:tcPr>
          <w:p w14:paraId="0C6F9F95">
            <w:pPr>
              <w:jc w:val="center"/>
              <w:rPr>
                <w:rFonts w:hint="eastAsia" w:ascii="仿宋" w:hAnsi="仿宋" w:eastAsia="仿宋" w:cs="仿宋"/>
                <w:color w:val="auto"/>
                <w:sz w:val="24"/>
                <w:highlight w:val="none"/>
              </w:rPr>
            </w:pPr>
          </w:p>
        </w:tc>
        <w:tc>
          <w:tcPr>
            <w:tcW w:w="475" w:type="pct"/>
            <w:vAlign w:val="center"/>
          </w:tcPr>
          <w:p w14:paraId="17410CF9">
            <w:pPr>
              <w:jc w:val="center"/>
              <w:rPr>
                <w:rFonts w:hint="eastAsia" w:ascii="仿宋" w:hAnsi="仿宋" w:eastAsia="仿宋" w:cs="仿宋"/>
                <w:color w:val="auto"/>
                <w:sz w:val="24"/>
                <w:highlight w:val="none"/>
              </w:rPr>
            </w:pPr>
          </w:p>
        </w:tc>
      </w:tr>
      <w:tr w14:paraId="5065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DED59A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124" w:type="pct"/>
            <w:vAlign w:val="center"/>
          </w:tcPr>
          <w:p w14:paraId="1B57F20A">
            <w:pPr>
              <w:jc w:val="center"/>
              <w:rPr>
                <w:rFonts w:hint="eastAsia" w:ascii="仿宋" w:hAnsi="仿宋" w:eastAsia="仿宋" w:cs="仿宋"/>
                <w:color w:val="auto"/>
                <w:sz w:val="24"/>
                <w:highlight w:val="none"/>
              </w:rPr>
            </w:pPr>
          </w:p>
        </w:tc>
        <w:tc>
          <w:tcPr>
            <w:tcW w:w="1465" w:type="pct"/>
            <w:vAlign w:val="center"/>
          </w:tcPr>
          <w:p w14:paraId="71E1EDB8">
            <w:pPr>
              <w:jc w:val="center"/>
              <w:rPr>
                <w:rFonts w:hint="eastAsia" w:ascii="仿宋" w:hAnsi="仿宋" w:eastAsia="仿宋" w:cs="仿宋"/>
                <w:color w:val="auto"/>
                <w:sz w:val="24"/>
                <w:highlight w:val="none"/>
              </w:rPr>
            </w:pPr>
          </w:p>
        </w:tc>
        <w:tc>
          <w:tcPr>
            <w:tcW w:w="1510" w:type="pct"/>
            <w:vAlign w:val="center"/>
          </w:tcPr>
          <w:p w14:paraId="68F41E27">
            <w:pPr>
              <w:jc w:val="center"/>
              <w:rPr>
                <w:rFonts w:hint="eastAsia" w:ascii="仿宋" w:hAnsi="仿宋" w:eastAsia="仿宋" w:cs="仿宋"/>
                <w:color w:val="auto"/>
                <w:sz w:val="24"/>
                <w:highlight w:val="none"/>
              </w:rPr>
            </w:pPr>
          </w:p>
        </w:tc>
        <w:tc>
          <w:tcPr>
            <w:tcW w:w="475" w:type="pct"/>
            <w:vAlign w:val="center"/>
          </w:tcPr>
          <w:p w14:paraId="6A26CFDE">
            <w:pPr>
              <w:jc w:val="center"/>
              <w:rPr>
                <w:rFonts w:hint="eastAsia" w:ascii="仿宋" w:hAnsi="仿宋" w:eastAsia="仿宋" w:cs="仿宋"/>
                <w:color w:val="auto"/>
                <w:sz w:val="24"/>
                <w:highlight w:val="none"/>
              </w:rPr>
            </w:pPr>
          </w:p>
        </w:tc>
      </w:tr>
    </w:tbl>
    <w:p w14:paraId="0326C7AE">
      <w:pPr>
        <w:spacing w:line="360" w:lineRule="auto"/>
        <w:ind w:firstLine="435"/>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6.2技术响应表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1700"/>
        <w:gridCol w:w="3121"/>
        <w:gridCol w:w="2705"/>
        <w:gridCol w:w="933"/>
      </w:tblGrid>
      <w:tr w14:paraId="6FFE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1CD8E19A">
            <w:pPr>
              <w:pStyle w:val="15"/>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915" w:type="pct"/>
            <w:vAlign w:val="center"/>
          </w:tcPr>
          <w:p w14:paraId="696A1CD5">
            <w:pPr>
              <w:pStyle w:val="15"/>
              <w:jc w:val="center"/>
              <w:rPr>
                <w:rFonts w:hint="eastAsia" w:ascii="仿宋" w:hAnsi="仿宋" w:eastAsia="仿宋" w:cs="仿宋"/>
                <w:b/>
                <w:color w:val="auto"/>
                <w:sz w:val="24"/>
                <w:highlight w:val="none"/>
              </w:rPr>
            </w:pPr>
            <w:r>
              <w:rPr>
                <w:rFonts w:hint="eastAsia" w:ascii="仿宋" w:hAnsi="仿宋" w:eastAsia="仿宋" w:cs="仿宋"/>
                <w:b/>
                <w:bCs/>
                <w:color w:val="auto"/>
                <w:sz w:val="24"/>
                <w:szCs w:val="24"/>
                <w:highlight w:val="none"/>
              </w:rPr>
              <w:t>货物名称</w:t>
            </w:r>
          </w:p>
        </w:tc>
        <w:tc>
          <w:tcPr>
            <w:tcW w:w="1680" w:type="pct"/>
            <w:vAlign w:val="center"/>
          </w:tcPr>
          <w:p w14:paraId="0FE4E1BE">
            <w:pPr>
              <w:pStyle w:val="15"/>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招标文件规定的技术参数及要求</w:t>
            </w:r>
          </w:p>
        </w:tc>
        <w:tc>
          <w:tcPr>
            <w:tcW w:w="1456" w:type="pct"/>
            <w:vAlign w:val="center"/>
          </w:tcPr>
          <w:p w14:paraId="4D741DAC">
            <w:pPr>
              <w:pStyle w:val="15"/>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所投产品的品牌、型号及技术参数</w:t>
            </w:r>
          </w:p>
        </w:tc>
        <w:tc>
          <w:tcPr>
            <w:tcW w:w="502" w:type="pct"/>
            <w:vAlign w:val="center"/>
          </w:tcPr>
          <w:p w14:paraId="15765A46">
            <w:pPr>
              <w:pStyle w:val="15"/>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偏离说明</w:t>
            </w:r>
          </w:p>
        </w:tc>
      </w:tr>
      <w:tr w14:paraId="626E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A085E4D">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915" w:type="pct"/>
            <w:vAlign w:val="center"/>
          </w:tcPr>
          <w:p w14:paraId="2396BFF0">
            <w:pPr>
              <w:jc w:val="center"/>
              <w:rPr>
                <w:rFonts w:hint="eastAsia" w:ascii="仿宋" w:hAnsi="仿宋" w:eastAsia="仿宋" w:cs="仿宋"/>
                <w:color w:val="auto"/>
                <w:sz w:val="24"/>
                <w:highlight w:val="none"/>
              </w:rPr>
            </w:pPr>
          </w:p>
        </w:tc>
        <w:tc>
          <w:tcPr>
            <w:tcW w:w="1680" w:type="pct"/>
            <w:vAlign w:val="center"/>
          </w:tcPr>
          <w:p w14:paraId="6EFDFE4B">
            <w:pPr>
              <w:jc w:val="center"/>
              <w:rPr>
                <w:rFonts w:hint="eastAsia" w:ascii="仿宋" w:hAnsi="仿宋" w:eastAsia="仿宋" w:cs="仿宋"/>
                <w:color w:val="auto"/>
                <w:sz w:val="24"/>
                <w:highlight w:val="none"/>
              </w:rPr>
            </w:pPr>
          </w:p>
        </w:tc>
        <w:tc>
          <w:tcPr>
            <w:tcW w:w="1456" w:type="pct"/>
            <w:vAlign w:val="center"/>
          </w:tcPr>
          <w:p w14:paraId="5202C1DE">
            <w:pPr>
              <w:jc w:val="center"/>
              <w:rPr>
                <w:rFonts w:hint="eastAsia" w:ascii="仿宋" w:hAnsi="仿宋" w:eastAsia="仿宋" w:cs="仿宋"/>
                <w:color w:val="auto"/>
                <w:sz w:val="24"/>
                <w:highlight w:val="none"/>
              </w:rPr>
            </w:pPr>
          </w:p>
        </w:tc>
        <w:tc>
          <w:tcPr>
            <w:tcW w:w="502" w:type="pct"/>
            <w:vAlign w:val="center"/>
          </w:tcPr>
          <w:p w14:paraId="7DDEA4EC">
            <w:pPr>
              <w:jc w:val="center"/>
              <w:rPr>
                <w:rFonts w:hint="eastAsia" w:ascii="仿宋" w:hAnsi="仿宋" w:eastAsia="仿宋" w:cs="仿宋"/>
                <w:color w:val="auto"/>
                <w:sz w:val="24"/>
                <w:highlight w:val="none"/>
              </w:rPr>
            </w:pPr>
          </w:p>
        </w:tc>
      </w:tr>
      <w:tr w14:paraId="15D3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FE78BD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915" w:type="pct"/>
            <w:vAlign w:val="center"/>
          </w:tcPr>
          <w:p w14:paraId="7B0BE345">
            <w:pPr>
              <w:jc w:val="center"/>
              <w:rPr>
                <w:rFonts w:hint="eastAsia" w:ascii="仿宋" w:hAnsi="仿宋" w:eastAsia="仿宋" w:cs="仿宋"/>
                <w:color w:val="auto"/>
                <w:sz w:val="24"/>
                <w:highlight w:val="none"/>
              </w:rPr>
            </w:pPr>
          </w:p>
        </w:tc>
        <w:tc>
          <w:tcPr>
            <w:tcW w:w="1680" w:type="pct"/>
            <w:vAlign w:val="center"/>
          </w:tcPr>
          <w:p w14:paraId="690F17D4">
            <w:pPr>
              <w:jc w:val="center"/>
              <w:rPr>
                <w:rFonts w:hint="eastAsia" w:ascii="仿宋" w:hAnsi="仿宋" w:eastAsia="仿宋" w:cs="仿宋"/>
                <w:color w:val="auto"/>
                <w:sz w:val="24"/>
                <w:highlight w:val="none"/>
              </w:rPr>
            </w:pPr>
          </w:p>
        </w:tc>
        <w:tc>
          <w:tcPr>
            <w:tcW w:w="1456" w:type="pct"/>
            <w:vAlign w:val="center"/>
          </w:tcPr>
          <w:p w14:paraId="019CEEC7">
            <w:pPr>
              <w:jc w:val="center"/>
              <w:rPr>
                <w:rFonts w:hint="eastAsia" w:ascii="仿宋" w:hAnsi="仿宋" w:eastAsia="仿宋" w:cs="仿宋"/>
                <w:color w:val="auto"/>
                <w:sz w:val="24"/>
                <w:highlight w:val="none"/>
              </w:rPr>
            </w:pPr>
          </w:p>
        </w:tc>
        <w:tc>
          <w:tcPr>
            <w:tcW w:w="502" w:type="pct"/>
            <w:vAlign w:val="center"/>
          </w:tcPr>
          <w:p w14:paraId="21CD2C8B">
            <w:pPr>
              <w:jc w:val="center"/>
              <w:rPr>
                <w:rFonts w:hint="eastAsia" w:ascii="仿宋" w:hAnsi="仿宋" w:eastAsia="仿宋" w:cs="仿宋"/>
                <w:color w:val="auto"/>
                <w:sz w:val="24"/>
                <w:highlight w:val="none"/>
              </w:rPr>
            </w:pPr>
          </w:p>
        </w:tc>
      </w:tr>
      <w:tr w14:paraId="24D7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A12308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915" w:type="pct"/>
            <w:vAlign w:val="center"/>
          </w:tcPr>
          <w:p w14:paraId="1E932CC7">
            <w:pPr>
              <w:jc w:val="center"/>
              <w:rPr>
                <w:rFonts w:hint="eastAsia" w:ascii="仿宋" w:hAnsi="仿宋" w:eastAsia="仿宋" w:cs="仿宋"/>
                <w:color w:val="auto"/>
                <w:sz w:val="24"/>
                <w:highlight w:val="none"/>
              </w:rPr>
            </w:pPr>
          </w:p>
        </w:tc>
        <w:tc>
          <w:tcPr>
            <w:tcW w:w="1680" w:type="pct"/>
            <w:vAlign w:val="center"/>
          </w:tcPr>
          <w:p w14:paraId="2397213C">
            <w:pPr>
              <w:jc w:val="center"/>
              <w:rPr>
                <w:rFonts w:hint="eastAsia" w:ascii="仿宋" w:hAnsi="仿宋" w:eastAsia="仿宋" w:cs="仿宋"/>
                <w:color w:val="auto"/>
                <w:sz w:val="24"/>
                <w:highlight w:val="none"/>
              </w:rPr>
            </w:pPr>
          </w:p>
        </w:tc>
        <w:tc>
          <w:tcPr>
            <w:tcW w:w="1456" w:type="pct"/>
            <w:vAlign w:val="center"/>
          </w:tcPr>
          <w:p w14:paraId="1E591C39">
            <w:pPr>
              <w:pStyle w:val="54"/>
              <w:jc w:val="center"/>
              <w:rPr>
                <w:rFonts w:hint="eastAsia" w:ascii="仿宋" w:hAnsi="仿宋" w:eastAsia="仿宋" w:cs="仿宋"/>
                <w:color w:val="auto"/>
                <w:highlight w:val="none"/>
              </w:rPr>
            </w:pPr>
          </w:p>
        </w:tc>
        <w:tc>
          <w:tcPr>
            <w:tcW w:w="502" w:type="pct"/>
            <w:vAlign w:val="center"/>
          </w:tcPr>
          <w:p w14:paraId="28B1F849">
            <w:pPr>
              <w:jc w:val="center"/>
              <w:rPr>
                <w:rFonts w:hint="eastAsia" w:ascii="仿宋" w:hAnsi="仿宋" w:eastAsia="仿宋" w:cs="仿宋"/>
                <w:color w:val="auto"/>
                <w:sz w:val="24"/>
                <w:highlight w:val="none"/>
              </w:rPr>
            </w:pPr>
          </w:p>
        </w:tc>
      </w:tr>
      <w:tr w14:paraId="3A97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69990F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915" w:type="pct"/>
            <w:vAlign w:val="center"/>
          </w:tcPr>
          <w:p w14:paraId="1D0E6CD6">
            <w:pPr>
              <w:jc w:val="center"/>
              <w:rPr>
                <w:rFonts w:hint="eastAsia" w:ascii="仿宋" w:hAnsi="仿宋" w:eastAsia="仿宋" w:cs="仿宋"/>
                <w:color w:val="auto"/>
                <w:sz w:val="24"/>
                <w:highlight w:val="none"/>
              </w:rPr>
            </w:pPr>
          </w:p>
        </w:tc>
        <w:tc>
          <w:tcPr>
            <w:tcW w:w="1680" w:type="pct"/>
            <w:vAlign w:val="center"/>
          </w:tcPr>
          <w:p w14:paraId="637D0A49">
            <w:pPr>
              <w:jc w:val="center"/>
              <w:rPr>
                <w:rFonts w:hint="eastAsia" w:ascii="仿宋" w:hAnsi="仿宋" w:eastAsia="仿宋" w:cs="仿宋"/>
                <w:color w:val="auto"/>
                <w:sz w:val="24"/>
                <w:highlight w:val="none"/>
              </w:rPr>
            </w:pPr>
          </w:p>
        </w:tc>
        <w:tc>
          <w:tcPr>
            <w:tcW w:w="1456" w:type="pct"/>
            <w:vAlign w:val="center"/>
          </w:tcPr>
          <w:p w14:paraId="0003729D">
            <w:pPr>
              <w:pStyle w:val="54"/>
              <w:jc w:val="center"/>
              <w:rPr>
                <w:rFonts w:hint="eastAsia" w:ascii="仿宋" w:hAnsi="仿宋" w:eastAsia="仿宋" w:cs="仿宋"/>
                <w:color w:val="auto"/>
                <w:highlight w:val="none"/>
              </w:rPr>
            </w:pPr>
          </w:p>
        </w:tc>
        <w:tc>
          <w:tcPr>
            <w:tcW w:w="502" w:type="pct"/>
            <w:vAlign w:val="center"/>
          </w:tcPr>
          <w:p w14:paraId="22E11C34">
            <w:pPr>
              <w:jc w:val="center"/>
              <w:rPr>
                <w:rFonts w:hint="eastAsia" w:ascii="仿宋" w:hAnsi="仿宋" w:eastAsia="仿宋" w:cs="仿宋"/>
                <w:color w:val="auto"/>
                <w:sz w:val="24"/>
                <w:highlight w:val="none"/>
              </w:rPr>
            </w:pPr>
          </w:p>
        </w:tc>
      </w:tr>
      <w:tr w14:paraId="06B4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0CDAF6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915" w:type="pct"/>
            <w:vAlign w:val="center"/>
          </w:tcPr>
          <w:p w14:paraId="7878DCEE">
            <w:pPr>
              <w:jc w:val="center"/>
              <w:rPr>
                <w:rFonts w:hint="eastAsia" w:ascii="仿宋" w:hAnsi="仿宋" w:eastAsia="仿宋" w:cs="仿宋"/>
                <w:color w:val="auto"/>
                <w:sz w:val="24"/>
                <w:highlight w:val="none"/>
              </w:rPr>
            </w:pPr>
          </w:p>
        </w:tc>
        <w:tc>
          <w:tcPr>
            <w:tcW w:w="1680" w:type="pct"/>
            <w:vAlign w:val="center"/>
          </w:tcPr>
          <w:p w14:paraId="276701A2">
            <w:pPr>
              <w:jc w:val="center"/>
              <w:rPr>
                <w:rFonts w:hint="eastAsia" w:ascii="仿宋" w:hAnsi="仿宋" w:eastAsia="仿宋" w:cs="仿宋"/>
                <w:color w:val="auto"/>
                <w:sz w:val="24"/>
                <w:highlight w:val="none"/>
              </w:rPr>
            </w:pPr>
          </w:p>
        </w:tc>
        <w:tc>
          <w:tcPr>
            <w:tcW w:w="1456" w:type="pct"/>
            <w:vAlign w:val="center"/>
          </w:tcPr>
          <w:p w14:paraId="1E7000E9">
            <w:pPr>
              <w:jc w:val="center"/>
              <w:rPr>
                <w:rFonts w:hint="eastAsia" w:ascii="仿宋" w:hAnsi="仿宋" w:eastAsia="仿宋" w:cs="仿宋"/>
                <w:color w:val="auto"/>
                <w:sz w:val="24"/>
                <w:highlight w:val="none"/>
              </w:rPr>
            </w:pPr>
          </w:p>
        </w:tc>
        <w:tc>
          <w:tcPr>
            <w:tcW w:w="502" w:type="pct"/>
            <w:vAlign w:val="center"/>
          </w:tcPr>
          <w:p w14:paraId="3693818E">
            <w:pPr>
              <w:jc w:val="center"/>
              <w:rPr>
                <w:rFonts w:hint="eastAsia" w:ascii="仿宋" w:hAnsi="仿宋" w:eastAsia="仿宋" w:cs="仿宋"/>
                <w:color w:val="auto"/>
                <w:sz w:val="24"/>
                <w:highlight w:val="none"/>
              </w:rPr>
            </w:pPr>
          </w:p>
        </w:tc>
      </w:tr>
    </w:tbl>
    <w:p w14:paraId="31692A09">
      <w:pPr>
        <w:spacing w:line="360" w:lineRule="auto"/>
        <w:ind w:firstLine="4800" w:firstLineChars="20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投标人电子签章：</w:t>
      </w:r>
      <w:r>
        <w:rPr>
          <w:rFonts w:hint="eastAsia" w:ascii="仿宋" w:hAnsi="仿宋" w:eastAsia="仿宋" w:cs="仿宋"/>
          <w:color w:val="auto"/>
          <w:sz w:val="24"/>
          <w:highlight w:val="none"/>
          <w:u w:val="single"/>
        </w:rPr>
        <w:t xml:space="preserve">             </w:t>
      </w:r>
    </w:p>
    <w:p w14:paraId="3AA7F99A">
      <w:pPr>
        <w:spacing w:line="360" w:lineRule="auto"/>
        <w:ind w:firstLine="4800" w:firstLineChars="20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日          期：</w:t>
      </w:r>
      <w:r>
        <w:rPr>
          <w:rFonts w:hint="eastAsia" w:ascii="仿宋" w:hAnsi="仿宋" w:eastAsia="仿宋" w:cs="仿宋"/>
          <w:color w:val="auto"/>
          <w:sz w:val="24"/>
          <w:highlight w:val="none"/>
          <w:u w:val="single"/>
        </w:rPr>
        <w:t xml:space="preserve">             </w:t>
      </w:r>
    </w:p>
    <w:p w14:paraId="6B6E7B29">
      <w:pPr>
        <w:pStyle w:val="16"/>
        <w:spacing w:line="360" w:lineRule="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br w:type="page"/>
      </w:r>
    </w:p>
    <w:p w14:paraId="6E527731">
      <w:pPr>
        <w:spacing w:line="360" w:lineRule="auto"/>
        <w:jc w:val="center"/>
        <w:outlineLvl w:val="1"/>
        <w:rPr>
          <w:rFonts w:hint="eastAsia" w:ascii="仿宋" w:hAnsi="仿宋" w:eastAsia="仿宋" w:cs="仿宋"/>
          <w:b/>
          <w:color w:val="auto"/>
          <w:sz w:val="24"/>
          <w:highlight w:val="none"/>
        </w:rPr>
      </w:pPr>
      <w:bookmarkStart w:id="76" w:name="_Toc32767"/>
      <w:bookmarkStart w:id="77" w:name="_Toc9573"/>
      <w:bookmarkStart w:id="78" w:name="_Toc31244"/>
      <w:bookmarkStart w:id="79" w:name="OLE_LINK14"/>
      <w:bookmarkStart w:id="80" w:name="OLE_LINK13"/>
      <w:r>
        <w:rPr>
          <w:rFonts w:hint="eastAsia" w:ascii="仿宋" w:hAnsi="仿宋" w:eastAsia="仿宋" w:cs="仿宋"/>
          <w:b/>
          <w:color w:val="auto"/>
          <w:sz w:val="24"/>
          <w:highlight w:val="none"/>
          <w:lang w:val="en-US" w:eastAsia="zh-CN"/>
        </w:rPr>
        <w:t>七、</w:t>
      </w:r>
      <w:r>
        <w:rPr>
          <w:rFonts w:hint="eastAsia" w:ascii="仿宋" w:hAnsi="仿宋" w:eastAsia="仿宋" w:cs="仿宋"/>
          <w:b/>
          <w:color w:val="auto"/>
          <w:sz w:val="24"/>
          <w:highlight w:val="none"/>
        </w:rPr>
        <w:t>服务承诺书</w:t>
      </w:r>
      <w:bookmarkEnd w:id="76"/>
    </w:p>
    <w:p w14:paraId="7082AAB0">
      <w:pPr>
        <w:ind w:firstLine="480" w:firstLineChars="200"/>
        <w:rPr>
          <w:rFonts w:hint="eastAsia" w:ascii="仿宋" w:hAnsi="仿宋" w:eastAsia="仿宋" w:cs="仿宋"/>
          <w:color w:val="auto"/>
          <w:sz w:val="24"/>
          <w:highlight w:val="none"/>
        </w:rPr>
      </w:pPr>
    </w:p>
    <w:p w14:paraId="27718CFA">
      <w:pPr>
        <w:ind w:firstLine="48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 xml:space="preserve">               （采购人）</w:t>
      </w:r>
      <w:r>
        <w:rPr>
          <w:rFonts w:hint="eastAsia" w:ascii="仿宋" w:hAnsi="仿宋" w:eastAsia="仿宋" w:cs="仿宋"/>
          <w:color w:val="auto"/>
          <w:sz w:val="24"/>
          <w:szCs w:val="24"/>
          <w:highlight w:val="none"/>
        </w:rPr>
        <w:t>：</w:t>
      </w:r>
    </w:p>
    <w:p w14:paraId="21BBA7C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本承诺声明：</w:t>
      </w:r>
    </w:p>
    <w:p w14:paraId="7649DF7F">
      <w:pPr>
        <w:keepNext w:val="0"/>
        <w:keepLines w:val="0"/>
        <w:pageBreakBefore w:val="0"/>
        <w:widowControl w:val="0"/>
        <w:numPr>
          <w:ilvl w:val="0"/>
          <w:numId w:val="11"/>
        </w:numPr>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（投标人名称）除技术参数响应表中已列出的负偏离参数以外的其余均完全</w:t>
      </w:r>
      <w:r>
        <w:rPr>
          <w:rFonts w:hint="eastAsia" w:ascii="仿宋" w:hAnsi="仿宋" w:eastAsia="仿宋" w:cs="仿宋"/>
          <w:color w:val="auto"/>
          <w:sz w:val="24"/>
          <w:szCs w:val="24"/>
          <w:highlight w:val="none"/>
          <w:lang w:val="en-US" w:eastAsia="zh-CN"/>
        </w:rPr>
        <w:t>满足或优于</w:t>
      </w:r>
      <w:r>
        <w:rPr>
          <w:rFonts w:hint="eastAsia" w:ascii="仿宋" w:hAnsi="仿宋" w:eastAsia="仿宋" w:cs="仿宋"/>
          <w:color w:val="auto"/>
          <w:sz w:val="24"/>
          <w:szCs w:val="24"/>
          <w:highlight w:val="none"/>
        </w:rPr>
        <w:t>本招标文件（含第四章采购需求全部内容）的所有要求。</w:t>
      </w:r>
    </w:p>
    <w:p w14:paraId="7CE2546E">
      <w:pPr>
        <w:keepNext w:val="0"/>
        <w:keepLines w:val="0"/>
        <w:pageBreakBefore w:val="0"/>
        <w:widowControl w:val="0"/>
        <w:numPr>
          <w:ilvl w:val="0"/>
          <w:numId w:val="11"/>
        </w:numPr>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（投标人名称）</w:t>
      </w:r>
      <w:r>
        <w:rPr>
          <w:rFonts w:hint="eastAsia" w:ascii="仿宋" w:hAnsi="仿宋" w:eastAsia="仿宋" w:cs="仿宋"/>
          <w:color w:val="auto"/>
          <w:sz w:val="24"/>
          <w:szCs w:val="24"/>
          <w:highlight w:val="none"/>
          <w:u w:val="none"/>
          <w:lang w:val="en-US" w:eastAsia="zh-CN"/>
        </w:rPr>
        <w:t>中标后</w:t>
      </w:r>
      <w:r>
        <w:rPr>
          <w:rFonts w:hint="eastAsia" w:ascii="仿宋" w:hAnsi="仿宋" w:eastAsia="仿宋" w:cs="仿宋"/>
          <w:b w:val="0"/>
          <w:color w:val="auto"/>
          <w:sz w:val="24"/>
          <w:szCs w:val="24"/>
          <w:highlight w:val="none"/>
          <w:u w:val="none"/>
          <w:lang w:val="en-US" w:eastAsia="zh-CN"/>
        </w:rPr>
        <w:t>根据招标文件要求提供再生资源回收体系建设，并承诺自合同签订之日起30日历天内至少完成300台再生资源智能回收箱铺设，60日历天内需完成全部500台再生资源智能回收箱铺设、收运车辆配备、服务团队上岗、分拣中心建设、再生资源全流程数字化管理平台配备，正式投入运营工作。否则招标人有权终止合同，所有损失由我方负责</w:t>
      </w:r>
      <w:r>
        <w:rPr>
          <w:rFonts w:hint="eastAsia" w:ascii="仿宋" w:hAnsi="仿宋" w:eastAsia="仿宋" w:cs="仿宋"/>
          <w:color w:val="auto"/>
          <w:sz w:val="24"/>
          <w:szCs w:val="24"/>
          <w:highlight w:val="none"/>
          <w:lang w:eastAsia="zh-CN"/>
        </w:rPr>
        <w:t>。</w:t>
      </w:r>
    </w:p>
    <w:p w14:paraId="6E30EC0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若</w:t>
      </w:r>
      <w:r>
        <w:rPr>
          <w:rFonts w:hint="eastAsia" w:ascii="仿宋" w:hAnsi="仿宋" w:eastAsia="仿宋" w:cs="仿宋"/>
          <w:color w:val="auto"/>
          <w:sz w:val="24"/>
          <w:szCs w:val="24"/>
          <w:highlight w:val="none"/>
          <w:lang w:val="en-US" w:eastAsia="zh-CN"/>
        </w:rPr>
        <w:t>我公司</w:t>
      </w:r>
      <w:r>
        <w:rPr>
          <w:rFonts w:hint="eastAsia" w:ascii="仿宋" w:hAnsi="仿宋" w:eastAsia="仿宋" w:cs="仿宋"/>
          <w:color w:val="auto"/>
          <w:sz w:val="24"/>
          <w:szCs w:val="24"/>
          <w:highlight w:val="none"/>
        </w:rPr>
        <w:t>有幸中标将严格按照以上承诺进行供货和服务，否则招标人有权终止合同。</w:t>
      </w:r>
    </w:p>
    <w:p w14:paraId="406721CA">
      <w:pPr>
        <w:spacing w:line="8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特此声明。</w:t>
      </w:r>
    </w:p>
    <w:p w14:paraId="1DAC78C4">
      <w:pPr>
        <w:spacing w:line="6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p>
    <w:p w14:paraId="0A621546">
      <w:pPr>
        <w:spacing w:line="48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投标人名称：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（盖单位章）</w:t>
      </w:r>
    </w:p>
    <w:p w14:paraId="47E7B60E">
      <w:pPr>
        <w:spacing w:line="480" w:lineRule="auto"/>
        <w:ind w:firstLine="480" w:firstLineChars="200"/>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(签章)</w:t>
      </w:r>
    </w:p>
    <w:p w14:paraId="14505282">
      <w:pPr>
        <w:spacing w:line="480" w:lineRule="auto"/>
        <w:jc w:val="righ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 xml:space="preserve">                                  日    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74B3FC05">
      <w:pPr>
        <w:spacing w:line="360" w:lineRule="auto"/>
        <w:jc w:val="center"/>
        <w:outlineLvl w:val="1"/>
        <w:rPr>
          <w:rFonts w:hint="eastAsia" w:ascii="仿宋" w:hAnsi="仿宋" w:eastAsia="仿宋" w:cs="仿宋"/>
          <w:b/>
          <w:color w:val="auto"/>
          <w:sz w:val="24"/>
          <w:highlight w:val="none"/>
        </w:rPr>
      </w:pPr>
    </w:p>
    <w:p w14:paraId="583D3E72">
      <w:pPr>
        <w:spacing w:line="360" w:lineRule="auto"/>
        <w:jc w:val="center"/>
        <w:outlineLvl w:val="1"/>
        <w:rPr>
          <w:rFonts w:hint="eastAsia" w:ascii="仿宋" w:hAnsi="仿宋" w:eastAsia="仿宋" w:cs="仿宋"/>
          <w:b/>
          <w:color w:val="auto"/>
          <w:sz w:val="24"/>
          <w:highlight w:val="none"/>
        </w:rPr>
      </w:pPr>
    </w:p>
    <w:p w14:paraId="2EC46B50">
      <w:pPr>
        <w:spacing w:line="360" w:lineRule="auto"/>
        <w:jc w:val="center"/>
        <w:outlineLvl w:val="1"/>
        <w:rPr>
          <w:rFonts w:hint="eastAsia" w:ascii="仿宋" w:hAnsi="仿宋" w:eastAsia="仿宋" w:cs="仿宋"/>
          <w:b/>
          <w:color w:val="auto"/>
          <w:sz w:val="24"/>
          <w:highlight w:val="none"/>
        </w:rPr>
      </w:pPr>
    </w:p>
    <w:p w14:paraId="3D6F2307">
      <w:pPr>
        <w:spacing w:line="360" w:lineRule="auto"/>
        <w:jc w:val="center"/>
        <w:outlineLvl w:val="1"/>
        <w:rPr>
          <w:rFonts w:hint="eastAsia" w:ascii="仿宋" w:hAnsi="仿宋" w:eastAsia="仿宋" w:cs="仿宋"/>
          <w:b/>
          <w:color w:val="auto"/>
          <w:sz w:val="24"/>
          <w:highlight w:val="none"/>
        </w:rPr>
      </w:pPr>
    </w:p>
    <w:p w14:paraId="7F68DBA5">
      <w:pPr>
        <w:spacing w:line="360" w:lineRule="auto"/>
        <w:jc w:val="center"/>
        <w:outlineLvl w:val="1"/>
        <w:rPr>
          <w:rFonts w:hint="eastAsia" w:ascii="仿宋" w:hAnsi="仿宋" w:eastAsia="仿宋" w:cs="仿宋"/>
          <w:b/>
          <w:color w:val="auto"/>
          <w:sz w:val="24"/>
          <w:highlight w:val="none"/>
        </w:rPr>
      </w:pPr>
    </w:p>
    <w:p w14:paraId="0F6FE073">
      <w:pPr>
        <w:spacing w:line="360" w:lineRule="auto"/>
        <w:jc w:val="center"/>
        <w:outlineLvl w:val="1"/>
        <w:rPr>
          <w:rFonts w:hint="eastAsia" w:ascii="仿宋" w:hAnsi="仿宋" w:eastAsia="仿宋" w:cs="仿宋"/>
          <w:b/>
          <w:color w:val="auto"/>
          <w:sz w:val="24"/>
          <w:highlight w:val="none"/>
        </w:rPr>
      </w:pPr>
    </w:p>
    <w:p w14:paraId="44ABF92D">
      <w:pPr>
        <w:spacing w:line="360" w:lineRule="auto"/>
        <w:jc w:val="center"/>
        <w:outlineLvl w:val="1"/>
        <w:rPr>
          <w:rFonts w:hint="eastAsia" w:ascii="仿宋" w:hAnsi="仿宋" w:eastAsia="仿宋" w:cs="仿宋"/>
          <w:b/>
          <w:color w:val="auto"/>
          <w:sz w:val="24"/>
          <w:highlight w:val="none"/>
        </w:rPr>
      </w:pPr>
    </w:p>
    <w:p w14:paraId="5EBBDB51">
      <w:pPr>
        <w:spacing w:line="360" w:lineRule="auto"/>
        <w:jc w:val="center"/>
        <w:outlineLvl w:val="1"/>
        <w:rPr>
          <w:rFonts w:hint="eastAsia" w:ascii="仿宋" w:hAnsi="仿宋" w:eastAsia="仿宋" w:cs="仿宋"/>
          <w:b/>
          <w:color w:val="auto"/>
          <w:sz w:val="24"/>
          <w:highlight w:val="none"/>
        </w:rPr>
      </w:pPr>
    </w:p>
    <w:p w14:paraId="61EBC524">
      <w:pPr>
        <w:spacing w:line="360" w:lineRule="auto"/>
        <w:jc w:val="center"/>
        <w:outlineLvl w:val="1"/>
        <w:rPr>
          <w:rFonts w:hint="eastAsia" w:ascii="仿宋" w:hAnsi="仿宋" w:eastAsia="仿宋" w:cs="仿宋"/>
          <w:b/>
          <w:color w:val="auto"/>
          <w:sz w:val="24"/>
          <w:highlight w:val="none"/>
        </w:rPr>
      </w:pPr>
    </w:p>
    <w:p w14:paraId="76EFCE36">
      <w:pPr>
        <w:spacing w:line="360" w:lineRule="auto"/>
        <w:jc w:val="center"/>
        <w:outlineLvl w:val="1"/>
        <w:rPr>
          <w:rFonts w:hint="eastAsia" w:ascii="仿宋" w:hAnsi="仿宋" w:eastAsia="仿宋" w:cs="仿宋"/>
          <w:b/>
          <w:color w:val="auto"/>
          <w:sz w:val="24"/>
          <w:highlight w:val="none"/>
        </w:rPr>
      </w:pPr>
      <w:bookmarkStart w:id="81" w:name="_Toc8174"/>
      <w:r>
        <w:rPr>
          <w:rFonts w:hint="eastAsia" w:ascii="仿宋" w:hAnsi="仿宋" w:eastAsia="仿宋" w:cs="仿宋"/>
          <w:b/>
          <w:color w:val="auto"/>
          <w:sz w:val="24"/>
          <w:highlight w:val="none"/>
          <w:lang w:val="en-US" w:eastAsia="zh-CN"/>
        </w:rPr>
        <w:t>八</w:t>
      </w:r>
      <w:r>
        <w:rPr>
          <w:rFonts w:hint="eastAsia" w:ascii="仿宋" w:hAnsi="仿宋" w:eastAsia="仿宋" w:cs="仿宋"/>
          <w:b/>
          <w:color w:val="auto"/>
          <w:sz w:val="24"/>
          <w:highlight w:val="none"/>
        </w:rPr>
        <w:t>、中小企业声明函</w:t>
      </w:r>
      <w:bookmarkEnd w:id="77"/>
      <w:bookmarkEnd w:id="78"/>
      <w:bookmarkEnd w:id="81"/>
    </w:p>
    <w:p w14:paraId="18A5A9F5">
      <w:pPr>
        <w:pStyle w:val="12"/>
        <w:spacing w:line="360" w:lineRule="auto"/>
        <w:jc w:val="center"/>
        <w:rPr>
          <w:rFonts w:hint="eastAsia" w:ascii="仿宋" w:hAnsi="仿宋" w:eastAsia="仿宋" w:cs="仿宋"/>
          <w:i/>
          <w:color w:val="auto"/>
          <w:sz w:val="24"/>
          <w:highlight w:val="none"/>
          <w:lang w:val="en-US"/>
        </w:rPr>
      </w:pPr>
      <w:r>
        <w:rPr>
          <w:rFonts w:hint="eastAsia" w:ascii="仿宋" w:hAnsi="仿宋" w:eastAsia="仿宋" w:cs="仿宋"/>
          <w:i/>
          <w:color w:val="auto"/>
          <w:sz w:val="24"/>
          <w:highlight w:val="none"/>
          <w:lang w:val="en-US"/>
        </w:rPr>
        <w:t>（</w:t>
      </w:r>
      <w:r>
        <w:rPr>
          <w:rFonts w:hint="eastAsia" w:ascii="仿宋" w:hAnsi="仿宋" w:eastAsia="仿宋" w:cs="仿宋"/>
          <w:i/>
          <w:color w:val="auto"/>
          <w:sz w:val="24"/>
          <w:highlight w:val="none"/>
        </w:rPr>
        <w:t>非中小企业投标</w:t>
      </w:r>
      <w:r>
        <w:rPr>
          <w:rFonts w:hint="eastAsia" w:ascii="仿宋" w:hAnsi="仿宋" w:eastAsia="仿宋" w:cs="仿宋"/>
          <w:i/>
          <w:color w:val="auto"/>
          <w:sz w:val="24"/>
          <w:highlight w:val="none"/>
          <w:lang w:val="en-US"/>
        </w:rPr>
        <w:t>，不需此件，请删去“中小企业声明函”）</w:t>
      </w:r>
    </w:p>
    <w:p w14:paraId="52E7F1AD">
      <w:pPr>
        <w:rPr>
          <w:rFonts w:hint="eastAsia" w:ascii="仿宋" w:hAnsi="仿宋" w:eastAsia="仿宋" w:cs="仿宋"/>
          <w:color w:val="auto"/>
          <w:sz w:val="24"/>
          <w:szCs w:val="24"/>
          <w:highlight w:val="none"/>
        </w:rPr>
      </w:pPr>
    </w:p>
    <w:p w14:paraId="61D85244">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本公司（联合体）郑重声明，根据《政府采购促进中小企业发展管理办法》（财库﹝2020﹞46号）的规定，本公司（联合体）参加（</w:t>
      </w:r>
      <w:r>
        <w:rPr>
          <w:rFonts w:hint="eastAsia" w:ascii="仿宋" w:hAnsi="仿宋" w:eastAsia="仿宋" w:cs="仿宋"/>
          <w:color w:val="auto"/>
          <w:sz w:val="24"/>
          <w:szCs w:val="24"/>
          <w:highlight w:val="none"/>
          <w:u w:val="single"/>
          <w:lang w:val="zh-CN"/>
        </w:rPr>
        <w:t>单位</w:t>
      </w:r>
      <w:r>
        <w:rPr>
          <w:rFonts w:hint="eastAsia" w:ascii="仿宋" w:hAnsi="仿宋" w:eastAsia="仿宋" w:cs="仿宋"/>
          <w:color w:val="auto"/>
          <w:sz w:val="24"/>
          <w:szCs w:val="24"/>
          <w:highlight w:val="none"/>
          <w:u w:val="single"/>
        </w:rPr>
        <w:t>名称</w:t>
      </w:r>
      <w:r>
        <w:rPr>
          <w:rFonts w:hint="eastAsia" w:ascii="仿宋" w:hAnsi="仿宋" w:eastAsia="仿宋" w:cs="仿宋"/>
          <w:color w:val="auto"/>
          <w:sz w:val="24"/>
          <w:szCs w:val="24"/>
          <w:highlight w:val="none"/>
          <w:lang w:val="zh-CN"/>
        </w:rPr>
        <w:t>）的（</w:t>
      </w:r>
      <w:r>
        <w:rPr>
          <w:rFonts w:hint="eastAsia" w:ascii="仿宋" w:hAnsi="仿宋" w:eastAsia="仿宋" w:cs="仿宋"/>
          <w:color w:val="auto"/>
          <w:sz w:val="24"/>
          <w:szCs w:val="24"/>
          <w:highlight w:val="none"/>
          <w:u w:val="single"/>
          <w:lang w:val="zh-CN"/>
        </w:rPr>
        <w:t>项目</w:t>
      </w:r>
      <w:r>
        <w:rPr>
          <w:rFonts w:hint="eastAsia" w:ascii="仿宋" w:hAnsi="仿宋" w:eastAsia="仿宋" w:cs="仿宋"/>
          <w:color w:val="auto"/>
          <w:sz w:val="24"/>
          <w:szCs w:val="24"/>
          <w:highlight w:val="none"/>
          <w:u w:val="single"/>
        </w:rPr>
        <w:t>名称</w:t>
      </w:r>
      <w:r>
        <w:rPr>
          <w:rFonts w:hint="eastAsia" w:ascii="仿宋" w:hAnsi="仿宋" w:eastAsia="仿宋" w:cs="仿宋"/>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02F6FF9F">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w:t>
      </w:r>
      <w:r>
        <w:rPr>
          <w:rFonts w:hint="eastAsia" w:ascii="仿宋" w:hAnsi="仿宋" w:eastAsia="仿宋" w:cs="仿宋"/>
          <w:color w:val="auto"/>
          <w:sz w:val="24"/>
          <w:szCs w:val="24"/>
          <w:highlight w:val="none"/>
          <w:u w:val="single"/>
          <w:lang w:val="zh-CN"/>
        </w:rPr>
        <w:t xml:space="preserve"> （标的名称） </w:t>
      </w:r>
      <w:r>
        <w:rPr>
          <w:rFonts w:hint="eastAsia" w:ascii="仿宋" w:hAnsi="仿宋" w:eastAsia="仿宋" w:cs="仿宋"/>
          <w:color w:val="auto"/>
          <w:sz w:val="24"/>
          <w:szCs w:val="24"/>
          <w:highlight w:val="none"/>
          <w:lang w:val="zh-CN"/>
        </w:rPr>
        <w:t>，属于</w:t>
      </w:r>
      <w:r>
        <w:rPr>
          <w:rFonts w:hint="eastAsia" w:ascii="仿宋" w:hAnsi="仿宋" w:eastAsia="仿宋" w:cs="仿宋"/>
          <w:color w:val="auto"/>
          <w:sz w:val="24"/>
          <w:szCs w:val="24"/>
          <w:highlight w:val="none"/>
          <w:u w:val="single"/>
          <w:lang w:val="zh-CN"/>
        </w:rPr>
        <w:t>（采购文件中明确的所属行业）</w:t>
      </w:r>
      <w:r>
        <w:rPr>
          <w:rFonts w:hint="eastAsia" w:ascii="仿宋" w:hAnsi="仿宋" w:eastAsia="仿宋" w:cs="仿宋"/>
          <w:color w:val="auto"/>
          <w:sz w:val="24"/>
          <w:szCs w:val="24"/>
          <w:highlight w:val="none"/>
          <w:lang w:val="zh-CN"/>
        </w:rPr>
        <w:t>行业；制造商为</w:t>
      </w:r>
      <w:r>
        <w:rPr>
          <w:rFonts w:hint="eastAsia" w:ascii="仿宋" w:hAnsi="仿宋" w:eastAsia="仿宋" w:cs="仿宋"/>
          <w:color w:val="auto"/>
          <w:sz w:val="24"/>
          <w:szCs w:val="24"/>
          <w:highlight w:val="none"/>
          <w:u w:val="single"/>
          <w:lang w:val="zh-CN"/>
        </w:rPr>
        <w:t>（企业名称）</w:t>
      </w:r>
      <w:r>
        <w:rPr>
          <w:rFonts w:hint="eastAsia" w:ascii="仿宋" w:hAnsi="仿宋" w:eastAsia="仿宋" w:cs="仿宋"/>
          <w:color w:val="auto"/>
          <w:sz w:val="24"/>
          <w:szCs w:val="24"/>
          <w:highlight w:val="none"/>
          <w:lang w:val="zh-CN"/>
        </w:rPr>
        <w:t>，从业人员</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人，营业收入为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万元，资产总额为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万元，属于</w:t>
      </w:r>
      <w:r>
        <w:rPr>
          <w:rFonts w:hint="eastAsia" w:ascii="仿宋" w:hAnsi="仿宋" w:eastAsia="仿宋" w:cs="仿宋"/>
          <w:color w:val="auto"/>
          <w:sz w:val="24"/>
          <w:szCs w:val="24"/>
          <w:highlight w:val="none"/>
          <w:u w:val="single"/>
          <w:lang w:val="zh-CN"/>
        </w:rPr>
        <w:t>（中型企业、小型企业、微型企业）</w:t>
      </w:r>
      <w:r>
        <w:rPr>
          <w:rFonts w:hint="eastAsia" w:ascii="仿宋" w:hAnsi="仿宋" w:eastAsia="仿宋" w:cs="仿宋"/>
          <w:color w:val="auto"/>
          <w:sz w:val="24"/>
          <w:szCs w:val="24"/>
          <w:highlight w:val="none"/>
          <w:lang w:val="zh-CN"/>
        </w:rPr>
        <w:t xml:space="preserve">； </w:t>
      </w:r>
    </w:p>
    <w:p w14:paraId="3149F90B">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w:t>
      </w:r>
      <w:r>
        <w:rPr>
          <w:rFonts w:hint="eastAsia" w:ascii="仿宋" w:hAnsi="仿宋" w:eastAsia="仿宋" w:cs="仿宋"/>
          <w:color w:val="auto"/>
          <w:sz w:val="24"/>
          <w:szCs w:val="24"/>
          <w:highlight w:val="none"/>
          <w:u w:val="single"/>
          <w:lang w:val="zh-CN"/>
        </w:rPr>
        <w:t xml:space="preserve"> （标的名称） </w:t>
      </w:r>
      <w:r>
        <w:rPr>
          <w:rFonts w:hint="eastAsia" w:ascii="仿宋" w:hAnsi="仿宋" w:eastAsia="仿宋" w:cs="仿宋"/>
          <w:color w:val="auto"/>
          <w:sz w:val="24"/>
          <w:szCs w:val="24"/>
          <w:highlight w:val="none"/>
          <w:lang w:val="zh-CN"/>
        </w:rPr>
        <w:t>，属于</w:t>
      </w:r>
      <w:r>
        <w:rPr>
          <w:rFonts w:hint="eastAsia" w:ascii="仿宋" w:hAnsi="仿宋" w:eastAsia="仿宋" w:cs="仿宋"/>
          <w:color w:val="auto"/>
          <w:sz w:val="24"/>
          <w:szCs w:val="24"/>
          <w:highlight w:val="none"/>
          <w:u w:val="single"/>
          <w:lang w:val="zh-CN"/>
        </w:rPr>
        <w:t>（采购文件中明确的所属行业）</w:t>
      </w:r>
      <w:r>
        <w:rPr>
          <w:rFonts w:hint="eastAsia" w:ascii="仿宋" w:hAnsi="仿宋" w:eastAsia="仿宋" w:cs="仿宋"/>
          <w:color w:val="auto"/>
          <w:sz w:val="24"/>
          <w:szCs w:val="24"/>
          <w:highlight w:val="none"/>
          <w:lang w:val="zh-CN"/>
        </w:rPr>
        <w:t>行业；制造商为</w:t>
      </w:r>
      <w:r>
        <w:rPr>
          <w:rFonts w:hint="eastAsia" w:ascii="仿宋" w:hAnsi="仿宋" w:eastAsia="仿宋" w:cs="仿宋"/>
          <w:color w:val="auto"/>
          <w:sz w:val="24"/>
          <w:szCs w:val="24"/>
          <w:highlight w:val="none"/>
          <w:u w:val="single"/>
          <w:lang w:val="zh-CN"/>
        </w:rPr>
        <w:t>（企业名称）</w:t>
      </w:r>
      <w:r>
        <w:rPr>
          <w:rFonts w:hint="eastAsia" w:ascii="仿宋" w:hAnsi="仿宋" w:eastAsia="仿宋" w:cs="仿宋"/>
          <w:color w:val="auto"/>
          <w:sz w:val="24"/>
          <w:szCs w:val="24"/>
          <w:highlight w:val="none"/>
          <w:lang w:val="zh-CN"/>
        </w:rPr>
        <w:t>，从业人员</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人，营业收入为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万元，资产总额为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万元，属于</w:t>
      </w:r>
      <w:r>
        <w:rPr>
          <w:rFonts w:hint="eastAsia" w:ascii="仿宋" w:hAnsi="仿宋" w:eastAsia="仿宋" w:cs="仿宋"/>
          <w:color w:val="auto"/>
          <w:sz w:val="24"/>
          <w:szCs w:val="24"/>
          <w:highlight w:val="none"/>
          <w:u w:val="single"/>
          <w:lang w:val="zh-CN"/>
        </w:rPr>
        <w:t>（中型企业、小型企业、微型企业）</w:t>
      </w:r>
      <w:r>
        <w:rPr>
          <w:rFonts w:hint="eastAsia" w:ascii="仿宋" w:hAnsi="仿宋" w:eastAsia="仿宋" w:cs="仿宋"/>
          <w:color w:val="auto"/>
          <w:sz w:val="24"/>
          <w:szCs w:val="24"/>
          <w:highlight w:val="none"/>
          <w:lang w:val="zh-CN"/>
        </w:rPr>
        <w:t xml:space="preserve">； </w:t>
      </w:r>
    </w:p>
    <w:p w14:paraId="1DDF039C">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p>
    <w:p w14:paraId="3580A98A">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以上企业，不属于大企业的分支机构，不存在控股股东为大企业的情形，也不存在与大企业的负责人为同一人的情形。</w:t>
      </w:r>
    </w:p>
    <w:p w14:paraId="29EFC390">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本企业对上述声明内容的真实性负责。如有虚假，将依法承担相应责任。</w:t>
      </w:r>
    </w:p>
    <w:p w14:paraId="48925901">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ascii="仿宋" w:hAnsi="仿宋" w:eastAsia="仿宋" w:cs="仿宋"/>
          <w:color w:val="auto"/>
          <w:sz w:val="24"/>
          <w:szCs w:val="24"/>
          <w:highlight w:val="none"/>
        </w:rPr>
      </w:pPr>
    </w:p>
    <w:p w14:paraId="778BAABB">
      <w:pPr>
        <w:spacing w:line="360" w:lineRule="auto"/>
        <w:ind w:firstLine="435"/>
        <w:rPr>
          <w:rFonts w:hint="eastAsia" w:ascii="仿宋" w:hAnsi="仿宋" w:eastAsia="仿宋" w:cs="仿宋"/>
          <w:color w:val="auto"/>
          <w:sz w:val="24"/>
          <w:szCs w:val="24"/>
          <w:highlight w:val="none"/>
        </w:rPr>
      </w:pPr>
    </w:p>
    <w:p w14:paraId="2CFDA128">
      <w:pPr>
        <w:spacing w:line="360" w:lineRule="auto"/>
        <w:ind w:firstLine="4228" w:firstLineChars="1762"/>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投标人电子签章：</w:t>
      </w:r>
      <w:r>
        <w:rPr>
          <w:rFonts w:hint="eastAsia" w:ascii="仿宋" w:hAnsi="仿宋" w:eastAsia="仿宋" w:cs="仿宋"/>
          <w:color w:val="auto"/>
          <w:sz w:val="24"/>
          <w:szCs w:val="24"/>
          <w:highlight w:val="none"/>
          <w:u w:val="single"/>
        </w:rPr>
        <w:t xml:space="preserve">             </w:t>
      </w:r>
    </w:p>
    <w:p w14:paraId="715B26FE">
      <w:pPr>
        <w:tabs>
          <w:tab w:val="left" w:pos="4620"/>
        </w:tabs>
        <w:spacing w:line="360" w:lineRule="auto"/>
        <w:ind w:firstLine="4252" w:firstLineChars="1772"/>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日          期：</w:t>
      </w:r>
      <w:r>
        <w:rPr>
          <w:rFonts w:hint="eastAsia" w:ascii="仿宋" w:hAnsi="仿宋" w:eastAsia="仿宋" w:cs="仿宋"/>
          <w:color w:val="auto"/>
          <w:sz w:val="24"/>
          <w:szCs w:val="24"/>
          <w:highlight w:val="none"/>
          <w:u w:val="single"/>
        </w:rPr>
        <w:t xml:space="preserve">             </w:t>
      </w:r>
    </w:p>
    <w:p w14:paraId="53C2AEA6">
      <w:pPr>
        <w:tabs>
          <w:tab w:val="left" w:pos="4620"/>
        </w:tabs>
        <w:spacing w:line="360" w:lineRule="auto"/>
        <w:jc w:val="left"/>
        <w:rPr>
          <w:rFonts w:hint="eastAsia" w:ascii="仿宋" w:hAnsi="仿宋" w:eastAsia="仿宋" w:cs="仿宋"/>
          <w:color w:val="auto"/>
          <w:sz w:val="24"/>
          <w:szCs w:val="24"/>
          <w:highlight w:val="none"/>
        </w:rPr>
      </w:pPr>
    </w:p>
    <w:p w14:paraId="64EA6F32">
      <w:pPr>
        <w:keepNext w:val="0"/>
        <w:keepLines w:val="0"/>
        <w:pageBreakBefore w:val="0"/>
        <w:widowControl w:val="0"/>
        <w:tabs>
          <w:tab w:val="left" w:pos="4620"/>
        </w:tabs>
        <w:kinsoku/>
        <w:wordWrap w:val="0"/>
        <w:overflowPunct/>
        <w:topLinePunct w:val="0"/>
        <w:autoSpaceDE/>
        <w:autoSpaceDN/>
        <w:bidi w:val="0"/>
        <w:adjustRightInd/>
        <w:snapToGrid/>
        <w:spacing w:line="360" w:lineRule="exact"/>
        <w:jc w:val="left"/>
        <w:textAlignment w:val="auto"/>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注：</w:t>
      </w:r>
    </w:p>
    <w:p w14:paraId="29C38747">
      <w:pPr>
        <w:keepNext w:val="0"/>
        <w:keepLines w:val="0"/>
        <w:pageBreakBefore w:val="0"/>
        <w:widowControl w:val="0"/>
        <w:tabs>
          <w:tab w:val="left" w:pos="4620"/>
        </w:tabs>
        <w:kinsoku/>
        <w:wordWrap w:val="0"/>
        <w:overflowPunct/>
        <w:topLinePunct w:val="0"/>
        <w:autoSpaceDE/>
        <w:autoSpaceDN/>
        <w:bidi w:val="0"/>
        <w:adjustRightInd/>
        <w:snapToGrid/>
        <w:spacing w:line="360" w:lineRule="exact"/>
        <w:jc w:val="left"/>
        <w:textAlignment w:val="auto"/>
        <w:rPr>
          <w:rFonts w:hint="eastAsia" w:ascii="仿宋" w:hAnsi="仿宋" w:eastAsia="仿宋" w:cs="仿宋"/>
          <w:color w:val="auto"/>
          <w:szCs w:val="24"/>
          <w:highlight w:val="none"/>
        </w:rPr>
      </w:pPr>
      <w:r>
        <w:rPr>
          <w:rFonts w:hint="eastAsia" w:ascii="仿宋" w:hAnsi="仿宋" w:eastAsia="仿宋" w:cs="仿宋"/>
          <w:color w:val="auto"/>
          <w:szCs w:val="24"/>
          <w:highlight w:val="none"/>
        </w:rPr>
        <w:t>1.从业人员、营业收入、资产总额填报上一年数据，无上一年数据的新成立企业可不填报。</w:t>
      </w:r>
    </w:p>
    <w:p w14:paraId="1C42E918">
      <w:pPr>
        <w:keepNext w:val="0"/>
        <w:keepLines w:val="0"/>
        <w:pageBreakBefore w:val="0"/>
        <w:widowControl w:val="0"/>
        <w:tabs>
          <w:tab w:val="left" w:pos="4620"/>
        </w:tabs>
        <w:kinsoku/>
        <w:wordWrap w:val="0"/>
        <w:overflowPunct/>
        <w:topLinePunct w:val="0"/>
        <w:autoSpaceDE/>
        <w:autoSpaceDN/>
        <w:bidi w:val="0"/>
        <w:adjustRightInd/>
        <w:snapToGrid/>
        <w:spacing w:line="360" w:lineRule="exact"/>
        <w:jc w:val="left"/>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仿宋" w:hAnsi="仿宋" w:eastAsia="仿宋" w:cs="仿宋"/>
          <w:b/>
          <w:bCs/>
          <w:color w:val="auto"/>
          <w:szCs w:val="21"/>
          <w:highlight w:val="none"/>
          <w:lang w:val="zh-CN"/>
        </w:rPr>
        <w:t>如有虚假，将依法承担相应责任。</w:t>
      </w:r>
      <w:r>
        <w:rPr>
          <w:rFonts w:hint="eastAsia" w:ascii="仿宋" w:hAnsi="仿宋" w:eastAsia="仿宋" w:cs="仿宋"/>
          <w:b/>
          <w:bCs/>
          <w:color w:val="auto"/>
          <w:szCs w:val="21"/>
          <w:highlight w:val="none"/>
        </w:rPr>
        <w:t>投标人自行登录工业和信息化部官网进行中小企业规模类型自测（查询网址https://www.miit.gov.cn/）。</w:t>
      </w:r>
    </w:p>
    <w:p w14:paraId="45AF2718">
      <w:pPr>
        <w:keepNext w:val="0"/>
        <w:keepLines w:val="0"/>
        <w:pageBreakBefore w:val="0"/>
        <w:widowControl w:val="0"/>
        <w:tabs>
          <w:tab w:val="left" w:pos="4620"/>
        </w:tabs>
        <w:kinsoku/>
        <w:wordWrap w:val="0"/>
        <w:overflowPunct/>
        <w:topLinePunct w:val="0"/>
        <w:autoSpaceDE/>
        <w:autoSpaceDN/>
        <w:bidi w:val="0"/>
        <w:adjustRightInd/>
        <w:snapToGrid/>
        <w:spacing w:line="360" w:lineRule="exact"/>
        <w:jc w:val="left"/>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3.上述“</w:t>
      </w:r>
      <w:r>
        <w:rPr>
          <w:rFonts w:hint="eastAsia" w:ascii="仿宋" w:hAnsi="仿宋" w:eastAsia="仿宋" w:cs="仿宋"/>
          <w:b/>
          <w:bCs/>
          <w:color w:val="auto"/>
          <w:szCs w:val="21"/>
          <w:highlight w:val="none"/>
          <w:u w:val="single"/>
          <w:lang w:val="zh-CN"/>
        </w:rPr>
        <w:t>标的名称</w:t>
      </w:r>
      <w:r>
        <w:rPr>
          <w:rFonts w:hint="eastAsia" w:ascii="仿宋" w:hAnsi="仿宋" w:eastAsia="仿宋" w:cs="仿宋"/>
          <w:b/>
          <w:bCs/>
          <w:color w:val="auto"/>
          <w:szCs w:val="21"/>
          <w:highlight w:val="none"/>
        </w:rPr>
        <w:t>”，详见第三章采购需求中明确的“货物名称”。</w:t>
      </w:r>
    </w:p>
    <w:p w14:paraId="0346DE89">
      <w:pPr>
        <w:keepNext w:val="0"/>
        <w:keepLines w:val="0"/>
        <w:pageBreakBefore w:val="0"/>
        <w:widowControl w:val="0"/>
        <w:tabs>
          <w:tab w:val="left" w:pos="4620"/>
        </w:tabs>
        <w:kinsoku/>
        <w:wordWrap w:val="0"/>
        <w:overflowPunct/>
        <w:topLinePunct w:val="0"/>
        <w:autoSpaceDE/>
        <w:autoSpaceDN/>
        <w:bidi w:val="0"/>
        <w:adjustRightInd/>
        <w:snapToGrid/>
        <w:spacing w:line="360" w:lineRule="exact"/>
        <w:jc w:val="left"/>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4.上述“</w:t>
      </w:r>
      <w:r>
        <w:rPr>
          <w:rFonts w:hint="eastAsia" w:ascii="仿宋" w:hAnsi="仿宋" w:eastAsia="仿宋" w:cs="仿宋"/>
          <w:b/>
          <w:bCs/>
          <w:color w:val="auto"/>
          <w:szCs w:val="21"/>
          <w:highlight w:val="none"/>
          <w:u w:val="single"/>
        </w:rPr>
        <w:t>采购文件中明确的所属行业</w:t>
      </w:r>
      <w:r>
        <w:rPr>
          <w:rFonts w:hint="eastAsia" w:ascii="仿宋" w:hAnsi="仿宋" w:eastAsia="仿宋" w:cs="仿宋"/>
          <w:b/>
          <w:bCs/>
          <w:color w:val="auto"/>
          <w:szCs w:val="21"/>
          <w:highlight w:val="none"/>
        </w:rPr>
        <w:t>”，详见第三章采购需求中明确的“所属行业”。</w:t>
      </w:r>
    </w:p>
    <w:p w14:paraId="6F5A3598">
      <w:pPr>
        <w:keepNext w:val="0"/>
        <w:keepLines w:val="0"/>
        <w:pageBreakBefore w:val="0"/>
        <w:widowControl w:val="0"/>
        <w:tabs>
          <w:tab w:val="left" w:pos="4620"/>
        </w:tabs>
        <w:kinsoku/>
        <w:wordWrap w:val="0"/>
        <w:overflowPunct/>
        <w:topLinePunct w:val="0"/>
        <w:autoSpaceDE/>
        <w:autoSpaceDN/>
        <w:bidi w:val="0"/>
        <w:adjustRightInd/>
        <w:snapToGrid/>
        <w:spacing w:line="360" w:lineRule="exact"/>
        <w:jc w:val="left"/>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5．填写示例：</w:t>
      </w:r>
      <w:r>
        <w:rPr>
          <w:rFonts w:hint="eastAsia" w:ascii="仿宋" w:hAnsi="仿宋" w:eastAsia="仿宋" w:cs="仿宋"/>
          <w:b/>
          <w:bCs/>
          <w:color w:val="auto"/>
          <w:szCs w:val="21"/>
          <w:highlight w:val="none"/>
          <w:u w:val="single"/>
          <w:lang w:val="zh-CN"/>
        </w:rPr>
        <w:t>某设备</w:t>
      </w:r>
      <w:r>
        <w:rPr>
          <w:rFonts w:hint="eastAsia" w:ascii="仿宋" w:hAnsi="仿宋" w:eastAsia="仿宋" w:cs="仿宋"/>
          <w:b/>
          <w:bCs/>
          <w:color w:val="auto"/>
          <w:szCs w:val="21"/>
          <w:highlight w:val="none"/>
        </w:rPr>
        <w:t>，</w:t>
      </w:r>
      <w:r>
        <w:rPr>
          <w:rFonts w:hint="eastAsia" w:ascii="仿宋" w:hAnsi="仿宋" w:eastAsia="仿宋" w:cs="仿宋"/>
          <w:b/>
          <w:bCs/>
          <w:color w:val="auto"/>
          <w:szCs w:val="21"/>
          <w:highlight w:val="none"/>
          <w:lang w:val="zh-CN"/>
        </w:rPr>
        <w:t>属于</w:t>
      </w:r>
      <w:r>
        <w:rPr>
          <w:rFonts w:hint="eastAsia" w:ascii="仿宋" w:hAnsi="仿宋" w:eastAsia="仿宋" w:cs="仿宋"/>
          <w:b/>
          <w:bCs/>
          <w:color w:val="auto"/>
          <w:szCs w:val="21"/>
          <w:highlight w:val="none"/>
          <w:u w:val="single"/>
        </w:rPr>
        <w:t>（填写第三章采购需求中对应货物的“所属行业”，如工业）</w:t>
      </w:r>
      <w:r>
        <w:rPr>
          <w:rFonts w:hint="eastAsia" w:ascii="仿宋" w:hAnsi="仿宋" w:eastAsia="仿宋" w:cs="仿宋"/>
          <w:b/>
          <w:bCs/>
          <w:color w:val="auto"/>
          <w:szCs w:val="21"/>
          <w:highlight w:val="none"/>
          <w:lang w:val="zh-CN"/>
        </w:rPr>
        <w:t>行业</w:t>
      </w:r>
      <w:r>
        <w:rPr>
          <w:rFonts w:hint="eastAsia" w:ascii="仿宋" w:hAnsi="仿宋" w:eastAsia="仿宋" w:cs="仿宋"/>
          <w:b/>
          <w:bCs/>
          <w:color w:val="auto"/>
          <w:szCs w:val="21"/>
          <w:highlight w:val="none"/>
        </w:rPr>
        <w:t>；制造</w:t>
      </w:r>
      <w:r>
        <w:rPr>
          <w:rFonts w:hint="eastAsia" w:ascii="仿宋" w:hAnsi="仿宋" w:eastAsia="仿宋" w:cs="仿宋"/>
          <w:b/>
          <w:bCs/>
          <w:color w:val="auto"/>
          <w:szCs w:val="21"/>
          <w:highlight w:val="none"/>
          <w:lang w:val="zh-CN"/>
        </w:rPr>
        <w:t>企业为</w:t>
      </w:r>
      <w:r>
        <w:rPr>
          <w:rFonts w:hint="eastAsia" w:ascii="仿宋" w:hAnsi="仿宋" w:eastAsia="仿宋" w:cs="仿宋"/>
          <w:b/>
          <w:bCs/>
          <w:color w:val="auto"/>
          <w:szCs w:val="21"/>
          <w:highlight w:val="none"/>
          <w:u w:val="single"/>
          <w:lang w:val="zh-CN"/>
        </w:rPr>
        <w:t>某</w:t>
      </w:r>
      <w:r>
        <w:rPr>
          <w:rFonts w:hint="eastAsia" w:ascii="仿宋" w:hAnsi="仿宋" w:eastAsia="仿宋" w:cs="仿宋"/>
          <w:b/>
          <w:bCs/>
          <w:color w:val="auto"/>
          <w:szCs w:val="21"/>
          <w:highlight w:val="none"/>
          <w:u w:val="single"/>
        </w:rPr>
        <w:t>企业</w:t>
      </w:r>
      <w:r>
        <w:rPr>
          <w:rFonts w:hint="eastAsia" w:ascii="仿宋" w:hAnsi="仿宋" w:eastAsia="仿宋" w:cs="仿宋"/>
          <w:b/>
          <w:bCs/>
          <w:color w:val="auto"/>
          <w:szCs w:val="21"/>
          <w:highlight w:val="none"/>
        </w:rPr>
        <w:t>，</w:t>
      </w:r>
      <w:r>
        <w:rPr>
          <w:rFonts w:hint="eastAsia" w:ascii="仿宋" w:hAnsi="仿宋" w:eastAsia="仿宋" w:cs="仿宋"/>
          <w:b/>
          <w:bCs/>
          <w:color w:val="auto"/>
          <w:szCs w:val="21"/>
          <w:highlight w:val="none"/>
          <w:lang w:val="zh-CN"/>
        </w:rPr>
        <w:t>从业人员</w:t>
      </w:r>
      <w:r>
        <w:rPr>
          <w:rFonts w:hint="eastAsia" w:ascii="仿宋" w:hAnsi="仿宋" w:eastAsia="仿宋" w:cs="仿宋"/>
          <w:b/>
          <w:bCs/>
          <w:color w:val="auto"/>
          <w:szCs w:val="21"/>
          <w:highlight w:val="none"/>
          <w:u w:val="single"/>
        </w:rPr>
        <w:t>100</w:t>
      </w:r>
      <w:r>
        <w:rPr>
          <w:rFonts w:hint="eastAsia" w:ascii="仿宋" w:hAnsi="仿宋" w:eastAsia="仿宋" w:cs="仿宋"/>
          <w:b/>
          <w:bCs/>
          <w:color w:val="auto"/>
          <w:szCs w:val="21"/>
          <w:highlight w:val="none"/>
          <w:lang w:val="zh-CN"/>
        </w:rPr>
        <w:t>人</w:t>
      </w:r>
      <w:r>
        <w:rPr>
          <w:rFonts w:hint="eastAsia" w:ascii="仿宋" w:hAnsi="仿宋" w:eastAsia="仿宋" w:cs="仿宋"/>
          <w:b/>
          <w:bCs/>
          <w:color w:val="auto"/>
          <w:szCs w:val="21"/>
          <w:highlight w:val="none"/>
        </w:rPr>
        <w:t>，</w:t>
      </w:r>
      <w:r>
        <w:rPr>
          <w:rFonts w:hint="eastAsia" w:ascii="仿宋" w:hAnsi="仿宋" w:eastAsia="仿宋" w:cs="仿宋"/>
          <w:b/>
          <w:bCs/>
          <w:color w:val="auto"/>
          <w:szCs w:val="21"/>
          <w:highlight w:val="none"/>
          <w:lang w:val="zh-CN"/>
        </w:rPr>
        <w:t>营业收入为</w:t>
      </w:r>
      <w:r>
        <w:rPr>
          <w:rFonts w:hint="eastAsia" w:ascii="仿宋" w:hAnsi="仿宋" w:eastAsia="仿宋" w:cs="仿宋"/>
          <w:b/>
          <w:bCs/>
          <w:color w:val="auto"/>
          <w:szCs w:val="21"/>
          <w:highlight w:val="none"/>
          <w:u w:val="single"/>
        </w:rPr>
        <w:t>10000</w:t>
      </w:r>
      <w:r>
        <w:rPr>
          <w:rFonts w:hint="eastAsia" w:ascii="仿宋" w:hAnsi="仿宋" w:eastAsia="仿宋" w:cs="仿宋"/>
          <w:b/>
          <w:bCs/>
          <w:color w:val="auto"/>
          <w:szCs w:val="21"/>
          <w:highlight w:val="none"/>
          <w:lang w:val="zh-CN"/>
        </w:rPr>
        <w:t>万元</w:t>
      </w:r>
      <w:r>
        <w:rPr>
          <w:rFonts w:hint="eastAsia" w:ascii="仿宋" w:hAnsi="仿宋" w:eastAsia="仿宋" w:cs="仿宋"/>
          <w:b/>
          <w:bCs/>
          <w:color w:val="auto"/>
          <w:szCs w:val="21"/>
          <w:highlight w:val="none"/>
        </w:rPr>
        <w:t>，</w:t>
      </w:r>
      <w:r>
        <w:rPr>
          <w:rFonts w:hint="eastAsia" w:ascii="仿宋" w:hAnsi="仿宋" w:eastAsia="仿宋" w:cs="仿宋"/>
          <w:b/>
          <w:bCs/>
          <w:color w:val="auto"/>
          <w:szCs w:val="21"/>
          <w:highlight w:val="none"/>
          <w:lang w:val="zh-CN"/>
        </w:rPr>
        <w:t>资产总额为</w:t>
      </w:r>
      <w:r>
        <w:rPr>
          <w:rFonts w:hint="eastAsia" w:ascii="仿宋" w:hAnsi="仿宋" w:eastAsia="仿宋" w:cs="仿宋"/>
          <w:b/>
          <w:bCs/>
          <w:color w:val="auto"/>
          <w:szCs w:val="21"/>
          <w:highlight w:val="none"/>
          <w:u w:val="single"/>
        </w:rPr>
        <w:t>5000</w:t>
      </w:r>
      <w:r>
        <w:rPr>
          <w:rFonts w:hint="eastAsia" w:ascii="仿宋" w:hAnsi="仿宋" w:eastAsia="仿宋" w:cs="仿宋"/>
          <w:b/>
          <w:bCs/>
          <w:color w:val="auto"/>
          <w:szCs w:val="21"/>
          <w:highlight w:val="none"/>
          <w:lang w:val="zh-CN"/>
        </w:rPr>
        <w:t>万元</w:t>
      </w:r>
      <w:r>
        <w:rPr>
          <w:rFonts w:hint="eastAsia" w:ascii="仿宋" w:hAnsi="仿宋" w:eastAsia="仿宋" w:cs="仿宋"/>
          <w:b/>
          <w:bCs/>
          <w:color w:val="auto"/>
          <w:szCs w:val="21"/>
          <w:highlight w:val="none"/>
        </w:rPr>
        <w:t>，</w:t>
      </w:r>
      <w:r>
        <w:rPr>
          <w:rFonts w:hint="eastAsia" w:ascii="仿宋" w:hAnsi="仿宋" w:eastAsia="仿宋" w:cs="仿宋"/>
          <w:b/>
          <w:bCs/>
          <w:color w:val="auto"/>
          <w:szCs w:val="21"/>
          <w:highlight w:val="none"/>
          <w:lang w:val="zh-CN"/>
        </w:rPr>
        <w:t>属于</w:t>
      </w:r>
      <w:r>
        <w:rPr>
          <w:rFonts w:hint="eastAsia" w:ascii="仿宋" w:hAnsi="仿宋" w:eastAsia="仿宋" w:cs="仿宋"/>
          <w:b/>
          <w:bCs/>
          <w:color w:val="auto"/>
          <w:szCs w:val="21"/>
          <w:highlight w:val="none"/>
          <w:u w:val="single"/>
          <w:lang w:val="zh-CN"/>
        </w:rPr>
        <w:t>小型</w:t>
      </w:r>
      <w:r>
        <w:rPr>
          <w:rFonts w:hint="eastAsia" w:ascii="仿宋" w:hAnsi="仿宋" w:eastAsia="仿宋" w:cs="仿宋"/>
          <w:b/>
          <w:bCs/>
          <w:color w:val="auto"/>
          <w:szCs w:val="21"/>
          <w:highlight w:val="none"/>
          <w:lang w:val="zh-CN"/>
        </w:rPr>
        <w:t>企业</w:t>
      </w:r>
      <w:r>
        <w:rPr>
          <w:rFonts w:hint="eastAsia" w:ascii="仿宋" w:hAnsi="仿宋" w:eastAsia="仿宋" w:cs="仿宋"/>
          <w:b/>
          <w:bCs/>
          <w:color w:val="auto"/>
          <w:szCs w:val="21"/>
          <w:highlight w:val="none"/>
        </w:rPr>
        <w:t>[投标人自行登录工业和信息化部官网进行中小企业规模类型自测（查询网址https://www.miit.gov.cn/）]</w:t>
      </w:r>
      <w:r>
        <w:rPr>
          <w:rFonts w:hint="eastAsia" w:ascii="仿宋" w:hAnsi="仿宋" w:eastAsia="仿宋" w:cs="仿宋"/>
          <w:b/>
          <w:bCs/>
          <w:color w:val="auto"/>
          <w:szCs w:val="21"/>
          <w:highlight w:val="none"/>
          <w:lang w:val="zh-CN"/>
        </w:rPr>
        <w:t>。</w:t>
      </w:r>
    </w:p>
    <w:p w14:paraId="77398FA7">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br w:type="page"/>
      </w:r>
      <w:bookmarkEnd w:id="79"/>
      <w:bookmarkEnd w:id="80"/>
    </w:p>
    <w:p w14:paraId="7F8BDF8A">
      <w:pPr>
        <w:spacing w:line="360" w:lineRule="auto"/>
        <w:jc w:val="center"/>
        <w:outlineLvl w:val="1"/>
        <w:rPr>
          <w:rFonts w:hint="eastAsia" w:ascii="仿宋" w:hAnsi="仿宋" w:eastAsia="仿宋" w:cs="仿宋"/>
          <w:b/>
          <w:color w:val="auto"/>
          <w:sz w:val="24"/>
          <w:highlight w:val="none"/>
        </w:rPr>
      </w:pPr>
      <w:bookmarkStart w:id="82" w:name="_Toc16713"/>
      <w:bookmarkStart w:id="83" w:name="_Toc25244"/>
      <w:bookmarkStart w:id="84" w:name="_Toc24563"/>
      <w:r>
        <w:rPr>
          <w:rFonts w:hint="eastAsia" w:ascii="仿宋" w:hAnsi="仿宋" w:eastAsia="仿宋" w:cs="仿宋"/>
          <w:b/>
          <w:color w:val="auto"/>
          <w:sz w:val="24"/>
          <w:highlight w:val="none"/>
          <w:lang w:val="en-US" w:eastAsia="zh-CN"/>
        </w:rPr>
        <w:t>九</w:t>
      </w:r>
      <w:r>
        <w:rPr>
          <w:rFonts w:hint="eastAsia" w:ascii="仿宋" w:hAnsi="仿宋" w:eastAsia="仿宋" w:cs="仿宋"/>
          <w:b/>
          <w:color w:val="auto"/>
          <w:sz w:val="24"/>
          <w:highlight w:val="none"/>
        </w:rPr>
        <w:t>、残疾人福利性单位声明函</w:t>
      </w:r>
      <w:bookmarkEnd w:id="82"/>
      <w:bookmarkEnd w:id="83"/>
      <w:bookmarkEnd w:id="84"/>
    </w:p>
    <w:p w14:paraId="7766D6F9">
      <w:pPr>
        <w:pStyle w:val="12"/>
        <w:spacing w:line="360" w:lineRule="auto"/>
        <w:jc w:val="center"/>
        <w:rPr>
          <w:rFonts w:hint="eastAsia" w:ascii="仿宋" w:hAnsi="仿宋" w:eastAsia="仿宋" w:cs="仿宋"/>
          <w:i/>
          <w:color w:val="auto"/>
          <w:sz w:val="24"/>
          <w:highlight w:val="none"/>
          <w:lang w:val="en-US"/>
        </w:rPr>
      </w:pPr>
      <w:r>
        <w:rPr>
          <w:rFonts w:hint="eastAsia" w:ascii="仿宋" w:hAnsi="仿宋" w:eastAsia="仿宋" w:cs="仿宋"/>
          <w:i/>
          <w:color w:val="auto"/>
          <w:sz w:val="24"/>
          <w:highlight w:val="none"/>
          <w:lang w:val="en-US"/>
        </w:rPr>
        <w:t>（非残疾人福利性单位投标，请删去“残疾人福利性单位声明函”）</w:t>
      </w:r>
    </w:p>
    <w:p w14:paraId="14DCC099">
      <w:pPr>
        <w:spacing w:line="360" w:lineRule="auto"/>
        <w:ind w:firstLine="435"/>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本单位</w:t>
      </w:r>
      <w:r>
        <w:rPr>
          <w:rFonts w:hint="eastAsia" w:ascii="仿宋" w:hAnsi="仿宋" w:eastAsia="仿宋" w:cs="仿宋"/>
          <w:color w:val="auto"/>
          <w:sz w:val="24"/>
          <w:highlight w:val="none"/>
        </w:rPr>
        <w:t>郑重</w:t>
      </w:r>
      <w:r>
        <w:rPr>
          <w:rFonts w:hint="eastAsia" w:ascii="仿宋" w:hAnsi="仿宋" w:eastAsia="仿宋" w:cs="仿宋"/>
          <w:color w:val="auto"/>
          <w:spacing w:val="6"/>
          <w:sz w:val="24"/>
          <w:szCs w:val="24"/>
          <w:highlight w:val="none"/>
        </w:rPr>
        <w:t>声明，根据《财政部 民政部 中国残疾人联合会关于促进残疾人就业政府采购政策的通知》（财库</w:t>
      </w:r>
      <w:r>
        <w:rPr>
          <w:rFonts w:hint="eastAsia" w:ascii="仿宋" w:hAnsi="仿宋" w:eastAsia="仿宋" w:cs="仿宋"/>
          <w:color w:val="auto"/>
          <w:sz w:val="24"/>
          <w:szCs w:val="24"/>
          <w:highlight w:val="none"/>
        </w:rPr>
        <w:t>〔2017〕141</w:t>
      </w:r>
      <w:r>
        <w:rPr>
          <w:rFonts w:hint="eastAsia" w:ascii="仿宋" w:hAnsi="仿宋" w:eastAsia="仿宋" w:cs="仿宋"/>
          <w:color w:val="auto"/>
          <w:spacing w:val="6"/>
          <w:sz w:val="24"/>
          <w:szCs w:val="24"/>
          <w:highlight w:val="none"/>
        </w:rPr>
        <w:t>号）的规定，本单位为</w:t>
      </w:r>
      <w:r>
        <w:rPr>
          <w:rFonts w:hint="eastAsia" w:ascii="仿宋" w:hAnsi="仿宋" w:eastAsia="仿宋" w:cs="仿宋"/>
          <w:bCs/>
          <w:color w:val="auto"/>
          <w:sz w:val="24"/>
          <w:szCs w:val="24"/>
          <w:highlight w:val="none"/>
        </w:rPr>
        <w:t>符合</w:t>
      </w:r>
      <w:r>
        <w:rPr>
          <w:rFonts w:hint="eastAsia" w:ascii="仿宋" w:hAnsi="仿宋" w:eastAsia="仿宋" w:cs="仿宋"/>
          <w:color w:val="auto"/>
          <w:spacing w:val="6"/>
          <w:sz w:val="24"/>
          <w:szCs w:val="24"/>
          <w:highlight w:val="none"/>
        </w:rPr>
        <w:t>条件的残疾人福利性单位，且本单位参加</w:t>
      </w:r>
      <w:r>
        <w:rPr>
          <w:rFonts w:hint="eastAsia" w:ascii="仿宋" w:hAnsi="仿宋" w:eastAsia="仿宋" w:cs="仿宋"/>
          <w:color w:val="auto"/>
          <w:spacing w:val="6"/>
          <w:sz w:val="24"/>
          <w:szCs w:val="24"/>
          <w:highlight w:val="none"/>
          <w:u w:val="single"/>
        </w:rPr>
        <w:t xml:space="preserve">      </w:t>
      </w:r>
      <w:r>
        <w:rPr>
          <w:rFonts w:hint="eastAsia" w:ascii="仿宋" w:hAnsi="仿宋" w:eastAsia="仿宋" w:cs="仿宋"/>
          <w:color w:val="auto"/>
          <w:spacing w:val="6"/>
          <w:sz w:val="24"/>
          <w:szCs w:val="24"/>
          <w:highlight w:val="none"/>
        </w:rPr>
        <w:t>单位的</w:t>
      </w:r>
      <w:r>
        <w:rPr>
          <w:rFonts w:hint="eastAsia" w:ascii="仿宋" w:hAnsi="仿宋" w:eastAsia="仿宋" w:cs="仿宋"/>
          <w:color w:val="auto"/>
          <w:spacing w:val="6"/>
          <w:sz w:val="24"/>
          <w:szCs w:val="24"/>
          <w:highlight w:val="none"/>
          <w:u w:val="single"/>
        </w:rPr>
        <w:t xml:space="preserve">      </w:t>
      </w:r>
      <w:r>
        <w:rPr>
          <w:rFonts w:hint="eastAsia" w:ascii="仿宋" w:hAnsi="仿宋" w:eastAsia="仿宋" w:cs="仿宋"/>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5B809A8D">
      <w:pPr>
        <w:spacing w:line="360" w:lineRule="auto"/>
        <w:ind w:firstLine="435"/>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本单位对上述声明的真实性负责。如有虚假，将依法承担相应责任。</w:t>
      </w:r>
    </w:p>
    <w:p w14:paraId="021C5BEB">
      <w:pPr>
        <w:spacing w:line="360" w:lineRule="auto"/>
        <w:ind w:firstLine="4228" w:firstLineChars="1762"/>
        <w:rPr>
          <w:rFonts w:hint="eastAsia" w:ascii="仿宋" w:hAnsi="仿宋" w:eastAsia="仿宋" w:cs="仿宋"/>
          <w:color w:val="auto"/>
          <w:sz w:val="24"/>
          <w:szCs w:val="24"/>
          <w:highlight w:val="none"/>
        </w:rPr>
      </w:pPr>
    </w:p>
    <w:p w14:paraId="59787B25">
      <w:pPr>
        <w:spacing w:line="360" w:lineRule="auto"/>
        <w:ind w:firstLine="4228" w:firstLineChars="1762"/>
        <w:rPr>
          <w:rFonts w:hint="eastAsia" w:ascii="仿宋" w:hAnsi="仿宋" w:eastAsia="仿宋" w:cs="仿宋"/>
          <w:color w:val="auto"/>
          <w:sz w:val="24"/>
          <w:szCs w:val="24"/>
          <w:highlight w:val="none"/>
        </w:rPr>
      </w:pPr>
    </w:p>
    <w:p w14:paraId="52004096">
      <w:pPr>
        <w:spacing w:line="360" w:lineRule="auto"/>
        <w:ind w:firstLine="4228" w:firstLineChars="1762"/>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投标人电子签章：</w:t>
      </w:r>
      <w:r>
        <w:rPr>
          <w:rFonts w:hint="eastAsia" w:ascii="仿宋" w:hAnsi="仿宋" w:eastAsia="仿宋" w:cs="仿宋"/>
          <w:color w:val="auto"/>
          <w:sz w:val="24"/>
          <w:szCs w:val="24"/>
          <w:highlight w:val="none"/>
          <w:u w:val="single"/>
        </w:rPr>
        <w:t xml:space="preserve">             </w:t>
      </w:r>
    </w:p>
    <w:p w14:paraId="09628EED">
      <w:pPr>
        <w:tabs>
          <w:tab w:val="left" w:pos="4620"/>
        </w:tabs>
        <w:spacing w:line="360" w:lineRule="auto"/>
        <w:ind w:firstLine="4252" w:firstLineChars="1772"/>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日          期：</w:t>
      </w:r>
      <w:r>
        <w:rPr>
          <w:rFonts w:hint="eastAsia" w:ascii="仿宋" w:hAnsi="仿宋" w:eastAsia="仿宋" w:cs="仿宋"/>
          <w:color w:val="auto"/>
          <w:sz w:val="24"/>
          <w:szCs w:val="24"/>
          <w:highlight w:val="none"/>
          <w:u w:val="single"/>
        </w:rPr>
        <w:t xml:space="preserve">             </w:t>
      </w:r>
    </w:p>
    <w:p w14:paraId="166EBE17">
      <w:pPr>
        <w:widowControl/>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72BA3AE9">
      <w:pPr>
        <w:spacing w:line="360" w:lineRule="auto"/>
        <w:jc w:val="center"/>
        <w:outlineLvl w:val="1"/>
        <w:rPr>
          <w:rFonts w:hint="eastAsia" w:ascii="仿宋" w:hAnsi="仿宋" w:eastAsia="仿宋" w:cs="仿宋"/>
          <w:b/>
          <w:color w:val="auto"/>
          <w:sz w:val="24"/>
          <w:highlight w:val="none"/>
        </w:rPr>
      </w:pPr>
      <w:bookmarkStart w:id="85" w:name="_Toc4303"/>
      <w:bookmarkStart w:id="86" w:name="_Toc300210382"/>
      <w:bookmarkStart w:id="87" w:name="_Toc520299348"/>
      <w:bookmarkStart w:id="88" w:name="_Toc457768004"/>
      <w:bookmarkStart w:id="89" w:name="_Toc26536"/>
      <w:bookmarkStart w:id="90" w:name="_Toc25813"/>
      <w:bookmarkStart w:id="91" w:name="_Hlk11701496"/>
      <w:r>
        <w:rPr>
          <w:rFonts w:hint="eastAsia" w:ascii="仿宋" w:hAnsi="仿宋" w:eastAsia="仿宋" w:cs="仿宋"/>
          <w:b/>
          <w:color w:val="auto"/>
          <w:sz w:val="24"/>
          <w:highlight w:val="none"/>
          <w:lang w:val="en-US" w:eastAsia="zh-CN"/>
        </w:rPr>
        <w:t>十</w:t>
      </w:r>
      <w:r>
        <w:rPr>
          <w:rFonts w:hint="eastAsia" w:ascii="仿宋" w:hAnsi="仿宋" w:eastAsia="仿宋" w:cs="仿宋"/>
          <w:b/>
          <w:color w:val="auto"/>
          <w:sz w:val="24"/>
          <w:highlight w:val="none"/>
        </w:rPr>
        <w:t>、关于符合本国产品标准的声明函</w:t>
      </w:r>
      <w:bookmarkEnd w:id="85"/>
    </w:p>
    <w:p w14:paraId="40EA45CC">
      <w:pPr>
        <w:spacing w:line="360" w:lineRule="auto"/>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i/>
          <w:color w:val="auto"/>
          <w:sz w:val="24"/>
          <w:highlight w:val="none"/>
        </w:rPr>
        <w:t>（不符合本国产品扶持政策，不需此件）</w:t>
      </w:r>
    </w:p>
    <w:p w14:paraId="03E5DCF9">
      <w:pPr>
        <w:pStyle w:val="23"/>
        <w:widowControl/>
        <w:spacing w:before="0" w:beforeAutospacing="0" w:after="0" w:afterAutospacing="0" w:line="360" w:lineRule="auto"/>
        <w:ind w:firstLine="420"/>
        <w:textAlignment w:val="baseline"/>
        <w:rPr>
          <w:rFonts w:hint="eastAsia" w:ascii="仿宋" w:hAnsi="仿宋" w:eastAsia="仿宋" w:cs="仿宋"/>
          <w:color w:val="auto"/>
          <w:szCs w:val="24"/>
          <w:highlight w:val="none"/>
        </w:rPr>
      </w:pPr>
      <w:r>
        <w:rPr>
          <w:rFonts w:hint="eastAsia" w:ascii="仿宋" w:hAnsi="仿宋" w:eastAsia="仿宋" w:cs="仿宋"/>
          <w:color w:val="auto"/>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A2E6911">
      <w:pPr>
        <w:pStyle w:val="23"/>
        <w:widowControl/>
        <w:spacing w:before="0" w:beforeAutospacing="0" w:after="0" w:afterAutospacing="0" w:line="360" w:lineRule="auto"/>
        <w:ind w:firstLine="420"/>
        <w:textAlignment w:val="baseline"/>
        <w:rPr>
          <w:rFonts w:hint="eastAsia" w:ascii="仿宋" w:hAnsi="仿宋" w:eastAsia="仿宋" w:cs="仿宋"/>
          <w:color w:val="auto"/>
          <w:szCs w:val="24"/>
          <w:highlight w:val="none"/>
        </w:rPr>
      </w:pPr>
      <w:r>
        <w:rPr>
          <w:rFonts w:hint="eastAsia" w:ascii="仿宋" w:hAnsi="仿宋" w:eastAsia="仿宋" w:cs="仿宋"/>
          <w:color w:val="auto"/>
          <w:szCs w:val="24"/>
          <w:highlight w:val="none"/>
          <w:shd w:val="clear" w:color="auto" w:fill="FFFFFF"/>
        </w:rPr>
        <w:t>1.</w:t>
      </w:r>
      <w:r>
        <w:rPr>
          <w:rStyle w:val="32"/>
          <w:rFonts w:hint="eastAsia" w:ascii="仿宋" w:hAnsi="仿宋" w:eastAsia="仿宋" w:cs="仿宋"/>
          <w:color w:val="auto"/>
          <w:szCs w:val="24"/>
          <w:highlight w:val="none"/>
          <w:u w:val="single"/>
          <w:shd w:val="clear" w:color="auto" w:fill="FFFFFF"/>
        </w:rPr>
        <w:t>（产品名称1）</w:t>
      </w:r>
      <w:r>
        <w:rPr>
          <w:rStyle w:val="32"/>
          <w:rFonts w:hint="eastAsia" w:ascii="仿宋" w:hAnsi="仿宋" w:eastAsia="仿宋" w:cs="仿宋"/>
          <w:color w:val="auto"/>
          <w:szCs w:val="24"/>
          <w:highlight w:val="none"/>
          <w:shd w:val="clear" w:color="auto" w:fill="FFFFFF"/>
          <w:vertAlign w:val="superscript"/>
        </w:rPr>
        <w:t>1</w:t>
      </w:r>
      <w:r>
        <w:rPr>
          <w:rFonts w:hint="eastAsia" w:ascii="仿宋" w:hAnsi="仿宋" w:eastAsia="仿宋" w:cs="仿宋"/>
          <w:color w:val="auto"/>
          <w:szCs w:val="24"/>
          <w:highlight w:val="none"/>
          <w:shd w:val="clear" w:color="auto" w:fill="FFFFFF"/>
        </w:rPr>
        <w:t>，生产厂为</w:t>
      </w:r>
      <w:r>
        <w:rPr>
          <w:rStyle w:val="32"/>
          <w:rFonts w:hint="eastAsia" w:ascii="仿宋" w:hAnsi="仿宋" w:eastAsia="仿宋" w:cs="仿宋"/>
          <w:color w:val="auto"/>
          <w:szCs w:val="24"/>
          <w:highlight w:val="none"/>
          <w:u w:val="single"/>
          <w:shd w:val="clear" w:color="auto" w:fill="FFFFFF"/>
        </w:rPr>
        <w:t>（厂名）</w:t>
      </w:r>
      <w:r>
        <w:rPr>
          <w:rStyle w:val="32"/>
          <w:rFonts w:hint="eastAsia" w:ascii="仿宋" w:hAnsi="仿宋" w:eastAsia="仿宋" w:cs="仿宋"/>
          <w:color w:val="auto"/>
          <w:szCs w:val="24"/>
          <w:highlight w:val="none"/>
          <w:shd w:val="clear" w:color="auto" w:fill="FFFFFF"/>
          <w:vertAlign w:val="superscript"/>
        </w:rPr>
        <w:t>2</w:t>
      </w:r>
      <w:r>
        <w:rPr>
          <w:rFonts w:hint="eastAsia" w:ascii="仿宋" w:hAnsi="仿宋" w:eastAsia="仿宋" w:cs="仿宋"/>
          <w:color w:val="auto"/>
          <w:szCs w:val="24"/>
          <w:highlight w:val="none"/>
          <w:shd w:val="clear" w:color="auto" w:fill="FFFFFF"/>
        </w:rPr>
        <w:t>，厂址为</w:t>
      </w:r>
      <w:r>
        <w:rPr>
          <w:rStyle w:val="32"/>
          <w:rFonts w:hint="eastAsia" w:ascii="仿宋" w:hAnsi="仿宋" w:eastAsia="仿宋" w:cs="仿宋"/>
          <w:color w:val="auto"/>
          <w:szCs w:val="24"/>
          <w:highlight w:val="none"/>
          <w:u w:val="single"/>
          <w:shd w:val="clear" w:color="auto" w:fill="FFFFFF"/>
        </w:rPr>
        <w:t>（生产厂址）</w:t>
      </w:r>
      <w:r>
        <w:rPr>
          <w:rFonts w:hint="eastAsia" w:ascii="仿宋" w:hAnsi="仿宋" w:eastAsia="仿宋" w:cs="仿宋"/>
          <w:color w:val="auto"/>
          <w:szCs w:val="24"/>
          <w:highlight w:val="none"/>
          <w:shd w:val="clear" w:color="auto" w:fill="FFFFFF"/>
        </w:rPr>
        <w:t>。</w:t>
      </w:r>
      <w:r>
        <w:rPr>
          <w:rStyle w:val="32"/>
          <w:rFonts w:hint="eastAsia" w:ascii="仿宋" w:hAnsi="仿宋" w:eastAsia="仿宋" w:cs="仿宋"/>
          <w:color w:val="auto"/>
          <w:szCs w:val="24"/>
          <w:highlight w:val="none"/>
          <w:u w:val="single"/>
          <w:shd w:val="clear" w:color="auto" w:fill="FFFFFF"/>
        </w:rPr>
        <w:t xml:space="preserve">  /  </w:t>
      </w:r>
      <w:r>
        <w:rPr>
          <w:rFonts w:hint="eastAsia" w:ascii="仿宋" w:hAnsi="仿宋" w:eastAsia="仿宋" w:cs="仿宋"/>
          <w:color w:val="auto"/>
          <w:szCs w:val="24"/>
          <w:highlight w:val="none"/>
          <w:shd w:val="clear" w:color="auto" w:fill="FFFFFF"/>
        </w:rPr>
        <w:t>的中国境内生产的组件成本占比≥</w:t>
      </w:r>
      <w:r>
        <w:rPr>
          <w:rStyle w:val="32"/>
          <w:rFonts w:hint="eastAsia" w:ascii="仿宋" w:hAnsi="仿宋" w:eastAsia="仿宋" w:cs="仿宋"/>
          <w:color w:val="auto"/>
          <w:szCs w:val="24"/>
          <w:highlight w:val="none"/>
          <w:u w:val="single"/>
          <w:shd w:val="clear" w:color="auto" w:fill="FFFFFF"/>
        </w:rPr>
        <w:t xml:space="preserve">  /  </w:t>
      </w:r>
      <w:r>
        <w:rPr>
          <w:rFonts w:hint="eastAsia" w:ascii="仿宋" w:hAnsi="仿宋" w:eastAsia="仿宋" w:cs="仿宋"/>
          <w:color w:val="auto"/>
          <w:szCs w:val="24"/>
          <w:highlight w:val="none"/>
          <w:shd w:val="clear" w:color="auto" w:fill="FFFFFF"/>
        </w:rPr>
        <w:t>。</w:t>
      </w:r>
      <w:r>
        <w:rPr>
          <w:rStyle w:val="32"/>
          <w:rFonts w:hint="eastAsia" w:ascii="仿宋" w:hAnsi="仿宋" w:eastAsia="仿宋" w:cs="仿宋"/>
          <w:color w:val="auto"/>
          <w:szCs w:val="24"/>
          <w:highlight w:val="none"/>
          <w:u w:val="single"/>
          <w:shd w:val="clear" w:color="auto" w:fill="FFFFFF"/>
        </w:rPr>
        <w:t xml:space="preserve">  /  </w:t>
      </w:r>
      <w:r>
        <w:rPr>
          <w:rFonts w:hint="eastAsia" w:ascii="仿宋" w:hAnsi="仿宋" w:eastAsia="仿宋" w:cs="仿宋"/>
          <w:color w:val="auto"/>
          <w:szCs w:val="24"/>
          <w:highlight w:val="none"/>
          <w:shd w:val="clear" w:color="auto" w:fill="FFFFFF"/>
        </w:rPr>
        <w:t>的</w:t>
      </w:r>
      <w:r>
        <w:rPr>
          <w:rStyle w:val="32"/>
          <w:rFonts w:hint="eastAsia" w:ascii="仿宋" w:hAnsi="仿宋" w:eastAsia="仿宋" w:cs="仿宋"/>
          <w:color w:val="auto"/>
          <w:szCs w:val="24"/>
          <w:highlight w:val="none"/>
          <w:u w:val="single"/>
          <w:shd w:val="clear" w:color="auto" w:fill="FFFFFF"/>
        </w:rPr>
        <w:t xml:space="preserve">  /  </w:t>
      </w:r>
      <w:r>
        <w:rPr>
          <w:rFonts w:hint="eastAsia" w:ascii="仿宋" w:hAnsi="仿宋" w:eastAsia="仿宋" w:cs="仿宋"/>
          <w:color w:val="auto"/>
          <w:szCs w:val="24"/>
          <w:highlight w:val="none"/>
          <w:shd w:val="clear" w:color="auto" w:fill="FFFFFF"/>
        </w:rPr>
        <w:t>在中国境内生产。</w:t>
      </w:r>
      <w:r>
        <w:rPr>
          <w:rStyle w:val="32"/>
          <w:rFonts w:hint="eastAsia" w:ascii="仿宋" w:hAnsi="仿宋" w:eastAsia="仿宋" w:cs="仿宋"/>
          <w:color w:val="auto"/>
          <w:szCs w:val="24"/>
          <w:highlight w:val="none"/>
          <w:u w:val="single"/>
          <w:shd w:val="clear" w:color="auto" w:fill="FFFFFF"/>
        </w:rPr>
        <w:t xml:space="preserve">  /  </w:t>
      </w:r>
      <w:r>
        <w:rPr>
          <w:rFonts w:hint="eastAsia" w:ascii="仿宋" w:hAnsi="仿宋" w:eastAsia="仿宋" w:cs="仿宋"/>
          <w:color w:val="auto"/>
          <w:szCs w:val="24"/>
          <w:highlight w:val="none"/>
          <w:shd w:val="clear" w:color="auto" w:fill="FFFFFF"/>
        </w:rPr>
        <w:t>的</w:t>
      </w:r>
      <w:r>
        <w:rPr>
          <w:rStyle w:val="32"/>
          <w:rFonts w:hint="eastAsia" w:ascii="仿宋" w:hAnsi="仿宋" w:eastAsia="仿宋" w:cs="仿宋"/>
          <w:color w:val="auto"/>
          <w:szCs w:val="24"/>
          <w:highlight w:val="none"/>
          <w:u w:val="single"/>
          <w:shd w:val="clear" w:color="auto" w:fill="FFFFFF"/>
        </w:rPr>
        <w:t xml:space="preserve">  /  </w:t>
      </w:r>
      <w:r>
        <w:rPr>
          <w:rFonts w:hint="eastAsia" w:ascii="仿宋" w:hAnsi="仿宋" w:eastAsia="仿宋" w:cs="仿宋"/>
          <w:color w:val="auto"/>
          <w:szCs w:val="24"/>
          <w:highlight w:val="none"/>
          <w:shd w:val="clear" w:color="auto" w:fill="FFFFFF"/>
        </w:rPr>
        <w:t>在中国境内完成。</w:t>
      </w:r>
    </w:p>
    <w:p w14:paraId="5F339722">
      <w:pPr>
        <w:pStyle w:val="23"/>
        <w:widowControl/>
        <w:spacing w:before="0" w:beforeAutospacing="0" w:after="0" w:afterAutospacing="0" w:line="360" w:lineRule="auto"/>
        <w:ind w:firstLine="420"/>
        <w:textAlignment w:val="baseline"/>
        <w:rPr>
          <w:rFonts w:hint="eastAsia" w:ascii="仿宋" w:hAnsi="仿宋" w:eastAsia="仿宋" w:cs="仿宋"/>
          <w:color w:val="auto"/>
          <w:szCs w:val="24"/>
          <w:highlight w:val="none"/>
        </w:rPr>
      </w:pPr>
      <w:r>
        <w:rPr>
          <w:rFonts w:hint="eastAsia" w:ascii="仿宋" w:hAnsi="仿宋" w:eastAsia="仿宋" w:cs="仿宋"/>
          <w:color w:val="auto"/>
          <w:szCs w:val="24"/>
          <w:highlight w:val="none"/>
          <w:shd w:val="clear" w:color="auto" w:fill="FFFFFF"/>
        </w:rPr>
        <w:t>2.</w:t>
      </w:r>
      <w:r>
        <w:rPr>
          <w:rStyle w:val="32"/>
          <w:rFonts w:hint="eastAsia" w:ascii="仿宋" w:hAnsi="仿宋" w:eastAsia="仿宋" w:cs="仿宋"/>
          <w:color w:val="auto"/>
          <w:szCs w:val="24"/>
          <w:highlight w:val="none"/>
          <w:u w:val="single"/>
          <w:shd w:val="clear" w:color="auto" w:fill="FFFFFF"/>
        </w:rPr>
        <w:t>（产品名称2）</w:t>
      </w:r>
      <w:r>
        <w:rPr>
          <w:rFonts w:hint="eastAsia" w:ascii="仿宋" w:hAnsi="仿宋" w:eastAsia="仿宋" w:cs="仿宋"/>
          <w:color w:val="auto"/>
          <w:szCs w:val="24"/>
          <w:highlight w:val="none"/>
          <w:shd w:val="clear" w:color="auto" w:fill="FFFFFF"/>
        </w:rPr>
        <w:t>，生产厂为</w:t>
      </w:r>
      <w:r>
        <w:rPr>
          <w:rStyle w:val="32"/>
          <w:rFonts w:hint="eastAsia" w:ascii="仿宋" w:hAnsi="仿宋" w:eastAsia="仿宋" w:cs="仿宋"/>
          <w:color w:val="auto"/>
          <w:szCs w:val="24"/>
          <w:highlight w:val="none"/>
          <w:u w:val="single"/>
          <w:shd w:val="clear" w:color="auto" w:fill="FFFFFF"/>
        </w:rPr>
        <w:t>（厂名）</w:t>
      </w:r>
      <w:r>
        <w:rPr>
          <w:rFonts w:hint="eastAsia" w:ascii="仿宋" w:hAnsi="仿宋" w:eastAsia="仿宋" w:cs="仿宋"/>
          <w:color w:val="auto"/>
          <w:szCs w:val="24"/>
          <w:highlight w:val="none"/>
          <w:shd w:val="clear" w:color="auto" w:fill="FFFFFF"/>
        </w:rPr>
        <w:t>，厂址为</w:t>
      </w:r>
      <w:r>
        <w:rPr>
          <w:rStyle w:val="32"/>
          <w:rFonts w:hint="eastAsia" w:ascii="仿宋" w:hAnsi="仿宋" w:eastAsia="仿宋" w:cs="仿宋"/>
          <w:color w:val="auto"/>
          <w:szCs w:val="24"/>
          <w:highlight w:val="none"/>
          <w:u w:val="single"/>
          <w:shd w:val="clear" w:color="auto" w:fill="FFFFFF"/>
        </w:rPr>
        <w:t>（生产厂址）</w:t>
      </w:r>
      <w:r>
        <w:rPr>
          <w:rFonts w:hint="eastAsia" w:ascii="仿宋" w:hAnsi="仿宋" w:eastAsia="仿宋" w:cs="仿宋"/>
          <w:color w:val="auto"/>
          <w:szCs w:val="24"/>
          <w:highlight w:val="none"/>
          <w:shd w:val="clear" w:color="auto" w:fill="FFFFFF"/>
        </w:rPr>
        <w:t>。</w:t>
      </w:r>
      <w:r>
        <w:rPr>
          <w:rStyle w:val="32"/>
          <w:rFonts w:hint="eastAsia" w:ascii="仿宋" w:hAnsi="仿宋" w:eastAsia="仿宋" w:cs="仿宋"/>
          <w:color w:val="auto"/>
          <w:szCs w:val="24"/>
          <w:highlight w:val="none"/>
          <w:u w:val="single"/>
          <w:shd w:val="clear" w:color="auto" w:fill="FFFFFF"/>
        </w:rPr>
        <w:t xml:space="preserve">  /  </w:t>
      </w:r>
      <w:r>
        <w:rPr>
          <w:rFonts w:hint="eastAsia" w:ascii="仿宋" w:hAnsi="仿宋" w:eastAsia="仿宋" w:cs="仿宋"/>
          <w:color w:val="auto"/>
          <w:szCs w:val="24"/>
          <w:highlight w:val="none"/>
          <w:shd w:val="clear" w:color="auto" w:fill="FFFFFF"/>
        </w:rPr>
        <w:t>的中国境内生产的组件成本占比≥</w:t>
      </w:r>
      <w:r>
        <w:rPr>
          <w:rStyle w:val="32"/>
          <w:rFonts w:hint="eastAsia" w:ascii="仿宋" w:hAnsi="仿宋" w:eastAsia="仿宋" w:cs="仿宋"/>
          <w:color w:val="auto"/>
          <w:szCs w:val="24"/>
          <w:highlight w:val="none"/>
          <w:u w:val="single"/>
          <w:shd w:val="clear" w:color="auto" w:fill="FFFFFF"/>
        </w:rPr>
        <w:t xml:space="preserve">  /  </w:t>
      </w:r>
      <w:r>
        <w:rPr>
          <w:rFonts w:hint="eastAsia" w:ascii="仿宋" w:hAnsi="仿宋" w:eastAsia="仿宋" w:cs="仿宋"/>
          <w:color w:val="auto"/>
          <w:szCs w:val="24"/>
          <w:highlight w:val="none"/>
          <w:shd w:val="clear" w:color="auto" w:fill="FFFFFF"/>
        </w:rPr>
        <w:t>。</w:t>
      </w:r>
      <w:r>
        <w:rPr>
          <w:rStyle w:val="32"/>
          <w:rFonts w:hint="eastAsia" w:ascii="仿宋" w:hAnsi="仿宋" w:eastAsia="仿宋" w:cs="仿宋"/>
          <w:color w:val="auto"/>
          <w:szCs w:val="24"/>
          <w:highlight w:val="none"/>
          <w:u w:val="single"/>
          <w:shd w:val="clear" w:color="auto" w:fill="FFFFFF"/>
        </w:rPr>
        <w:t xml:space="preserve">  /  </w:t>
      </w:r>
      <w:r>
        <w:rPr>
          <w:rFonts w:hint="eastAsia" w:ascii="仿宋" w:hAnsi="仿宋" w:eastAsia="仿宋" w:cs="仿宋"/>
          <w:color w:val="auto"/>
          <w:szCs w:val="24"/>
          <w:highlight w:val="none"/>
          <w:shd w:val="clear" w:color="auto" w:fill="FFFFFF"/>
        </w:rPr>
        <w:t>的</w:t>
      </w:r>
      <w:r>
        <w:rPr>
          <w:rStyle w:val="32"/>
          <w:rFonts w:hint="eastAsia" w:ascii="仿宋" w:hAnsi="仿宋" w:eastAsia="仿宋" w:cs="仿宋"/>
          <w:color w:val="auto"/>
          <w:szCs w:val="24"/>
          <w:highlight w:val="none"/>
          <w:u w:val="single"/>
          <w:shd w:val="clear" w:color="auto" w:fill="FFFFFF"/>
        </w:rPr>
        <w:t xml:space="preserve">  /  </w:t>
      </w:r>
      <w:r>
        <w:rPr>
          <w:rFonts w:hint="eastAsia" w:ascii="仿宋" w:hAnsi="仿宋" w:eastAsia="仿宋" w:cs="仿宋"/>
          <w:color w:val="auto"/>
          <w:szCs w:val="24"/>
          <w:highlight w:val="none"/>
          <w:shd w:val="clear" w:color="auto" w:fill="FFFFFF"/>
        </w:rPr>
        <w:t>在中国境内生产。</w:t>
      </w:r>
      <w:r>
        <w:rPr>
          <w:rStyle w:val="32"/>
          <w:rFonts w:hint="eastAsia" w:ascii="仿宋" w:hAnsi="仿宋" w:eastAsia="仿宋" w:cs="仿宋"/>
          <w:color w:val="auto"/>
          <w:szCs w:val="24"/>
          <w:highlight w:val="none"/>
          <w:u w:val="single"/>
          <w:shd w:val="clear" w:color="auto" w:fill="FFFFFF"/>
        </w:rPr>
        <w:t xml:space="preserve">  /  </w:t>
      </w:r>
      <w:r>
        <w:rPr>
          <w:rFonts w:hint="eastAsia" w:ascii="仿宋" w:hAnsi="仿宋" w:eastAsia="仿宋" w:cs="仿宋"/>
          <w:color w:val="auto"/>
          <w:szCs w:val="24"/>
          <w:highlight w:val="none"/>
          <w:shd w:val="clear" w:color="auto" w:fill="FFFFFF"/>
        </w:rPr>
        <w:t>的</w:t>
      </w:r>
      <w:r>
        <w:rPr>
          <w:rStyle w:val="32"/>
          <w:rFonts w:hint="eastAsia" w:ascii="仿宋" w:hAnsi="仿宋" w:eastAsia="仿宋" w:cs="仿宋"/>
          <w:color w:val="auto"/>
          <w:szCs w:val="24"/>
          <w:highlight w:val="none"/>
          <w:u w:val="single"/>
          <w:shd w:val="clear" w:color="auto" w:fill="FFFFFF"/>
        </w:rPr>
        <w:t xml:space="preserve">  /  </w:t>
      </w:r>
      <w:r>
        <w:rPr>
          <w:rFonts w:hint="eastAsia" w:ascii="仿宋" w:hAnsi="仿宋" w:eastAsia="仿宋" w:cs="仿宋"/>
          <w:color w:val="auto"/>
          <w:szCs w:val="24"/>
          <w:highlight w:val="none"/>
          <w:shd w:val="clear" w:color="auto" w:fill="FFFFFF"/>
        </w:rPr>
        <w:t>在中国境内完成。</w:t>
      </w:r>
    </w:p>
    <w:p w14:paraId="0FE982D5">
      <w:pPr>
        <w:pStyle w:val="23"/>
        <w:widowControl/>
        <w:spacing w:before="0" w:beforeAutospacing="0" w:after="0" w:afterAutospacing="0" w:line="360" w:lineRule="auto"/>
        <w:ind w:firstLine="420"/>
        <w:textAlignment w:val="baseline"/>
        <w:rPr>
          <w:rFonts w:hint="eastAsia" w:ascii="仿宋" w:hAnsi="仿宋" w:eastAsia="仿宋" w:cs="仿宋"/>
          <w:color w:val="auto"/>
          <w:szCs w:val="24"/>
          <w:highlight w:val="none"/>
        </w:rPr>
      </w:pPr>
      <w:r>
        <w:rPr>
          <w:rFonts w:hint="eastAsia" w:ascii="仿宋" w:hAnsi="仿宋" w:eastAsia="仿宋" w:cs="仿宋"/>
          <w:color w:val="auto"/>
          <w:szCs w:val="24"/>
          <w:highlight w:val="none"/>
          <w:shd w:val="clear" w:color="auto" w:fill="FFFFFF"/>
        </w:rPr>
        <w:t>……</w:t>
      </w:r>
    </w:p>
    <w:p w14:paraId="4ABE8659">
      <w:pPr>
        <w:pStyle w:val="23"/>
        <w:widowControl/>
        <w:spacing w:before="0" w:beforeAutospacing="0" w:after="0" w:afterAutospacing="0" w:line="360" w:lineRule="auto"/>
        <w:ind w:firstLine="420"/>
        <w:textAlignment w:val="baseline"/>
        <w:rPr>
          <w:rFonts w:hint="eastAsia" w:ascii="仿宋" w:hAnsi="仿宋" w:eastAsia="仿宋" w:cs="仿宋"/>
          <w:color w:val="auto"/>
          <w:szCs w:val="24"/>
          <w:highlight w:val="none"/>
        </w:rPr>
      </w:pPr>
      <w:r>
        <w:rPr>
          <w:rFonts w:hint="eastAsia" w:ascii="仿宋" w:hAnsi="仿宋" w:eastAsia="仿宋" w:cs="仿宋"/>
          <w:color w:val="auto"/>
          <w:szCs w:val="24"/>
          <w:highlight w:val="none"/>
          <w:shd w:val="clear" w:color="auto" w:fill="FFFFFF"/>
        </w:rPr>
        <w:t>本公司（单位）对上述声明内容的真实性负责。如有虚假，愿承担相应法律责任。</w:t>
      </w:r>
    </w:p>
    <w:p w14:paraId="074DEFF8">
      <w:pPr>
        <w:spacing w:line="360" w:lineRule="auto"/>
        <w:ind w:firstLine="4228" w:firstLineChars="1762"/>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投标人电子签章：</w:t>
      </w:r>
      <w:r>
        <w:rPr>
          <w:rFonts w:hint="eastAsia" w:ascii="仿宋" w:hAnsi="仿宋" w:eastAsia="仿宋" w:cs="仿宋"/>
          <w:color w:val="auto"/>
          <w:sz w:val="24"/>
          <w:szCs w:val="24"/>
          <w:highlight w:val="none"/>
          <w:u w:val="single"/>
        </w:rPr>
        <w:t xml:space="preserve">             </w:t>
      </w:r>
    </w:p>
    <w:p w14:paraId="35CCD9C8">
      <w:pPr>
        <w:tabs>
          <w:tab w:val="left" w:pos="4620"/>
        </w:tabs>
        <w:spacing w:line="360" w:lineRule="auto"/>
        <w:ind w:firstLine="4252" w:firstLineChars="1772"/>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rPr>
        <w:t>日          期：</w:t>
      </w:r>
      <w:r>
        <w:rPr>
          <w:rFonts w:hint="eastAsia" w:ascii="仿宋" w:hAnsi="仿宋" w:eastAsia="仿宋" w:cs="仿宋"/>
          <w:color w:val="auto"/>
          <w:sz w:val="24"/>
          <w:szCs w:val="24"/>
          <w:highlight w:val="none"/>
          <w:u w:val="single"/>
        </w:rPr>
        <w:t xml:space="preserve">             </w:t>
      </w:r>
    </w:p>
    <w:p w14:paraId="38E84EBD">
      <w:pPr>
        <w:tabs>
          <w:tab w:val="left" w:pos="4620"/>
        </w:tabs>
        <w:spacing w:line="360" w:lineRule="auto"/>
        <w:jc w:val="left"/>
        <w:rPr>
          <w:rFonts w:hint="eastAsia" w:ascii="仿宋" w:hAnsi="仿宋" w:eastAsia="仿宋" w:cs="仿宋"/>
          <w:bCs/>
          <w:color w:val="auto"/>
          <w:szCs w:val="24"/>
          <w:highlight w:val="none"/>
        </w:rPr>
      </w:pPr>
      <w:r>
        <w:rPr>
          <w:rFonts w:hint="eastAsia" w:ascii="仿宋" w:hAnsi="仿宋" w:eastAsia="仿宋" w:cs="仿宋"/>
          <w:b/>
          <w:color w:val="auto"/>
          <w:szCs w:val="24"/>
          <w:highlight w:val="none"/>
        </w:rPr>
        <w:t>注：</w:t>
      </w:r>
    </w:p>
    <w:p w14:paraId="5839B8EF">
      <w:pPr>
        <w:tabs>
          <w:tab w:val="left" w:pos="4620"/>
        </w:tabs>
        <w:spacing w:line="360" w:lineRule="auto"/>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1.产品如有型号，请在“产品名称”栏一并填写。</w:t>
      </w:r>
    </w:p>
    <w:p w14:paraId="53BC9F17">
      <w:pPr>
        <w:tabs>
          <w:tab w:val="left" w:pos="4620"/>
        </w:tabs>
        <w:spacing w:line="360" w:lineRule="auto"/>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2.生产厂名与厂址应与生产厂营业执照载明的相关信息保持一致。</w:t>
      </w:r>
    </w:p>
    <w:p w14:paraId="71D98561">
      <w:pPr>
        <w:tabs>
          <w:tab w:val="left" w:pos="4620"/>
        </w:tabs>
        <w:spacing w:line="360" w:lineRule="auto"/>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3.上述声明函中标注</w:t>
      </w:r>
      <w:r>
        <w:rPr>
          <w:rFonts w:hint="eastAsia" w:ascii="仿宋" w:hAnsi="仿宋" w:eastAsia="仿宋" w:cs="仿宋"/>
          <w:bCs/>
          <w:color w:val="auto"/>
          <w:szCs w:val="21"/>
          <w:highlight w:val="none"/>
          <w:u w:val="single"/>
        </w:rPr>
        <w:t xml:space="preserve">  /  </w:t>
      </w:r>
      <w:r>
        <w:rPr>
          <w:rFonts w:hint="eastAsia" w:ascii="仿宋" w:hAnsi="仿宋" w:eastAsia="仿宋" w:cs="仿宋"/>
          <w:bCs/>
          <w:color w:val="auto"/>
          <w:szCs w:val="21"/>
          <w:highlight w:val="none"/>
        </w:rPr>
        <w:t>的，无需填写。</w:t>
      </w:r>
    </w:p>
    <w:p w14:paraId="24919605">
      <w:pPr>
        <w:tabs>
          <w:tab w:val="left" w:pos="4620"/>
        </w:tabs>
        <w:spacing w:line="360" w:lineRule="auto"/>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4.投标人应当结合“五、投标分项报价表-货物部分”相关信息进行填写。</w:t>
      </w:r>
    </w:p>
    <w:p w14:paraId="155EF329">
      <w:pPr>
        <w:tabs>
          <w:tab w:val="left" w:pos="4620"/>
        </w:tabs>
        <w:spacing w:line="360" w:lineRule="auto"/>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C0621B3">
      <w:pPr>
        <w:pStyle w:val="26"/>
        <w:ind w:firstLine="241"/>
        <w:rPr>
          <w:rFonts w:hint="eastAsia" w:ascii="仿宋" w:hAnsi="仿宋" w:eastAsia="仿宋" w:cs="仿宋"/>
          <w:b/>
          <w:color w:val="auto"/>
          <w:sz w:val="24"/>
          <w:highlight w:val="none"/>
          <w:lang w:val="en-US"/>
        </w:rPr>
      </w:pPr>
    </w:p>
    <w:p w14:paraId="41A4308F">
      <w:pPr>
        <w:spacing w:line="360" w:lineRule="auto"/>
        <w:jc w:val="center"/>
        <w:outlineLvl w:val="1"/>
        <w:rPr>
          <w:rFonts w:hint="eastAsia" w:ascii="仿宋" w:hAnsi="仿宋" w:eastAsia="仿宋" w:cs="仿宋"/>
          <w:b/>
          <w:color w:val="auto"/>
          <w:sz w:val="24"/>
          <w:highlight w:val="none"/>
        </w:rPr>
      </w:pPr>
      <w:bookmarkStart w:id="92" w:name="_Toc19056"/>
      <w:r>
        <w:rPr>
          <w:rFonts w:hint="eastAsia" w:ascii="仿宋" w:hAnsi="仿宋" w:eastAsia="仿宋" w:cs="仿宋"/>
          <w:b/>
          <w:color w:val="auto"/>
          <w:sz w:val="24"/>
          <w:highlight w:val="none"/>
        </w:rPr>
        <w:t>十</w:t>
      </w:r>
      <w:r>
        <w:rPr>
          <w:rFonts w:hint="eastAsia" w:ascii="仿宋" w:hAnsi="仿宋" w:eastAsia="仿宋" w:cs="仿宋"/>
          <w:b/>
          <w:color w:val="auto"/>
          <w:sz w:val="24"/>
          <w:highlight w:val="none"/>
          <w:lang w:val="en-US" w:eastAsia="zh-CN"/>
        </w:rPr>
        <w:t>一</w:t>
      </w:r>
      <w:r>
        <w:rPr>
          <w:rFonts w:hint="eastAsia" w:ascii="仿宋" w:hAnsi="仿宋" w:eastAsia="仿宋" w:cs="仿宋"/>
          <w:b/>
          <w:color w:val="auto"/>
          <w:sz w:val="24"/>
          <w:highlight w:val="none"/>
        </w:rPr>
        <w:t>、</w:t>
      </w:r>
      <w:bookmarkEnd w:id="86"/>
      <w:bookmarkEnd w:id="87"/>
      <w:bookmarkEnd w:id="88"/>
      <w:r>
        <w:rPr>
          <w:rFonts w:hint="eastAsia" w:ascii="仿宋" w:hAnsi="仿宋" w:eastAsia="仿宋" w:cs="仿宋"/>
          <w:b/>
          <w:color w:val="auto"/>
          <w:sz w:val="24"/>
          <w:highlight w:val="none"/>
        </w:rPr>
        <w:t>诚信履约承诺函</w:t>
      </w:r>
      <w:bookmarkEnd w:id="89"/>
      <w:bookmarkEnd w:id="90"/>
      <w:bookmarkEnd w:id="92"/>
    </w:p>
    <w:p w14:paraId="67A14D02">
      <w:pPr>
        <w:spacing w:line="360" w:lineRule="auto"/>
        <w:rPr>
          <w:rFonts w:hint="eastAsia" w:ascii="仿宋" w:hAnsi="仿宋" w:eastAsia="仿宋" w:cs="仿宋"/>
          <w:b/>
          <w:bCs/>
          <w:color w:val="auto"/>
          <w:sz w:val="24"/>
          <w:highlight w:val="none"/>
        </w:rPr>
      </w:pPr>
    </w:p>
    <w:p w14:paraId="54B3A998">
      <w:pPr>
        <w:spacing w:line="360" w:lineRule="auto"/>
        <w:rPr>
          <w:rFonts w:hint="eastAsia" w:ascii="仿宋" w:hAnsi="仿宋" w:eastAsia="仿宋" w:cs="仿宋"/>
          <w:b/>
          <w:bCs/>
          <w:color w:val="auto"/>
          <w:sz w:val="24"/>
          <w:highlight w:val="none"/>
          <w:u w:val="single"/>
        </w:rPr>
      </w:pPr>
      <w:r>
        <w:rPr>
          <w:rFonts w:hint="eastAsia" w:ascii="仿宋" w:hAnsi="仿宋" w:eastAsia="仿宋" w:cs="仿宋"/>
          <w:b/>
          <w:bCs/>
          <w:color w:val="auto"/>
          <w:sz w:val="24"/>
          <w:highlight w:val="none"/>
        </w:rPr>
        <w:t>致：采购人</w:t>
      </w:r>
    </w:p>
    <w:p w14:paraId="3E1B055C">
      <w:pPr>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4CFD33D">
      <w:pPr>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（1）中标或者成交后无正当理由拒不与采购人签订政府采购合同；</w:t>
      </w:r>
    </w:p>
    <w:p w14:paraId="65824E96">
      <w:pPr>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（2）未按照采购文件确定的事项签订政府采购合同；</w:t>
      </w:r>
    </w:p>
    <w:p w14:paraId="687F88FC">
      <w:pPr>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（3）将政府采购合同转包；</w:t>
      </w:r>
    </w:p>
    <w:p w14:paraId="65B07F8D">
      <w:pPr>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（4）提供假冒伪劣产品；</w:t>
      </w:r>
    </w:p>
    <w:p w14:paraId="0BBBC695">
      <w:pPr>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（5）擅自变更、中止或者终止政府采购合同。</w:t>
      </w:r>
    </w:p>
    <w:p w14:paraId="5366FF4D">
      <w:pPr>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A89E139">
      <w:pPr>
        <w:spacing w:line="360" w:lineRule="auto"/>
        <w:rPr>
          <w:rFonts w:hint="eastAsia" w:ascii="仿宋" w:hAnsi="仿宋" w:eastAsia="仿宋" w:cs="仿宋"/>
          <w:bCs/>
          <w:color w:val="auto"/>
          <w:sz w:val="24"/>
          <w:highlight w:val="none"/>
        </w:rPr>
      </w:pPr>
    </w:p>
    <w:p w14:paraId="5A8676B0">
      <w:pPr>
        <w:spacing w:line="360" w:lineRule="auto"/>
        <w:rPr>
          <w:rFonts w:hint="eastAsia" w:ascii="仿宋" w:hAnsi="仿宋" w:eastAsia="仿宋" w:cs="仿宋"/>
          <w:bCs/>
          <w:color w:val="auto"/>
          <w:sz w:val="24"/>
          <w:highlight w:val="none"/>
        </w:rPr>
      </w:pPr>
    </w:p>
    <w:p w14:paraId="29228CA5">
      <w:pPr>
        <w:spacing w:line="360" w:lineRule="auto"/>
        <w:ind w:firstLine="4320" w:firstLineChars="1800"/>
        <w:rPr>
          <w:rFonts w:hint="eastAsia" w:ascii="仿宋" w:hAnsi="仿宋" w:eastAsia="仿宋" w:cs="仿宋"/>
          <w:bCs/>
          <w:color w:val="auto"/>
          <w:sz w:val="24"/>
          <w:highlight w:val="none"/>
          <w:u w:val="single"/>
        </w:rPr>
      </w:pPr>
      <w:r>
        <w:rPr>
          <w:rFonts w:hint="eastAsia" w:ascii="仿宋" w:hAnsi="仿宋" w:eastAsia="仿宋" w:cs="仿宋"/>
          <w:bCs/>
          <w:color w:val="auto"/>
          <w:sz w:val="24"/>
          <w:highlight w:val="none"/>
        </w:rPr>
        <w:t>投标人电子签章：</w:t>
      </w:r>
      <w:r>
        <w:rPr>
          <w:rFonts w:hint="eastAsia" w:ascii="仿宋" w:hAnsi="仿宋" w:eastAsia="仿宋" w:cs="仿宋"/>
          <w:bCs/>
          <w:color w:val="auto"/>
          <w:sz w:val="24"/>
          <w:highlight w:val="none"/>
          <w:u w:val="single"/>
        </w:rPr>
        <w:t xml:space="preserve">             </w:t>
      </w:r>
    </w:p>
    <w:p w14:paraId="6F9FE43E">
      <w:pPr>
        <w:spacing w:line="360" w:lineRule="auto"/>
        <w:ind w:firstLine="4320" w:firstLineChars="18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日          期：</w:t>
      </w:r>
      <w:r>
        <w:rPr>
          <w:rFonts w:hint="eastAsia" w:ascii="仿宋" w:hAnsi="仿宋" w:eastAsia="仿宋" w:cs="仿宋"/>
          <w:bCs/>
          <w:color w:val="auto"/>
          <w:sz w:val="24"/>
          <w:highlight w:val="none"/>
          <w:u w:val="single"/>
        </w:rPr>
        <w:t xml:space="preserve">             </w:t>
      </w:r>
    </w:p>
    <w:p w14:paraId="749ECB25">
      <w:pPr>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35C24AC1">
      <w:pPr>
        <w:spacing w:line="360" w:lineRule="auto"/>
        <w:jc w:val="center"/>
        <w:outlineLvl w:val="1"/>
        <w:rPr>
          <w:rFonts w:hint="eastAsia" w:ascii="仿宋" w:hAnsi="仿宋" w:eastAsia="仿宋" w:cs="仿宋"/>
          <w:b/>
          <w:color w:val="auto"/>
          <w:sz w:val="24"/>
          <w:szCs w:val="24"/>
          <w:highlight w:val="none"/>
        </w:rPr>
      </w:pPr>
      <w:bookmarkStart w:id="93" w:name="_Toc7186"/>
      <w:r>
        <w:rPr>
          <w:rFonts w:hint="eastAsia" w:ascii="仿宋" w:hAnsi="仿宋" w:eastAsia="仿宋" w:cs="仿宋"/>
          <w:b/>
          <w:color w:val="auto"/>
          <w:sz w:val="24"/>
          <w:highlight w:val="none"/>
        </w:rPr>
        <w:t>十</w:t>
      </w:r>
      <w:r>
        <w:rPr>
          <w:rFonts w:hint="eastAsia" w:ascii="仿宋" w:hAnsi="仿宋" w:eastAsia="仿宋" w:cs="仿宋"/>
          <w:b/>
          <w:color w:val="auto"/>
          <w:sz w:val="24"/>
          <w:highlight w:val="none"/>
          <w:lang w:val="en-US" w:eastAsia="zh-CN"/>
        </w:rPr>
        <w:t>二</w:t>
      </w:r>
      <w:r>
        <w:rPr>
          <w:rFonts w:hint="eastAsia" w:ascii="仿宋" w:hAnsi="仿宋" w:eastAsia="仿宋" w:cs="仿宋"/>
          <w:b/>
          <w:color w:val="auto"/>
          <w:sz w:val="24"/>
          <w:highlight w:val="none"/>
        </w:rPr>
        <w:t>、</w:t>
      </w:r>
      <w:r>
        <w:rPr>
          <w:rFonts w:hint="eastAsia" w:ascii="仿宋" w:hAnsi="仿宋" w:eastAsia="仿宋" w:cs="仿宋"/>
          <w:b/>
          <w:color w:val="auto"/>
          <w:sz w:val="24"/>
          <w:szCs w:val="24"/>
          <w:highlight w:val="none"/>
          <w:lang w:bidi="ar"/>
        </w:rPr>
        <w:t>诚信投标承诺书</w:t>
      </w:r>
      <w:bookmarkEnd w:id="93"/>
    </w:p>
    <w:p w14:paraId="2201A1A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本人以企业法定代表人的身份郑重承诺：</w:t>
      </w:r>
    </w:p>
    <w:p w14:paraId="587B3F9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一、将遵循公开、公正和诚实信用的原则自愿参加</w:t>
      </w:r>
      <w:r>
        <w:rPr>
          <w:rFonts w:hint="eastAsia" w:ascii="仿宋" w:hAnsi="仿宋" w:eastAsia="仿宋" w:cs="仿宋"/>
          <w:color w:val="auto"/>
          <w:szCs w:val="21"/>
          <w:highlight w:val="none"/>
          <w:u w:val="single"/>
          <w:lang w:bidi="ar"/>
        </w:rPr>
        <w:t xml:space="preserve">                   </w:t>
      </w:r>
      <w:r>
        <w:rPr>
          <w:rFonts w:hint="eastAsia" w:ascii="仿宋" w:hAnsi="仿宋" w:eastAsia="仿宋" w:cs="仿宋"/>
          <w:color w:val="auto"/>
          <w:szCs w:val="21"/>
          <w:highlight w:val="none"/>
          <w:lang w:bidi="ar"/>
        </w:rPr>
        <w:t>项目的投标，所提供的一切材料都是真实、有效、合法的；</w:t>
      </w:r>
    </w:p>
    <w:p w14:paraId="3231595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10596C1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三、不出借、转让资质证书，不让他人挂靠投标，不以他人名义投标或者以其他方式弄虚作假，骗取中标；</w:t>
      </w:r>
    </w:p>
    <w:p w14:paraId="6E07AEE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四、不与其他投标人相互串通投标报价，不排挤其他投标人的公平竞争、损害招标人的合法权益；</w:t>
      </w:r>
    </w:p>
    <w:p w14:paraId="4171C2A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五、不与招标人、招标代理机构或其他投标人串通投标，损害国家利益、社会公共利益或者他人的合法权益；</w:t>
      </w:r>
    </w:p>
    <w:p w14:paraId="5E0961E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六、严格遵守开标现场纪律，服从监管人员管理；</w:t>
      </w:r>
    </w:p>
    <w:p w14:paraId="5030BB5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bidi="ar"/>
        </w:rPr>
        <w:t>七</w:t>
      </w:r>
      <w:r>
        <w:rPr>
          <w:rFonts w:hint="eastAsia" w:ascii="仿宋" w:hAnsi="仿宋" w:eastAsia="仿宋" w:cs="仿宋"/>
          <w:color w:val="auto"/>
          <w:szCs w:val="21"/>
          <w:highlight w:val="none"/>
          <w:lang w:bidi="ar"/>
        </w:rPr>
        <w:t>、保证中标后不转包，若有分包征得招标人同意；</w:t>
      </w:r>
    </w:p>
    <w:p w14:paraId="7D6A1E0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bidi="ar"/>
        </w:rPr>
        <w:t>八</w:t>
      </w:r>
      <w:r>
        <w:rPr>
          <w:rFonts w:hint="eastAsia" w:ascii="仿宋" w:hAnsi="仿宋" w:eastAsia="仿宋" w:cs="仿宋"/>
          <w:color w:val="auto"/>
          <w:szCs w:val="21"/>
          <w:highlight w:val="none"/>
          <w:lang w:bidi="ar"/>
        </w:rPr>
        <w:t>、保证中标之后，按照投标文件要求提供相关后续服务；</w:t>
      </w:r>
    </w:p>
    <w:p w14:paraId="0A3387C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bidi="ar"/>
        </w:rPr>
        <w:t>九</w:t>
      </w:r>
      <w:r>
        <w:rPr>
          <w:rFonts w:hint="eastAsia" w:ascii="仿宋" w:hAnsi="仿宋" w:eastAsia="仿宋" w:cs="仿宋"/>
          <w:color w:val="auto"/>
          <w:szCs w:val="21"/>
          <w:highlight w:val="none"/>
          <w:lang w:bidi="ar"/>
        </w:rPr>
        <w:t>、保证企业及所属相关人员在本次投标中无行贿等犯罪行为；</w:t>
      </w:r>
    </w:p>
    <w:p w14:paraId="5130B1A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十、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E60D5D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以上内容我已仔细阅读，本公司若有违反承诺内容的行为，自愿接受取消投标或者中标（成交）资格、中标（成交）无效、记入不良行为记录等有关处理，愿意承担法律责任，给招标人造成损失的，依法承担赔偿责任。</w:t>
      </w:r>
    </w:p>
    <w:p w14:paraId="2A6BB7A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 xml:space="preserve"> </w:t>
      </w:r>
    </w:p>
    <w:p w14:paraId="2825375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开户银行：                      基本账户：</w:t>
      </w:r>
    </w:p>
    <w:p w14:paraId="35C993F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投标单位（签章）：               法定代表人（签章）：</w:t>
      </w:r>
    </w:p>
    <w:p w14:paraId="352BE66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 xml:space="preserve"> </w:t>
      </w:r>
    </w:p>
    <w:p w14:paraId="412EFB96">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Cs w:val="21"/>
          <w:highlight w:val="none"/>
          <w:lang w:bidi="ar"/>
        </w:rPr>
        <w:t>日期：</w:t>
      </w:r>
      <w:r>
        <w:rPr>
          <w:rFonts w:hint="eastAsia" w:ascii="仿宋" w:hAnsi="仿宋" w:eastAsia="仿宋" w:cs="仿宋"/>
          <w:color w:val="auto"/>
          <w:szCs w:val="21"/>
          <w:highlight w:val="none"/>
          <w:u w:val="single"/>
          <w:lang w:bidi="ar"/>
        </w:rPr>
        <w:t xml:space="preserve">          </w:t>
      </w:r>
      <w:r>
        <w:rPr>
          <w:rFonts w:hint="eastAsia" w:ascii="仿宋" w:hAnsi="仿宋" w:eastAsia="仿宋" w:cs="仿宋"/>
          <w:color w:val="auto"/>
          <w:szCs w:val="21"/>
          <w:highlight w:val="none"/>
          <w:lang w:bidi="ar"/>
        </w:rPr>
        <w:t xml:space="preserve">年 </w:t>
      </w:r>
      <w:r>
        <w:rPr>
          <w:rFonts w:hint="eastAsia" w:ascii="仿宋" w:hAnsi="仿宋" w:eastAsia="仿宋" w:cs="仿宋"/>
          <w:color w:val="auto"/>
          <w:szCs w:val="21"/>
          <w:highlight w:val="none"/>
          <w:u w:val="single"/>
          <w:lang w:bidi="ar"/>
        </w:rPr>
        <w:t xml:space="preserve">         </w:t>
      </w:r>
      <w:r>
        <w:rPr>
          <w:rFonts w:hint="eastAsia" w:ascii="仿宋" w:hAnsi="仿宋" w:eastAsia="仿宋" w:cs="仿宋"/>
          <w:color w:val="auto"/>
          <w:szCs w:val="21"/>
          <w:highlight w:val="none"/>
          <w:lang w:bidi="ar"/>
        </w:rPr>
        <w:t xml:space="preserve">月 </w:t>
      </w:r>
      <w:r>
        <w:rPr>
          <w:rFonts w:hint="eastAsia" w:ascii="仿宋" w:hAnsi="仿宋" w:eastAsia="仿宋" w:cs="仿宋"/>
          <w:color w:val="auto"/>
          <w:szCs w:val="21"/>
          <w:highlight w:val="none"/>
          <w:u w:val="single"/>
          <w:lang w:bidi="ar"/>
        </w:rPr>
        <w:t xml:space="preserve">         </w:t>
      </w:r>
      <w:r>
        <w:rPr>
          <w:rFonts w:hint="eastAsia" w:ascii="仿宋" w:hAnsi="仿宋" w:eastAsia="仿宋" w:cs="仿宋"/>
          <w:color w:val="auto"/>
          <w:szCs w:val="21"/>
          <w:highlight w:val="none"/>
          <w:lang w:bidi="ar"/>
        </w:rPr>
        <w:t>日</w:t>
      </w:r>
    </w:p>
    <w:p w14:paraId="19E0AE1B">
      <w:pPr>
        <w:pStyle w:val="13"/>
        <w:ind w:left="1260"/>
        <w:rPr>
          <w:rFonts w:hint="eastAsia" w:ascii="仿宋" w:hAnsi="仿宋" w:eastAsia="仿宋" w:cs="仿宋"/>
          <w:color w:val="auto"/>
          <w:highlight w:val="none"/>
        </w:rPr>
      </w:pPr>
    </w:p>
    <w:bookmarkEnd w:id="91"/>
    <w:p w14:paraId="237C6B56">
      <w:pPr>
        <w:spacing w:line="360" w:lineRule="auto"/>
        <w:jc w:val="center"/>
        <w:outlineLvl w:val="1"/>
        <w:rPr>
          <w:rFonts w:hint="eastAsia" w:ascii="仿宋" w:hAnsi="仿宋" w:eastAsia="仿宋" w:cs="仿宋"/>
          <w:b/>
          <w:color w:val="auto"/>
          <w:sz w:val="24"/>
          <w:highlight w:val="none"/>
        </w:rPr>
      </w:pPr>
      <w:bookmarkStart w:id="94" w:name="_Toc32633"/>
      <w:bookmarkStart w:id="95" w:name="_Toc2683"/>
      <w:bookmarkStart w:id="96" w:name="_Toc2572"/>
    </w:p>
    <w:p w14:paraId="755415A0">
      <w:pPr>
        <w:spacing w:line="360" w:lineRule="auto"/>
        <w:jc w:val="center"/>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十</w:t>
      </w:r>
      <w:r>
        <w:rPr>
          <w:rFonts w:hint="eastAsia" w:ascii="仿宋" w:hAnsi="仿宋" w:eastAsia="仿宋" w:cs="仿宋"/>
          <w:b/>
          <w:color w:val="auto"/>
          <w:sz w:val="24"/>
          <w:highlight w:val="none"/>
          <w:lang w:val="en-US" w:eastAsia="zh-CN"/>
        </w:rPr>
        <w:t>三</w:t>
      </w:r>
      <w:r>
        <w:rPr>
          <w:rFonts w:hint="eastAsia" w:ascii="仿宋" w:hAnsi="仿宋" w:eastAsia="仿宋" w:cs="仿宋"/>
          <w:b/>
          <w:color w:val="auto"/>
          <w:sz w:val="24"/>
          <w:highlight w:val="none"/>
        </w:rPr>
        <w:t>、其他相关证明材料</w:t>
      </w:r>
      <w:bookmarkEnd w:id="94"/>
      <w:bookmarkEnd w:id="95"/>
      <w:bookmarkEnd w:id="96"/>
    </w:p>
    <w:p w14:paraId="60027CE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提供符合投标邀请、采购需求及评标方法和标准规定的相关证明文件。</w:t>
      </w:r>
    </w:p>
    <w:p w14:paraId="0338858B">
      <w:pPr>
        <w:spacing w:line="360" w:lineRule="auto"/>
        <w:ind w:firstLine="480" w:firstLineChars="200"/>
        <w:rPr>
          <w:rFonts w:hint="eastAsia" w:ascii="仿宋" w:hAnsi="仿宋" w:eastAsia="仿宋" w:cs="仿宋"/>
          <w:color w:val="auto"/>
          <w:sz w:val="24"/>
          <w:highlight w:val="none"/>
        </w:rPr>
      </w:pPr>
    </w:p>
    <w:p w14:paraId="0749B31F">
      <w:pPr>
        <w:spacing w:line="360" w:lineRule="auto"/>
        <w:ind w:firstLine="435"/>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特别提示：</w:t>
      </w:r>
    </w:p>
    <w:p w14:paraId="0DD10290">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投标人在投标文件制作时可在此栏内上传招标文件要求上传的证明资料，如营业执照、证书等，应将上述证明材料制作成扫描件上传。</w:t>
      </w:r>
    </w:p>
    <w:p w14:paraId="6F10D8F4">
      <w:pPr>
        <w:widowControl/>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br w:type="page"/>
      </w:r>
    </w:p>
    <w:p w14:paraId="5F2F6743">
      <w:pPr>
        <w:spacing w:line="360" w:lineRule="auto"/>
        <w:jc w:val="center"/>
        <w:outlineLvl w:val="0"/>
        <w:rPr>
          <w:rFonts w:hint="eastAsia" w:ascii="仿宋" w:hAnsi="仿宋" w:eastAsia="仿宋" w:cs="仿宋"/>
          <w:b/>
          <w:bCs/>
          <w:color w:val="auto"/>
          <w:sz w:val="28"/>
          <w:highlight w:val="none"/>
        </w:rPr>
      </w:pPr>
      <w:bookmarkStart w:id="97" w:name="_Toc15403"/>
      <w:bookmarkStart w:id="98" w:name="_Toc6435"/>
      <w:r>
        <w:rPr>
          <w:rFonts w:hint="eastAsia" w:ascii="仿宋" w:hAnsi="仿宋" w:eastAsia="仿宋" w:cs="仿宋"/>
          <w:b/>
          <w:color w:val="auto"/>
          <w:sz w:val="28"/>
          <w:highlight w:val="none"/>
        </w:rPr>
        <w:t>第七章</w:t>
      </w:r>
      <w:r>
        <w:rPr>
          <w:rFonts w:hint="eastAsia" w:ascii="仿宋" w:hAnsi="仿宋" w:eastAsia="仿宋" w:cs="仿宋"/>
          <w:b/>
          <w:bCs/>
          <w:color w:val="auto"/>
          <w:sz w:val="28"/>
          <w:highlight w:val="none"/>
        </w:rPr>
        <w:t xml:space="preserve">  政府采购</w:t>
      </w:r>
      <w:r>
        <w:rPr>
          <w:rFonts w:hint="eastAsia" w:ascii="仿宋" w:hAnsi="仿宋" w:eastAsia="仿宋" w:cs="仿宋"/>
          <w:b/>
          <w:color w:val="auto"/>
          <w:sz w:val="28"/>
          <w:highlight w:val="none"/>
        </w:rPr>
        <w:t>供应</w:t>
      </w:r>
      <w:r>
        <w:rPr>
          <w:rFonts w:hint="eastAsia" w:ascii="仿宋" w:hAnsi="仿宋" w:eastAsia="仿宋" w:cs="仿宋"/>
          <w:b/>
          <w:bCs/>
          <w:color w:val="auto"/>
          <w:sz w:val="28"/>
          <w:highlight w:val="none"/>
        </w:rPr>
        <w:t>商询问函和质疑函范本</w:t>
      </w:r>
      <w:bookmarkEnd w:id="97"/>
      <w:bookmarkEnd w:id="98"/>
    </w:p>
    <w:p w14:paraId="20C62C71">
      <w:pPr>
        <w:spacing w:line="360" w:lineRule="auto"/>
        <w:jc w:val="center"/>
        <w:outlineLvl w:val="1"/>
        <w:rPr>
          <w:rFonts w:hint="eastAsia" w:ascii="仿宋" w:hAnsi="仿宋" w:eastAsia="仿宋" w:cs="仿宋"/>
          <w:b/>
          <w:bCs/>
          <w:color w:val="auto"/>
          <w:sz w:val="32"/>
          <w:szCs w:val="44"/>
          <w:highlight w:val="none"/>
        </w:rPr>
      </w:pPr>
      <w:bookmarkStart w:id="99" w:name="_Toc924"/>
      <w:bookmarkStart w:id="100" w:name="_Toc27489"/>
      <w:bookmarkStart w:id="101" w:name="_Toc27159"/>
      <w:r>
        <w:rPr>
          <w:rFonts w:hint="eastAsia" w:ascii="仿宋" w:hAnsi="仿宋" w:eastAsia="仿宋" w:cs="仿宋"/>
          <w:b/>
          <w:bCs/>
          <w:color w:val="auto"/>
          <w:sz w:val="32"/>
          <w:szCs w:val="44"/>
          <w:highlight w:val="none"/>
        </w:rPr>
        <w:t>询问函范本</w:t>
      </w:r>
      <w:bookmarkEnd w:id="99"/>
      <w:bookmarkEnd w:id="100"/>
      <w:bookmarkEnd w:id="101"/>
    </w:p>
    <w:p w14:paraId="29AED95E">
      <w:pPr>
        <w:adjustRightInd w:val="0"/>
        <w:snapToGrid w:val="0"/>
        <w:spacing w:line="360" w:lineRule="auto"/>
        <w:ind w:firstLine="480" w:firstLineChars="200"/>
        <w:jc w:val="center"/>
        <w:rPr>
          <w:rFonts w:hint="eastAsia" w:ascii="仿宋" w:hAnsi="仿宋" w:eastAsia="仿宋" w:cs="仿宋"/>
          <w:b/>
          <w:bCs/>
          <w:color w:val="auto"/>
          <w:sz w:val="32"/>
          <w:szCs w:val="44"/>
          <w:highlight w:val="none"/>
        </w:rPr>
      </w:pPr>
      <w:r>
        <w:rPr>
          <w:rFonts w:hint="eastAsia" w:ascii="仿宋" w:hAnsi="仿宋" w:eastAsia="仿宋" w:cs="仿宋"/>
          <w:i/>
          <w:iCs/>
          <w:color w:val="auto"/>
          <w:sz w:val="24"/>
          <w:szCs w:val="24"/>
          <w:highlight w:val="none"/>
        </w:rPr>
        <w:t>（如为对采购文件或采购程序的询问或疑问，请按询问函范本或电子交易系统中网上询问格式附件进行提交）</w:t>
      </w:r>
    </w:p>
    <w:p w14:paraId="09588AD7">
      <w:pPr>
        <w:adjustRightInd w:val="0"/>
        <w:snapToGrid w:val="0"/>
        <w:spacing w:line="360" w:lineRule="auto"/>
        <w:rPr>
          <w:rFonts w:hint="eastAsia" w:ascii="仿宋" w:hAnsi="仿宋" w:eastAsia="仿宋" w:cs="仿宋"/>
          <w:b/>
          <w:bCs/>
          <w:color w:val="auto"/>
          <w:sz w:val="24"/>
          <w:szCs w:val="24"/>
          <w:highlight w:val="none"/>
          <w:u w:val="single"/>
        </w:rPr>
      </w:pPr>
      <w:r>
        <w:rPr>
          <w:rFonts w:hint="eastAsia" w:ascii="仿宋" w:hAnsi="仿宋" w:eastAsia="仿宋" w:cs="仿宋"/>
          <w:b/>
          <w:bCs/>
          <w:color w:val="auto"/>
          <w:sz w:val="24"/>
          <w:szCs w:val="24"/>
          <w:highlight w:val="none"/>
        </w:rPr>
        <w:t>致：采购人</w:t>
      </w:r>
    </w:p>
    <w:p w14:paraId="5B39DC68">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我单位拟参与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i/>
          <w:iCs/>
          <w:color w:val="auto"/>
          <w:sz w:val="24"/>
          <w:szCs w:val="24"/>
          <w:highlight w:val="none"/>
        </w:rPr>
        <w:t>项目名称、编号</w:t>
      </w:r>
      <w:r>
        <w:rPr>
          <w:rFonts w:hint="eastAsia" w:ascii="仿宋" w:hAnsi="仿宋" w:eastAsia="仿宋" w:cs="仿宋"/>
          <w:color w:val="auto"/>
          <w:sz w:val="24"/>
          <w:szCs w:val="24"/>
          <w:highlight w:val="none"/>
        </w:rPr>
        <w:t>）的采购活动，现有以下内容(或条款)存在疑问(或无法理解)，特提出询问。</w:t>
      </w:r>
    </w:p>
    <w:p w14:paraId="271E3FC5">
      <w:pPr>
        <w:adjustRightInd w:val="0"/>
        <w:snapToGrid w:val="0"/>
        <w:spacing w:line="360" w:lineRule="auto"/>
        <w:ind w:firstLine="480" w:firstLineChars="200"/>
        <w:rPr>
          <w:rFonts w:hint="eastAsia" w:ascii="仿宋" w:hAnsi="仿宋" w:eastAsia="仿宋" w:cs="仿宋"/>
          <w:color w:val="auto"/>
          <w:sz w:val="24"/>
          <w:szCs w:val="24"/>
          <w:highlight w:val="none"/>
        </w:rPr>
      </w:pPr>
      <w:bookmarkStart w:id="102" w:name="_Toc13899"/>
      <w:r>
        <w:rPr>
          <w:rFonts w:hint="eastAsia" w:ascii="仿宋" w:hAnsi="仿宋" w:eastAsia="仿宋" w:cs="仿宋"/>
          <w:color w:val="auto"/>
          <w:sz w:val="24"/>
          <w:szCs w:val="24"/>
          <w:highlight w:val="none"/>
        </w:rPr>
        <w:t>一、(事项一)</w:t>
      </w:r>
      <w:bookmarkEnd w:id="102"/>
    </w:p>
    <w:p w14:paraId="47539CCF">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1、(内容或条款)</w:t>
      </w:r>
    </w:p>
    <w:p w14:paraId="0F74A0C2">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2、(说明疑问或无法理解原因)</w:t>
      </w:r>
    </w:p>
    <w:p w14:paraId="1CB4EB43">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3、(建议)</w:t>
      </w:r>
    </w:p>
    <w:p w14:paraId="4E0CD6B5">
      <w:pPr>
        <w:adjustRightInd w:val="0"/>
        <w:snapToGrid w:val="0"/>
        <w:spacing w:line="360" w:lineRule="auto"/>
        <w:ind w:firstLine="480" w:firstLineChars="200"/>
        <w:rPr>
          <w:rFonts w:hint="eastAsia" w:ascii="仿宋" w:hAnsi="仿宋" w:eastAsia="仿宋" w:cs="仿宋"/>
          <w:color w:val="auto"/>
          <w:sz w:val="24"/>
          <w:szCs w:val="24"/>
          <w:highlight w:val="none"/>
        </w:rPr>
      </w:pPr>
      <w:bookmarkStart w:id="103" w:name="_Toc3352"/>
      <w:r>
        <w:rPr>
          <w:rFonts w:hint="eastAsia" w:ascii="仿宋" w:hAnsi="仿宋" w:eastAsia="仿宋" w:cs="仿宋"/>
          <w:color w:val="auto"/>
          <w:sz w:val="24"/>
          <w:szCs w:val="24"/>
          <w:highlight w:val="none"/>
        </w:rPr>
        <w:t>二、(事项二)</w:t>
      </w:r>
      <w:bookmarkEnd w:id="103"/>
    </w:p>
    <w:p w14:paraId="03BDBA3A">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7B5C8AE5">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随附相关证明材料如下： </w:t>
      </w:r>
    </w:p>
    <w:p w14:paraId="2EDD4224">
      <w:pPr>
        <w:spacing w:line="360" w:lineRule="auto"/>
        <w:ind w:firstLine="4228" w:firstLineChars="176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 系 人：</w:t>
      </w:r>
      <w:r>
        <w:rPr>
          <w:rFonts w:hint="eastAsia" w:ascii="仿宋" w:hAnsi="仿宋" w:eastAsia="仿宋" w:cs="仿宋"/>
          <w:color w:val="auto"/>
          <w:sz w:val="24"/>
          <w:highlight w:val="none"/>
          <w:u w:val="single"/>
        </w:rPr>
        <w:t xml:space="preserve">              </w:t>
      </w:r>
    </w:p>
    <w:p w14:paraId="5778C0F1">
      <w:pPr>
        <w:spacing w:line="360" w:lineRule="auto"/>
        <w:ind w:firstLine="4228" w:firstLineChars="176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single"/>
        </w:rPr>
        <w:t xml:space="preserve">              </w:t>
      </w:r>
    </w:p>
    <w:p w14:paraId="40D9C8D5">
      <w:pPr>
        <w:tabs>
          <w:tab w:val="left" w:pos="630"/>
        </w:tabs>
        <w:spacing w:line="360" w:lineRule="auto"/>
        <w:ind w:firstLine="4228" w:firstLineChars="176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日    期：</w:t>
      </w:r>
      <w:r>
        <w:rPr>
          <w:rFonts w:hint="eastAsia" w:ascii="仿宋" w:hAnsi="仿宋" w:eastAsia="仿宋" w:cs="仿宋"/>
          <w:color w:val="auto"/>
          <w:sz w:val="24"/>
          <w:highlight w:val="none"/>
          <w:u w:val="single"/>
        </w:rPr>
        <w:t xml:space="preserve">              </w:t>
      </w:r>
    </w:p>
    <w:p w14:paraId="333C4402">
      <w:pPr>
        <w:rPr>
          <w:rFonts w:hint="eastAsia"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6C8D3C4">
      <w:pPr>
        <w:jc w:val="center"/>
        <w:outlineLvl w:val="1"/>
        <w:rPr>
          <w:rFonts w:hint="eastAsia" w:ascii="仿宋" w:hAnsi="仿宋" w:eastAsia="仿宋" w:cs="仿宋"/>
          <w:b/>
          <w:bCs/>
          <w:color w:val="auto"/>
          <w:sz w:val="32"/>
          <w:szCs w:val="44"/>
          <w:highlight w:val="none"/>
        </w:rPr>
      </w:pPr>
      <w:bookmarkStart w:id="104" w:name="_Toc1575"/>
      <w:bookmarkStart w:id="105" w:name="_Toc3245"/>
      <w:bookmarkStart w:id="106" w:name="_Toc24082"/>
      <w:r>
        <w:rPr>
          <w:rFonts w:hint="eastAsia" w:ascii="仿宋" w:hAnsi="仿宋" w:eastAsia="仿宋" w:cs="仿宋"/>
          <w:b/>
          <w:bCs/>
          <w:color w:val="auto"/>
          <w:sz w:val="32"/>
          <w:szCs w:val="44"/>
          <w:highlight w:val="none"/>
        </w:rPr>
        <w:t>质疑函范本</w:t>
      </w:r>
      <w:bookmarkEnd w:id="104"/>
      <w:bookmarkEnd w:id="105"/>
      <w:bookmarkEnd w:id="106"/>
    </w:p>
    <w:p w14:paraId="26231B3F">
      <w:pPr>
        <w:adjustRightInd w:val="0"/>
        <w:snapToGrid w:val="0"/>
        <w:spacing w:before="312" w:beforeLines="100" w:line="360" w:lineRule="auto"/>
        <w:rPr>
          <w:rFonts w:hint="eastAsia" w:ascii="仿宋" w:hAnsi="仿宋" w:eastAsia="仿宋" w:cs="仿宋"/>
          <w:b/>
          <w:bCs/>
          <w:color w:val="auto"/>
          <w:sz w:val="24"/>
          <w:szCs w:val="24"/>
          <w:highlight w:val="none"/>
        </w:rPr>
      </w:pPr>
      <w:bookmarkStart w:id="107" w:name="_Toc21381"/>
      <w:r>
        <w:rPr>
          <w:rFonts w:hint="eastAsia" w:ascii="仿宋" w:hAnsi="仿宋" w:eastAsia="仿宋" w:cs="仿宋"/>
          <w:b/>
          <w:bCs/>
          <w:color w:val="auto"/>
          <w:sz w:val="24"/>
          <w:szCs w:val="24"/>
          <w:highlight w:val="none"/>
        </w:rPr>
        <w:t>一、质疑供应商基本信息</w:t>
      </w:r>
      <w:bookmarkEnd w:id="107"/>
    </w:p>
    <w:p w14:paraId="6C0C2EBE">
      <w:pPr>
        <w:adjustRightInd w:val="0"/>
        <w:snapToGrid w:val="0"/>
        <w:spacing w:line="360" w:lineRule="auto"/>
        <w:rPr>
          <w:rFonts w:hint="eastAsia" w:ascii="仿宋" w:hAnsi="仿宋" w:eastAsia="仿宋" w:cs="仿宋"/>
          <w:color w:val="auto"/>
          <w:sz w:val="24"/>
          <w:szCs w:val="24"/>
          <w:highlight w:val="none"/>
          <w:u w:val="dotted"/>
        </w:rPr>
      </w:pPr>
      <w:r>
        <w:rPr>
          <w:rFonts w:hint="eastAsia" w:ascii="仿宋" w:hAnsi="仿宋" w:eastAsia="仿宋" w:cs="仿宋"/>
          <w:color w:val="auto"/>
          <w:sz w:val="24"/>
          <w:szCs w:val="24"/>
          <w:highlight w:val="none"/>
        </w:rPr>
        <w:t>质疑供应商：</w:t>
      </w:r>
      <w:r>
        <w:rPr>
          <w:rFonts w:hint="eastAsia" w:ascii="仿宋" w:hAnsi="仿宋" w:eastAsia="仿宋" w:cs="仿宋"/>
          <w:color w:val="auto"/>
          <w:sz w:val="24"/>
          <w:szCs w:val="24"/>
          <w:highlight w:val="none"/>
          <w:u w:val="dotted"/>
        </w:rPr>
        <w:t xml:space="preserve">                                        </w:t>
      </w:r>
    </w:p>
    <w:p w14:paraId="45A29801">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dotted"/>
        </w:rPr>
        <w:t xml:space="preserve">                          </w:t>
      </w:r>
      <w:r>
        <w:rPr>
          <w:rFonts w:hint="eastAsia" w:ascii="仿宋" w:hAnsi="仿宋" w:eastAsia="仿宋" w:cs="仿宋"/>
          <w:color w:val="auto"/>
          <w:sz w:val="24"/>
          <w:szCs w:val="24"/>
          <w:highlight w:val="none"/>
        </w:rPr>
        <w:t>邮编：</w:t>
      </w:r>
      <w:r>
        <w:rPr>
          <w:rFonts w:hint="eastAsia" w:ascii="仿宋" w:hAnsi="仿宋" w:eastAsia="仿宋" w:cs="仿宋"/>
          <w:color w:val="auto"/>
          <w:sz w:val="24"/>
          <w:szCs w:val="24"/>
          <w:highlight w:val="none"/>
          <w:u w:val="dotted"/>
        </w:rPr>
        <w:t xml:space="preserve">                                 </w:t>
      </w:r>
    </w:p>
    <w:p w14:paraId="42E46D32">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u w:val="dotted"/>
        </w:rPr>
        <w:t xml:space="preserve">                      </w:t>
      </w: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u w:val="dotted"/>
        </w:rPr>
        <w:t xml:space="preserve">                              </w:t>
      </w:r>
    </w:p>
    <w:p w14:paraId="22E373C1">
      <w:pPr>
        <w:adjustRightInd w:val="0"/>
        <w:snapToGrid w:val="0"/>
        <w:spacing w:line="360" w:lineRule="auto"/>
        <w:rPr>
          <w:rFonts w:hint="eastAsia" w:ascii="仿宋" w:hAnsi="仿宋" w:eastAsia="仿宋" w:cs="仿宋"/>
          <w:color w:val="auto"/>
          <w:sz w:val="24"/>
          <w:szCs w:val="24"/>
          <w:highlight w:val="none"/>
          <w:u w:val="dotted"/>
        </w:rPr>
      </w:pPr>
      <w:r>
        <w:rPr>
          <w:rFonts w:hint="eastAsia" w:ascii="仿宋" w:hAnsi="仿宋" w:eastAsia="仿宋" w:cs="仿宋"/>
          <w:color w:val="auto"/>
          <w:sz w:val="24"/>
          <w:szCs w:val="24"/>
          <w:highlight w:val="none"/>
        </w:rPr>
        <w:t>授权代表：</w:t>
      </w:r>
      <w:r>
        <w:rPr>
          <w:rFonts w:hint="eastAsia" w:ascii="仿宋" w:hAnsi="仿宋" w:eastAsia="仿宋" w:cs="仿宋"/>
          <w:color w:val="auto"/>
          <w:sz w:val="24"/>
          <w:szCs w:val="24"/>
          <w:highlight w:val="none"/>
          <w:u w:val="dotted"/>
        </w:rPr>
        <w:t xml:space="preserve">                                          </w:t>
      </w:r>
    </w:p>
    <w:p w14:paraId="58AD30B5">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u w:val="dotted"/>
        </w:rPr>
        <w:t xml:space="preserve">                                           </w:t>
      </w:r>
      <w:r>
        <w:rPr>
          <w:rFonts w:hint="eastAsia" w:ascii="仿宋" w:hAnsi="仿宋" w:eastAsia="仿宋" w:cs="仿宋"/>
          <w:color w:val="auto"/>
          <w:sz w:val="24"/>
          <w:szCs w:val="24"/>
          <w:highlight w:val="none"/>
        </w:rPr>
        <w:t xml:space="preserve"> </w:t>
      </w:r>
    </w:p>
    <w:p w14:paraId="671FFC18">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地址： </w:t>
      </w:r>
      <w:r>
        <w:rPr>
          <w:rFonts w:hint="eastAsia" w:ascii="仿宋" w:hAnsi="仿宋" w:eastAsia="仿宋" w:cs="仿宋"/>
          <w:color w:val="auto"/>
          <w:sz w:val="24"/>
          <w:szCs w:val="24"/>
          <w:highlight w:val="none"/>
          <w:u w:val="dotted"/>
        </w:rPr>
        <w:t xml:space="preserve">                        </w:t>
      </w:r>
      <w:r>
        <w:rPr>
          <w:rFonts w:hint="eastAsia" w:ascii="仿宋" w:hAnsi="仿宋" w:eastAsia="仿宋" w:cs="仿宋"/>
          <w:color w:val="auto"/>
          <w:sz w:val="24"/>
          <w:szCs w:val="24"/>
          <w:highlight w:val="none"/>
        </w:rPr>
        <w:t>邮编：</w:t>
      </w:r>
      <w:r>
        <w:rPr>
          <w:rFonts w:hint="eastAsia" w:ascii="仿宋" w:hAnsi="仿宋" w:eastAsia="仿宋" w:cs="仿宋"/>
          <w:color w:val="auto"/>
          <w:sz w:val="24"/>
          <w:szCs w:val="24"/>
          <w:highlight w:val="none"/>
          <w:u w:val="dotted"/>
        </w:rPr>
        <w:t xml:space="preserve">                                   </w:t>
      </w:r>
    </w:p>
    <w:p w14:paraId="385E3109">
      <w:pPr>
        <w:adjustRightInd w:val="0"/>
        <w:snapToGrid w:val="0"/>
        <w:spacing w:line="360" w:lineRule="auto"/>
        <w:rPr>
          <w:rFonts w:hint="eastAsia" w:ascii="仿宋" w:hAnsi="仿宋" w:eastAsia="仿宋" w:cs="仿宋"/>
          <w:b/>
          <w:bCs/>
          <w:color w:val="auto"/>
          <w:sz w:val="24"/>
          <w:szCs w:val="24"/>
          <w:highlight w:val="none"/>
        </w:rPr>
      </w:pPr>
      <w:bookmarkStart w:id="108" w:name="_Toc28415"/>
      <w:r>
        <w:rPr>
          <w:rFonts w:hint="eastAsia" w:ascii="仿宋" w:hAnsi="仿宋" w:eastAsia="仿宋" w:cs="仿宋"/>
          <w:b/>
          <w:bCs/>
          <w:color w:val="auto"/>
          <w:sz w:val="24"/>
          <w:szCs w:val="24"/>
          <w:highlight w:val="none"/>
        </w:rPr>
        <w:t>二、质疑项目基本情况</w:t>
      </w:r>
      <w:bookmarkEnd w:id="108"/>
    </w:p>
    <w:p w14:paraId="7AE3B1CA">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质疑项目的名称：</w:t>
      </w:r>
      <w:r>
        <w:rPr>
          <w:rFonts w:hint="eastAsia" w:ascii="仿宋" w:hAnsi="仿宋" w:eastAsia="仿宋" w:cs="仿宋"/>
          <w:color w:val="auto"/>
          <w:sz w:val="24"/>
          <w:szCs w:val="24"/>
          <w:highlight w:val="none"/>
          <w:u w:val="dotted"/>
        </w:rPr>
        <w:t xml:space="preserve">                                      </w:t>
      </w:r>
    </w:p>
    <w:p w14:paraId="2E306265">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质疑项目的编号：</w:t>
      </w:r>
      <w:r>
        <w:rPr>
          <w:rFonts w:hint="eastAsia" w:ascii="仿宋" w:hAnsi="仿宋" w:eastAsia="仿宋" w:cs="仿宋"/>
          <w:color w:val="auto"/>
          <w:sz w:val="24"/>
          <w:szCs w:val="24"/>
          <w:highlight w:val="none"/>
          <w:u w:val="dotted"/>
        </w:rPr>
        <w:t xml:space="preserve">               </w:t>
      </w:r>
      <w:r>
        <w:rPr>
          <w:rFonts w:hint="eastAsia" w:ascii="仿宋" w:hAnsi="仿宋" w:eastAsia="仿宋" w:cs="仿宋"/>
          <w:color w:val="auto"/>
          <w:sz w:val="24"/>
          <w:szCs w:val="24"/>
          <w:highlight w:val="none"/>
        </w:rPr>
        <w:t>包号：</w:t>
      </w:r>
      <w:r>
        <w:rPr>
          <w:rFonts w:hint="eastAsia" w:ascii="仿宋" w:hAnsi="仿宋" w:eastAsia="仿宋" w:cs="仿宋"/>
          <w:color w:val="auto"/>
          <w:sz w:val="24"/>
          <w:szCs w:val="24"/>
          <w:highlight w:val="none"/>
          <w:u w:val="dotted"/>
        </w:rPr>
        <w:t xml:space="preserve">                 </w:t>
      </w:r>
    </w:p>
    <w:p w14:paraId="65962907">
      <w:pPr>
        <w:adjustRightInd w:val="0"/>
        <w:snapToGrid w:val="0"/>
        <w:spacing w:line="360" w:lineRule="auto"/>
        <w:rPr>
          <w:rFonts w:hint="eastAsia" w:ascii="仿宋" w:hAnsi="仿宋" w:eastAsia="仿宋" w:cs="仿宋"/>
          <w:color w:val="auto"/>
          <w:sz w:val="24"/>
          <w:szCs w:val="24"/>
          <w:highlight w:val="none"/>
          <w:u w:val="dotted"/>
        </w:rPr>
      </w:pPr>
      <w:r>
        <w:rPr>
          <w:rFonts w:hint="eastAsia" w:ascii="仿宋" w:hAnsi="仿宋" w:eastAsia="仿宋" w:cs="仿宋"/>
          <w:color w:val="auto"/>
          <w:sz w:val="24"/>
          <w:szCs w:val="24"/>
          <w:highlight w:val="none"/>
        </w:rPr>
        <w:t>采购人名称：</w:t>
      </w:r>
      <w:r>
        <w:rPr>
          <w:rFonts w:hint="eastAsia" w:ascii="仿宋" w:hAnsi="仿宋" w:eastAsia="仿宋" w:cs="仿宋"/>
          <w:color w:val="auto"/>
          <w:sz w:val="24"/>
          <w:szCs w:val="24"/>
          <w:highlight w:val="none"/>
          <w:u w:val="dotted"/>
        </w:rPr>
        <w:t xml:space="preserve">                                         </w:t>
      </w:r>
    </w:p>
    <w:p w14:paraId="0EC03AC3">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采购文件获取日期：</w:t>
      </w:r>
      <w:r>
        <w:rPr>
          <w:rFonts w:hint="eastAsia" w:ascii="仿宋" w:hAnsi="仿宋" w:eastAsia="仿宋" w:cs="仿宋"/>
          <w:color w:val="auto"/>
          <w:sz w:val="24"/>
          <w:szCs w:val="24"/>
          <w:highlight w:val="none"/>
          <w:u w:val="dotted"/>
        </w:rPr>
        <w:t xml:space="preserve">                                           </w:t>
      </w:r>
    </w:p>
    <w:p w14:paraId="706A9133">
      <w:pPr>
        <w:adjustRightInd w:val="0"/>
        <w:snapToGrid w:val="0"/>
        <w:spacing w:line="360" w:lineRule="auto"/>
        <w:rPr>
          <w:rFonts w:hint="eastAsia" w:ascii="仿宋" w:hAnsi="仿宋" w:eastAsia="仿宋" w:cs="仿宋"/>
          <w:b/>
          <w:bCs/>
          <w:color w:val="auto"/>
          <w:sz w:val="24"/>
          <w:szCs w:val="24"/>
          <w:highlight w:val="none"/>
        </w:rPr>
      </w:pPr>
      <w:bookmarkStart w:id="109" w:name="_Toc19014"/>
      <w:r>
        <w:rPr>
          <w:rFonts w:hint="eastAsia" w:ascii="仿宋" w:hAnsi="仿宋" w:eastAsia="仿宋" w:cs="仿宋"/>
          <w:b/>
          <w:bCs/>
          <w:color w:val="auto"/>
          <w:sz w:val="24"/>
          <w:szCs w:val="24"/>
          <w:highlight w:val="none"/>
        </w:rPr>
        <w:t>三、质疑事项具体内容</w:t>
      </w:r>
      <w:bookmarkEnd w:id="109"/>
    </w:p>
    <w:p w14:paraId="03C3E62A">
      <w:pPr>
        <w:adjustRightInd w:val="0"/>
        <w:snapToGrid w:val="0"/>
        <w:spacing w:line="360" w:lineRule="auto"/>
        <w:rPr>
          <w:rFonts w:hint="eastAsia" w:ascii="仿宋" w:hAnsi="仿宋" w:eastAsia="仿宋" w:cs="仿宋"/>
          <w:color w:val="auto"/>
          <w:sz w:val="24"/>
          <w:szCs w:val="24"/>
          <w:highlight w:val="none"/>
          <w:u w:val="dotted"/>
        </w:rPr>
      </w:pPr>
      <w:r>
        <w:rPr>
          <w:rFonts w:hint="eastAsia" w:ascii="仿宋" w:hAnsi="仿宋" w:eastAsia="仿宋" w:cs="仿宋"/>
          <w:color w:val="auto"/>
          <w:sz w:val="24"/>
          <w:szCs w:val="24"/>
          <w:highlight w:val="none"/>
        </w:rPr>
        <w:t>质疑事项1：</w:t>
      </w:r>
      <w:r>
        <w:rPr>
          <w:rFonts w:hint="eastAsia" w:ascii="仿宋" w:hAnsi="仿宋" w:eastAsia="仿宋" w:cs="仿宋"/>
          <w:color w:val="auto"/>
          <w:sz w:val="24"/>
          <w:szCs w:val="24"/>
          <w:highlight w:val="none"/>
          <w:u w:val="dotted"/>
        </w:rPr>
        <w:t xml:space="preserve">                                         </w:t>
      </w:r>
    </w:p>
    <w:p w14:paraId="1107CC3D">
      <w:pPr>
        <w:adjustRightInd w:val="0"/>
        <w:snapToGrid w:val="0"/>
        <w:spacing w:line="360" w:lineRule="auto"/>
        <w:rPr>
          <w:rFonts w:hint="eastAsia" w:ascii="仿宋" w:hAnsi="仿宋" w:eastAsia="仿宋" w:cs="仿宋"/>
          <w:color w:val="auto"/>
          <w:sz w:val="24"/>
          <w:szCs w:val="24"/>
          <w:highlight w:val="none"/>
          <w:u w:val="dotted"/>
        </w:rPr>
      </w:pPr>
      <w:r>
        <w:rPr>
          <w:rFonts w:hint="eastAsia" w:ascii="仿宋" w:hAnsi="仿宋" w:eastAsia="仿宋" w:cs="仿宋"/>
          <w:color w:val="auto"/>
          <w:sz w:val="24"/>
          <w:szCs w:val="24"/>
          <w:highlight w:val="none"/>
        </w:rPr>
        <w:t>事实依据：</w:t>
      </w:r>
      <w:r>
        <w:rPr>
          <w:rFonts w:hint="eastAsia" w:ascii="仿宋" w:hAnsi="仿宋" w:eastAsia="仿宋" w:cs="仿宋"/>
          <w:color w:val="auto"/>
          <w:sz w:val="24"/>
          <w:szCs w:val="24"/>
          <w:highlight w:val="none"/>
          <w:u w:val="dotted"/>
        </w:rPr>
        <w:t xml:space="preserve">                                          </w:t>
      </w:r>
    </w:p>
    <w:p w14:paraId="6C597BD1">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dotted"/>
        </w:rPr>
        <w:t xml:space="preserve">                                                       </w:t>
      </w:r>
    </w:p>
    <w:p w14:paraId="5F3C11D5">
      <w:pPr>
        <w:adjustRightInd w:val="0"/>
        <w:snapToGrid w:val="0"/>
        <w:spacing w:line="360" w:lineRule="auto"/>
        <w:rPr>
          <w:rFonts w:hint="eastAsia" w:ascii="仿宋" w:hAnsi="仿宋" w:eastAsia="仿宋" w:cs="仿宋"/>
          <w:color w:val="auto"/>
          <w:sz w:val="24"/>
          <w:szCs w:val="24"/>
          <w:highlight w:val="none"/>
          <w:u w:val="dotted"/>
        </w:rPr>
      </w:pPr>
      <w:r>
        <w:rPr>
          <w:rFonts w:hint="eastAsia" w:ascii="仿宋" w:hAnsi="仿宋" w:eastAsia="仿宋" w:cs="仿宋"/>
          <w:color w:val="auto"/>
          <w:sz w:val="24"/>
          <w:szCs w:val="24"/>
          <w:highlight w:val="none"/>
        </w:rPr>
        <w:t>法律依据：</w:t>
      </w:r>
      <w:r>
        <w:rPr>
          <w:rFonts w:hint="eastAsia" w:ascii="仿宋" w:hAnsi="仿宋" w:eastAsia="仿宋" w:cs="仿宋"/>
          <w:color w:val="auto"/>
          <w:sz w:val="24"/>
          <w:szCs w:val="24"/>
          <w:highlight w:val="none"/>
          <w:u w:val="dotted"/>
        </w:rPr>
        <w:t xml:space="preserve">                                          </w:t>
      </w:r>
    </w:p>
    <w:p w14:paraId="40522B4C">
      <w:pPr>
        <w:adjustRightInd w:val="0"/>
        <w:snapToGrid w:val="0"/>
        <w:spacing w:line="360" w:lineRule="auto"/>
        <w:rPr>
          <w:rFonts w:hint="eastAsia" w:ascii="仿宋" w:hAnsi="仿宋" w:eastAsia="仿宋" w:cs="仿宋"/>
          <w:color w:val="auto"/>
          <w:sz w:val="24"/>
          <w:szCs w:val="24"/>
          <w:highlight w:val="none"/>
          <w:u w:val="dotted"/>
        </w:rPr>
      </w:pPr>
      <w:r>
        <w:rPr>
          <w:rFonts w:hint="eastAsia" w:ascii="仿宋" w:hAnsi="仿宋" w:eastAsia="仿宋" w:cs="仿宋"/>
          <w:color w:val="auto"/>
          <w:sz w:val="24"/>
          <w:szCs w:val="24"/>
          <w:highlight w:val="none"/>
          <w:u w:val="dotted"/>
        </w:rPr>
        <w:t xml:space="preserve">                                                     </w:t>
      </w:r>
    </w:p>
    <w:p w14:paraId="6003CD93">
      <w:pPr>
        <w:adjustRightInd w:val="0"/>
        <w:snapToGrid w:val="0"/>
        <w:spacing w:line="360" w:lineRule="auto"/>
        <w:rPr>
          <w:rFonts w:hint="eastAsia" w:ascii="仿宋" w:hAnsi="仿宋" w:eastAsia="仿宋" w:cs="仿宋"/>
          <w:color w:val="auto"/>
          <w:sz w:val="24"/>
          <w:szCs w:val="24"/>
          <w:highlight w:val="none"/>
          <w:u w:val="dotted"/>
        </w:rPr>
      </w:pPr>
      <w:r>
        <w:rPr>
          <w:rFonts w:hint="eastAsia" w:ascii="仿宋" w:hAnsi="仿宋" w:eastAsia="仿宋" w:cs="仿宋"/>
          <w:color w:val="auto"/>
          <w:sz w:val="24"/>
          <w:szCs w:val="24"/>
          <w:highlight w:val="none"/>
        </w:rPr>
        <w:t>质疑事项2</w:t>
      </w:r>
    </w:p>
    <w:p w14:paraId="28B20AB6">
      <w:pPr>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45ABA5E8">
      <w:pPr>
        <w:adjustRightInd w:val="0"/>
        <w:snapToGrid w:val="0"/>
        <w:spacing w:line="360" w:lineRule="auto"/>
        <w:rPr>
          <w:rFonts w:hint="eastAsia" w:ascii="仿宋" w:hAnsi="仿宋" w:eastAsia="仿宋" w:cs="仿宋"/>
          <w:b/>
          <w:bCs/>
          <w:color w:val="auto"/>
          <w:sz w:val="24"/>
          <w:szCs w:val="24"/>
          <w:highlight w:val="none"/>
        </w:rPr>
      </w:pPr>
      <w:bookmarkStart w:id="110" w:name="_Toc17919"/>
      <w:r>
        <w:rPr>
          <w:rFonts w:hint="eastAsia" w:ascii="仿宋" w:hAnsi="仿宋" w:eastAsia="仿宋" w:cs="仿宋"/>
          <w:b/>
          <w:bCs/>
          <w:color w:val="auto"/>
          <w:sz w:val="24"/>
          <w:szCs w:val="24"/>
          <w:highlight w:val="none"/>
        </w:rPr>
        <w:t>四、与质疑事项相关的质疑请求</w:t>
      </w:r>
      <w:bookmarkEnd w:id="110"/>
    </w:p>
    <w:p w14:paraId="32EE01F1">
      <w:pPr>
        <w:adjustRightInd w:val="0"/>
        <w:snapToGrid w:val="0"/>
        <w:spacing w:line="360" w:lineRule="auto"/>
        <w:rPr>
          <w:rFonts w:hint="eastAsia" w:ascii="仿宋" w:hAnsi="仿宋" w:eastAsia="仿宋" w:cs="仿宋"/>
          <w:color w:val="auto"/>
          <w:sz w:val="24"/>
          <w:szCs w:val="24"/>
          <w:highlight w:val="none"/>
          <w:u w:val="dotted"/>
        </w:rPr>
      </w:pPr>
      <w:r>
        <w:rPr>
          <w:rFonts w:hint="eastAsia" w:ascii="仿宋" w:hAnsi="仿宋" w:eastAsia="仿宋" w:cs="仿宋"/>
          <w:color w:val="auto"/>
          <w:sz w:val="24"/>
          <w:szCs w:val="24"/>
          <w:highlight w:val="none"/>
        </w:rPr>
        <w:t>请求：</w:t>
      </w:r>
      <w:r>
        <w:rPr>
          <w:rFonts w:hint="eastAsia" w:ascii="仿宋" w:hAnsi="仿宋" w:eastAsia="仿宋" w:cs="仿宋"/>
          <w:color w:val="auto"/>
          <w:sz w:val="24"/>
          <w:szCs w:val="24"/>
          <w:highlight w:val="none"/>
          <w:u w:val="dotted"/>
        </w:rPr>
        <w:t xml:space="preserve">                                               </w:t>
      </w:r>
    </w:p>
    <w:p w14:paraId="5C3BF97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签字(签章)：                   公章：                      </w:t>
      </w:r>
    </w:p>
    <w:p w14:paraId="70765A8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日期：    </w:t>
      </w:r>
    </w:p>
    <w:p w14:paraId="01E98625">
      <w:pPr>
        <w:widowControl/>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br w:type="page"/>
      </w:r>
    </w:p>
    <w:p w14:paraId="764A8056">
      <w:pPr>
        <w:outlineLvl w:val="0"/>
        <w:rPr>
          <w:rFonts w:hint="eastAsia" w:ascii="仿宋" w:hAnsi="仿宋" w:eastAsia="仿宋" w:cs="仿宋"/>
          <w:b/>
          <w:color w:val="auto"/>
          <w:sz w:val="28"/>
          <w:szCs w:val="32"/>
          <w:highlight w:val="none"/>
        </w:rPr>
      </w:pPr>
      <w:bookmarkStart w:id="111" w:name="_Toc9754"/>
      <w:bookmarkStart w:id="112" w:name="_Toc7618"/>
      <w:bookmarkStart w:id="113" w:name="_Toc26836"/>
      <w:r>
        <w:rPr>
          <w:rFonts w:hint="eastAsia" w:ascii="仿宋" w:hAnsi="仿宋" w:eastAsia="仿宋" w:cs="仿宋"/>
          <w:b/>
          <w:color w:val="auto"/>
          <w:sz w:val="28"/>
          <w:szCs w:val="32"/>
          <w:highlight w:val="none"/>
        </w:rPr>
        <w:t>质疑函制作说明：</w:t>
      </w:r>
      <w:bookmarkEnd w:id="111"/>
      <w:bookmarkEnd w:id="112"/>
      <w:bookmarkEnd w:id="113"/>
    </w:p>
    <w:p w14:paraId="200B4A3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09BD919D">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2F33EBF">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48BDB67C">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784D61A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0E290C8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7FAEAC8E">
      <w:pPr>
        <w:rPr>
          <w:rFonts w:hint="eastAsia" w:ascii="仿宋" w:hAnsi="仿宋" w:eastAsia="仿宋" w:cs="仿宋"/>
          <w:color w:val="auto"/>
          <w:highlight w:val="none"/>
        </w:rPr>
      </w:pPr>
    </w:p>
    <w:sectPr>
      <w:footerReference r:id="rId6" w:type="default"/>
      <w:pgSz w:w="11906" w:h="16838"/>
      <w:pgMar w:top="1440" w:right="1417" w:bottom="1440"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CE03A">
    <w:pPr>
      <w:pStyle w:val="1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6099F">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6A1F1">
                          <w:pPr>
                            <w:pStyle w:val="1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7A6A1F1">
                    <w:pPr>
                      <w:pStyle w:val="1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59BE4">
    <w:pPr>
      <w:pStyle w:val="1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C8493">
                          <w:pPr>
                            <w:pStyle w:val="18"/>
                          </w:pPr>
                          <w:r>
                            <w:t xml:space="preserve">第 </w:t>
                          </w:r>
                          <w:r>
                            <w:fldChar w:fldCharType="begin"/>
                          </w:r>
                          <w:r>
                            <w:instrText xml:space="preserve"> PAGE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FFC8493">
                    <w:pPr>
                      <w:pStyle w:val="18"/>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645AB">
    <w:pPr>
      <w:pStyle w:val="20"/>
      <w:jc w:val="left"/>
    </w:pPr>
    <w:r>
      <w:rPr>
        <w:rFonts w:hint="eastAsia" w:asciiTheme="minorEastAsia" w:hAnsiTheme="minorEastAsia" w:eastAsiaTheme="minorEastAsia"/>
      </w:rPr>
      <w:t>安徽省政府采购项目公开招标文件示范文本（货物类）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082260"/>
    <w:multiLevelType w:val="singleLevel"/>
    <w:tmpl w:val="A9082260"/>
    <w:lvl w:ilvl="0" w:tentative="0">
      <w:start w:val="2"/>
      <w:numFmt w:val="decimal"/>
      <w:lvlText w:val="%1."/>
      <w:lvlJc w:val="left"/>
      <w:pPr>
        <w:tabs>
          <w:tab w:val="left" w:pos="312"/>
        </w:tabs>
      </w:pPr>
    </w:lvl>
  </w:abstractNum>
  <w:abstractNum w:abstractNumId="1">
    <w:nsid w:val="AC7E18FE"/>
    <w:multiLevelType w:val="multilevel"/>
    <w:tmpl w:val="AC7E18FE"/>
    <w:lvl w:ilvl="0" w:tentative="0">
      <w:start w:val="1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BACA0508"/>
    <w:multiLevelType w:val="multilevel"/>
    <w:tmpl w:val="BACA0508"/>
    <w:lvl w:ilvl="0" w:tentative="0">
      <w:start w:val="2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C54EA2A8"/>
    <w:multiLevelType w:val="singleLevel"/>
    <w:tmpl w:val="C54EA2A8"/>
    <w:lvl w:ilvl="0" w:tentative="0">
      <w:start w:val="1"/>
      <w:numFmt w:val="decimal"/>
      <w:pStyle w:val="9"/>
      <w:lvlText w:val="%1."/>
      <w:lvlJc w:val="left"/>
      <w:pPr>
        <w:tabs>
          <w:tab w:val="left" w:pos="360"/>
        </w:tabs>
        <w:ind w:left="360" w:hanging="360"/>
      </w:pPr>
    </w:lvl>
  </w:abstractNum>
  <w:abstractNum w:abstractNumId="4">
    <w:nsid w:val="C666EA50"/>
    <w:multiLevelType w:val="multilevel"/>
    <w:tmpl w:val="C666EA50"/>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D6500D40"/>
    <w:multiLevelType w:val="multilevel"/>
    <w:tmpl w:val="D6500D40"/>
    <w:lvl w:ilvl="0" w:tentative="0">
      <w:start w:val="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FC9A424E"/>
    <w:multiLevelType w:val="singleLevel"/>
    <w:tmpl w:val="FC9A424E"/>
    <w:lvl w:ilvl="0" w:tentative="0">
      <w:start w:val="1"/>
      <w:numFmt w:val="decimal"/>
      <w:suff w:val="nothing"/>
      <w:lvlText w:val="（%1）"/>
      <w:lvlJc w:val="left"/>
    </w:lvl>
  </w:abstractNum>
  <w:abstractNum w:abstractNumId="7">
    <w:nsid w:val="08A2BD31"/>
    <w:multiLevelType w:val="singleLevel"/>
    <w:tmpl w:val="08A2BD31"/>
    <w:lvl w:ilvl="0" w:tentative="0">
      <w:start w:val="1"/>
      <w:numFmt w:val="decimal"/>
      <w:suff w:val="space"/>
      <w:lvlText w:val="%1、"/>
      <w:lvlJc w:val="left"/>
    </w:lvl>
  </w:abstractNum>
  <w:abstractNum w:abstractNumId="8">
    <w:nsid w:val="09649FA8"/>
    <w:multiLevelType w:val="multilevel"/>
    <w:tmpl w:val="09649FA8"/>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5E3BBBE0"/>
    <w:multiLevelType w:val="singleLevel"/>
    <w:tmpl w:val="5E3BBBE0"/>
    <w:lvl w:ilvl="0" w:tentative="0">
      <w:start w:val="2"/>
      <w:numFmt w:val="chineseCounting"/>
      <w:suff w:val="nothing"/>
      <w:lvlText w:val="%1、"/>
      <w:lvlJc w:val="left"/>
      <w:rPr>
        <w:rFonts w:hint="eastAsia"/>
      </w:rPr>
    </w:lvl>
  </w:abstractNum>
  <w:abstractNum w:abstractNumId="10">
    <w:nsid w:val="65FEA4A1"/>
    <w:multiLevelType w:val="multilevel"/>
    <w:tmpl w:val="65FEA4A1"/>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9"/>
  </w:num>
  <w:num w:numId="3">
    <w:abstractNumId w:val="0"/>
  </w:num>
  <w:num w:numId="4">
    <w:abstractNumId w:val="10"/>
  </w:num>
  <w:num w:numId="5">
    <w:abstractNumId w:val="6"/>
  </w:num>
  <w:num w:numId="6">
    <w:abstractNumId w:val="8"/>
  </w:num>
  <w:num w:numId="7">
    <w:abstractNumId w:val="4"/>
  </w:num>
  <w:num w:numId="8">
    <w:abstractNumId w:val="5"/>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lNzQ4MzcxNzg2OWFlODZiZmQ0MDE5ZTViOTE5MTEifQ=="/>
  </w:docVars>
  <w:rsids>
    <w:rsidRoot w:val="00276BA1"/>
    <w:rsid w:val="0000043F"/>
    <w:rsid w:val="00003F56"/>
    <w:rsid w:val="000049DA"/>
    <w:rsid w:val="00004F40"/>
    <w:rsid w:val="000056B7"/>
    <w:rsid w:val="00012942"/>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C3B27"/>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4B27"/>
    <w:rsid w:val="001A5D34"/>
    <w:rsid w:val="001A68E5"/>
    <w:rsid w:val="001B21DF"/>
    <w:rsid w:val="001B2A54"/>
    <w:rsid w:val="001B5014"/>
    <w:rsid w:val="001B7327"/>
    <w:rsid w:val="001C1409"/>
    <w:rsid w:val="001C66E0"/>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0C5A"/>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10A1"/>
    <w:rsid w:val="00556D4C"/>
    <w:rsid w:val="005614B4"/>
    <w:rsid w:val="005616B5"/>
    <w:rsid w:val="00571315"/>
    <w:rsid w:val="00582075"/>
    <w:rsid w:val="00584A63"/>
    <w:rsid w:val="00585EB3"/>
    <w:rsid w:val="00591688"/>
    <w:rsid w:val="00592509"/>
    <w:rsid w:val="00594986"/>
    <w:rsid w:val="00597B15"/>
    <w:rsid w:val="005A044C"/>
    <w:rsid w:val="005B5C95"/>
    <w:rsid w:val="005B636A"/>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56BB9"/>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43DB"/>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63DB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7683A"/>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C7C7A"/>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D70C6"/>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B5139"/>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A84053"/>
    <w:rsid w:val="01E054EB"/>
    <w:rsid w:val="01E93A1B"/>
    <w:rsid w:val="0214602E"/>
    <w:rsid w:val="02DE5ECF"/>
    <w:rsid w:val="03465CF6"/>
    <w:rsid w:val="03486B27"/>
    <w:rsid w:val="03C2134C"/>
    <w:rsid w:val="040A094E"/>
    <w:rsid w:val="0420371F"/>
    <w:rsid w:val="0563435C"/>
    <w:rsid w:val="056F201D"/>
    <w:rsid w:val="05B664D4"/>
    <w:rsid w:val="064B485A"/>
    <w:rsid w:val="068C65C4"/>
    <w:rsid w:val="07076C01"/>
    <w:rsid w:val="071C12AC"/>
    <w:rsid w:val="07A934B3"/>
    <w:rsid w:val="07BA4A57"/>
    <w:rsid w:val="07EB6287"/>
    <w:rsid w:val="0806421B"/>
    <w:rsid w:val="0980799C"/>
    <w:rsid w:val="09944B8E"/>
    <w:rsid w:val="09951550"/>
    <w:rsid w:val="0A0E19EA"/>
    <w:rsid w:val="0A6A18DB"/>
    <w:rsid w:val="0A825391"/>
    <w:rsid w:val="0A975B48"/>
    <w:rsid w:val="0AB17C0E"/>
    <w:rsid w:val="0AEF3828"/>
    <w:rsid w:val="0B355086"/>
    <w:rsid w:val="0B406381"/>
    <w:rsid w:val="0BB318CF"/>
    <w:rsid w:val="0BB452AA"/>
    <w:rsid w:val="0BBB665B"/>
    <w:rsid w:val="0BDC700F"/>
    <w:rsid w:val="0D3B1FC6"/>
    <w:rsid w:val="0EEA6FC1"/>
    <w:rsid w:val="0F790928"/>
    <w:rsid w:val="1042532A"/>
    <w:rsid w:val="107E2F32"/>
    <w:rsid w:val="10CD72BB"/>
    <w:rsid w:val="116362D5"/>
    <w:rsid w:val="12197477"/>
    <w:rsid w:val="131B5CD3"/>
    <w:rsid w:val="133E02C4"/>
    <w:rsid w:val="13776448"/>
    <w:rsid w:val="13B81E24"/>
    <w:rsid w:val="14263231"/>
    <w:rsid w:val="1466407E"/>
    <w:rsid w:val="14834E28"/>
    <w:rsid w:val="148E7D65"/>
    <w:rsid w:val="15231BF9"/>
    <w:rsid w:val="15C4546D"/>
    <w:rsid w:val="18E44ECF"/>
    <w:rsid w:val="1901397F"/>
    <w:rsid w:val="191173C1"/>
    <w:rsid w:val="19DD2D01"/>
    <w:rsid w:val="1A064976"/>
    <w:rsid w:val="1A3B68AA"/>
    <w:rsid w:val="1A3E1C1E"/>
    <w:rsid w:val="1ADF57AB"/>
    <w:rsid w:val="1B5A4701"/>
    <w:rsid w:val="1B6F4F40"/>
    <w:rsid w:val="1B784A1C"/>
    <w:rsid w:val="1C141836"/>
    <w:rsid w:val="1C76537D"/>
    <w:rsid w:val="1C97733C"/>
    <w:rsid w:val="1CB0381F"/>
    <w:rsid w:val="1D24052A"/>
    <w:rsid w:val="1DEF28E6"/>
    <w:rsid w:val="1E6B6A14"/>
    <w:rsid w:val="1EF430BB"/>
    <w:rsid w:val="1F6115C2"/>
    <w:rsid w:val="1FBD0837"/>
    <w:rsid w:val="1FE80168"/>
    <w:rsid w:val="20202956"/>
    <w:rsid w:val="20550D9A"/>
    <w:rsid w:val="205545EA"/>
    <w:rsid w:val="20943E18"/>
    <w:rsid w:val="21020B82"/>
    <w:rsid w:val="215F7913"/>
    <w:rsid w:val="218E2416"/>
    <w:rsid w:val="21B75E11"/>
    <w:rsid w:val="21C31F1F"/>
    <w:rsid w:val="226915FE"/>
    <w:rsid w:val="229273EC"/>
    <w:rsid w:val="22FA728A"/>
    <w:rsid w:val="23BC656D"/>
    <w:rsid w:val="241804A5"/>
    <w:rsid w:val="24B97929"/>
    <w:rsid w:val="24D632D7"/>
    <w:rsid w:val="261E294A"/>
    <w:rsid w:val="2621364C"/>
    <w:rsid w:val="27323351"/>
    <w:rsid w:val="27D65DBA"/>
    <w:rsid w:val="285F40CA"/>
    <w:rsid w:val="289E1AF0"/>
    <w:rsid w:val="28C01ECB"/>
    <w:rsid w:val="290275F9"/>
    <w:rsid w:val="296138D0"/>
    <w:rsid w:val="29BF71E3"/>
    <w:rsid w:val="29D6387F"/>
    <w:rsid w:val="2A127B63"/>
    <w:rsid w:val="2A451A6C"/>
    <w:rsid w:val="2A990D4C"/>
    <w:rsid w:val="2AAA4765"/>
    <w:rsid w:val="2AC21606"/>
    <w:rsid w:val="2AD63D42"/>
    <w:rsid w:val="2B3060CD"/>
    <w:rsid w:val="2B7E7608"/>
    <w:rsid w:val="2B7F04E9"/>
    <w:rsid w:val="2B8B554A"/>
    <w:rsid w:val="2CDA07B4"/>
    <w:rsid w:val="2D496D68"/>
    <w:rsid w:val="2DE53D06"/>
    <w:rsid w:val="2E7A48DE"/>
    <w:rsid w:val="2E7F8DD5"/>
    <w:rsid w:val="2EBA5177"/>
    <w:rsid w:val="2EDC3ED8"/>
    <w:rsid w:val="2EED7E42"/>
    <w:rsid w:val="2F104B00"/>
    <w:rsid w:val="2F6351B4"/>
    <w:rsid w:val="2FC86126"/>
    <w:rsid w:val="2FCF199E"/>
    <w:rsid w:val="2FE34275"/>
    <w:rsid w:val="2FE760BA"/>
    <w:rsid w:val="30483E83"/>
    <w:rsid w:val="30BF3991"/>
    <w:rsid w:val="310315DB"/>
    <w:rsid w:val="3111619A"/>
    <w:rsid w:val="319775DB"/>
    <w:rsid w:val="31B139DC"/>
    <w:rsid w:val="32497AF3"/>
    <w:rsid w:val="33DE0FDB"/>
    <w:rsid w:val="343C0775"/>
    <w:rsid w:val="356C50EC"/>
    <w:rsid w:val="36137E45"/>
    <w:rsid w:val="36376E0A"/>
    <w:rsid w:val="36AD7608"/>
    <w:rsid w:val="3700166C"/>
    <w:rsid w:val="37857B97"/>
    <w:rsid w:val="37985945"/>
    <w:rsid w:val="379A1012"/>
    <w:rsid w:val="38694EE9"/>
    <w:rsid w:val="389E6F8B"/>
    <w:rsid w:val="38E069CE"/>
    <w:rsid w:val="393F42CA"/>
    <w:rsid w:val="3A6818FA"/>
    <w:rsid w:val="3B042080"/>
    <w:rsid w:val="3B365CC9"/>
    <w:rsid w:val="3B9A7B88"/>
    <w:rsid w:val="3D2C7AC8"/>
    <w:rsid w:val="3D855D12"/>
    <w:rsid w:val="3D8B42FF"/>
    <w:rsid w:val="3DE86C4C"/>
    <w:rsid w:val="3DF36A6E"/>
    <w:rsid w:val="3EBA1EE9"/>
    <w:rsid w:val="3F792F1E"/>
    <w:rsid w:val="40824826"/>
    <w:rsid w:val="40E63923"/>
    <w:rsid w:val="42C7234B"/>
    <w:rsid w:val="43A91E5B"/>
    <w:rsid w:val="443B65BF"/>
    <w:rsid w:val="449E0D39"/>
    <w:rsid w:val="45E32B26"/>
    <w:rsid w:val="46012F69"/>
    <w:rsid w:val="463A3650"/>
    <w:rsid w:val="46461627"/>
    <w:rsid w:val="469F0116"/>
    <w:rsid w:val="46E0714F"/>
    <w:rsid w:val="46E959EE"/>
    <w:rsid w:val="47315BD2"/>
    <w:rsid w:val="475259B7"/>
    <w:rsid w:val="47EC7D13"/>
    <w:rsid w:val="488302AE"/>
    <w:rsid w:val="48831CF9"/>
    <w:rsid w:val="49024C9C"/>
    <w:rsid w:val="49B1408D"/>
    <w:rsid w:val="4A7D4FD2"/>
    <w:rsid w:val="4A913C9A"/>
    <w:rsid w:val="4B1F70AC"/>
    <w:rsid w:val="4B240F94"/>
    <w:rsid w:val="4C0832E5"/>
    <w:rsid w:val="4C3C565C"/>
    <w:rsid w:val="4C3E2B07"/>
    <w:rsid w:val="4CC254E6"/>
    <w:rsid w:val="4CCC79C7"/>
    <w:rsid w:val="4D7555C7"/>
    <w:rsid w:val="4EAE6DA0"/>
    <w:rsid w:val="4ECF2F58"/>
    <w:rsid w:val="4ECF79AE"/>
    <w:rsid w:val="4FE617D9"/>
    <w:rsid w:val="5016514B"/>
    <w:rsid w:val="50BD4329"/>
    <w:rsid w:val="50BD4DF3"/>
    <w:rsid w:val="50FC1A26"/>
    <w:rsid w:val="51723664"/>
    <w:rsid w:val="51CB1C78"/>
    <w:rsid w:val="51D35A9F"/>
    <w:rsid w:val="51FD6A51"/>
    <w:rsid w:val="526B680A"/>
    <w:rsid w:val="52836F71"/>
    <w:rsid w:val="52D26B02"/>
    <w:rsid w:val="541A5D30"/>
    <w:rsid w:val="556167AE"/>
    <w:rsid w:val="55C1559C"/>
    <w:rsid w:val="55F068CD"/>
    <w:rsid w:val="566C3136"/>
    <w:rsid w:val="568D04F2"/>
    <w:rsid w:val="58D04AE7"/>
    <w:rsid w:val="59807FA8"/>
    <w:rsid w:val="59D653D9"/>
    <w:rsid w:val="5A526582"/>
    <w:rsid w:val="5A5F5C77"/>
    <w:rsid w:val="5A711A0D"/>
    <w:rsid w:val="5B1613E4"/>
    <w:rsid w:val="5B50604C"/>
    <w:rsid w:val="5B78003B"/>
    <w:rsid w:val="5BC11A60"/>
    <w:rsid w:val="5C7A4D54"/>
    <w:rsid w:val="5CD23B73"/>
    <w:rsid w:val="5D19496B"/>
    <w:rsid w:val="5D6F68CB"/>
    <w:rsid w:val="5DF04420"/>
    <w:rsid w:val="5E015734"/>
    <w:rsid w:val="5EBF6FF8"/>
    <w:rsid w:val="5F00691E"/>
    <w:rsid w:val="5F127819"/>
    <w:rsid w:val="5FFFA29C"/>
    <w:rsid w:val="60350ED3"/>
    <w:rsid w:val="60B72AEE"/>
    <w:rsid w:val="61025188"/>
    <w:rsid w:val="61057D5F"/>
    <w:rsid w:val="6126068F"/>
    <w:rsid w:val="614D4977"/>
    <w:rsid w:val="62FD1A73"/>
    <w:rsid w:val="63133D14"/>
    <w:rsid w:val="63C60FC0"/>
    <w:rsid w:val="64BA3D7A"/>
    <w:rsid w:val="64D00194"/>
    <w:rsid w:val="64F179BC"/>
    <w:rsid w:val="65DF0A5F"/>
    <w:rsid w:val="665704D3"/>
    <w:rsid w:val="666D151C"/>
    <w:rsid w:val="675D8DD2"/>
    <w:rsid w:val="67C065A4"/>
    <w:rsid w:val="67D359C9"/>
    <w:rsid w:val="68042537"/>
    <w:rsid w:val="68530950"/>
    <w:rsid w:val="68FE36DD"/>
    <w:rsid w:val="694E60FC"/>
    <w:rsid w:val="695127FF"/>
    <w:rsid w:val="69524B20"/>
    <w:rsid w:val="69E95A08"/>
    <w:rsid w:val="69F954C4"/>
    <w:rsid w:val="6A256904"/>
    <w:rsid w:val="6A3576CF"/>
    <w:rsid w:val="6AEE1907"/>
    <w:rsid w:val="6B656832"/>
    <w:rsid w:val="6BD66471"/>
    <w:rsid w:val="6BFE0F17"/>
    <w:rsid w:val="6C675CE6"/>
    <w:rsid w:val="6D4F4321"/>
    <w:rsid w:val="6DF41B82"/>
    <w:rsid w:val="6DFB29C5"/>
    <w:rsid w:val="6DFF7360"/>
    <w:rsid w:val="6E7A5F73"/>
    <w:rsid w:val="6E873A42"/>
    <w:rsid w:val="6EE90F9D"/>
    <w:rsid w:val="6FD74228"/>
    <w:rsid w:val="6FEB6879"/>
    <w:rsid w:val="7021106F"/>
    <w:rsid w:val="70C1148D"/>
    <w:rsid w:val="70CD7E32"/>
    <w:rsid w:val="71633091"/>
    <w:rsid w:val="718801FD"/>
    <w:rsid w:val="72734A09"/>
    <w:rsid w:val="72E08F3E"/>
    <w:rsid w:val="73081CA5"/>
    <w:rsid w:val="74201F7D"/>
    <w:rsid w:val="744E5F5D"/>
    <w:rsid w:val="7487762D"/>
    <w:rsid w:val="74C33AA4"/>
    <w:rsid w:val="75210D7A"/>
    <w:rsid w:val="75385498"/>
    <w:rsid w:val="75BF709B"/>
    <w:rsid w:val="75F37776"/>
    <w:rsid w:val="76BC207F"/>
    <w:rsid w:val="76D72A30"/>
    <w:rsid w:val="76EB4904"/>
    <w:rsid w:val="771943C1"/>
    <w:rsid w:val="77645DCD"/>
    <w:rsid w:val="777378F5"/>
    <w:rsid w:val="777A2D3C"/>
    <w:rsid w:val="77BE629B"/>
    <w:rsid w:val="77FB6FB9"/>
    <w:rsid w:val="78474930"/>
    <w:rsid w:val="79074B81"/>
    <w:rsid w:val="794F0939"/>
    <w:rsid w:val="79AF0FCA"/>
    <w:rsid w:val="7A9D05C5"/>
    <w:rsid w:val="7ADA163F"/>
    <w:rsid w:val="7AF9279C"/>
    <w:rsid w:val="7B7FDB33"/>
    <w:rsid w:val="7B870811"/>
    <w:rsid w:val="7B994CF9"/>
    <w:rsid w:val="7BFE3A6D"/>
    <w:rsid w:val="7BFFCA28"/>
    <w:rsid w:val="7CC51958"/>
    <w:rsid w:val="7CD53DF9"/>
    <w:rsid w:val="7D097C86"/>
    <w:rsid w:val="7E2936C3"/>
    <w:rsid w:val="7E6411B9"/>
    <w:rsid w:val="7EB46836"/>
    <w:rsid w:val="7F6FF59F"/>
    <w:rsid w:val="7F7E9A01"/>
    <w:rsid w:val="8EF333EF"/>
    <w:rsid w:val="9F569FA0"/>
    <w:rsid w:val="ABF334C4"/>
    <w:rsid w:val="BDF73C21"/>
    <w:rsid w:val="CBCCE9BE"/>
    <w:rsid w:val="CFFDAEF0"/>
    <w:rsid w:val="DBFF74FD"/>
    <w:rsid w:val="DDEF855F"/>
    <w:rsid w:val="DDFF22B8"/>
    <w:rsid w:val="ED1FAD8F"/>
    <w:rsid w:val="EEFF4CDF"/>
    <w:rsid w:val="EF6F232D"/>
    <w:rsid w:val="F77F1077"/>
    <w:rsid w:val="FAFFAB74"/>
    <w:rsid w:val="FB7A5813"/>
    <w:rsid w:val="FDFB5120"/>
    <w:rsid w:val="FFDB280A"/>
    <w:rsid w:val="FFFBC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6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63"/>
    <w:autoRedefine/>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68"/>
    <w:autoRedefine/>
    <w:qFormat/>
    <w:uiPriority w:val="0"/>
    <w:pPr>
      <w:keepNext/>
      <w:keepLines/>
      <w:spacing w:before="280" w:after="290" w:line="376" w:lineRule="auto"/>
      <w:outlineLvl w:val="3"/>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qFormat/>
    <w:uiPriority w:val="0"/>
    <w:pPr>
      <w:spacing w:after="120"/>
      <w:ind w:left="420" w:leftChars="200"/>
    </w:pPr>
  </w:style>
  <w:style w:type="paragraph" w:styleId="3">
    <w:name w:val="Body Text First Indent 2"/>
    <w:basedOn w:val="2"/>
    <w:qFormat/>
    <w:uiPriority w:val="0"/>
    <w:pPr>
      <w:spacing w:line="360" w:lineRule="auto"/>
      <w:ind w:firstLine="200"/>
    </w:pPr>
  </w:style>
  <w:style w:type="paragraph" w:styleId="8">
    <w:name w:val="toc 7"/>
    <w:basedOn w:val="1"/>
    <w:next w:val="1"/>
    <w:autoRedefine/>
    <w:unhideWhenUsed/>
    <w:qFormat/>
    <w:uiPriority w:val="39"/>
    <w:pPr>
      <w:ind w:left="1260"/>
      <w:jc w:val="left"/>
    </w:pPr>
    <w:rPr>
      <w:rFonts w:ascii="Calibri" w:hAnsi="Calibri" w:cs="Calibri"/>
      <w:sz w:val="18"/>
      <w:szCs w:val="18"/>
    </w:rPr>
  </w:style>
  <w:style w:type="paragraph" w:styleId="9">
    <w:name w:val="List Number"/>
    <w:basedOn w:val="1"/>
    <w:autoRedefine/>
    <w:semiHidden/>
    <w:unhideWhenUsed/>
    <w:qFormat/>
    <w:uiPriority w:val="99"/>
    <w:pPr>
      <w:numPr>
        <w:ilvl w:val="0"/>
        <w:numId w:val="1"/>
      </w:numPr>
    </w:pPr>
  </w:style>
  <w:style w:type="paragraph" w:styleId="10">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1">
    <w:name w:val="annotation text"/>
    <w:basedOn w:val="1"/>
    <w:link w:val="60"/>
    <w:autoRedefine/>
    <w:qFormat/>
    <w:uiPriority w:val="0"/>
    <w:pPr>
      <w:jc w:val="left"/>
    </w:pPr>
    <w:rPr>
      <w:rFonts w:ascii="Arial" w:hAnsi="Arial" w:eastAsia="黑体" w:cs="Arial"/>
      <w:color w:val="FF0000"/>
    </w:rPr>
  </w:style>
  <w:style w:type="paragraph" w:styleId="12">
    <w:name w:val="Body Text"/>
    <w:basedOn w:val="1"/>
    <w:autoRedefine/>
    <w:qFormat/>
    <w:uiPriority w:val="0"/>
    <w:pPr>
      <w:spacing w:after="120"/>
    </w:pPr>
    <w:rPr>
      <w:rFonts w:ascii="@微软简标宋" w:hAnsi="@微软简标宋" w:eastAsia="@微软简标宋" w:cs="@微软简标宋"/>
      <w:szCs w:val="24"/>
      <w:lang w:val="zh-CN"/>
    </w:rPr>
  </w:style>
  <w:style w:type="paragraph" w:styleId="13">
    <w:name w:val="index 4"/>
    <w:basedOn w:val="1"/>
    <w:next w:val="1"/>
    <w:qFormat/>
    <w:uiPriority w:val="0"/>
    <w:pPr>
      <w:ind w:left="600" w:leftChars="600"/>
    </w:pPr>
    <w:rPr>
      <w:rFonts w:ascii="Times New Roman" w:hAnsi="Times New Roman" w:eastAsia="宋体" w:cs="Times New Roman"/>
    </w:rPr>
  </w:style>
  <w:style w:type="paragraph" w:styleId="14">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5">
    <w:name w:val="Plain Text"/>
    <w:basedOn w:val="1"/>
    <w:link w:val="50"/>
    <w:autoRedefine/>
    <w:qFormat/>
    <w:uiPriority w:val="99"/>
    <w:rPr>
      <w:rFonts w:ascii="宋体" w:hAnsi="Courier New" w:eastAsiaTheme="minorEastAsia" w:cstheme="minorBidi"/>
      <w:szCs w:val="22"/>
    </w:rPr>
  </w:style>
  <w:style w:type="paragraph" w:styleId="16">
    <w:name w:val="Date"/>
    <w:basedOn w:val="1"/>
    <w:next w:val="1"/>
    <w:link w:val="57"/>
    <w:autoRedefine/>
    <w:qFormat/>
    <w:uiPriority w:val="0"/>
    <w:rPr>
      <w:rFonts w:ascii="Arial" w:hAnsi="Arial" w:eastAsia="宋体" w:cs="Arial"/>
      <w:b/>
      <w:sz w:val="28"/>
    </w:rPr>
  </w:style>
  <w:style w:type="paragraph" w:styleId="17">
    <w:name w:val="Balloon Text"/>
    <w:basedOn w:val="1"/>
    <w:link w:val="44"/>
    <w:autoRedefine/>
    <w:semiHidden/>
    <w:unhideWhenUsed/>
    <w:qFormat/>
    <w:uiPriority w:val="99"/>
    <w:rPr>
      <w:sz w:val="18"/>
      <w:szCs w:val="18"/>
    </w:rPr>
  </w:style>
  <w:style w:type="paragraph" w:styleId="18">
    <w:name w:val="footer"/>
    <w:basedOn w:val="1"/>
    <w:link w:val="49"/>
    <w:autoRedefine/>
    <w:unhideWhenUsed/>
    <w:qFormat/>
    <w:uiPriority w:val="99"/>
    <w:pPr>
      <w:tabs>
        <w:tab w:val="center" w:pos="4153"/>
        <w:tab w:val="right" w:pos="8306"/>
      </w:tabs>
      <w:snapToGrid w:val="0"/>
      <w:jc w:val="left"/>
    </w:pPr>
    <w:rPr>
      <w:sz w:val="18"/>
      <w:szCs w:val="18"/>
    </w:rPr>
  </w:style>
  <w:style w:type="paragraph" w:styleId="19">
    <w:name w:val="envelope return"/>
    <w:basedOn w:val="1"/>
    <w:next w:val="8"/>
    <w:qFormat/>
    <w:uiPriority w:val="0"/>
    <w:pPr>
      <w:snapToGrid w:val="0"/>
    </w:pPr>
    <w:rPr>
      <w:rFonts w:ascii="Arial" w:hAnsi="Arial"/>
    </w:rPr>
  </w:style>
  <w:style w:type="paragraph" w:styleId="20">
    <w:name w:val="header"/>
    <w:basedOn w:val="1"/>
    <w:link w:val="4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2">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3">
    <w:name w:val="Normal (Web)"/>
    <w:basedOn w:val="1"/>
    <w:autoRedefine/>
    <w:qFormat/>
    <w:uiPriority w:val="0"/>
    <w:pPr>
      <w:spacing w:before="100" w:beforeAutospacing="1" w:after="100" w:afterAutospacing="1"/>
      <w:jc w:val="left"/>
    </w:pPr>
    <w:rPr>
      <w:rFonts w:cs="Times New Roman"/>
      <w:kern w:val="0"/>
      <w:sz w:val="24"/>
    </w:rPr>
  </w:style>
  <w:style w:type="paragraph" w:styleId="24">
    <w:name w:val="index 1"/>
    <w:basedOn w:val="1"/>
    <w:next w:val="1"/>
    <w:autoRedefine/>
    <w:qFormat/>
    <w:uiPriority w:val="0"/>
    <w:pPr>
      <w:jc w:val="center"/>
    </w:pPr>
    <w:rPr>
      <w:rFonts w:ascii="Arial" w:hAnsi="Arial" w:eastAsia="Arial" w:cs="Arial"/>
      <w:b/>
      <w:bCs/>
      <w:sz w:val="28"/>
    </w:rPr>
  </w:style>
  <w:style w:type="paragraph" w:styleId="25">
    <w:name w:val="annotation subject"/>
    <w:basedOn w:val="11"/>
    <w:next w:val="11"/>
    <w:link w:val="71"/>
    <w:autoRedefine/>
    <w:semiHidden/>
    <w:unhideWhenUsed/>
    <w:qFormat/>
    <w:uiPriority w:val="99"/>
    <w:rPr>
      <w:rFonts w:ascii="@仿宋_GB2312" w:hAnsi="@仿宋_GB2312" w:eastAsia="@仿宋_GB2312" w:cs="@仿宋_GB2312"/>
      <w:b/>
      <w:bCs/>
    </w:rPr>
  </w:style>
  <w:style w:type="paragraph" w:styleId="26">
    <w:name w:val="Body Text First Indent"/>
    <w:basedOn w:val="12"/>
    <w:autoRedefine/>
    <w:unhideWhenUsed/>
    <w:qFormat/>
    <w:uiPriority w:val="99"/>
    <w:pPr>
      <w:ind w:firstLine="420" w:firstLineChars="100"/>
    </w:pPr>
  </w:style>
  <w:style w:type="table" w:styleId="28">
    <w:name w:val="Table Grid"/>
    <w:basedOn w:val="27"/>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autoRedefine/>
    <w:qFormat/>
    <w:uiPriority w:val="0"/>
    <w:rPr>
      <w:b/>
      <w:bCs/>
    </w:rPr>
  </w:style>
  <w:style w:type="character" w:styleId="31">
    <w:name w:val="FollowedHyperlink"/>
    <w:basedOn w:val="29"/>
    <w:semiHidden/>
    <w:unhideWhenUsed/>
    <w:qFormat/>
    <w:uiPriority w:val="99"/>
    <w:rPr>
      <w:color w:val="5C5C5C"/>
      <w:u w:val="none"/>
    </w:rPr>
  </w:style>
  <w:style w:type="character" w:styleId="32">
    <w:name w:val="Emphasis"/>
    <w:basedOn w:val="29"/>
    <w:qFormat/>
    <w:uiPriority w:val="0"/>
    <w:rPr>
      <w:b/>
      <w:bCs/>
    </w:rPr>
  </w:style>
  <w:style w:type="character" w:styleId="33">
    <w:name w:val="HTML Definition"/>
    <w:basedOn w:val="29"/>
    <w:semiHidden/>
    <w:unhideWhenUsed/>
    <w:qFormat/>
    <w:uiPriority w:val="99"/>
  </w:style>
  <w:style w:type="character" w:styleId="34">
    <w:name w:val="HTML Typewriter"/>
    <w:basedOn w:val="29"/>
    <w:semiHidden/>
    <w:unhideWhenUsed/>
    <w:qFormat/>
    <w:uiPriority w:val="99"/>
    <w:rPr>
      <w:rFonts w:hint="default" w:ascii="monospace" w:hAnsi="monospace" w:eastAsia="monospace" w:cs="monospace"/>
      <w:sz w:val="20"/>
    </w:rPr>
  </w:style>
  <w:style w:type="character" w:styleId="35">
    <w:name w:val="HTML Acronym"/>
    <w:basedOn w:val="29"/>
    <w:semiHidden/>
    <w:unhideWhenUsed/>
    <w:qFormat/>
    <w:uiPriority w:val="99"/>
  </w:style>
  <w:style w:type="character" w:styleId="36">
    <w:name w:val="HTML Variable"/>
    <w:basedOn w:val="29"/>
    <w:semiHidden/>
    <w:unhideWhenUsed/>
    <w:qFormat/>
    <w:uiPriority w:val="99"/>
  </w:style>
  <w:style w:type="character" w:styleId="37">
    <w:name w:val="Hyperlink"/>
    <w:basedOn w:val="29"/>
    <w:autoRedefine/>
    <w:unhideWhenUsed/>
    <w:qFormat/>
    <w:uiPriority w:val="99"/>
    <w:rPr>
      <w:color w:val="0000FF" w:themeColor="hyperlink"/>
      <w:u w:val="single"/>
      <w14:textFill>
        <w14:solidFill>
          <w14:schemeClr w14:val="hlink"/>
        </w14:solidFill>
      </w14:textFill>
    </w:rPr>
  </w:style>
  <w:style w:type="character" w:styleId="38">
    <w:name w:val="HTML Code"/>
    <w:basedOn w:val="29"/>
    <w:semiHidden/>
    <w:unhideWhenUsed/>
    <w:qFormat/>
    <w:uiPriority w:val="99"/>
    <w:rPr>
      <w:rFonts w:hint="default" w:ascii="monospace" w:hAnsi="monospace" w:eastAsia="monospace" w:cs="monospace"/>
      <w:sz w:val="20"/>
    </w:rPr>
  </w:style>
  <w:style w:type="character" w:styleId="39">
    <w:name w:val="annotation reference"/>
    <w:basedOn w:val="29"/>
    <w:autoRedefine/>
    <w:semiHidden/>
    <w:unhideWhenUsed/>
    <w:qFormat/>
    <w:uiPriority w:val="99"/>
    <w:rPr>
      <w:sz w:val="21"/>
      <w:szCs w:val="21"/>
    </w:rPr>
  </w:style>
  <w:style w:type="character" w:styleId="40">
    <w:name w:val="HTML Cite"/>
    <w:basedOn w:val="29"/>
    <w:semiHidden/>
    <w:unhideWhenUsed/>
    <w:qFormat/>
    <w:uiPriority w:val="99"/>
  </w:style>
  <w:style w:type="character" w:styleId="41">
    <w:name w:val="HTML Keyboard"/>
    <w:basedOn w:val="29"/>
    <w:semiHidden/>
    <w:unhideWhenUsed/>
    <w:qFormat/>
    <w:uiPriority w:val="99"/>
    <w:rPr>
      <w:rFonts w:hint="default" w:ascii="monospace" w:hAnsi="monospace" w:eastAsia="monospace" w:cs="monospace"/>
      <w:sz w:val="20"/>
    </w:rPr>
  </w:style>
  <w:style w:type="character" w:styleId="42">
    <w:name w:val="HTML Sample"/>
    <w:basedOn w:val="29"/>
    <w:semiHidden/>
    <w:unhideWhenUsed/>
    <w:qFormat/>
    <w:uiPriority w:val="99"/>
    <w:rPr>
      <w:rFonts w:ascii="monospace" w:hAnsi="monospace" w:eastAsia="monospace" w:cs="monospace"/>
    </w:rPr>
  </w:style>
  <w:style w:type="paragraph" w:customStyle="1" w:styleId="43">
    <w:name w:val="正文文字 8"/>
    <w:basedOn w:val="1"/>
    <w:next w:val="1"/>
    <w:qFormat/>
    <w:uiPriority w:val="0"/>
    <w:pPr>
      <w:ind w:left="240"/>
    </w:pPr>
    <w:rPr>
      <w:sz w:val="16"/>
    </w:rPr>
  </w:style>
  <w:style w:type="character" w:customStyle="1" w:styleId="44">
    <w:name w:val="批注框文本 Char"/>
    <w:basedOn w:val="29"/>
    <w:link w:val="17"/>
    <w:autoRedefine/>
    <w:semiHidden/>
    <w:qFormat/>
    <w:uiPriority w:val="99"/>
    <w:rPr>
      <w:rFonts w:ascii="@仿宋_GB2312" w:hAnsi="@仿宋_GB2312" w:eastAsia="@仿宋_GB2312" w:cs="@仿宋_GB2312"/>
      <w:sz w:val="18"/>
      <w:szCs w:val="18"/>
    </w:rPr>
  </w:style>
  <w:style w:type="paragraph" w:customStyle="1" w:styleId="45">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6">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7">
    <w:name w:val="D&amp;L"/>
    <w:basedOn w:val="20"/>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29"/>
    <w:link w:val="20"/>
    <w:autoRedefine/>
    <w:qFormat/>
    <w:uiPriority w:val="99"/>
    <w:rPr>
      <w:rFonts w:ascii="@仿宋_GB2312" w:hAnsi="@仿宋_GB2312" w:eastAsia="@仿宋_GB2312" w:cs="@仿宋_GB2312"/>
      <w:sz w:val="18"/>
      <w:szCs w:val="18"/>
    </w:rPr>
  </w:style>
  <w:style w:type="character" w:customStyle="1" w:styleId="49">
    <w:name w:val="页脚 Char"/>
    <w:basedOn w:val="29"/>
    <w:link w:val="18"/>
    <w:autoRedefine/>
    <w:qFormat/>
    <w:uiPriority w:val="99"/>
    <w:rPr>
      <w:rFonts w:ascii="@仿宋_GB2312" w:hAnsi="@仿宋_GB2312" w:eastAsia="@仿宋_GB2312" w:cs="@仿宋_GB2312"/>
      <w:sz w:val="18"/>
      <w:szCs w:val="18"/>
    </w:rPr>
  </w:style>
  <w:style w:type="character" w:customStyle="1" w:styleId="50">
    <w:name w:val="纯文本 Char"/>
    <w:link w:val="15"/>
    <w:autoRedefine/>
    <w:qFormat/>
    <w:uiPriority w:val="0"/>
    <w:rPr>
      <w:rFonts w:ascii="宋体" w:hAnsi="Courier New"/>
    </w:rPr>
  </w:style>
  <w:style w:type="character" w:customStyle="1" w:styleId="51">
    <w:name w:val="纯文本 字符1"/>
    <w:basedOn w:val="29"/>
    <w:autoRedefine/>
    <w:semiHidden/>
    <w:qFormat/>
    <w:uiPriority w:val="99"/>
    <w:rPr>
      <w:rFonts w:hAnsi="Courier New" w:cs="Courier New" w:asciiTheme="minorEastAsia"/>
      <w:szCs w:val="20"/>
    </w:rPr>
  </w:style>
  <w:style w:type="character" w:customStyle="1" w:styleId="52">
    <w:name w:val="未处理的提及1"/>
    <w:basedOn w:val="29"/>
    <w:autoRedefine/>
    <w:semiHidden/>
    <w:unhideWhenUsed/>
    <w:qFormat/>
    <w:uiPriority w:val="99"/>
    <w:rPr>
      <w:color w:val="605E5C"/>
      <w:shd w:val="clear" w:color="auto" w:fill="E1DFDD"/>
    </w:rPr>
  </w:style>
  <w:style w:type="paragraph" w:styleId="53">
    <w:name w:val="List Paragraph"/>
    <w:basedOn w:val="1"/>
    <w:autoRedefine/>
    <w:qFormat/>
    <w:uiPriority w:val="34"/>
    <w:pPr>
      <w:ind w:firstLine="420" w:firstLineChars="200"/>
    </w:pPr>
  </w:style>
  <w:style w:type="paragraph" w:customStyle="1" w:styleId="54">
    <w:name w:val="Char Char Char Char Char Char Char1 Char"/>
    <w:basedOn w:val="1"/>
    <w:autoRedefine/>
    <w:qFormat/>
    <w:uiPriority w:val="0"/>
    <w:rPr>
      <w:rFonts w:ascii="Arial" w:hAnsi="Arial" w:eastAsia="宋体" w:cs="Arial"/>
      <w:sz w:val="24"/>
    </w:rPr>
  </w:style>
  <w:style w:type="table" w:customStyle="1" w:styleId="55">
    <w:name w:val="网格表 1 浅色1"/>
    <w:basedOn w:val="27"/>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29"/>
    <w:autoRedefine/>
    <w:semiHidden/>
    <w:qFormat/>
    <w:uiPriority w:val="99"/>
    <w:rPr>
      <w:rFonts w:ascii="@仿宋_GB2312" w:hAnsi="@仿宋_GB2312" w:eastAsia="@仿宋_GB2312" w:cs="@仿宋_GB2312"/>
      <w:szCs w:val="20"/>
    </w:rPr>
  </w:style>
  <w:style w:type="character" w:customStyle="1" w:styleId="57">
    <w:name w:val="日期 Char"/>
    <w:link w:val="16"/>
    <w:autoRedefine/>
    <w:qFormat/>
    <w:uiPriority w:val="0"/>
    <w:rPr>
      <w:rFonts w:ascii="Arial" w:hAnsi="Arial" w:eastAsia="宋体" w:cs="Arial"/>
      <w:b/>
      <w:sz w:val="28"/>
      <w:szCs w:val="20"/>
    </w:rPr>
  </w:style>
  <w:style w:type="character" w:customStyle="1" w:styleId="58">
    <w:name w:val="纯文本 Char1"/>
    <w:autoRedefine/>
    <w:qFormat/>
    <w:locked/>
    <w:uiPriority w:val="99"/>
    <w:rPr>
      <w:rFonts w:ascii="Arial" w:hAnsi="Arial" w:eastAsia="Arial"/>
      <w:kern w:val="2"/>
      <w:sz w:val="21"/>
      <w:lang w:val="en-US" w:eastAsia="zh-CN" w:bidi="ar-SA"/>
    </w:rPr>
  </w:style>
  <w:style w:type="character" w:customStyle="1" w:styleId="59">
    <w:name w:val="批注文字 Char"/>
    <w:basedOn w:val="29"/>
    <w:autoRedefine/>
    <w:semiHidden/>
    <w:qFormat/>
    <w:uiPriority w:val="99"/>
    <w:rPr>
      <w:rFonts w:ascii="@仿宋_GB2312" w:hAnsi="@仿宋_GB2312" w:eastAsia="@仿宋_GB2312" w:cs="@仿宋_GB2312"/>
      <w:szCs w:val="20"/>
    </w:rPr>
  </w:style>
  <w:style w:type="character" w:customStyle="1" w:styleId="60">
    <w:name w:val="批注文字 Char1"/>
    <w:link w:val="11"/>
    <w:autoRedefine/>
    <w:qFormat/>
    <w:uiPriority w:val="0"/>
    <w:rPr>
      <w:rFonts w:ascii="Arial" w:hAnsi="Arial" w:eastAsia="黑体" w:cs="Arial"/>
      <w:color w:val="FF0000"/>
      <w:kern w:val="2"/>
      <w:sz w:val="21"/>
    </w:rPr>
  </w:style>
  <w:style w:type="character" w:customStyle="1" w:styleId="61">
    <w:name w:val="标题 1 Char"/>
    <w:basedOn w:val="29"/>
    <w:link w:val="4"/>
    <w:autoRedefine/>
    <w:qFormat/>
    <w:uiPriority w:val="9"/>
    <w:rPr>
      <w:rFonts w:ascii="@仿宋_GB2312" w:hAnsi="@仿宋_GB2312" w:eastAsia="@仿宋_GB2312" w:cs="@仿宋_GB2312"/>
      <w:b/>
      <w:bCs/>
      <w:kern w:val="44"/>
      <w:sz w:val="44"/>
      <w:szCs w:val="44"/>
    </w:rPr>
  </w:style>
  <w:style w:type="paragraph" w:customStyle="1" w:styleId="62">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29"/>
    <w:link w:val="6"/>
    <w:autoRedefine/>
    <w:semiHidden/>
    <w:qFormat/>
    <w:uiPriority w:val="9"/>
    <w:rPr>
      <w:rFonts w:ascii="@仿宋_GB2312" w:hAnsi="@仿宋_GB2312" w:eastAsia="@仿宋_GB2312" w:cs="@仿宋_GB2312"/>
      <w:b/>
      <w:bCs/>
      <w:sz w:val="32"/>
      <w:szCs w:val="32"/>
    </w:rPr>
  </w:style>
  <w:style w:type="character" w:customStyle="1" w:styleId="64">
    <w:name w:val="fontstyle01"/>
    <w:basedOn w:val="29"/>
    <w:autoRedefine/>
    <w:qFormat/>
    <w:uiPriority w:val="0"/>
    <w:rPr>
      <w:rFonts w:hint="eastAsia" w:ascii="宋体" w:hAnsi="宋体" w:eastAsia="宋体"/>
      <w:color w:val="000000"/>
      <w:sz w:val="22"/>
      <w:szCs w:val="22"/>
    </w:rPr>
  </w:style>
  <w:style w:type="character" w:customStyle="1" w:styleId="65">
    <w:name w:val="fontstyle21"/>
    <w:basedOn w:val="29"/>
    <w:autoRedefine/>
    <w:qFormat/>
    <w:uiPriority w:val="0"/>
    <w:rPr>
      <w:rFonts w:hint="default" w:ascii="TimesNewRomanPSMT" w:hAnsi="TimesNewRomanPSMT"/>
      <w:color w:val="000000"/>
      <w:sz w:val="22"/>
      <w:szCs w:val="22"/>
    </w:rPr>
  </w:style>
  <w:style w:type="character" w:customStyle="1" w:styleId="66">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29"/>
    <w:autoRedefine/>
    <w:semiHidden/>
    <w:qFormat/>
    <w:uiPriority w:val="9"/>
    <w:rPr>
      <w:rFonts w:asciiTheme="majorHAnsi" w:hAnsiTheme="majorHAnsi" w:eastAsiaTheme="majorEastAsia" w:cstheme="majorBidi"/>
      <w:b/>
      <w:bCs/>
      <w:sz w:val="28"/>
      <w:szCs w:val="28"/>
    </w:rPr>
  </w:style>
  <w:style w:type="character" w:customStyle="1" w:styleId="68">
    <w:name w:val="标题 4 Char1"/>
    <w:link w:val="7"/>
    <w:autoRedefine/>
    <w:qFormat/>
    <w:uiPriority w:val="0"/>
    <w:rPr>
      <w:rFonts w:ascii="@仿宋_GB2312" w:hAnsi="@仿宋_GB2312" w:eastAsia="@仿宋_GB2312" w:cs="@仿宋_GB2312"/>
      <w:b/>
      <w:bCs/>
      <w:sz w:val="28"/>
      <w:szCs w:val="28"/>
    </w:rPr>
  </w:style>
  <w:style w:type="character" w:customStyle="1" w:styleId="69">
    <w:name w:val="标题 4 Char"/>
    <w:autoRedefine/>
    <w:qFormat/>
    <w:uiPriority w:val="0"/>
    <w:rPr>
      <w:rFonts w:ascii="Arial" w:hAnsi="Arial" w:eastAsia="Arial"/>
      <w:b/>
      <w:bCs/>
      <w:kern w:val="2"/>
      <w:sz w:val="28"/>
      <w:szCs w:val="28"/>
      <w:lang w:val="en-US" w:eastAsia="zh-CN" w:bidi="ar-SA"/>
    </w:rPr>
  </w:style>
  <w:style w:type="table" w:customStyle="1" w:styleId="70">
    <w:name w:val="网格型1"/>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1">
    <w:name w:val="批注主题 Char"/>
    <w:basedOn w:val="60"/>
    <w:link w:val="25"/>
    <w:autoRedefine/>
    <w:semiHidden/>
    <w:qFormat/>
    <w:uiPriority w:val="99"/>
    <w:rPr>
      <w:rFonts w:ascii="@仿宋_GB2312" w:hAnsi="@仿宋_GB2312" w:eastAsia="@仿宋_GB2312" w:cs="@仿宋_GB2312"/>
      <w:b/>
      <w:bCs/>
      <w:color w:val="FF0000"/>
      <w:kern w:val="2"/>
      <w:sz w:val="21"/>
      <w:szCs w:val="20"/>
    </w:rPr>
  </w:style>
  <w:style w:type="table" w:customStyle="1" w:styleId="72">
    <w:name w:val="Table Normal"/>
    <w:autoRedefine/>
    <w:semiHidden/>
    <w:unhideWhenUsed/>
    <w:qFormat/>
    <w:uiPriority w:val="0"/>
    <w:tblPr>
      <w:tblCellMar>
        <w:top w:w="0" w:type="dxa"/>
        <w:left w:w="0" w:type="dxa"/>
        <w:bottom w:w="0" w:type="dxa"/>
        <w:right w:w="0" w:type="dxa"/>
      </w:tblCellMar>
    </w:tblPr>
  </w:style>
  <w:style w:type="paragraph" w:customStyle="1" w:styleId="73">
    <w:name w:val="Table Text"/>
    <w:basedOn w:val="1"/>
    <w:autoRedefine/>
    <w:semiHidden/>
    <w:qFormat/>
    <w:uiPriority w:val="0"/>
    <w:rPr>
      <w:rFonts w:ascii="Arial" w:hAnsi="Arial" w:eastAsia="Arial" w:cs="Arial"/>
      <w:szCs w:val="21"/>
      <w:lang w:eastAsia="en-US"/>
    </w:rPr>
  </w:style>
  <w:style w:type="paragraph" w:customStyle="1" w:styleId="74">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5">
    <w:name w:val="列出段落1"/>
    <w:basedOn w:val="1"/>
    <w:autoRedefine/>
    <w:qFormat/>
    <w:uiPriority w:val="0"/>
    <w:pPr>
      <w:ind w:firstLine="420" w:firstLineChars="200"/>
    </w:pPr>
    <w:rPr>
      <w:szCs w:val="21"/>
    </w:rPr>
  </w:style>
  <w:style w:type="paragraph" w:customStyle="1" w:styleId="76">
    <w:name w:val="样式1无缩进"/>
    <w:basedOn w:val="1"/>
    <w:autoRedefine/>
    <w:qFormat/>
    <w:uiPriority w:val="0"/>
  </w:style>
  <w:style w:type="character" w:customStyle="1" w:styleId="77">
    <w:name w:val="hover"/>
    <w:basedOn w:val="29"/>
    <w:qFormat/>
    <w:uiPriority w:val="0"/>
  </w:style>
  <w:style w:type="character" w:customStyle="1" w:styleId="78">
    <w:name w:val="hover1"/>
    <w:basedOn w:val="29"/>
    <w:qFormat/>
    <w:uiPriority w:val="0"/>
    <w:rPr>
      <w:color w:val="2590EB"/>
    </w:rPr>
  </w:style>
  <w:style w:type="character" w:customStyle="1" w:styleId="79">
    <w:name w:val="hover2"/>
    <w:basedOn w:val="29"/>
    <w:qFormat/>
    <w:uiPriority w:val="0"/>
    <w:rPr>
      <w:color w:val="2590EB"/>
    </w:rPr>
  </w:style>
  <w:style w:type="character" w:customStyle="1" w:styleId="80">
    <w:name w:val="hover3"/>
    <w:basedOn w:val="29"/>
    <w:qFormat/>
    <w:uiPriority w:val="0"/>
    <w:rPr>
      <w:color w:val="2590EB"/>
      <w:shd w:val="clear" w:color="auto" w:fill="E9F4FD"/>
    </w:rPr>
  </w:style>
  <w:style w:type="character" w:customStyle="1" w:styleId="81">
    <w:name w:val="hover4"/>
    <w:basedOn w:val="29"/>
    <w:qFormat/>
    <w:uiPriority w:val="0"/>
    <w:rPr>
      <w:color w:val="2590EB"/>
      <w:shd w:val="clear" w:color="auto" w:fill="E9F4FD"/>
    </w:rPr>
  </w:style>
  <w:style w:type="paragraph" w:customStyle="1" w:styleId="8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83">
    <w:name w:val="layui-this"/>
    <w:basedOn w:val="29"/>
    <w:qFormat/>
    <w:uiPriority w:val="0"/>
    <w:rPr>
      <w:bdr w:val="single" w:color="EEEEEE" w:sz="6" w:space="0"/>
      <w:shd w:val="clear" w:fill="FFFFFF"/>
    </w:rPr>
  </w:style>
  <w:style w:type="character" w:customStyle="1" w:styleId="84">
    <w:name w:val="first-child"/>
    <w:basedOn w:val="29"/>
    <w:qFormat/>
    <w:uiPriority w:val="0"/>
  </w:style>
  <w:style w:type="character" w:customStyle="1" w:styleId="85">
    <w:name w:val="font11"/>
    <w:basedOn w:val="29"/>
    <w:autoRedefine/>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103</Pages>
  <Words>2114</Words>
  <Characters>2459</Characters>
  <Lines>433</Lines>
  <Paragraphs>122</Paragraphs>
  <TotalTime>3</TotalTime>
  <ScaleCrop>false</ScaleCrop>
  <LinksUpToDate>false</LinksUpToDate>
  <CharactersWithSpaces>2548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2026-07-07T08:43:00Z</dcterms:created>
  <dc:creator>倪荣</dc:creator>
  <cp:lastModifiedBy>代理</cp:lastModifiedBy>
  <cp:lastPrinted>2026-08-03T07:01:00Z</cp:lastPrinted>
  <dcterms:modified xsi:type="dcterms:W3CDTF">2026-08-12T07:36:49Z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97D150F8F03A46DEA376822E97561855_13</vt:lpwstr>
  </property>
  <property fmtid="{D5CDD505-2E9C-101B-9397-08002B2CF9AE}" pid="4" name="KSOTemplateDocerSaveRecord">
    <vt:lpwstr>eyJoZGlkIjoiOTc5MDNjMmIyODczM2YwMGZkZTNjYWY1NjIxZTY5YjciLCJ1c2VySWQiOiI1MDM3MjkwOTMifQ==</vt:lpwstr>
  </property>
</Properties>
</file>