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079EE63">
      <w:pPr>
        <w:tabs>
          <w:tab w:val="left" w:pos="315"/>
          <w:tab w:val="left" w:pos="8820"/>
        </w:tabs>
        <w:spacing w:before="240" w:beforeLines="100" w:after="120" w:afterLines="50" w:line="500" w:lineRule="exact"/>
        <w:ind w:right="254" w:rightChars="127"/>
        <w:jc w:val="center"/>
        <w:rPr>
          <w:b/>
          <w:bCs/>
          <w:color w:val="auto"/>
          <w:sz w:val="52"/>
          <w:szCs w:val="52"/>
          <w:highlight w:val="none"/>
        </w:rPr>
      </w:pPr>
      <w:bookmarkStart w:id="0" w:name="_Hlk9544796"/>
      <w:r>
        <w:rPr>
          <w:rFonts w:hint="eastAsia"/>
          <w:b/>
          <w:bCs/>
          <w:color w:val="auto"/>
          <w:sz w:val="52"/>
          <w:szCs w:val="52"/>
          <w:highlight w:val="none"/>
        </w:rPr>
        <w:t>安徽省政府采购项目</w:t>
      </w:r>
    </w:p>
    <w:p w14:paraId="70BA8ABB">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77738FDC">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（2026版本）</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48E43B5">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项目名称：</w:t>
      </w:r>
      <w:r>
        <w:rPr>
          <w:rFonts w:hint="eastAsia"/>
          <w:b/>
          <w:color w:val="auto"/>
          <w:spacing w:val="20"/>
          <w:sz w:val="32"/>
          <w:szCs w:val="32"/>
          <w:highlight w:val="none"/>
          <w:u w:val="single"/>
        </w:rPr>
        <w:t>滁州学院2026年部分教学场所改造工程</w:t>
      </w:r>
    </w:p>
    <w:p w14:paraId="60987956">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rPr>
        <w:t>czsjcg202604-015</w:t>
      </w:r>
    </w:p>
    <w:p w14:paraId="0D138822">
      <w:pPr>
        <w:tabs>
          <w:tab w:val="left" w:pos="2410"/>
        </w:tabs>
        <w:autoSpaceDE w:val="0"/>
        <w:autoSpaceDN w:val="0"/>
        <w:adjustRightInd w:val="0"/>
        <w:snapToGrid w:val="0"/>
        <w:spacing w:line="360" w:lineRule="auto"/>
        <w:rPr>
          <w:b/>
          <w:color w:val="auto"/>
          <w:spacing w:val="20"/>
          <w:sz w:val="32"/>
          <w:szCs w:val="32"/>
          <w:highlight w:val="none"/>
          <w:u w:val="single"/>
        </w:rPr>
      </w:pPr>
      <w:r>
        <w:rPr>
          <w:rFonts w:hint="eastAsia"/>
          <w:b/>
          <w:color w:val="auto"/>
          <w:spacing w:val="20"/>
          <w:sz w:val="32"/>
          <w:szCs w:val="32"/>
          <w:highlight w:val="none"/>
        </w:rPr>
        <w:t>采 购 人：</w:t>
      </w:r>
      <w:r>
        <w:rPr>
          <w:rFonts w:hint="eastAsia"/>
          <w:b/>
          <w:color w:val="auto"/>
          <w:spacing w:val="20"/>
          <w:sz w:val="32"/>
          <w:szCs w:val="32"/>
          <w:highlight w:val="none"/>
          <w:u w:val="single"/>
        </w:rPr>
        <w:t xml:space="preserve"> 滁州学院 </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rPr>
        <w:t>滁州市城投工程咨询管理有限公司</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2026</w:t>
      </w:r>
      <w:r>
        <w:rPr>
          <w:rFonts w:hint="eastAsia"/>
          <w:b/>
          <w:color w:val="auto"/>
          <w:sz w:val="36"/>
          <w:highlight w:val="none"/>
        </w:rPr>
        <w:t>年</w:t>
      </w:r>
      <w:r>
        <w:rPr>
          <w:rFonts w:hint="eastAsia"/>
          <w:b/>
          <w:color w:val="auto"/>
          <w:sz w:val="36"/>
          <w:highlight w:val="none"/>
          <w:u w:val="single"/>
        </w:rPr>
        <w:t>4</w:t>
      </w:r>
      <w:r>
        <w:rPr>
          <w:rFonts w:hint="eastAsia"/>
          <w:b/>
          <w:color w:val="auto"/>
          <w:sz w:val="36"/>
          <w:highlight w:val="none"/>
        </w:rPr>
        <w:t>月</w:t>
      </w: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5"/>
        <w:tabs>
          <w:tab w:val="right" w:leader="dot" w:pos="827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"_Toc11403"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_Toc11403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79442B6">
      <w:pPr>
        <w:pStyle w:val="35"/>
        <w:tabs>
          <w:tab w:val="right" w:leader="dot" w:pos="8279"/>
        </w:tabs>
        <w:rPr>
          <w:color w:val="auto"/>
          <w:highlight w:val="none"/>
        </w:rPr>
      </w:pPr>
      <w:r>
        <w:rPr>
          <w:color w:val="auto"/>
          <w:highlight w:val="none"/>
        </w:rPr>
        <w:fldChar w:fldCharType="begin"/>
      </w:r>
      <w:r>
        <w:rPr>
          <w:color w:val="auto"/>
          <w:highlight w:val="none"/>
        </w:rPr>
        <w:instrText xml:space="preserve"> HYPERLINK \l "_Toc28080"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color w:val="auto"/>
          <w:highlight w:val="none"/>
        </w:rPr>
        <w:fldChar w:fldCharType="end"/>
      </w:r>
    </w:p>
    <w:p w14:paraId="54835936">
      <w:pPr>
        <w:pStyle w:val="35"/>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"_Toc30873"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w:t>
      </w:r>
    </w:p>
    <w:p w14:paraId="625AC819">
      <w:pPr>
        <w:pStyle w:val="35"/>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"_Toc11353"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8</w:t>
      </w:r>
    </w:p>
    <w:p w14:paraId="6B39CC35">
      <w:pPr>
        <w:pStyle w:val="35"/>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"_Toc31277"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9</w:t>
      </w:r>
    </w:p>
    <w:p w14:paraId="5EC0F1D2">
      <w:pPr>
        <w:pStyle w:val="35"/>
        <w:tabs>
          <w:tab w:val="right" w:leader="dot" w:pos="8279"/>
        </w:tabs>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"_Toc22734"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lang w:val="en-US" w:eastAsia="zh-CN"/>
        </w:rPr>
        <w:t>9</w:t>
      </w:r>
      <w:r>
        <w:rPr>
          <w:color w:val="auto"/>
          <w:highlight w:val="none"/>
        </w:rPr>
        <w:fldChar w:fldCharType="end"/>
      </w:r>
      <w:r>
        <w:rPr>
          <w:rFonts w:hint="eastAsia"/>
          <w:color w:val="auto"/>
          <w:highlight w:val="none"/>
          <w:lang w:val="en-US" w:eastAsia="zh-CN"/>
        </w:rPr>
        <w:t>0</w:t>
      </w:r>
    </w:p>
    <w:p w14:paraId="17C68126">
      <w:pPr>
        <w:pStyle w:val="35"/>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"_Toc24879" </w:instrText>
      </w:r>
      <w:r>
        <w:rPr>
          <w:color w:val="auto"/>
          <w:highlight w:val="none"/>
        </w:rPr>
        <w:fldChar w:fldCharType="separate"/>
      </w:r>
      <w:r>
        <w:rPr>
          <w:rFonts w:hint="eastAsia"/>
          <w:bCs/>
          <w:color w:val="auto"/>
          <w:highlight w:val="none"/>
        </w:rPr>
        <w:t>第七章  政府采购</w:t>
      </w:r>
      <w:r>
        <w:rPr>
          <w:rFonts w:hint="eastAsia" w:asciiTheme="minorEastAsia" w:hAnsiTheme="minorEastAsia"/>
          <w:color w:val="auto"/>
          <w:highlight w:val="none"/>
        </w:rPr>
        <w:t>供应</w:t>
      </w:r>
      <w:r>
        <w:rPr>
          <w:rFonts w:hint="eastAsia"/>
          <w:bCs/>
          <w:color w:val="auto"/>
          <w:highlight w:val="none"/>
        </w:rPr>
        <w:t>商询问函和质疑函范本</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07</w:t>
      </w:r>
    </w:p>
    <w:p w14:paraId="1317E34F">
      <w:pPr>
        <w:pStyle w:val="45"/>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0A7C1527">
      <w:pPr>
        <w:pStyle w:val="4"/>
        <w:rPr>
          <w:color w:val="auto"/>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7EEF487">
      <w:pPr>
        <w:spacing w:line="360" w:lineRule="auto"/>
        <w:ind w:firstLine="435"/>
        <w:rPr>
          <w:rFonts w:asciiTheme="minorEastAsia" w:hAnsiTheme="minorEastAsia" w:eastAsiaTheme="minorEastAsia"/>
          <w:color w:val="auto"/>
          <w:sz w:val="24"/>
          <w:highlight w:val="none"/>
          <w:u w:val="single"/>
        </w:rPr>
      </w:pPr>
      <w:bookmarkStart w:id="4" w:name="_Toc26628"/>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czsjcg202604-015</w:t>
      </w:r>
    </w:p>
    <w:p w14:paraId="28C88B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滁州学院2026年部分教学场所改造工程</w:t>
      </w:r>
    </w:p>
    <w:p w14:paraId="63FDFA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rPr>
        <w:t>120万元</w:t>
      </w:r>
    </w:p>
    <w:p w14:paraId="65F37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rPr>
        <w:t>1198875.28</w:t>
      </w:r>
      <w:r>
        <w:rPr>
          <w:rFonts w:hint="eastAsia"/>
          <w:color w:val="auto"/>
          <w:sz w:val="24"/>
          <w:szCs w:val="18"/>
          <w:highlight w:val="none"/>
          <w:u w:val="single"/>
        </w:rPr>
        <w:t>元</w:t>
      </w:r>
    </w:p>
    <w:p w14:paraId="631E848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室内强弱电线路改造；砌筑讲台；部分灯具、风扇更换；钢质门开观察窗；部分教室吊顶；墙面粉刷等；部分教室地面重新铺装；重新铺设主排污管道；安装独立成套的蹲坑、小便池、冲水箱等设施；对部分卫生间加装套装门等。</w:t>
      </w:r>
    </w:p>
    <w:p w14:paraId="5D4304A5">
      <w:pPr>
        <w:spacing w:line="360" w:lineRule="auto"/>
        <w:ind w:firstLine="435"/>
        <w:rPr>
          <w:color w:val="auto"/>
          <w:sz w:val="24"/>
          <w:szCs w:val="18"/>
          <w:highlight w:val="none"/>
          <w:u w:val="single"/>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rPr>
        <w:t>：</w:t>
      </w:r>
      <w:r>
        <w:rPr>
          <w:rFonts w:hint="eastAsia"/>
          <w:color w:val="auto"/>
          <w:sz w:val="24"/>
          <w:szCs w:val="18"/>
          <w:highlight w:val="none"/>
          <w:u w:val="single"/>
        </w:rPr>
        <w:t>60个日历天</w:t>
      </w:r>
    </w:p>
    <w:p w14:paraId="46BE2B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w:t>
      </w:r>
    </w:p>
    <w:p w14:paraId="17F5EF22">
      <w:pPr>
        <w:spacing w:line="360" w:lineRule="auto"/>
        <w:ind w:firstLine="435"/>
        <w:outlineLvl w:val="1"/>
        <w:rPr>
          <w:b/>
          <w:bCs/>
          <w:color w:val="auto"/>
          <w:sz w:val="24"/>
          <w:szCs w:val="18"/>
          <w:highlight w:val="none"/>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、申请人的</w:t>
      </w:r>
      <w:r>
        <w:rPr>
          <w:rFonts w:hint="eastAsia"/>
          <w:b/>
          <w:bCs/>
          <w:color w:val="auto"/>
          <w:sz w:val="24"/>
          <w:szCs w:val="18"/>
          <w:highlight w:val="none"/>
        </w:rPr>
        <w:t>资格</w:t>
      </w:r>
      <w:bookmarkEnd w:id="4"/>
      <w:r>
        <w:rPr>
          <w:rFonts w:hint="eastAsia"/>
          <w:b/>
          <w:bCs/>
          <w:color w:val="auto"/>
          <w:sz w:val="24"/>
          <w:szCs w:val="18"/>
          <w:highlight w:val="none"/>
        </w:rPr>
        <w:t>要求</w:t>
      </w:r>
      <w:bookmarkEnd w:id="5"/>
    </w:p>
    <w:p w14:paraId="5E9A1DEB">
      <w:pPr>
        <w:spacing w:line="360" w:lineRule="auto"/>
        <w:ind w:firstLine="435"/>
        <w:rPr>
          <w:rFonts w:asciiTheme="minorEastAsia" w:hAnsiTheme="minorEastAsia" w:eastAsiaTheme="minorEastAsia"/>
          <w:color w:val="auto"/>
          <w:sz w:val="24"/>
          <w:highlight w:val="none"/>
        </w:rPr>
      </w:pPr>
      <w:bookmarkStart w:id="6" w:name="_Toc4065"/>
      <w:r>
        <w:rPr>
          <w:rFonts w:hint="eastAsia" w:asciiTheme="minorEastAsia" w:hAnsiTheme="minorEastAsia" w:eastAsiaTheme="minorEastAsia"/>
          <w:color w:val="auto"/>
          <w:sz w:val="24"/>
          <w:highlight w:val="none"/>
        </w:rPr>
        <w:t>1.满足《中华人民共和国政府采购法》第二十二条规定；</w:t>
      </w:r>
    </w:p>
    <w:p w14:paraId="7C09C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3DE36E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5EED27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2.1.1□本项目不专门面向中小企业预留采购份额。</w:t>
      </w:r>
    </w:p>
    <w:p w14:paraId="04241E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2.1.2☑本项目专门面向 </w:t>
      </w:r>
      <w:r>
        <w:rPr>
          <w:rFonts w:hint="eastAsia" w:asciiTheme="minorEastAsia" w:hAnsiTheme="minorEastAsia" w:eastAsiaTheme="minorEastAsia"/>
          <w:color w:val="auto"/>
          <w:sz w:val="24"/>
          <w:highlight w:val="none"/>
          <w:u w:val="single"/>
        </w:rPr>
        <w:t xml:space="preserve">中小企业 </w:t>
      </w:r>
      <w:r>
        <w:rPr>
          <w:rFonts w:hint="eastAsia" w:asciiTheme="minorEastAsia" w:hAnsiTheme="minorEastAsia" w:eastAsiaTheme="minorEastAsia"/>
          <w:color w:val="auto"/>
          <w:sz w:val="24"/>
          <w:highlight w:val="none"/>
        </w:rPr>
        <w:t>采购。</w:t>
      </w:r>
    </w:p>
    <w:p w14:paraId="25E5E4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2.1.3□本项目预留部分采购项目预算专门面向中小企业采购。对于预留份额，提供的工程由符合政策要求的中小企业承建。预留份额通过以下措施进行：</w:t>
      </w:r>
      <w:r>
        <w:rPr>
          <w:rFonts w:asciiTheme="minorEastAsia" w:hAnsiTheme="minorEastAsia" w:eastAsiaTheme="minorEastAsia"/>
          <w:color w:val="auto"/>
          <w:sz w:val="24"/>
          <w:highlight w:val="none"/>
        </w:rPr>
        <w:t>__</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_______</w:t>
      </w:r>
      <w:r>
        <w:rPr>
          <w:rFonts w:hint="eastAsia" w:asciiTheme="minorEastAsia" w:hAnsiTheme="minorEastAsia" w:eastAsiaTheme="minorEastAsia"/>
          <w:color w:val="auto"/>
          <w:sz w:val="24"/>
          <w:highlight w:val="none"/>
        </w:rPr>
        <w:t>。</w:t>
      </w:r>
    </w:p>
    <w:p w14:paraId="4368AC5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其它落实政府采购政策的资格要求（如有）：</w:t>
      </w:r>
      <w:r>
        <w:rPr>
          <w:rFonts w:asciiTheme="minorEastAsia" w:hAnsiTheme="minorEastAsia" w:eastAsiaTheme="minorEastAsia"/>
          <w:color w:val="auto"/>
          <w:sz w:val="24"/>
          <w:highlight w:val="none"/>
        </w:rPr>
        <w:t>___</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__________</w:t>
      </w:r>
      <w:r>
        <w:rPr>
          <w:rFonts w:hint="eastAsia" w:asciiTheme="minorEastAsia" w:hAnsiTheme="minorEastAsia" w:eastAsiaTheme="minorEastAsia"/>
          <w:color w:val="auto"/>
          <w:sz w:val="24"/>
          <w:highlight w:val="none"/>
        </w:rPr>
        <w:t>。</w:t>
      </w:r>
    </w:p>
    <w:p w14:paraId="323F4F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3.本项目的特定资格要求：①具有建筑装修装饰工程专业承包二级及以上资质和有效的企业安全生产许可证；②项目经理须具备注册在供应商的建筑工程专业二级及以上注册建造师和和安全生产考核合格证书（B 证）。</w:t>
      </w:r>
    </w:p>
    <w:p w14:paraId="47D70EB5">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bookmarkStart w:id="7" w:name="_Toc2855"/>
      <w:r>
        <w:rPr>
          <w:rFonts w:hint="eastAsia" w:asciiTheme="minorEastAsia" w:hAnsiTheme="minorEastAsia" w:eastAsiaTheme="minorEastAsia"/>
          <w:color w:val="auto"/>
          <w:sz w:val="24"/>
          <w:highlight w:val="none"/>
          <w:lang w:val="en-US" w:eastAsia="zh-CN"/>
        </w:rPr>
        <w:t>4.信誉要求：供应商不得存在以下情形：</w:t>
      </w:r>
    </w:p>
    <w:p w14:paraId="39D718F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①被列入“信用中国”网站“失信被执行人”的；</w:t>
      </w:r>
    </w:p>
    <w:p w14:paraId="71916845">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②被列入“信用中国”网站“重大税收违法失信主体”的；</w:t>
      </w:r>
    </w:p>
    <w:p w14:paraId="00722271">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③被列入“信用中国”网站 “严重失信主体名单”的；</w:t>
      </w:r>
    </w:p>
    <w:p w14:paraId="1B6D6597">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④在</w:t>
      </w:r>
      <w:bookmarkStart w:id="8" w:name="OLE_LINK128"/>
      <w:bookmarkStart w:id="9" w:name="OLE_LINK127"/>
      <w:bookmarkStart w:id="10" w:name="OLE_LINK129"/>
      <w:r>
        <w:rPr>
          <w:rFonts w:hint="eastAsia" w:asciiTheme="minorEastAsia" w:hAnsiTheme="minorEastAsia" w:eastAsiaTheme="minorEastAsia"/>
          <w:color w:val="auto"/>
          <w:sz w:val="24"/>
          <w:highlight w:val="none"/>
          <w:lang w:val="en-US" w:eastAsia="zh-CN"/>
        </w:rPr>
        <w:t>“信用中国”网站</w:t>
      </w:r>
      <w:bookmarkEnd w:id="8"/>
      <w:bookmarkEnd w:id="9"/>
      <w:bookmarkEnd w:id="10"/>
      <w:r>
        <w:rPr>
          <w:rFonts w:hint="eastAsia" w:asciiTheme="minorEastAsia" w:hAnsiTheme="minorEastAsia" w:eastAsiaTheme="minorEastAsia"/>
          <w:color w:val="auto"/>
          <w:sz w:val="24"/>
          <w:highlight w:val="none"/>
          <w:lang w:val="en-US" w:eastAsia="zh-CN"/>
        </w:rPr>
        <w:t>上披露的仍在公示期的严重失信行为(具体行为类别及判定依据见“信用中国”查询的严重失信行为类别及判定依据)的。</w:t>
      </w:r>
    </w:p>
    <w:p w14:paraId="55176AE1">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⑤被列入国家企业信用信息公示系统网站“经营异常名录”或者“严重违法失信名单”的。</w:t>
      </w:r>
    </w:p>
    <w:p w14:paraId="6B58B85C">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⑥被列入中国政府采购网站“政府采购严重违法失信行为信息记录”的。</w:t>
      </w:r>
    </w:p>
    <w:p w14:paraId="4EDE9056">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⑦前三年有行贿犯罪行为的单位和个人。</w:t>
      </w:r>
    </w:p>
    <w:p w14:paraId="5CC5CDD1">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5.供应商所属分公司、办事处等分支机构存在第4款信誉要求①-⑦项情形之一的，接受其被确定为中标人。</w:t>
      </w:r>
    </w:p>
    <w:p w14:paraId="46249901">
      <w:pPr>
        <w:spacing w:line="360" w:lineRule="auto"/>
        <w:ind w:firstLine="435"/>
        <w:outlineLvl w:val="1"/>
        <w:rPr>
          <w:rFonts w:hint="eastAsia"/>
          <w:b/>
          <w:bCs/>
          <w:color w:val="auto"/>
          <w:sz w:val="24"/>
          <w:highlight w:val="none"/>
        </w:rPr>
      </w:pPr>
      <w:r>
        <w:rPr>
          <w:rFonts w:hint="eastAsia" w:asciiTheme="minorEastAsia" w:hAnsiTheme="minorEastAsia" w:eastAsiaTheme="minorEastAsia"/>
          <w:color w:val="auto"/>
          <w:sz w:val="24"/>
          <w:highlight w:val="none"/>
          <w:lang w:val="en-US" w:eastAsia="zh-CN"/>
        </w:rPr>
        <w:t>备注：第4、5条按照“关于联合惩戒失信行为加强信用查询管理的通知”查询或承诺。</w:t>
      </w:r>
    </w:p>
    <w:p w14:paraId="61E96FC5">
      <w:pPr>
        <w:spacing w:line="360" w:lineRule="auto"/>
        <w:ind w:firstLine="435"/>
        <w:outlineLvl w:val="1"/>
        <w:rPr>
          <w:b/>
          <w:bCs/>
          <w:color w:val="auto"/>
          <w:sz w:val="24"/>
          <w:highlight w:val="none"/>
        </w:rPr>
      </w:pPr>
      <w:r>
        <w:rPr>
          <w:rFonts w:hint="eastAsia"/>
          <w:b/>
          <w:bCs/>
          <w:color w:val="auto"/>
          <w:sz w:val="24"/>
          <w:highlight w:val="none"/>
        </w:rPr>
        <w:t>三、</w:t>
      </w:r>
      <w:bookmarkEnd w:id="6"/>
      <w:r>
        <w:rPr>
          <w:rFonts w:hint="eastAsia"/>
          <w:b/>
          <w:bCs/>
          <w:color w:val="auto"/>
          <w:sz w:val="24"/>
          <w:highlight w:val="none"/>
        </w:rPr>
        <w:t>获取采购文件</w:t>
      </w:r>
      <w:bookmarkEnd w:id="7"/>
    </w:p>
    <w:p w14:paraId="169A3A35">
      <w:pPr>
        <w:spacing w:line="360" w:lineRule="auto"/>
        <w:ind w:firstLine="540"/>
        <w:rPr>
          <w:rFonts w:cs="宋体"/>
          <w:color w:val="auto"/>
          <w:sz w:val="24"/>
          <w:szCs w:val="24"/>
          <w:highlight w:val="none"/>
        </w:rPr>
      </w:pPr>
      <w:bookmarkStart w:id="11" w:name="_Toc16910"/>
      <w:r>
        <w:rPr>
          <w:rFonts w:hint="eastAsia" w:cs="宋体"/>
          <w:color w:val="auto"/>
          <w:sz w:val="24"/>
          <w:szCs w:val="24"/>
          <w:highlight w:val="none"/>
        </w:rPr>
        <w:t>时间：</w:t>
      </w:r>
      <w:r>
        <w:rPr>
          <w:rFonts w:hint="eastAsia" w:cs="宋体"/>
          <w:color w:val="auto"/>
          <w:sz w:val="24"/>
          <w:szCs w:val="24"/>
          <w:highlight w:val="none"/>
          <w:u w:val="single"/>
          <w:lang w:val="en-US" w:eastAsia="zh-CN"/>
        </w:rPr>
        <w:t>2026</w:t>
      </w:r>
      <w:r>
        <w:rPr>
          <w:rFonts w:hint="eastAsia" w:cs="宋体"/>
          <w:color w:val="auto"/>
          <w:sz w:val="24"/>
          <w:szCs w:val="24"/>
          <w:highlight w:val="none"/>
        </w:rPr>
        <w:t>年</w:t>
      </w:r>
      <w:r>
        <w:rPr>
          <w:rFonts w:hint="eastAsia" w:cs="宋体"/>
          <w:color w:val="auto"/>
          <w:sz w:val="24"/>
          <w:szCs w:val="24"/>
          <w:highlight w:val="none"/>
          <w:u w:val="single"/>
          <w:lang w:val="en-US" w:eastAsia="zh-CN"/>
        </w:rPr>
        <w:t>4</w:t>
      </w:r>
      <w:r>
        <w:rPr>
          <w:rFonts w:hint="eastAsia" w:cs="宋体"/>
          <w:color w:val="auto"/>
          <w:sz w:val="24"/>
          <w:szCs w:val="24"/>
          <w:highlight w:val="none"/>
        </w:rPr>
        <w:t>月</w:t>
      </w:r>
      <w:r>
        <w:rPr>
          <w:rFonts w:hint="eastAsia" w:cs="宋体"/>
          <w:color w:val="auto"/>
          <w:sz w:val="24"/>
          <w:szCs w:val="24"/>
          <w:highlight w:val="none"/>
          <w:u w:val="single"/>
          <w:lang w:val="en-US" w:eastAsia="zh-CN"/>
        </w:rPr>
        <w:t>23</w:t>
      </w:r>
      <w:r>
        <w:rPr>
          <w:rFonts w:hint="eastAsia" w:cs="宋体"/>
          <w:color w:val="auto"/>
          <w:sz w:val="24"/>
          <w:szCs w:val="24"/>
          <w:highlight w:val="none"/>
        </w:rPr>
        <w:t>日至</w:t>
      </w:r>
      <w:r>
        <w:rPr>
          <w:rFonts w:hint="eastAsia" w:cs="宋体"/>
          <w:color w:val="auto"/>
          <w:sz w:val="24"/>
          <w:szCs w:val="24"/>
          <w:highlight w:val="none"/>
          <w:u w:val="single"/>
          <w:lang w:val="en-US" w:eastAsia="zh-CN"/>
        </w:rPr>
        <w:t>2026</w:t>
      </w:r>
      <w:r>
        <w:rPr>
          <w:rFonts w:hint="eastAsia" w:cs="宋体"/>
          <w:color w:val="auto"/>
          <w:sz w:val="24"/>
          <w:szCs w:val="24"/>
          <w:highlight w:val="none"/>
        </w:rPr>
        <w:t>年</w:t>
      </w:r>
      <w:r>
        <w:rPr>
          <w:rFonts w:hint="eastAsia" w:cs="宋体"/>
          <w:color w:val="auto"/>
          <w:sz w:val="24"/>
          <w:szCs w:val="24"/>
          <w:highlight w:val="none"/>
          <w:u w:val="single"/>
          <w:lang w:val="en-US" w:eastAsia="zh-CN"/>
        </w:rPr>
        <w:t>5</w:t>
      </w:r>
      <w:r>
        <w:rPr>
          <w:rFonts w:hint="eastAsia" w:cs="宋体"/>
          <w:color w:val="auto"/>
          <w:sz w:val="24"/>
          <w:szCs w:val="24"/>
          <w:highlight w:val="none"/>
        </w:rPr>
        <w:t>月</w:t>
      </w:r>
      <w:r>
        <w:rPr>
          <w:rFonts w:hint="eastAsia" w:cs="宋体"/>
          <w:color w:val="auto"/>
          <w:sz w:val="24"/>
          <w:szCs w:val="24"/>
          <w:highlight w:val="none"/>
          <w:u w:val="single"/>
          <w:lang w:val="en-US" w:eastAsia="zh-CN"/>
        </w:rPr>
        <w:t>8</w:t>
      </w:r>
      <w:r>
        <w:rPr>
          <w:rFonts w:hint="eastAsia" w:cs="宋体"/>
          <w:color w:val="auto"/>
          <w:sz w:val="24"/>
          <w:szCs w:val="24"/>
          <w:highlight w:val="none"/>
        </w:rPr>
        <w:t>日</w:t>
      </w:r>
      <w:r>
        <w:rPr>
          <w:rFonts w:hint="eastAsia" w:cs="宋体"/>
          <w:iCs/>
          <w:color w:val="auto"/>
          <w:sz w:val="24"/>
          <w:szCs w:val="24"/>
          <w:highlight w:val="none"/>
        </w:rPr>
        <w:t>（</w:t>
      </w:r>
      <w:r>
        <w:rPr>
          <w:rFonts w:hint="eastAsia" w:cs="宋体"/>
          <w:i/>
          <w:color w:val="auto"/>
          <w:sz w:val="24"/>
          <w:szCs w:val="24"/>
          <w:highlight w:val="none"/>
        </w:rPr>
        <w:t>磋商文件的发售期限自开始之日起不得少于5个工作日</w:t>
      </w:r>
      <w:r>
        <w:rPr>
          <w:rFonts w:hint="eastAsia" w:cs="宋体"/>
          <w:iCs/>
          <w:color w:val="auto"/>
          <w:sz w:val="24"/>
          <w:szCs w:val="24"/>
          <w:highlight w:val="none"/>
        </w:rPr>
        <w:t>）</w:t>
      </w:r>
    </w:p>
    <w:p w14:paraId="108CFE5B">
      <w:pPr>
        <w:spacing w:line="360" w:lineRule="auto"/>
        <w:ind w:firstLine="540"/>
        <w:rPr>
          <w:rFonts w:cs="宋体"/>
          <w:color w:val="auto"/>
          <w:sz w:val="24"/>
          <w:szCs w:val="24"/>
          <w:highlight w:val="none"/>
          <w:u w:val="single"/>
        </w:rPr>
      </w:pPr>
      <w:r>
        <w:rPr>
          <w:rFonts w:hint="eastAsia" w:cs="宋体"/>
          <w:color w:val="auto"/>
          <w:sz w:val="24"/>
          <w:szCs w:val="24"/>
          <w:highlight w:val="none"/>
        </w:rPr>
        <w:t>地点：滁州市公共资源交易中心网</w:t>
      </w:r>
    </w:p>
    <w:p w14:paraId="256A1850">
      <w:pPr>
        <w:spacing w:line="360" w:lineRule="auto"/>
        <w:ind w:firstLine="540"/>
        <w:rPr>
          <w:rFonts w:cs="宋体"/>
          <w:color w:val="auto"/>
          <w:sz w:val="24"/>
          <w:szCs w:val="24"/>
          <w:highlight w:val="none"/>
          <w:u w:val="single"/>
        </w:rPr>
      </w:pPr>
      <w:r>
        <w:rPr>
          <w:rFonts w:hint="eastAsia" w:cs="宋体"/>
          <w:color w:val="auto"/>
          <w:sz w:val="24"/>
          <w:szCs w:val="24"/>
          <w:highlight w:val="none"/>
        </w:rPr>
        <w:t>方式：网上下载</w:t>
      </w:r>
    </w:p>
    <w:p w14:paraId="08A04E14">
      <w:pPr>
        <w:spacing w:line="360" w:lineRule="auto"/>
        <w:ind w:firstLine="435"/>
        <w:outlineLvl w:val="1"/>
        <w:rPr>
          <w:b/>
          <w:bCs/>
          <w:color w:val="auto"/>
          <w:sz w:val="24"/>
          <w:highlight w:val="none"/>
        </w:rPr>
      </w:pPr>
      <w:bookmarkStart w:id="12" w:name="_Toc1322"/>
      <w:r>
        <w:rPr>
          <w:rFonts w:hint="eastAsia"/>
          <w:b/>
          <w:bCs/>
          <w:color w:val="auto"/>
          <w:sz w:val="24"/>
          <w:highlight w:val="none"/>
        </w:rPr>
        <w:t>四、</w:t>
      </w:r>
      <w:bookmarkEnd w:id="11"/>
      <w:r>
        <w:rPr>
          <w:rFonts w:hint="eastAsia"/>
          <w:b/>
          <w:bCs/>
          <w:color w:val="auto"/>
          <w:sz w:val="24"/>
          <w:highlight w:val="none"/>
        </w:rPr>
        <w:t>响应文件提交</w:t>
      </w:r>
      <w:bookmarkEnd w:id="12"/>
    </w:p>
    <w:p w14:paraId="73EE234A">
      <w:pPr>
        <w:spacing w:line="360" w:lineRule="auto"/>
        <w:ind w:firstLine="480" w:firstLineChars="200"/>
        <w:rPr>
          <w:rFonts w:asciiTheme="minorEastAsia" w:hAnsiTheme="minorEastAsia" w:eastAsiaTheme="minorEastAsia" w:cstheme="minorEastAsia"/>
          <w:bCs/>
          <w:color w:val="auto"/>
          <w:sz w:val="24"/>
          <w:szCs w:val="24"/>
          <w:highlight w:val="none"/>
        </w:rPr>
      </w:pPr>
      <w:bookmarkStart w:id="13" w:name="_Toc11944"/>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lang w:val="en-US" w:eastAsia="zh-CN"/>
        </w:rPr>
        <w:t>5</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lang w:val="en-US" w:eastAsia="zh-CN"/>
        </w:rPr>
        <w:t>50</w:t>
      </w:r>
      <w:r>
        <w:rPr>
          <w:rFonts w:hint="eastAsia" w:asciiTheme="minorEastAsia" w:hAnsiTheme="minorEastAsia" w:eastAsiaTheme="minorEastAsia" w:cstheme="minorEastAsia"/>
          <w:bCs/>
          <w:color w:val="auto"/>
          <w:sz w:val="24"/>
          <w:szCs w:val="24"/>
          <w:highlight w:val="none"/>
        </w:rPr>
        <w:t>分（北京时间）</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i/>
          <w:color w:val="auto"/>
          <w:sz w:val="24"/>
          <w:szCs w:val="24"/>
          <w:highlight w:val="none"/>
        </w:rPr>
        <w:t>从磋商文件开始发出之日起至供应商提交首次响应文件截止之日止不得少于10日</w:t>
      </w:r>
      <w:r>
        <w:rPr>
          <w:rFonts w:hint="eastAsia" w:asciiTheme="minorEastAsia" w:hAnsiTheme="minorEastAsia" w:eastAsiaTheme="minorEastAsia" w:cstheme="minorEastAsia"/>
          <w:iCs/>
          <w:color w:val="auto"/>
          <w:sz w:val="24"/>
          <w:szCs w:val="24"/>
          <w:highlight w:val="none"/>
        </w:rPr>
        <w:t>）</w:t>
      </w:r>
    </w:p>
    <w:p w14:paraId="3EDE9E00">
      <w:pPr>
        <w:spacing w:line="360" w:lineRule="auto"/>
        <w:ind w:firstLine="480" w:firstLineChars="200"/>
        <w:rPr>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地点：滁州市公共资源交易平台电子交易系统</w:t>
      </w:r>
    </w:p>
    <w:p w14:paraId="0517DAA7">
      <w:pPr>
        <w:spacing w:line="360" w:lineRule="auto"/>
        <w:ind w:firstLine="435"/>
        <w:outlineLvl w:val="1"/>
        <w:rPr>
          <w:b/>
          <w:bCs/>
          <w:color w:val="auto"/>
          <w:sz w:val="24"/>
          <w:highlight w:val="none"/>
        </w:rPr>
      </w:pPr>
      <w:bookmarkStart w:id="14" w:name="_Toc35393802"/>
      <w:bookmarkStart w:id="15" w:name="_Toc35393633"/>
      <w:bookmarkStart w:id="16" w:name="_Toc27720"/>
      <w:bookmarkStart w:id="17" w:name="_Toc28359093"/>
      <w:bookmarkStart w:id="18" w:name="_Toc28359016"/>
      <w:r>
        <w:rPr>
          <w:rFonts w:hint="eastAsia"/>
          <w:b/>
          <w:bCs/>
          <w:color w:val="auto"/>
          <w:sz w:val="24"/>
          <w:highlight w:val="none"/>
        </w:rPr>
        <w:t>五、开启</w:t>
      </w:r>
      <w:bookmarkEnd w:id="14"/>
      <w:bookmarkEnd w:id="15"/>
      <w:bookmarkEnd w:id="16"/>
      <w:bookmarkEnd w:id="17"/>
      <w:bookmarkEnd w:id="18"/>
    </w:p>
    <w:p w14:paraId="198585F2">
      <w:pPr>
        <w:spacing w:line="360" w:lineRule="auto"/>
        <w:ind w:firstLine="480" w:firstLineChars="200"/>
        <w:rPr>
          <w:rFonts w:cs="宋体"/>
          <w:bCs/>
          <w:color w:val="auto"/>
          <w:sz w:val="24"/>
          <w:szCs w:val="24"/>
          <w:highlight w:val="none"/>
          <w:u w:val="single"/>
        </w:rPr>
      </w:pPr>
      <w:r>
        <w:rPr>
          <w:rFonts w:hint="eastAsia" w:cs="宋体"/>
          <w:color w:val="auto"/>
          <w:sz w:val="24"/>
          <w:szCs w:val="24"/>
          <w:highlight w:val="none"/>
        </w:rPr>
        <w:t>时间：</w:t>
      </w:r>
      <w:r>
        <w:rPr>
          <w:rFonts w:hint="eastAsia" w:cs="宋体"/>
          <w:color w:val="auto"/>
          <w:sz w:val="24"/>
          <w:szCs w:val="24"/>
          <w:highlight w:val="none"/>
          <w:u w:val="single"/>
          <w:lang w:val="en-US" w:eastAsia="zh-CN"/>
        </w:rPr>
        <w:t>2026</w:t>
      </w:r>
      <w:r>
        <w:rPr>
          <w:rFonts w:hint="eastAsia" w:cs="宋体"/>
          <w:bCs/>
          <w:color w:val="auto"/>
          <w:sz w:val="24"/>
          <w:szCs w:val="24"/>
          <w:highlight w:val="none"/>
        </w:rPr>
        <w:t>年</w:t>
      </w:r>
      <w:r>
        <w:rPr>
          <w:rFonts w:hint="eastAsia" w:cs="宋体"/>
          <w:bCs/>
          <w:color w:val="auto"/>
          <w:sz w:val="24"/>
          <w:szCs w:val="24"/>
          <w:highlight w:val="none"/>
          <w:u w:val="single"/>
          <w:lang w:val="en-US" w:eastAsia="zh-CN"/>
        </w:rPr>
        <w:t>5</w:t>
      </w:r>
      <w:r>
        <w:rPr>
          <w:rFonts w:hint="eastAsia" w:cs="宋体"/>
          <w:bCs/>
          <w:color w:val="auto"/>
          <w:sz w:val="24"/>
          <w:szCs w:val="24"/>
          <w:highlight w:val="none"/>
        </w:rPr>
        <w:t>月</w:t>
      </w:r>
      <w:r>
        <w:rPr>
          <w:rFonts w:hint="eastAsia" w:cs="宋体"/>
          <w:bCs/>
          <w:color w:val="auto"/>
          <w:sz w:val="24"/>
          <w:szCs w:val="24"/>
          <w:highlight w:val="none"/>
          <w:u w:val="single"/>
          <w:lang w:val="en-US" w:eastAsia="zh-CN"/>
        </w:rPr>
        <w:t>8</w:t>
      </w:r>
      <w:r>
        <w:rPr>
          <w:rFonts w:hint="eastAsia" w:cs="宋体"/>
          <w:bCs/>
          <w:color w:val="auto"/>
          <w:sz w:val="24"/>
          <w:szCs w:val="24"/>
          <w:highlight w:val="none"/>
        </w:rPr>
        <w:t>日</w:t>
      </w:r>
      <w:r>
        <w:rPr>
          <w:rFonts w:hint="eastAsia" w:cs="宋体"/>
          <w:bCs/>
          <w:color w:val="auto"/>
          <w:sz w:val="24"/>
          <w:szCs w:val="24"/>
          <w:highlight w:val="none"/>
          <w:u w:val="single"/>
          <w:lang w:val="en-US" w:eastAsia="zh-CN"/>
        </w:rPr>
        <w:t>8</w:t>
      </w:r>
      <w:r>
        <w:rPr>
          <w:rFonts w:hint="eastAsia" w:cs="宋体"/>
          <w:bCs/>
          <w:color w:val="auto"/>
          <w:sz w:val="24"/>
          <w:szCs w:val="24"/>
          <w:highlight w:val="none"/>
        </w:rPr>
        <w:t>点</w:t>
      </w:r>
      <w:r>
        <w:rPr>
          <w:rFonts w:hint="eastAsia" w:cs="宋体"/>
          <w:bCs/>
          <w:color w:val="auto"/>
          <w:sz w:val="24"/>
          <w:szCs w:val="24"/>
          <w:highlight w:val="none"/>
          <w:u w:val="single"/>
          <w:lang w:val="en-US" w:eastAsia="zh-CN"/>
        </w:rPr>
        <w:t>50</w:t>
      </w:r>
      <w:r>
        <w:rPr>
          <w:rFonts w:hint="eastAsia" w:cs="宋体"/>
          <w:bCs/>
          <w:color w:val="auto"/>
          <w:sz w:val="24"/>
          <w:szCs w:val="24"/>
          <w:highlight w:val="none"/>
        </w:rPr>
        <w:t>分（北京时间）</w:t>
      </w:r>
    </w:p>
    <w:p w14:paraId="5EAFB4AF">
      <w:pPr>
        <w:spacing w:line="360" w:lineRule="auto"/>
        <w:ind w:firstLine="480" w:firstLineChars="200"/>
        <w:rPr>
          <w:color w:val="auto"/>
          <w:highlight w:val="none"/>
        </w:rPr>
      </w:pPr>
      <w:r>
        <w:rPr>
          <w:rFonts w:hint="eastAsia" w:cs="宋体"/>
          <w:color w:val="auto"/>
          <w:sz w:val="24"/>
          <w:szCs w:val="24"/>
          <w:highlight w:val="none"/>
        </w:rPr>
        <w:t>地点：滁州市公共资源交易平台电子交易系统</w:t>
      </w:r>
    </w:p>
    <w:p w14:paraId="3F457CD1">
      <w:pPr>
        <w:spacing w:line="360" w:lineRule="auto"/>
        <w:ind w:firstLine="435"/>
        <w:outlineLvl w:val="1"/>
        <w:rPr>
          <w:b/>
          <w:bCs/>
          <w:color w:val="auto"/>
          <w:sz w:val="24"/>
          <w:highlight w:val="none"/>
        </w:rPr>
      </w:pPr>
      <w:bookmarkStart w:id="19" w:name="_Toc24365"/>
      <w:r>
        <w:rPr>
          <w:rFonts w:hint="eastAsia"/>
          <w:b/>
          <w:bCs/>
          <w:color w:val="auto"/>
          <w:sz w:val="24"/>
          <w:highlight w:val="none"/>
        </w:rPr>
        <w:t>六、</w:t>
      </w:r>
      <w:bookmarkEnd w:id="13"/>
      <w:r>
        <w:rPr>
          <w:rFonts w:hint="eastAsia"/>
          <w:b/>
          <w:bCs/>
          <w:color w:val="auto"/>
          <w:sz w:val="24"/>
          <w:highlight w:val="none"/>
        </w:rPr>
        <w:t>公告期限</w:t>
      </w:r>
      <w:bookmarkEnd w:id="19"/>
    </w:p>
    <w:p w14:paraId="4860EE53">
      <w:pPr>
        <w:spacing w:line="360" w:lineRule="auto"/>
        <w:ind w:firstLine="480" w:firstLineChars="200"/>
        <w:rPr>
          <w:rFonts w:cs="宋体"/>
          <w:color w:val="auto"/>
          <w:sz w:val="24"/>
          <w:szCs w:val="24"/>
          <w:highlight w:val="none"/>
        </w:rPr>
      </w:pPr>
      <w:bookmarkStart w:id="20" w:name="_Toc7722"/>
      <w:r>
        <w:rPr>
          <w:rFonts w:hint="eastAsia" w:cs="宋体"/>
          <w:color w:val="auto"/>
          <w:sz w:val="24"/>
          <w:szCs w:val="24"/>
          <w:highlight w:val="none"/>
        </w:rPr>
        <w:t>自本公告发布之日起3个工作日。</w:t>
      </w:r>
    </w:p>
    <w:p w14:paraId="25F06198">
      <w:pPr>
        <w:spacing w:line="360" w:lineRule="auto"/>
        <w:ind w:firstLine="437"/>
        <w:outlineLvl w:val="1"/>
        <w:rPr>
          <w:b/>
          <w:bCs/>
          <w:color w:val="auto"/>
          <w:sz w:val="24"/>
          <w:szCs w:val="18"/>
          <w:highlight w:val="none"/>
        </w:rPr>
      </w:pPr>
      <w:bookmarkStart w:id="21" w:name="_Toc35393795"/>
      <w:bookmarkStart w:id="22" w:name="_Toc22198"/>
      <w:bookmarkStart w:id="23" w:name="_Toc35393626"/>
      <w:r>
        <w:rPr>
          <w:rFonts w:hint="eastAsia"/>
          <w:b/>
          <w:bCs/>
          <w:color w:val="auto"/>
          <w:sz w:val="24"/>
          <w:szCs w:val="18"/>
          <w:highlight w:val="none"/>
        </w:rPr>
        <w:t>七、其他补充事宜</w:t>
      </w:r>
      <w:bookmarkEnd w:id="21"/>
      <w:bookmarkEnd w:id="22"/>
      <w:bookmarkEnd w:id="23"/>
    </w:p>
    <w:p w14:paraId="74ABDA01">
      <w:pPr>
        <w:pStyle w:val="19"/>
        <w:spacing w:after="0" w:line="360" w:lineRule="auto"/>
        <w:ind w:firstLine="480" w:firstLineChars="200"/>
        <w:rPr>
          <w:rFonts w:ascii="宋体" w:hAnsi="宋体" w:eastAsia="宋体"/>
          <w:color w:val="auto"/>
          <w:sz w:val="24"/>
          <w:szCs w:val="18"/>
          <w:highlight w:val="none"/>
          <w:lang w:val="en-US"/>
        </w:rPr>
      </w:pPr>
      <w:r>
        <w:rPr>
          <w:rFonts w:hint="eastAsia" w:ascii="宋体" w:hAnsi="宋体" w:eastAsia="宋体"/>
          <w:color w:val="auto"/>
          <w:sz w:val="24"/>
          <w:szCs w:val="18"/>
          <w:highlight w:val="none"/>
          <w:lang w:val="en-US"/>
        </w:rPr>
        <w:t>1</w:t>
      </w:r>
      <w:r>
        <w:rPr>
          <w:rFonts w:hint="eastAsia" w:ascii="宋体" w:hAnsi="宋体" w:eastAsia="宋体"/>
          <w:color w:val="auto"/>
          <w:sz w:val="24"/>
          <w:szCs w:val="18"/>
          <w:highlight w:val="none"/>
        </w:rPr>
        <w:t>.项目采用全流程电子化采购方式，</w:t>
      </w:r>
      <w:r>
        <w:rPr>
          <w:rFonts w:hint="eastAsia" w:ascii="宋体" w:hAnsi="宋体" w:eastAsia="宋体"/>
          <w:color w:val="auto"/>
          <w:sz w:val="24"/>
          <w:szCs w:val="18"/>
          <w:highlight w:val="none"/>
          <w:lang w:val="en-US"/>
        </w:rPr>
        <w:t>相关操作说明如下：</w:t>
      </w:r>
    </w:p>
    <w:p w14:paraId="38C40627">
      <w:pPr>
        <w:pStyle w:val="19"/>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（1）</w:t>
      </w:r>
      <w:r>
        <w:rPr>
          <w:rFonts w:hint="eastAsia" w:ascii="宋体" w:hAnsi="宋体" w:eastAsia="宋体"/>
          <w:color w:val="auto"/>
          <w:sz w:val="24"/>
          <w:szCs w:val="18"/>
          <w:highlight w:val="none"/>
          <w:lang w:val="en-US"/>
        </w:rPr>
        <w:t>本项目只接受在安徽省公共资源交易市场主体库（http://ggzy.ah.gov.cn/ahggfwpt-zhutiku/dengludenglu）登记并进行信息确认提交的供应商磋商，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参与磋商的，责任自负。为保证系统使用过程中产生的问题能够及时得到解决，请各主体在工作时间进行主体信息登记、更新、响应文件制作等相关操作。</w:t>
      </w:r>
    </w:p>
    <w:p w14:paraId="2105F12D">
      <w:pPr>
        <w:pStyle w:val="19"/>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（2）</w:t>
      </w:r>
      <w:r>
        <w:rPr>
          <w:rFonts w:hint="eastAsia" w:ascii="宋体" w:hAnsi="宋体" w:eastAsia="宋体"/>
          <w:color w:val="auto"/>
          <w:sz w:val="24"/>
          <w:szCs w:val="18"/>
          <w:highlight w:val="none"/>
          <w:lang w:val="en-US"/>
        </w:rPr>
        <w:t>请供应商登录滁州市公共资源交易中心网站查看参加本项目的程序（具体操作步骤和程序请参见服务指南&lt;交易须知&gt;投标人填写投标信息、下载文件及网上提问操作手册）。</w:t>
      </w:r>
    </w:p>
    <w:p w14:paraId="2F18928A">
      <w:pPr>
        <w:pStyle w:val="19"/>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（3）</w:t>
      </w:r>
      <w:r>
        <w:rPr>
          <w:rFonts w:hint="eastAsia" w:ascii="宋体" w:hAnsi="宋体" w:eastAsia="宋体"/>
          <w:color w:val="auto"/>
          <w:sz w:val="24"/>
          <w:szCs w:val="18"/>
          <w:highlight w:val="none"/>
          <w:lang w:val="en-US"/>
        </w:rPr>
        <w:t>本项目采用不见面开标（远程解密)方式，开启时供应商无须至开启现场进行解密，开标采取远程解密方式解密响应文件，供应商远程解密方式:供应商在开启时间前使用CA数字证书登录滁州市“不见面开标系统”，网址为https://ggzy.chuzhou.gov.cn/BidOpening,等待开标并按系统提示进行相应的供应商解密等事项，无需到开启现场。采用本方式可以观看开标现场音视频直播并进行互动交流。具体操作方法见中心网站&gt;服务指南&gt;交易须知中的《滁州市不见面开标系统操作手册》。解密时间要求为:以本项目网上招投标系统解密倒计时为准，至完成响应文件解密时间，不得超过60分钟，否则响应文件将被拒绝。</w:t>
      </w:r>
    </w:p>
    <w:p w14:paraId="4FBADA21">
      <w:pPr>
        <w:pStyle w:val="19"/>
        <w:spacing w:after="0" w:line="360" w:lineRule="auto"/>
        <w:ind w:firstLine="480" w:firstLineChars="200"/>
        <w:rPr>
          <w:rFonts w:ascii="宋体" w:hAnsi="宋体" w:eastAsia="宋体"/>
          <w:color w:val="auto"/>
          <w:sz w:val="24"/>
          <w:szCs w:val="18"/>
          <w:highlight w:val="none"/>
          <w:lang w:val="en-US"/>
        </w:rPr>
      </w:pPr>
      <w:r>
        <w:rPr>
          <w:rFonts w:ascii="宋体" w:hAnsi="宋体" w:eastAsia="宋体"/>
          <w:color w:val="auto"/>
          <w:sz w:val="24"/>
          <w:szCs w:val="18"/>
          <w:highlight w:val="none"/>
          <w:lang w:val="en-US"/>
        </w:rPr>
        <w:t>（4）</w:t>
      </w:r>
      <w:r>
        <w:rPr>
          <w:rFonts w:hint="eastAsia" w:ascii="宋体" w:hAnsi="宋体" w:eastAsia="宋体"/>
          <w:color w:val="auto"/>
          <w:sz w:val="24"/>
          <w:szCs w:val="18"/>
          <w:highlight w:val="none"/>
          <w:lang w:val="en-US"/>
        </w:rPr>
        <w:t>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63A99509">
      <w:pPr>
        <w:spacing w:line="360" w:lineRule="auto"/>
        <w:ind w:firstLine="437"/>
        <w:outlineLvl w:val="1"/>
        <w:rPr>
          <w:b/>
          <w:bCs/>
          <w:color w:val="auto"/>
          <w:sz w:val="24"/>
          <w:szCs w:val="18"/>
          <w:highlight w:val="none"/>
        </w:rPr>
      </w:pPr>
      <w:bookmarkStart w:id="24" w:name="_Toc25763"/>
      <w:r>
        <w:rPr>
          <w:rFonts w:hint="eastAsia" w:asciiTheme="minorEastAsia" w:hAnsiTheme="minorEastAsia" w:eastAsiaTheme="minorEastAsia"/>
          <w:b/>
          <w:color w:val="auto"/>
          <w:sz w:val="24"/>
          <w:highlight w:val="none"/>
        </w:rPr>
        <w:t>八、</w:t>
      </w:r>
      <w:bookmarkEnd w:id="20"/>
      <w:r>
        <w:rPr>
          <w:rFonts w:hint="eastAsia"/>
          <w:b/>
          <w:bCs/>
          <w:color w:val="auto"/>
          <w:sz w:val="24"/>
          <w:szCs w:val="18"/>
          <w:highlight w:val="none"/>
        </w:rPr>
        <w:t>对本次招标提出询问，请按以下方式联系</w:t>
      </w:r>
      <w:bookmarkEnd w:id="24"/>
    </w:p>
    <w:p w14:paraId="54883576">
      <w:pPr>
        <w:spacing w:line="360" w:lineRule="auto"/>
        <w:ind w:firstLine="437"/>
        <w:outlineLvl w:val="2"/>
        <w:rPr>
          <w:color w:val="auto"/>
          <w:sz w:val="24"/>
          <w:szCs w:val="18"/>
          <w:highlight w:val="none"/>
        </w:rPr>
      </w:pPr>
      <w:bookmarkStart w:id="25" w:name="_Toc13220"/>
      <w:r>
        <w:rPr>
          <w:rFonts w:hint="eastAsia"/>
          <w:color w:val="auto"/>
          <w:sz w:val="24"/>
          <w:szCs w:val="18"/>
          <w:highlight w:val="none"/>
        </w:rPr>
        <w:t>1.采购人信息</w:t>
      </w:r>
    </w:p>
    <w:p w14:paraId="0AA0058F">
      <w:pPr>
        <w:spacing w:line="360" w:lineRule="auto"/>
        <w:ind w:firstLine="435"/>
        <w:rPr>
          <w:color w:val="auto"/>
          <w:sz w:val="24"/>
          <w:szCs w:val="18"/>
          <w:highlight w:val="none"/>
        </w:rPr>
      </w:pPr>
      <w:r>
        <w:rPr>
          <w:rFonts w:hint="eastAsia" w:cs="宋体"/>
          <w:color w:val="auto"/>
          <w:sz w:val="24"/>
          <w:szCs w:val="24"/>
          <w:highlight w:val="none"/>
        </w:rPr>
        <w:t>名  称</w:t>
      </w:r>
      <w:r>
        <w:rPr>
          <w:rFonts w:hint="eastAsia"/>
          <w:color w:val="auto"/>
          <w:sz w:val="24"/>
          <w:szCs w:val="18"/>
          <w:highlight w:val="none"/>
        </w:rPr>
        <w:t>：</w:t>
      </w:r>
      <w:r>
        <w:rPr>
          <w:rFonts w:hint="eastAsia"/>
          <w:color w:val="auto"/>
          <w:sz w:val="24"/>
          <w:szCs w:val="18"/>
          <w:highlight w:val="none"/>
          <w:u w:val="single"/>
        </w:rPr>
        <w:t>滁州学院</w:t>
      </w:r>
    </w:p>
    <w:p w14:paraId="4CBE8763">
      <w:pPr>
        <w:spacing w:line="360" w:lineRule="auto"/>
        <w:ind w:firstLine="435"/>
        <w:rPr>
          <w:color w:val="auto"/>
          <w:sz w:val="24"/>
          <w:szCs w:val="18"/>
          <w:highlight w:val="none"/>
          <w:u w:val="single"/>
        </w:rPr>
      </w:pPr>
      <w:r>
        <w:rPr>
          <w:rFonts w:hint="eastAsia"/>
          <w:color w:val="auto"/>
          <w:sz w:val="24"/>
          <w:szCs w:val="18"/>
          <w:highlight w:val="none"/>
        </w:rPr>
        <w:t xml:space="preserve">地 </w:t>
      </w:r>
      <w:r>
        <w:rPr>
          <w:color w:val="auto"/>
          <w:sz w:val="24"/>
          <w:szCs w:val="18"/>
          <w:highlight w:val="none"/>
        </w:rPr>
        <w:t xml:space="preserve"> </w:t>
      </w:r>
      <w:r>
        <w:rPr>
          <w:rFonts w:hint="eastAsia"/>
          <w:color w:val="auto"/>
          <w:sz w:val="24"/>
          <w:szCs w:val="18"/>
          <w:highlight w:val="none"/>
        </w:rPr>
        <w:t>址：</w:t>
      </w:r>
      <w:r>
        <w:rPr>
          <w:rFonts w:hint="eastAsia"/>
          <w:color w:val="auto"/>
          <w:sz w:val="24"/>
          <w:szCs w:val="18"/>
          <w:highlight w:val="none"/>
          <w:u w:val="single"/>
        </w:rPr>
        <w:t>安徽省滁州市会峰西路1号滁州学院会峰校区</w:t>
      </w:r>
    </w:p>
    <w:p w14:paraId="78FE03D5">
      <w:pPr>
        <w:spacing w:line="360" w:lineRule="auto"/>
        <w:ind w:firstLine="435"/>
        <w:rPr>
          <w:color w:val="auto"/>
          <w:sz w:val="24"/>
          <w:szCs w:val="18"/>
          <w:highlight w:val="none"/>
        </w:rPr>
      </w:pPr>
      <w:r>
        <w:rPr>
          <w:rFonts w:hint="eastAsia"/>
          <w:color w:val="auto"/>
          <w:sz w:val="24"/>
          <w:szCs w:val="18"/>
          <w:highlight w:val="none"/>
        </w:rPr>
        <w:t>联系人：</w:t>
      </w:r>
      <w:r>
        <w:rPr>
          <w:rFonts w:hint="eastAsia"/>
          <w:color w:val="auto"/>
          <w:sz w:val="24"/>
          <w:szCs w:val="18"/>
          <w:highlight w:val="none"/>
          <w:u w:val="single"/>
        </w:rPr>
        <w:t>尹老师</w:t>
      </w:r>
    </w:p>
    <w:p w14:paraId="622A17F8">
      <w:pPr>
        <w:spacing w:line="360" w:lineRule="auto"/>
        <w:ind w:firstLine="435"/>
        <w:rPr>
          <w:color w:val="auto"/>
          <w:sz w:val="24"/>
          <w:szCs w:val="18"/>
          <w:highlight w:val="none"/>
        </w:rPr>
      </w:pPr>
      <w:r>
        <w:rPr>
          <w:rFonts w:hint="eastAsia"/>
          <w:color w:val="auto"/>
          <w:sz w:val="24"/>
          <w:szCs w:val="18"/>
          <w:highlight w:val="none"/>
        </w:rPr>
        <w:t>联系方式：</w:t>
      </w:r>
      <w:r>
        <w:rPr>
          <w:rFonts w:hint="eastAsia"/>
          <w:color w:val="auto"/>
          <w:sz w:val="24"/>
          <w:szCs w:val="18"/>
          <w:highlight w:val="none"/>
          <w:u w:val="single"/>
        </w:rPr>
        <w:t>0550-3512003</w:t>
      </w:r>
    </w:p>
    <w:p w14:paraId="3BCE892A">
      <w:pPr>
        <w:spacing w:line="360" w:lineRule="auto"/>
        <w:ind w:firstLine="437"/>
        <w:outlineLvl w:val="2"/>
        <w:rPr>
          <w:color w:val="auto"/>
          <w:sz w:val="24"/>
          <w:szCs w:val="18"/>
          <w:highlight w:val="none"/>
        </w:rPr>
      </w:pPr>
      <w:r>
        <w:rPr>
          <w:color w:val="auto"/>
          <w:sz w:val="24"/>
          <w:szCs w:val="18"/>
          <w:highlight w:val="none"/>
        </w:rPr>
        <w:t>2.采购代理机构</w:t>
      </w:r>
      <w:r>
        <w:rPr>
          <w:rFonts w:hint="eastAsia"/>
          <w:color w:val="auto"/>
          <w:sz w:val="24"/>
          <w:szCs w:val="18"/>
          <w:highlight w:val="none"/>
        </w:rPr>
        <w:t>信息</w:t>
      </w:r>
    </w:p>
    <w:p w14:paraId="69B1FDE3">
      <w:pPr>
        <w:spacing w:line="360" w:lineRule="auto"/>
        <w:ind w:firstLine="435"/>
        <w:rPr>
          <w:color w:val="auto"/>
          <w:sz w:val="24"/>
          <w:szCs w:val="18"/>
          <w:highlight w:val="none"/>
        </w:rPr>
      </w:pPr>
      <w:r>
        <w:rPr>
          <w:rFonts w:hint="eastAsia" w:cs="宋体"/>
          <w:color w:val="auto"/>
          <w:sz w:val="24"/>
          <w:szCs w:val="24"/>
          <w:highlight w:val="none"/>
        </w:rPr>
        <w:t>名  称</w:t>
      </w:r>
      <w:r>
        <w:rPr>
          <w:rFonts w:hint="eastAsia"/>
          <w:color w:val="auto"/>
          <w:sz w:val="24"/>
          <w:szCs w:val="18"/>
          <w:highlight w:val="none"/>
        </w:rPr>
        <w:t>：</w:t>
      </w:r>
      <w:r>
        <w:rPr>
          <w:rFonts w:hint="eastAsia"/>
          <w:color w:val="auto"/>
          <w:sz w:val="24"/>
          <w:szCs w:val="18"/>
          <w:highlight w:val="none"/>
          <w:u w:val="single"/>
        </w:rPr>
        <w:t>滁州市城投工程咨询管理有限公司</w:t>
      </w:r>
    </w:p>
    <w:p w14:paraId="1D9B9849">
      <w:pPr>
        <w:spacing w:line="360" w:lineRule="auto"/>
        <w:ind w:firstLine="435"/>
        <w:rPr>
          <w:color w:val="auto"/>
          <w:sz w:val="24"/>
          <w:szCs w:val="18"/>
          <w:highlight w:val="none"/>
          <w:u w:val="single"/>
        </w:rPr>
      </w:pPr>
      <w:r>
        <w:rPr>
          <w:rFonts w:hint="eastAsia"/>
          <w:color w:val="auto"/>
          <w:sz w:val="24"/>
          <w:szCs w:val="18"/>
          <w:highlight w:val="none"/>
        </w:rPr>
        <w:t>地</w:t>
      </w:r>
      <w:r>
        <w:rPr>
          <w:color w:val="auto"/>
          <w:sz w:val="24"/>
          <w:szCs w:val="18"/>
          <w:highlight w:val="none"/>
        </w:rPr>
        <w:t xml:space="preserve">  址：</w:t>
      </w:r>
      <w:r>
        <w:rPr>
          <w:rFonts w:hint="eastAsia"/>
          <w:color w:val="auto"/>
          <w:sz w:val="24"/>
          <w:szCs w:val="18"/>
          <w:highlight w:val="none"/>
          <w:u w:val="single"/>
        </w:rPr>
        <w:t>滁州市龙蟠大道109号房产大厦6楼</w:t>
      </w:r>
    </w:p>
    <w:p w14:paraId="24EA3637">
      <w:pPr>
        <w:spacing w:line="360" w:lineRule="auto"/>
        <w:ind w:firstLine="435"/>
        <w:rPr>
          <w:color w:val="auto"/>
          <w:highlight w:val="none"/>
        </w:rPr>
      </w:pPr>
      <w:r>
        <w:rPr>
          <w:rFonts w:hint="eastAsia"/>
          <w:color w:val="auto"/>
          <w:sz w:val="24"/>
          <w:szCs w:val="18"/>
          <w:highlight w:val="none"/>
        </w:rPr>
        <w:t>联系人:</w:t>
      </w:r>
      <w:r>
        <w:rPr>
          <w:rFonts w:hint="eastAsia"/>
          <w:color w:val="auto"/>
          <w:sz w:val="24"/>
          <w:szCs w:val="18"/>
          <w:highlight w:val="none"/>
          <w:u w:val="single"/>
        </w:rPr>
        <w:t>杨韦</w:t>
      </w:r>
    </w:p>
    <w:p w14:paraId="790ABBBF">
      <w:pPr>
        <w:spacing w:line="360" w:lineRule="auto"/>
        <w:ind w:firstLine="435"/>
        <w:rPr>
          <w:color w:val="auto"/>
          <w:sz w:val="24"/>
          <w:szCs w:val="18"/>
          <w:highlight w:val="none"/>
        </w:rPr>
      </w:pPr>
      <w:r>
        <w:rPr>
          <w:rFonts w:hint="eastAsia"/>
          <w:color w:val="auto"/>
          <w:sz w:val="24"/>
          <w:szCs w:val="18"/>
          <w:highlight w:val="none"/>
        </w:rPr>
        <w:t>联系方式：</w:t>
      </w:r>
      <w:r>
        <w:rPr>
          <w:rFonts w:hint="eastAsia"/>
          <w:color w:val="auto"/>
          <w:sz w:val="24"/>
          <w:szCs w:val="18"/>
          <w:highlight w:val="none"/>
          <w:u w:val="single"/>
        </w:rPr>
        <w:t>0550-3519590、18005501210</w:t>
      </w:r>
    </w:p>
    <w:p w14:paraId="4640BFFB">
      <w:pPr>
        <w:spacing w:line="360" w:lineRule="auto"/>
        <w:ind w:firstLine="437"/>
        <w:outlineLvl w:val="2"/>
        <w:rPr>
          <w:b/>
          <w:color w:val="auto"/>
          <w:sz w:val="24"/>
          <w:szCs w:val="18"/>
          <w:highlight w:val="none"/>
        </w:rPr>
      </w:pPr>
      <w:r>
        <w:rPr>
          <w:rFonts w:hint="eastAsia"/>
          <w:bCs/>
          <w:color w:val="auto"/>
          <w:sz w:val="24"/>
          <w:szCs w:val="18"/>
          <w:highlight w:val="none"/>
        </w:rPr>
        <w:t>3</w:t>
      </w:r>
      <w:r>
        <w:rPr>
          <w:rFonts w:hint="eastAsia"/>
          <w:b/>
          <w:color w:val="auto"/>
          <w:sz w:val="24"/>
          <w:szCs w:val="18"/>
          <w:highlight w:val="none"/>
        </w:rPr>
        <w:t>.</w:t>
      </w:r>
      <w:r>
        <w:rPr>
          <w:rFonts w:hint="eastAsia"/>
          <w:color w:val="auto"/>
          <w:sz w:val="24"/>
          <w:szCs w:val="18"/>
          <w:highlight w:val="none"/>
        </w:rPr>
        <w:t>政府采购监督管理部门信息</w:t>
      </w:r>
    </w:p>
    <w:p w14:paraId="5BDA1647">
      <w:pPr>
        <w:spacing w:line="360" w:lineRule="auto"/>
        <w:ind w:firstLine="435"/>
        <w:rPr>
          <w:color w:val="auto"/>
          <w:sz w:val="24"/>
          <w:szCs w:val="18"/>
          <w:highlight w:val="none"/>
        </w:rPr>
      </w:pPr>
      <w:r>
        <w:rPr>
          <w:rFonts w:hint="eastAsia" w:cs="宋体"/>
          <w:color w:val="auto"/>
          <w:sz w:val="24"/>
          <w:szCs w:val="24"/>
          <w:highlight w:val="none"/>
        </w:rPr>
        <w:t>名  称</w:t>
      </w:r>
      <w:r>
        <w:rPr>
          <w:rFonts w:hint="eastAsia"/>
          <w:color w:val="auto"/>
          <w:sz w:val="24"/>
          <w:szCs w:val="18"/>
          <w:highlight w:val="none"/>
        </w:rPr>
        <w:t>：</w:t>
      </w:r>
      <w:r>
        <w:rPr>
          <w:rFonts w:hint="eastAsia"/>
          <w:color w:val="auto"/>
          <w:sz w:val="24"/>
          <w:szCs w:val="18"/>
          <w:highlight w:val="none"/>
          <w:u w:val="single"/>
        </w:rPr>
        <w:t>安徽省财政厅</w:t>
      </w:r>
    </w:p>
    <w:p w14:paraId="281E4A46">
      <w:pPr>
        <w:spacing w:line="360" w:lineRule="auto"/>
        <w:ind w:firstLine="435"/>
        <w:rPr>
          <w:color w:val="auto"/>
          <w:sz w:val="24"/>
          <w:szCs w:val="18"/>
          <w:highlight w:val="none"/>
        </w:rPr>
      </w:pPr>
      <w:r>
        <w:rPr>
          <w:rFonts w:hint="eastAsia"/>
          <w:color w:val="auto"/>
          <w:sz w:val="24"/>
          <w:szCs w:val="18"/>
          <w:highlight w:val="none"/>
        </w:rPr>
        <w:t>地  址：</w:t>
      </w:r>
      <w:r>
        <w:rPr>
          <w:rFonts w:hint="eastAsia"/>
          <w:color w:val="auto"/>
          <w:sz w:val="24"/>
          <w:szCs w:val="18"/>
          <w:highlight w:val="none"/>
          <w:u w:val="single"/>
        </w:rPr>
        <w:t>合肥市阜南西路238号</w:t>
      </w:r>
    </w:p>
    <w:p w14:paraId="243280E8">
      <w:pPr>
        <w:spacing w:line="360" w:lineRule="auto"/>
        <w:ind w:firstLine="435"/>
        <w:rPr>
          <w:color w:val="auto"/>
          <w:sz w:val="24"/>
          <w:szCs w:val="18"/>
          <w:highlight w:val="none"/>
          <w:u w:val="single"/>
        </w:rPr>
      </w:pPr>
      <w:r>
        <w:rPr>
          <w:rFonts w:hint="eastAsia"/>
          <w:color w:val="auto"/>
          <w:sz w:val="24"/>
          <w:szCs w:val="18"/>
          <w:highlight w:val="none"/>
        </w:rPr>
        <w:t>联系方式：</w:t>
      </w:r>
      <w:r>
        <w:rPr>
          <w:rFonts w:hint="eastAsia"/>
          <w:color w:val="auto"/>
          <w:sz w:val="24"/>
          <w:szCs w:val="18"/>
          <w:highlight w:val="none"/>
          <w:u w:val="single"/>
        </w:rPr>
        <w:t>0551-68150413</w:t>
      </w:r>
    </w:p>
    <w:bookmarkEnd w:id="25"/>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6"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6"/>
    </w:p>
    <w:p w14:paraId="370FE04A">
      <w:pPr>
        <w:spacing w:line="360" w:lineRule="auto"/>
        <w:jc w:val="center"/>
        <w:outlineLvl w:val="1"/>
        <w:rPr>
          <w:rFonts w:asciiTheme="minorEastAsia" w:hAnsiTheme="minorEastAsia" w:eastAsiaTheme="minorEastAsia"/>
          <w:b/>
          <w:color w:val="auto"/>
          <w:sz w:val="24"/>
          <w:highlight w:val="none"/>
        </w:rPr>
      </w:pPr>
      <w:bookmarkStart w:id="27" w:name="_Toc12027"/>
      <w:bookmarkStart w:id="28"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7"/>
      <w:bookmarkEnd w:id="28"/>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8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590"/>
        <w:gridCol w:w="7257"/>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628ADB11">
            <w:pPr>
              <w:pStyle w:val="76"/>
              <w:widowControl w:val="0"/>
              <w:spacing w:before="0" w:beforeAutospacing="0" w:after="0" w:afterAutospacing="0" w:line="500" w:lineRule="exact"/>
              <w:rPr>
                <w:rFonts w:cs="宋体"/>
                <w:bCs w:val="0"/>
                <w:color w:val="auto"/>
                <w:kern w:val="2"/>
                <w:sz w:val="24"/>
                <w:szCs w:val="24"/>
                <w:highlight w:val="none"/>
              </w:rPr>
            </w:pPr>
            <w:r>
              <w:rPr>
                <w:rFonts w:hint="eastAsia" w:cs="宋体"/>
                <w:bCs w:val="0"/>
                <w:color w:val="auto"/>
                <w:kern w:val="2"/>
                <w:sz w:val="24"/>
                <w:szCs w:val="24"/>
                <w:highlight w:val="none"/>
              </w:rPr>
              <w:t>条款号</w:t>
            </w:r>
          </w:p>
        </w:tc>
        <w:tc>
          <w:tcPr>
            <w:tcW w:w="803" w:type="pct"/>
            <w:vAlign w:val="center"/>
          </w:tcPr>
          <w:p w14:paraId="006ABCD9">
            <w:pPr>
              <w:pStyle w:val="76"/>
              <w:widowControl w:val="0"/>
              <w:spacing w:before="0" w:beforeAutospacing="0" w:after="0" w:afterAutospacing="0" w:line="500" w:lineRule="exact"/>
              <w:rPr>
                <w:rFonts w:cs="宋体"/>
                <w:bCs w:val="0"/>
                <w:color w:val="auto"/>
                <w:kern w:val="2"/>
                <w:sz w:val="24"/>
                <w:szCs w:val="24"/>
                <w:highlight w:val="none"/>
              </w:rPr>
            </w:pPr>
            <w:r>
              <w:rPr>
                <w:rFonts w:hint="eastAsia" w:cs="宋体"/>
                <w:bCs w:val="0"/>
                <w:color w:val="auto"/>
                <w:kern w:val="2"/>
                <w:sz w:val="24"/>
                <w:szCs w:val="24"/>
                <w:highlight w:val="none"/>
              </w:rPr>
              <w:t>条款名称</w:t>
            </w:r>
          </w:p>
        </w:tc>
        <w:tc>
          <w:tcPr>
            <w:tcW w:w="3666" w:type="pct"/>
            <w:vAlign w:val="center"/>
          </w:tcPr>
          <w:p w14:paraId="64A1A7FA">
            <w:pPr>
              <w:pStyle w:val="76"/>
              <w:widowControl w:val="0"/>
              <w:spacing w:before="0" w:beforeAutospacing="0" w:after="0" w:afterAutospacing="0" w:line="500" w:lineRule="exact"/>
              <w:rPr>
                <w:rFonts w:cs="宋体"/>
                <w:bCs w:val="0"/>
                <w:color w:val="auto"/>
                <w:kern w:val="2"/>
                <w:sz w:val="24"/>
                <w:szCs w:val="24"/>
                <w:highlight w:val="none"/>
              </w:rPr>
            </w:pPr>
            <w:r>
              <w:rPr>
                <w:rFonts w:hint="eastAsia" w:cs="宋体"/>
                <w:bCs w:val="0"/>
                <w:color w:val="auto"/>
                <w:kern w:val="2"/>
                <w:sz w:val="24"/>
                <w:szCs w:val="24"/>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213016A6">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5.2</w:t>
            </w:r>
          </w:p>
        </w:tc>
        <w:tc>
          <w:tcPr>
            <w:tcW w:w="803" w:type="pct"/>
            <w:vAlign w:val="center"/>
          </w:tcPr>
          <w:p w14:paraId="186EF350">
            <w:pPr>
              <w:pStyle w:val="76"/>
              <w:widowControl w:val="0"/>
              <w:spacing w:before="0" w:beforeAutospacing="0" w:after="0" w:afterAutospacing="0" w:line="500" w:lineRule="exact"/>
              <w:jc w:val="left"/>
              <w:rPr>
                <w:rFonts w:cs="宋体"/>
                <w:b w:val="0"/>
                <w:color w:val="auto"/>
                <w:sz w:val="24"/>
                <w:szCs w:val="24"/>
                <w:highlight w:val="none"/>
              </w:rPr>
            </w:pPr>
            <w:r>
              <w:rPr>
                <w:rFonts w:hint="eastAsia" w:cs="宋体"/>
                <w:b w:val="0"/>
                <w:color w:val="auto"/>
                <w:sz w:val="24"/>
                <w:szCs w:val="24"/>
                <w:highlight w:val="none"/>
              </w:rPr>
              <w:t>现场考察或标前答疑会</w:t>
            </w:r>
          </w:p>
        </w:tc>
        <w:tc>
          <w:tcPr>
            <w:tcW w:w="3666" w:type="pct"/>
            <w:vAlign w:val="center"/>
          </w:tcPr>
          <w:p w14:paraId="28F21A0E">
            <w:pPr>
              <w:spacing w:line="500" w:lineRule="exact"/>
              <w:rPr>
                <w:rFonts w:cs="宋体"/>
                <w:bCs/>
                <w:color w:val="auto"/>
                <w:sz w:val="24"/>
                <w:szCs w:val="24"/>
                <w:highlight w:val="none"/>
              </w:rPr>
            </w:pPr>
            <w:r>
              <w:rPr>
                <w:rFonts w:hint="eastAsia" w:cs="宋体"/>
                <w:bCs/>
                <w:color w:val="auto"/>
                <w:sz w:val="24"/>
                <w:szCs w:val="24"/>
                <w:highlight w:val="none"/>
              </w:rPr>
              <w:t>☑</w:t>
            </w:r>
            <w:r>
              <w:rPr>
                <w:rFonts w:hint="eastAsia" w:cs="宋体"/>
                <w:color w:val="auto"/>
                <w:sz w:val="24"/>
                <w:szCs w:val="24"/>
                <w:highlight w:val="none"/>
              </w:rPr>
              <w:t>不组织或不召开</w:t>
            </w:r>
          </w:p>
          <w:p w14:paraId="706476DF">
            <w:pPr>
              <w:spacing w:line="500" w:lineRule="exact"/>
              <w:rPr>
                <w:rFonts w:cs="宋体"/>
                <w:bCs/>
                <w:color w:val="auto"/>
                <w:sz w:val="24"/>
                <w:szCs w:val="24"/>
                <w:highlight w:val="none"/>
              </w:rPr>
            </w:pPr>
            <w:r>
              <w:rPr>
                <w:rFonts w:hint="eastAsia" w:cs="宋体"/>
                <w:color w:val="auto"/>
                <w:sz w:val="24"/>
                <w:szCs w:val="24"/>
                <w:highlight w:val="none"/>
              </w:rPr>
              <w:t>□</w:t>
            </w:r>
            <w:r>
              <w:rPr>
                <w:rFonts w:hint="eastAsia" w:cs="宋体"/>
                <w:bCs/>
                <w:color w:val="auto"/>
                <w:sz w:val="24"/>
                <w:szCs w:val="24"/>
                <w:highlight w:val="none"/>
              </w:rPr>
              <w:t>统一组织或统一召开</w:t>
            </w:r>
          </w:p>
          <w:p w14:paraId="6DE96507">
            <w:pPr>
              <w:spacing w:line="500" w:lineRule="exact"/>
              <w:rPr>
                <w:rFonts w:cs="宋体"/>
                <w:bCs/>
                <w:color w:val="auto"/>
                <w:sz w:val="24"/>
                <w:szCs w:val="24"/>
                <w:highlight w:val="none"/>
                <w:u w:val="single"/>
              </w:rPr>
            </w:pPr>
            <w:r>
              <w:rPr>
                <w:rFonts w:hint="eastAsia" w:cs="宋体"/>
                <w:bCs/>
                <w:color w:val="auto"/>
                <w:sz w:val="24"/>
                <w:szCs w:val="24"/>
                <w:highlight w:val="none"/>
              </w:rPr>
              <w:t>时间：</w:t>
            </w:r>
            <w:r>
              <w:rPr>
                <w:rFonts w:hint="eastAsia" w:cs="宋体"/>
                <w:bCs/>
                <w:color w:val="auto"/>
                <w:sz w:val="24"/>
                <w:szCs w:val="24"/>
                <w:highlight w:val="none"/>
                <w:u w:val="single"/>
              </w:rPr>
              <w:t xml:space="preserve">    </w:t>
            </w:r>
            <w:r>
              <w:rPr>
                <w:rFonts w:hint="eastAsia" w:cs="宋体"/>
                <w:bCs/>
                <w:color w:val="auto"/>
                <w:sz w:val="24"/>
                <w:szCs w:val="24"/>
                <w:highlight w:val="none"/>
              </w:rPr>
              <w:t>年</w:t>
            </w:r>
            <w:r>
              <w:rPr>
                <w:rFonts w:hint="eastAsia" w:cs="宋体"/>
                <w:bCs/>
                <w:color w:val="auto"/>
                <w:sz w:val="24"/>
                <w:szCs w:val="24"/>
                <w:highlight w:val="none"/>
                <w:u w:val="single"/>
              </w:rPr>
              <w:t xml:space="preserve">  </w:t>
            </w:r>
            <w:r>
              <w:rPr>
                <w:rFonts w:hint="eastAsia" w:cs="宋体"/>
                <w:bCs/>
                <w:color w:val="auto"/>
                <w:sz w:val="24"/>
                <w:szCs w:val="24"/>
                <w:highlight w:val="none"/>
              </w:rPr>
              <w:t>月</w:t>
            </w:r>
            <w:r>
              <w:rPr>
                <w:rFonts w:hint="eastAsia" w:cs="宋体"/>
                <w:bCs/>
                <w:color w:val="auto"/>
                <w:sz w:val="24"/>
                <w:szCs w:val="24"/>
                <w:highlight w:val="none"/>
                <w:u w:val="single"/>
              </w:rPr>
              <w:t xml:space="preserve">  </w:t>
            </w:r>
            <w:r>
              <w:rPr>
                <w:rFonts w:hint="eastAsia" w:cs="宋体"/>
                <w:bCs/>
                <w:color w:val="auto"/>
                <w:sz w:val="24"/>
                <w:szCs w:val="24"/>
                <w:highlight w:val="none"/>
              </w:rPr>
              <w:t>日</w:t>
            </w:r>
            <w:r>
              <w:rPr>
                <w:rFonts w:hint="eastAsia" w:cs="宋体"/>
                <w:bCs/>
                <w:color w:val="auto"/>
                <w:sz w:val="24"/>
                <w:szCs w:val="24"/>
                <w:highlight w:val="none"/>
                <w:u w:val="single"/>
              </w:rPr>
              <w:t xml:space="preserve">  </w:t>
            </w:r>
            <w:r>
              <w:rPr>
                <w:rFonts w:hint="eastAsia" w:cs="宋体"/>
                <w:bCs/>
                <w:color w:val="auto"/>
                <w:sz w:val="24"/>
                <w:szCs w:val="24"/>
                <w:highlight w:val="none"/>
              </w:rPr>
              <w:t>时</w:t>
            </w:r>
            <w:r>
              <w:rPr>
                <w:rFonts w:hint="eastAsia" w:cs="宋体"/>
                <w:bCs/>
                <w:color w:val="auto"/>
                <w:sz w:val="24"/>
                <w:szCs w:val="24"/>
                <w:highlight w:val="none"/>
                <w:u w:val="single"/>
              </w:rPr>
              <w:t xml:space="preserve">  </w:t>
            </w:r>
            <w:r>
              <w:rPr>
                <w:rFonts w:hint="eastAsia" w:cs="宋体"/>
                <w:bCs/>
                <w:color w:val="auto"/>
                <w:sz w:val="24"/>
                <w:szCs w:val="24"/>
                <w:highlight w:val="none"/>
              </w:rPr>
              <w:t>分</w:t>
            </w:r>
          </w:p>
          <w:p w14:paraId="0F6009B5">
            <w:pPr>
              <w:spacing w:line="500" w:lineRule="exact"/>
              <w:rPr>
                <w:rFonts w:cs="宋体"/>
                <w:bCs/>
                <w:color w:val="auto"/>
                <w:sz w:val="24"/>
                <w:szCs w:val="24"/>
                <w:highlight w:val="none"/>
                <w:u w:val="single"/>
              </w:rPr>
            </w:pPr>
            <w:r>
              <w:rPr>
                <w:rFonts w:hint="eastAsia" w:cs="宋体"/>
                <w:bCs/>
                <w:color w:val="auto"/>
                <w:sz w:val="24"/>
                <w:szCs w:val="24"/>
                <w:highlight w:val="none"/>
              </w:rPr>
              <w:t>地点：</w:t>
            </w:r>
            <w:r>
              <w:rPr>
                <w:rFonts w:hint="eastAsia" w:cs="宋体"/>
                <w:bCs/>
                <w:color w:val="auto"/>
                <w:sz w:val="24"/>
                <w:szCs w:val="24"/>
                <w:highlight w:val="none"/>
                <w:u w:val="single"/>
              </w:rPr>
              <w:t xml:space="preserve">                       </w:t>
            </w:r>
          </w:p>
          <w:p w14:paraId="1548A7E7">
            <w:pPr>
              <w:spacing w:line="500" w:lineRule="exact"/>
              <w:rPr>
                <w:rFonts w:cs="宋体"/>
                <w:bCs/>
                <w:color w:val="auto"/>
                <w:sz w:val="24"/>
                <w:szCs w:val="24"/>
                <w:highlight w:val="none"/>
                <w:u w:val="single"/>
              </w:rPr>
            </w:pPr>
            <w:r>
              <w:rPr>
                <w:rFonts w:hint="eastAsia" w:cs="宋体"/>
                <w:bCs/>
                <w:color w:val="auto"/>
                <w:sz w:val="24"/>
                <w:szCs w:val="24"/>
                <w:highlight w:val="none"/>
              </w:rPr>
              <w:t>联系人及联系电话：</w:t>
            </w:r>
            <w:r>
              <w:rPr>
                <w:rFonts w:hint="eastAsia" w:cs="宋体"/>
                <w:bCs/>
                <w:color w:val="auto"/>
                <w:sz w:val="24"/>
                <w:szCs w:val="24"/>
                <w:highlight w:val="none"/>
                <w:u w:val="single"/>
              </w:rPr>
              <w:t xml:space="preserve">           </w:t>
            </w:r>
          </w:p>
          <w:p w14:paraId="47A89B4F">
            <w:pPr>
              <w:pStyle w:val="76"/>
              <w:widowControl w:val="0"/>
              <w:spacing w:before="0" w:beforeAutospacing="0" w:after="0" w:afterAutospacing="0" w:line="500" w:lineRule="exact"/>
              <w:jc w:val="both"/>
              <w:rPr>
                <w:rFonts w:cs="宋体"/>
                <w:color w:val="auto"/>
                <w:sz w:val="24"/>
                <w:szCs w:val="24"/>
                <w:highlight w:val="none"/>
              </w:rPr>
            </w:pPr>
            <w:r>
              <w:rPr>
                <w:rFonts w:hint="eastAsia" w:cs="宋体"/>
                <w:bCs w:val="0"/>
                <w:color w:val="auto"/>
                <w:sz w:val="24"/>
                <w:szCs w:val="24"/>
                <w:highlight w:val="none"/>
              </w:rPr>
              <w:t>注：如供应商未参加采购人统一组织的现场考察或采购人统一召开的标前答疑会，视同放弃现场考察或标前答疑会，由此引起的一切责任由供应商自行承担。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5116C3C4">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6.1</w:t>
            </w:r>
          </w:p>
        </w:tc>
        <w:tc>
          <w:tcPr>
            <w:tcW w:w="803" w:type="pct"/>
            <w:vAlign w:val="center"/>
          </w:tcPr>
          <w:p w14:paraId="11FAF766">
            <w:pPr>
              <w:pStyle w:val="76"/>
              <w:widowControl w:val="0"/>
              <w:spacing w:before="0" w:beforeAutospacing="0" w:after="0" w:afterAutospacing="0" w:line="500" w:lineRule="exact"/>
              <w:jc w:val="left"/>
              <w:rPr>
                <w:rFonts w:cs="宋体"/>
                <w:b w:val="0"/>
                <w:color w:val="auto"/>
                <w:sz w:val="24"/>
                <w:szCs w:val="24"/>
                <w:highlight w:val="none"/>
              </w:rPr>
            </w:pPr>
            <w:r>
              <w:rPr>
                <w:rFonts w:hint="eastAsia" w:cs="宋体"/>
                <w:b w:val="0"/>
                <w:color w:val="auto"/>
                <w:sz w:val="24"/>
                <w:szCs w:val="24"/>
                <w:highlight w:val="none"/>
              </w:rPr>
              <w:t>网上询问截止时间</w:t>
            </w:r>
          </w:p>
        </w:tc>
        <w:tc>
          <w:tcPr>
            <w:tcW w:w="3666" w:type="pct"/>
            <w:vAlign w:val="center"/>
          </w:tcPr>
          <w:p w14:paraId="17961FE2">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u w:val="single"/>
                <w:lang w:val="en-US" w:eastAsia="zh-CN"/>
              </w:rPr>
              <w:t>2026</w:t>
            </w:r>
            <w:r>
              <w:rPr>
                <w:rFonts w:hint="eastAsia" w:cs="宋体"/>
                <w:b w:val="0"/>
                <w:color w:val="auto"/>
                <w:sz w:val="24"/>
                <w:szCs w:val="24"/>
                <w:highlight w:val="none"/>
              </w:rPr>
              <w:t>年</w:t>
            </w:r>
            <w:r>
              <w:rPr>
                <w:rFonts w:hint="eastAsia" w:cs="宋体"/>
                <w:b w:val="0"/>
                <w:color w:val="auto"/>
                <w:sz w:val="24"/>
                <w:szCs w:val="24"/>
                <w:highlight w:val="none"/>
                <w:u w:val="single"/>
                <w:lang w:val="en-US" w:eastAsia="zh-CN"/>
              </w:rPr>
              <w:t>4</w:t>
            </w:r>
            <w:r>
              <w:rPr>
                <w:rFonts w:hint="eastAsia" w:cs="宋体"/>
                <w:b w:val="0"/>
                <w:color w:val="auto"/>
                <w:sz w:val="24"/>
                <w:szCs w:val="24"/>
                <w:highlight w:val="none"/>
              </w:rPr>
              <w:t>月</w:t>
            </w:r>
            <w:r>
              <w:rPr>
                <w:rFonts w:hint="eastAsia" w:cs="宋体"/>
                <w:b w:val="0"/>
                <w:color w:val="auto"/>
                <w:sz w:val="24"/>
                <w:szCs w:val="24"/>
                <w:highlight w:val="none"/>
                <w:u w:val="single"/>
                <w:lang w:val="en-US" w:eastAsia="zh-CN"/>
              </w:rPr>
              <w:t>28</w:t>
            </w:r>
            <w:r>
              <w:rPr>
                <w:rFonts w:hint="eastAsia" w:cs="宋体"/>
                <w:b w:val="0"/>
                <w:color w:val="auto"/>
                <w:sz w:val="24"/>
                <w:szCs w:val="24"/>
                <w:highlight w:val="none"/>
              </w:rPr>
              <w:t>日</w:t>
            </w:r>
            <w:r>
              <w:rPr>
                <w:rFonts w:hint="eastAsia" w:cs="宋体"/>
                <w:b w:val="0"/>
                <w:color w:val="auto"/>
                <w:sz w:val="24"/>
                <w:szCs w:val="24"/>
                <w:highlight w:val="none"/>
                <w:u w:val="single"/>
                <w:lang w:val="en-US" w:eastAsia="zh-CN"/>
              </w:rPr>
              <w:t>17</w:t>
            </w:r>
            <w:r>
              <w:rPr>
                <w:rFonts w:hint="eastAsia" w:cs="宋体"/>
                <w:b w:val="0"/>
                <w:color w:val="auto"/>
                <w:sz w:val="24"/>
                <w:szCs w:val="24"/>
                <w:highlight w:val="none"/>
              </w:rPr>
              <w:t>时</w:t>
            </w:r>
            <w:r>
              <w:rPr>
                <w:rFonts w:hint="eastAsia" w:cs="宋体"/>
                <w:b w:val="0"/>
                <w:color w:val="auto"/>
                <w:sz w:val="24"/>
                <w:szCs w:val="24"/>
                <w:highlight w:val="none"/>
                <w:u w:val="single"/>
                <w:lang w:val="en-US" w:eastAsia="zh-CN"/>
              </w:rPr>
              <w:t>30</w:t>
            </w:r>
            <w:r>
              <w:rPr>
                <w:rFonts w:hint="eastAsia" w:cs="宋体"/>
                <w:b w:val="0"/>
                <w:color w:val="auto"/>
                <w:sz w:val="24"/>
                <w:szCs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30" w:type="pct"/>
            <w:vAlign w:val="center"/>
          </w:tcPr>
          <w:p w14:paraId="576AC7EA">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7.1</w:t>
            </w:r>
          </w:p>
        </w:tc>
        <w:tc>
          <w:tcPr>
            <w:tcW w:w="803" w:type="pct"/>
            <w:vAlign w:val="center"/>
          </w:tcPr>
          <w:p w14:paraId="7026D976">
            <w:pPr>
              <w:pStyle w:val="76"/>
              <w:widowControl w:val="0"/>
              <w:spacing w:before="0" w:beforeAutospacing="0" w:after="0" w:afterAutospacing="0" w:line="500" w:lineRule="exact"/>
              <w:jc w:val="left"/>
              <w:rPr>
                <w:rFonts w:cs="宋体"/>
                <w:b w:val="0"/>
                <w:color w:val="auto"/>
                <w:sz w:val="24"/>
                <w:szCs w:val="24"/>
                <w:highlight w:val="none"/>
              </w:rPr>
            </w:pPr>
            <w:r>
              <w:rPr>
                <w:rFonts w:hint="eastAsia" w:cs="宋体"/>
                <w:b w:val="0"/>
                <w:color w:val="auto"/>
                <w:sz w:val="24"/>
                <w:szCs w:val="24"/>
                <w:highlight w:val="none"/>
              </w:rPr>
              <w:t>包别划分</w:t>
            </w:r>
          </w:p>
        </w:tc>
        <w:tc>
          <w:tcPr>
            <w:tcW w:w="3666" w:type="pct"/>
            <w:vAlign w:val="center"/>
          </w:tcPr>
          <w:p w14:paraId="67D762E5">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bCs w:val="0"/>
                <w:color w:val="auto"/>
                <w:sz w:val="24"/>
                <w:szCs w:val="24"/>
                <w:highlight w:val="none"/>
              </w:rPr>
              <w:t>☑</w:t>
            </w:r>
            <w:r>
              <w:rPr>
                <w:rFonts w:hint="eastAsia" w:cs="宋体"/>
                <w:b w:val="0"/>
                <w:color w:val="auto"/>
                <w:sz w:val="24"/>
                <w:szCs w:val="24"/>
                <w:highlight w:val="none"/>
              </w:rPr>
              <w:t>不分包     □分为  个包</w:t>
            </w:r>
          </w:p>
          <w:p w14:paraId="19006EF2">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bCs w:val="0"/>
                <w:color w:val="auto"/>
                <w:sz w:val="24"/>
                <w:szCs w:val="24"/>
                <w:highlight w:val="none"/>
              </w:rPr>
              <w:t>供应商参加多个包磋商的成交包数规定：</w:t>
            </w:r>
            <w:r>
              <w:rPr>
                <w:rFonts w:hint="eastAsia" w:cs="宋体"/>
                <w:b w:val="0"/>
                <w:bCs w:val="0"/>
                <w:color w:val="auto"/>
                <w:sz w:val="24"/>
                <w:szCs w:val="24"/>
                <w:highlight w:val="none"/>
                <w:u w:val="single"/>
              </w:rPr>
              <w:t xml:space="preserve">    /       </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30" w:type="pct"/>
            <w:vAlign w:val="center"/>
          </w:tcPr>
          <w:p w14:paraId="18640B59">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10.1</w:t>
            </w:r>
          </w:p>
        </w:tc>
        <w:tc>
          <w:tcPr>
            <w:tcW w:w="803" w:type="pct"/>
            <w:vAlign w:val="center"/>
          </w:tcPr>
          <w:p w14:paraId="6CF7A031">
            <w:pPr>
              <w:pStyle w:val="76"/>
              <w:widowControl w:val="0"/>
              <w:spacing w:before="0" w:beforeAutospacing="0" w:after="0" w:afterAutospacing="0" w:line="500" w:lineRule="exact"/>
              <w:jc w:val="left"/>
              <w:rPr>
                <w:rFonts w:cs="宋体"/>
                <w:b w:val="0"/>
                <w:color w:val="auto"/>
                <w:sz w:val="24"/>
                <w:szCs w:val="24"/>
                <w:highlight w:val="none"/>
              </w:rPr>
            </w:pPr>
            <w:r>
              <w:rPr>
                <w:rFonts w:hint="eastAsia" w:cs="宋体"/>
                <w:b w:val="0"/>
                <w:color w:val="auto"/>
                <w:sz w:val="24"/>
                <w:szCs w:val="24"/>
                <w:highlight w:val="none"/>
              </w:rPr>
              <w:t>磋商保证金</w:t>
            </w:r>
          </w:p>
        </w:tc>
        <w:tc>
          <w:tcPr>
            <w:tcW w:w="3666" w:type="pct"/>
            <w:vAlign w:val="center"/>
          </w:tcPr>
          <w:p w14:paraId="70AB614D">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6A6DDB7C">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11.1</w:t>
            </w:r>
          </w:p>
        </w:tc>
        <w:tc>
          <w:tcPr>
            <w:tcW w:w="803" w:type="pct"/>
            <w:vAlign w:val="center"/>
          </w:tcPr>
          <w:p w14:paraId="2B95BD20">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磋商有效期</w:t>
            </w:r>
          </w:p>
        </w:tc>
        <w:tc>
          <w:tcPr>
            <w:tcW w:w="3666" w:type="pct"/>
            <w:vAlign w:val="center"/>
          </w:tcPr>
          <w:p w14:paraId="530296D3">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u w:val="single"/>
              </w:rPr>
              <w:t xml:space="preserve"> 90 </w:t>
            </w:r>
            <w:r>
              <w:rPr>
                <w:rFonts w:hint="eastAsia" w:cs="宋体"/>
                <w:b w:val="0"/>
                <w:color w:val="auto"/>
                <w:sz w:val="24"/>
                <w:szCs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76D2A6C5">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12.3</w:t>
            </w:r>
          </w:p>
        </w:tc>
        <w:tc>
          <w:tcPr>
            <w:tcW w:w="803" w:type="pct"/>
            <w:vAlign w:val="center"/>
          </w:tcPr>
          <w:p w14:paraId="1ADB9331">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响应文件解密时间</w:t>
            </w:r>
          </w:p>
        </w:tc>
        <w:tc>
          <w:tcPr>
            <w:tcW w:w="3666" w:type="pct"/>
            <w:vAlign w:val="center"/>
          </w:tcPr>
          <w:p w14:paraId="5209EDC1">
            <w:pPr>
              <w:pStyle w:val="76"/>
              <w:widowControl w:val="0"/>
              <w:spacing w:before="0" w:beforeAutospacing="0" w:after="0" w:afterAutospacing="0" w:line="500" w:lineRule="exact"/>
              <w:jc w:val="both"/>
              <w:rPr>
                <w:rFonts w:cs="宋体"/>
                <w:b w:val="0"/>
                <w:color w:val="auto"/>
                <w:sz w:val="24"/>
                <w:szCs w:val="24"/>
                <w:highlight w:val="none"/>
                <w:u w:val="single"/>
              </w:rPr>
            </w:pPr>
            <w:r>
              <w:rPr>
                <w:rFonts w:hint="eastAsia" w:cs="宋体"/>
                <w:b w:val="0"/>
                <w:color w:val="auto"/>
                <w:sz w:val="24"/>
                <w:szCs w:val="24"/>
                <w:highlight w:val="none"/>
              </w:rPr>
              <w:t>响应文件提交截止时间后</w:t>
            </w:r>
            <w:r>
              <w:rPr>
                <w:rFonts w:hint="eastAsia" w:cs="宋体"/>
                <w:b w:val="0"/>
                <w:color w:val="auto"/>
                <w:sz w:val="24"/>
                <w:szCs w:val="24"/>
                <w:highlight w:val="none"/>
                <w:u w:val="single"/>
              </w:rPr>
              <w:t xml:space="preserve"> 60 </w:t>
            </w:r>
            <w:r>
              <w:rPr>
                <w:rFonts w:hint="eastAsia" w:cs="宋体"/>
                <w:b w:val="0"/>
                <w:color w:val="auto"/>
                <w:sz w:val="24"/>
                <w:szCs w:val="24"/>
                <w:highlight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476CA974">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14.3</w:t>
            </w:r>
          </w:p>
        </w:tc>
        <w:tc>
          <w:tcPr>
            <w:tcW w:w="803" w:type="pct"/>
            <w:vAlign w:val="center"/>
          </w:tcPr>
          <w:p w14:paraId="24CC240D">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评审方法</w:t>
            </w:r>
          </w:p>
        </w:tc>
        <w:tc>
          <w:tcPr>
            <w:tcW w:w="3666" w:type="pct"/>
            <w:vAlign w:val="center"/>
          </w:tcPr>
          <w:p w14:paraId="35A7040F">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6327A479">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17.4</w:t>
            </w:r>
          </w:p>
        </w:tc>
        <w:tc>
          <w:tcPr>
            <w:tcW w:w="803" w:type="pct"/>
            <w:vAlign w:val="center"/>
          </w:tcPr>
          <w:p w14:paraId="1BE0F5A8">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最后报价扣除</w:t>
            </w:r>
          </w:p>
          <w:p w14:paraId="36F35D5C">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i/>
                <w:color w:val="auto"/>
                <w:sz w:val="24"/>
                <w:szCs w:val="24"/>
                <w:highlight w:val="none"/>
              </w:rPr>
              <w:t>（非专门面向中小企业采购项目适用）</w:t>
            </w:r>
          </w:p>
        </w:tc>
        <w:tc>
          <w:tcPr>
            <w:tcW w:w="3666" w:type="pct"/>
            <w:vAlign w:val="center"/>
          </w:tcPr>
          <w:p w14:paraId="0B988EFD">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（1）小型和微型企业价格扣除：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p>
          <w:p w14:paraId="77AE2312">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（2）监狱企业价格扣除：同小型和微型企业。</w:t>
            </w:r>
          </w:p>
          <w:p w14:paraId="36159E14">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（3）残疾人福利性单位价格扣除：同小型和微型企业。</w:t>
            </w:r>
          </w:p>
          <w:p w14:paraId="7DE8FA87">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（4）符合条件的联合体价格扣除：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p>
          <w:p w14:paraId="6EB6BD0E">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（5）符合条件的向小微企业分包的大中型企业价格扣除：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Merge w:val="restart"/>
            <w:vAlign w:val="center"/>
          </w:tcPr>
          <w:p w14:paraId="51C34DB0">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19.1</w:t>
            </w:r>
          </w:p>
        </w:tc>
        <w:tc>
          <w:tcPr>
            <w:tcW w:w="803" w:type="pct"/>
            <w:vMerge w:val="restart"/>
            <w:vAlign w:val="center"/>
          </w:tcPr>
          <w:p w14:paraId="622C21A0">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确定成交候选供应商和成交供应商</w:t>
            </w:r>
          </w:p>
        </w:tc>
        <w:tc>
          <w:tcPr>
            <w:tcW w:w="3666" w:type="pct"/>
            <w:vAlign w:val="center"/>
          </w:tcPr>
          <w:p w14:paraId="76178504">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磋商小组推荐成交候选供应商的数量：3家</w:t>
            </w:r>
          </w:p>
          <w:p w14:paraId="29C179CC">
            <w:pPr>
              <w:pStyle w:val="76"/>
              <w:widowControl w:val="0"/>
              <w:spacing w:before="0" w:beforeAutospacing="0" w:after="0" w:afterAutospacing="0" w:line="500" w:lineRule="exact"/>
              <w:jc w:val="both"/>
              <w:rPr>
                <w:rFonts w:hint="eastAsia" w:eastAsia="宋体" w:cs="宋体"/>
                <w:b w:val="0"/>
                <w:color w:val="auto"/>
                <w:sz w:val="24"/>
                <w:szCs w:val="24"/>
                <w:highlight w:val="none"/>
                <w:u w:val="single"/>
                <w:lang w:val="en-US" w:eastAsia="zh-CN"/>
              </w:rPr>
            </w:pPr>
            <w:r>
              <w:rPr>
                <w:rFonts w:hint="eastAsia" w:cs="宋体"/>
                <w:b w:val="0"/>
                <w:color w:val="auto"/>
                <w:sz w:val="24"/>
                <w:szCs w:val="24"/>
                <w:highlight w:val="none"/>
              </w:rPr>
              <w:t>注：法律、法规另有规定的，从其规定</w:t>
            </w:r>
            <w:r>
              <w:rPr>
                <w:rFonts w:hint="eastAsia" w:cs="宋体"/>
                <w:b w:val="0"/>
                <w:color w:val="auto"/>
                <w:sz w:val="24"/>
                <w:szCs w:val="24"/>
                <w:highlight w:val="none"/>
                <w:lang w:val="en-US" w:eastAsia="zh-CN"/>
              </w:rPr>
              <w:t>.</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Merge w:val="continue"/>
            <w:vAlign w:val="center"/>
          </w:tcPr>
          <w:p w14:paraId="6745B143">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p>
        </w:tc>
        <w:tc>
          <w:tcPr>
            <w:tcW w:w="803" w:type="pct"/>
            <w:vMerge w:val="continue"/>
            <w:vAlign w:val="center"/>
          </w:tcPr>
          <w:p w14:paraId="031DE47F">
            <w:pPr>
              <w:pStyle w:val="76"/>
              <w:widowControl w:val="0"/>
              <w:spacing w:before="0" w:beforeAutospacing="0" w:after="0" w:afterAutospacing="0" w:line="500" w:lineRule="exact"/>
              <w:jc w:val="both"/>
              <w:rPr>
                <w:rFonts w:cs="宋体"/>
                <w:b w:val="0"/>
                <w:color w:val="auto"/>
                <w:sz w:val="24"/>
                <w:szCs w:val="24"/>
                <w:highlight w:val="none"/>
              </w:rPr>
            </w:pPr>
          </w:p>
        </w:tc>
        <w:tc>
          <w:tcPr>
            <w:tcW w:w="3666" w:type="pct"/>
            <w:vAlign w:val="center"/>
          </w:tcPr>
          <w:p w14:paraId="3E2A567D">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确定成交供应商：</w:t>
            </w:r>
          </w:p>
          <w:p w14:paraId="2B73D998">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sym w:font="Wingdings" w:char="00FE"/>
            </w:r>
            <w:r>
              <w:rPr>
                <w:rFonts w:hint="eastAsia" w:cs="宋体"/>
                <w:b w:val="0"/>
                <w:color w:val="auto"/>
                <w:sz w:val="24"/>
                <w:szCs w:val="24"/>
                <w:highlight w:val="none"/>
              </w:rPr>
              <w:t>采购人委托磋商小组确定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17847A9E">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22.2</w:t>
            </w:r>
          </w:p>
        </w:tc>
        <w:tc>
          <w:tcPr>
            <w:tcW w:w="803" w:type="pct"/>
            <w:vAlign w:val="center"/>
          </w:tcPr>
          <w:p w14:paraId="6A9A0D52">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随成交结果公告同时公告的内容</w:t>
            </w:r>
          </w:p>
        </w:tc>
        <w:tc>
          <w:tcPr>
            <w:tcW w:w="3666" w:type="pct"/>
            <w:vAlign w:val="center"/>
          </w:tcPr>
          <w:p w14:paraId="3D97A663">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（1）中小企业声明函；</w:t>
            </w:r>
            <w:r>
              <w:rPr>
                <w:rFonts w:hint="eastAsia" w:cs="宋体"/>
                <w:b w:val="0"/>
                <w:i/>
                <w:iCs/>
                <w:color w:val="auto"/>
                <w:sz w:val="24"/>
                <w:szCs w:val="24"/>
                <w:highlight w:val="none"/>
              </w:rPr>
              <w:t>（如有）</w:t>
            </w:r>
          </w:p>
          <w:p w14:paraId="610897A6">
            <w:pPr>
              <w:pStyle w:val="76"/>
              <w:widowControl w:val="0"/>
              <w:spacing w:before="0" w:beforeAutospacing="0" w:after="0" w:afterAutospacing="0" w:line="500" w:lineRule="exact"/>
              <w:jc w:val="both"/>
              <w:rPr>
                <w:rFonts w:cs="宋体"/>
                <w:b w:val="0"/>
                <w:i/>
                <w:color w:val="auto"/>
                <w:sz w:val="24"/>
                <w:szCs w:val="24"/>
                <w:highlight w:val="none"/>
              </w:rPr>
            </w:pPr>
            <w:r>
              <w:rPr>
                <w:rFonts w:hint="eastAsia" w:cs="宋体"/>
                <w:b w:val="0"/>
                <w:color w:val="auto"/>
                <w:sz w:val="24"/>
                <w:szCs w:val="24"/>
                <w:highlight w:val="none"/>
              </w:rPr>
              <w:t>（2）残疾人福利性单位声明函；</w:t>
            </w:r>
            <w:r>
              <w:rPr>
                <w:rFonts w:hint="eastAsia" w:cs="宋体"/>
                <w:b w:val="0"/>
                <w:i/>
                <w:iCs/>
                <w:color w:val="auto"/>
                <w:sz w:val="24"/>
                <w:szCs w:val="24"/>
                <w:highlight w:val="none"/>
              </w:rPr>
              <w:t>（如有）</w:t>
            </w:r>
          </w:p>
          <w:p w14:paraId="2E336721">
            <w:pPr>
              <w:pStyle w:val="76"/>
              <w:widowControl w:val="0"/>
              <w:spacing w:before="0" w:beforeAutospacing="0" w:after="0" w:afterAutospacing="0" w:line="500" w:lineRule="exact"/>
              <w:jc w:val="both"/>
              <w:rPr>
                <w:rFonts w:cs="宋体"/>
                <w:b w:val="0"/>
                <w:bCs w:val="0"/>
                <w:color w:val="auto"/>
                <w:sz w:val="24"/>
                <w:szCs w:val="24"/>
                <w:highlight w:val="none"/>
              </w:rPr>
            </w:pPr>
            <w:r>
              <w:rPr>
                <w:rFonts w:hint="eastAsia" w:cs="宋体"/>
                <w:b w:val="0"/>
                <w:color w:val="auto"/>
                <w:sz w:val="24"/>
                <w:szCs w:val="24"/>
                <w:highlight w:val="none"/>
              </w:rPr>
              <w:t>（3）中标（成交）供应商的评审总得分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7060E769">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23.1</w:t>
            </w:r>
          </w:p>
        </w:tc>
        <w:tc>
          <w:tcPr>
            <w:tcW w:w="803" w:type="pct"/>
            <w:vAlign w:val="center"/>
          </w:tcPr>
          <w:p w14:paraId="0E289BAD">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成交通知书发出的形式</w:t>
            </w:r>
          </w:p>
        </w:tc>
        <w:tc>
          <w:tcPr>
            <w:tcW w:w="3666" w:type="pct"/>
            <w:vAlign w:val="center"/>
          </w:tcPr>
          <w:p w14:paraId="3C6189A3">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 xml:space="preserve">□书面     </w:t>
            </w:r>
            <w:r>
              <w:rPr>
                <w:rFonts w:hint="eastAsia" w:cs="宋体"/>
                <w:b w:val="0"/>
                <w:bCs w:val="0"/>
                <w:color w:val="auto"/>
                <w:sz w:val="24"/>
                <w:szCs w:val="24"/>
                <w:highlight w:val="none"/>
              </w:rPr>
              <w:sym w:font="Wingdings" w:char="00FE"/>
            </w:r>
            <w:r>
              <w:rPr>
                <w:rFonts w:hint="eastAsia" w:cs="宋体"/>
                <w:b w:val="0"/>
                <w:color w:val="auto"/>
                <w:sz w:val="24"/>
                <w:szCs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7D8EA391">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szCs w:val="24"/>
                <w:highlight w:val="none"/>
              </w:rPr>
              <w:t>24.1</w:t>
            </w:r>
          </w:p>
        </w:tc>
        <w:tc>
          <w:tcPr>
            <w:tcW w:w="803" w:type="pct"/>
            <w:vAlign w:val="center"/>
          </w:tcPr>
          <w:p w14:paraId="1FE416F8">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告知磋商结果的形式</w:t>
            </w:r>
          </w:p>
        </w:tc>
        <w:tc>
          <w:tcPr>
            <w:tcW w:w="3666" w:type="pct"/>
            <w:vAlign w:val="center"/>
          </w:tcPr>
          <w:p w14:paraId="550D0936">
            <w:pPr>
              <w:pStyle w:val="76"/>
              <w:widowControl w:val="0"/>
              <w:spacing w:before="0" w:beforeAutospacing="0" w:after="0" w:afterAutospacing="0" w:line="500" w:lineRule="exact"/>
              <w:jc w:val="both"/>
              <w:rPr>
                <w:rFonts w:cs="宋体"/>
                <w:b w:val="0"/>
                <w:bCs w:val="0"/>
                <w:color w:val="auto"/>
                <w:sz w:val="24"/>
                <w:szCs w:val="24"/>
                <w:highlight w:val="none"/>
              </w:rPr>
            </w:pPr>
            <w:r>
              <w:rPr>
                <w:rFonts w:hint="eastAsia" w:cs="宋体"/>
                <w:b w:val="0"/>
                <w:color w:val="auto"/>
                <w:sz w:val="24"/>
                <w:szCs w:val="24"/>
                <w:highlight w:val="none"/>
              </w:rPr>
              <w:sym w:font="Wingdings" w:char="00FE"/>
            </w:r>
            <w:r>
              <w:rPr>
                <w:rFonts w:hint="eastAsia" w:cs="宋体"/>
                <w:b w:val="0"/>
                <w:bCs w:val="0"/>
                <w:color w:val="auto"/>
                <w:sz w:val="24"/>
                <w:szCs w:val="24"/>
                <w:highlight w:val="none"/>
              </w:rPr>
              <w:t>供应商自行登录电子交易系统查看</w:t>
            </w:r>
          </w:p>
          <w:p w14:paraId="24426C4B">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4B024883">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25.1</w:t>
            </w:r>
          </w:p>
        </w:tc>
        <w:tc>
          <w:tcPr>
            <w:tcW w:w="803" w:type="pct"/>
            <w:vAlign w:val="center"/>
          </w:tcPr>
          <w:p w14:paraId="2288C87E">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履约保证金</w:t>
            </w:r>
          </w:p>
        </w:tc>
        <w:tc>
          <w:tcPr>
            <w:tcW w:w="3666" w:type="pct"/>
          </w:tcPr>
          <w:p w14:paraId="7111A7A9">
            <w:pPr>
              <w:spacing w:line="500" w:lineRule="exact"/>
              <w:rPr>
                <w:rFonts w:cs="宋体"/>
                <w:bCs/>
                <w:color w:val="auto"/>
                <w:sz w:val="24"/>
                <w:szCs w:val="24"/>
                <w:highlight w:val="none"/>
              </w:rPr>
            </w:pPr>
            <w:r>
              <w:rPr>
                <w:rFonts w:hint="eastAsia" w:cs="宋体"/>
                <w:bCs/>
                <w:color w:val="auto"/>
                <w:sz w:val="24"/>
                <w:szCs w:val="24"/>
                <w:highlight w:val="none"/>
              </w:rPr>
              <w:t>（1）金额：</w:t>
            </w:r>
          </w:p>
          <w:p w14:paraId="6C0CE609">
            <w:pPr>
              <w:spacing w:line="500" w:lineRule="exact"/>
              <w:rPr>
                <w:rFonts w:cs="宋体"/>
                <w:bCs/>
                <w:color w:val="auto"/>
                <w:sz w:val="24"/>
                <w:szCs w:val="24"/>
                <w:highlight w:val="none"/>
              </w:rPr>
            </w:pPr>
            <w:r>
              <w:rPr>
                <w:rFonts w:hint="eastAsia" w:cs="宋体"/>
                <w:bCs/>
                <w:color w:val="auto"/>
                <w:sz w:val="24"/>
                <w:szCs w:val="24"/>
                <w:highlight w:val="none"/>
              </w:rPr>
              <w:t>□免收</w:t>
            </w:r>
          </w:p>
          <w:p w14:paraId="7EC7D754">
            <w:pPr>
              <w:spacing w:line="500" w:lineRule="exact"/>
              <w:rPr>
                <w:rFonts w:cs="宋体"/>
                <w:bCs/>
                <w:color w:val="auto"/>
                <w:sz w:val="24"/>
                <w:szCs w:val="24"/>
                <w:highlight w:val="none"/>
              </w:rPr>
            </w:pPr>
            <w:r>
              <w:rPr>
                <w:rFonts w:hint="eastAsia" w:cs="宋体"/>
                <w:bCs/>
                <w:color w:val="auto"/>
                <w:sz w:val="24"/>
                <w:szCs w:val="24"/>
                <w:highlight w:val="none"/>
              </w:rPr>
              <w:t>☑合同价的</w:t>
            </w:r>
            <w:r>
              <w:rPr>
                <w:rFonts w:hint="eastAsia" w:cs="宋体"/>
                <w:bCs/>
                <w:color w:val="auto"/>
                <w:sz w:val="24"/>
                <w:szCs w:val="24"/>
                <w:highlight w:val="none"/>
                <w:u w:val="single"/>
              </w:rPr>
              <w:t>2.5</w:t>
            </w:r>
            <w:r>
              <w:rPr>
                <w:rFonts w:hint="eastAsia" w:cs="宋体"/>
                <w:bCs/>
                <w:color w:val="auto"/>
                <w:sz w:val="24"/>
                <w:szCs w:val="24"/>
                <w:highlight w:val="none"/>
              </w:rPr>
              <w:t>%</w:t>
            </w:r>
          </w:p>
          <w:p w14:paraId="3177661E">
            <w:pPr>
              <w:spacing w:line="500" w:lineRule="exact"/>
              <w:rPr>
                <w:rFonts w:cs="宋体"/>
                <w:bCs/>
                <w:color w:val="auto"/>
                <w:sz w:val="24"/>
                <w:szCs w:val="24"/>
                <w:highlight w:val="none"/>
              </w:rPr>
            </w:pPr>
            <w:r>
              <w:rPr>
                <w:rFonts w:hint="eastAsia" w:cs="宋体"/>
                <w:bCs/>
                <w:color w:val="auto"/>
                <w:sz w:val="24"/>
                <w:szCs w:val="24"/>
                <w:highlight w:val="none"/>
              </w:rPr>
              <w:t>□定额收取：人民币</w:t>
            </w:r>
            <w:r>
              <w:rPr>
                <w:rFonts w:hint="eastAsia" w:cs="宋体"/>
                <w:bCs/>
                <w:color w:val="auto"/>
                <w:sz w:val="24"/>
                <w:szCs w:val="24"/>
                <w:highlight w:val="none"/>
                <w:u w:val="single"/>
              </w:rPr>
              <w:t xml:space="preserve">              </w:t>
            </w:r>
            <w:r>
              <w:rPr>
                <w:rFonts w:hint="eastAsia" w:cs="宋体"/>
                <w:bCs/>
                <w:color w:val="auto"/>
                <w:sz w:val="24"/>
                <w:szCs w:val="24"/>
                <w:highlight w:val="none"/>
              </w:rPr>
              <w:t>元</w:t>
            </w:r>
          </w:p>
          <w:p w14:paraId="73F3B94F">
            <w:pPr>
              <w:spacing w:line="500" w:lineRule="exact"/>
              <w:rPr>
                <w:rFonts w:cs="宋体"/>
                <w:bCs/>
                <w:color w:val="auto"/>
                <w:sz w:val="24"/>
                <w:szCs w:val="24"/>
                <w:highlight w:val="none"/>
              </w:rPr>
            </w:pPr>
            <w:r>
              <w:rPr>
                <w:rFonts w:hint="eastAsia" w:cs="宋体"/>
                <w:bCs/>
                <w:color w:val="auto"/>
                <w:sz w:val="24"/>
                <w:szCs w:val="24"/>
                <w:highlight w:val="none"/>
              </w:rPr>
              <w:t>（2）支付方式：</w:t>
            </w:r>
          </w:p>
          <w:p w14:paraId="2FCAB721">
            <w:pPr>
              <w:spacing w:line="500" w:lineRule="exact"/>
              <w:rPr>
                <w:rFonts w:cs="宋体"/>
                <w:bCs/>
                <w:color w:val="auto"/>
                <w:sz w:val="24"/>
                <w:szCs w:val="24"/>
                <w:highlight w:val="none"/>
              </w:rPr>
            </w:pPr>
            <w:r>
              <w:rPr>
                <w:rFonts w:hint="eastAsia" w:cs="宋体"/>
                <w:bCs/>
                <w:color w:val="auto"/>
                <w:sz w:val="24"/>
                <w:szCs w:val="24"/>
                <w:highlight w:val="none"/>
              </w:rPr>
              <w:sym w:font="Wingdings" w:char="00FE"/>
            </w:r>
            <w:r>
              <w:rPr>
                <w:rFonts w:hint="eastAsia" w:cs="宋体"/>
                <w:bCs/>
                <w:color w:val="auto"/>
                <w:sz w:val="24"/>
                <w:szCs w:val="24"/>
                <w:highlight w:val="none"/>
              </w:rPr>
              <w:t xml:space="preserve">转账/电汇 </w:t>
            </w:r>
            <w:r>
              <w:rPr>
                <w:rFonts w:hint="eastAsia" w:cs="宋体"/>
                <w:bCs/>
                <w:color w:val="auto"/>
                <w:sz w:val="24"/>
                <w:szCs w:val="24"/>
                <w:highlight w:val="none"/>
              </w:rPr>
              <w:sym w:font="Wingdings" w:char="00FE"/>
            </w:r>
            <w:r>
              <w:rPr>
                <w:rFonts w:hint="eastAsia" w:cs="宋体"/>
                <w:bCs/>
                <w:color w:val="auto"/>
                <w:sz w:val="24"/>
                <w:szCs w:val="24"/>
                <w:highlight w:val="none"/>
              </w:rPr>
              <w:t xml:space="preserve">支票 </w:t>
            </w:r>
            <w:r>
              <w:rPr>
                <w:rFonts w:hint="eastAsia" w:cs="宋体"/>
                <w:bCs/>
                <w:color w:val="auto"/>
                <w:sz w:val="24"/>
                <w:szCs w:val="24"/>
                <w:highlight w:val="none"/>
              </w:rPr>
              <w:sym w:font="Wingdings" w:char="00FE"/>
            </w:r>
            <w:r>
              <w:rPr>
                <w:rFonts w:hint="eastAsia" w:cs="宋体"/>
                <w:bCs/>
                <w:color w:val="auto"/>
                <w:sz w:val="24"/>
                <w:szCs w:val="24"/>
                <w:highlight w:val="none"/>
              </w:rPr>
              <w:t xml:space="preserve">汇票 </w:t>
            </w:r>
            <w:r>
              <w:rPr>
                <w:rFonts w:hint="eastAsia" w:cs="宋体"/>
                <w:bCs/>
                <w:color w:val="auto"/>
                <w:sz w:val="24"/>
                <w:szCs w:val="24"/>
                <w:highlight w:val="none"/>
              </w:rPr>
              <w:sym w:font="Wingdings" w:char="00FE"/>
            </w:r>
            <w:r>
              <w:rPr>
                <w:rFonts w:hint="eastAsia" w:cs="宋体"/>
                <w:bCs/>
                <w:color w:val="auto"/>
                <w:sz w:val="24"/>
                <w:szCs w:val="24"/>
                <w:highlight w:val="none"/>
              </w:rPr>
              <w:t xml:space="preserve">本票 </w:t>
            </w:r>
            <w:r>
              <w:rPr>
                <w:rFonts w:hint="eastAsia" w:cs="宋体"/>
                <w:bCs/>
                <w:color w:val="auto"/>
                <w:sz w:val="24"/>
                <w:szCs w:val="24"/>
                <w:highlight w:val="none"/>
              </w:rPr>
              <w:sym w:font="Wingdings" w:char="00FE"/>
            </w:r>
            <w:r>
              <w:rPr>
                <w:rFonts w:hint="eastAsia" w:cs="宋体"/>
                <w:bCs/>
                <w:color w:val="auto"/>
                <w:sz w:val="24"/>
                <w:szCs w:val="24"/>
                <w:highlight w:val="none"/>
              </w:rPr>
              <w:t xml:space="preserve">保险 </w:t>
            </w:r>
            <w:r>
              <w:rPr>
                <w:rFonts w:hint="eastAsia" w:cs="宋体"/>
                <w:bCs/>
                <w:color w:val="auto"/>
                <w:sz w:val="24"/>
                <w:szCs w:val="24"/>
                <w:highlight w:val="none"/>
              </w:rPr>
              <w:sym w:font="Wingdings" w:char="00FE"/>
            </w:r>
            <w:r>
              <w:rPr>
                <w:rFonts w:hint="eastAsia" w:cs="宋体"/>
                <w:bCs/>
                <w:color w:val="auto"/>
                <w:sz w:val="24"/>
                <w:szCs w:val="24"/>
                <w:highlight w:val="none"/>
              </w:rPr>
              <w:t>保函</w:t>
            </w:r>
          </w:p>
          <w:p w14:paraId="2FB6F645">
            <w:pPr>
              <w:spacing w:line="500" w:lineRule="exact"/>
              <w:rPr>
                <w:rFonts w:cs="宋体"/>
                <w:bCs/>
                <w:color w:val="auto"/>
                <w:sz w:val="24"/>
                <w:szCs w:val="24"/>
                <w:highlight w:val="none"/>
              </w:rPr>
            </w:pPr>
            <w:r>
              <w:rPr>
                <w:rFonts w:hint="eastAsia" w:cs="宋体"/>
                <w:bCs/>
                <w:color w:val="auto"/>
                <w:sz w:val="24"/>
                <w:szCs w:val="24"/>
                <w:highlight w:val="none"/>
              </w:rPr>
              <w:t>（3）收取单位：</w:t>
            </w:r>
            <w:r>
              <w:rPr>
                <w:rFonts w:hint="eastAsia" w:cs="宋体"/>
                <w:bCs/>
                <w:color w:val="auto"/>
                <w:sz w:val="24"/>
                <w:szCs w:val="24"/>
                <w:highlight w:val="none"/>
                <w:u w:val="single"/>
              </w:rPr>
              <w:t>滁州学院</w:t>
            </w:r>
            <w:r>
              <w:rPr>
                <w:rFonts w:hint="eastAsia" w:cs="宋体"/>
                <w:bCs/>
                <w:color w:val="auto"/>
                <w:sz w:val="24"/>
                <w:szCs w:val="24"/>
                <w:highlight w:val="none"/>
              </w:rPr>
              <w:t xml:space="preserve">            </w:t>
            </w:r>
          </w:p>
          <w:p w14:paraId="682E9956">
            <w:pPr>
              <w:spacing w:line="500" w:lineRule="exact"/>
              <w:rPr>
                <w:rFonts w:cs="宋体"/>
                <w:bCs/>
                <w:color w:val="auto"/>
                <w:sz w:val="24"/>
                <w:szCs w:val="24"/>
                <w:highlight w:val="none"/>
              </w:rPr>
            </w:pPr>
            <w:r>
              <w:rPr>
                <w:rFonts w:hint="eastAsia" w:cs="宋体"/>
                <w:bCs/>
                <w:color w:val="auto"/>
                <w:sz w:val="24"/>
                <w:szCs w:val="24"/>
                <w:highlight w:val="none"/>
              </w:rPr>
              <w:t>（4）收取账号：</w:t>
            </w:r>
            <w:r>
              <w:rPr>
                <w:rFonts w:hint="eastAsia" w:cs="宋体"/>
                <w:bCs/>
                <w:color w:val="auto"/>
                <w:sz w:val="24"/>
                <w:szCs w:val="24"/>
                <w:highlight w:val="none"/>
                <w:u w:val="single"/>
              </w:rPr>
              <w:t>另行通知</w:t>
            </w:r>
          </w:p>
          <w:p w14:paraId="45B8694D">
            <w:pPr>
              <w:spacing w:line="500" w:lineRule="exact"/>
              <w:rPr>
                <w:rFonts w:cs="宋体"/>
                <w:color w:val="auto"/>
                <w:sz w:val="24"/>
                <w:szCs w:val="24"/>
                <w:highlight w:val="none"/>
              </w:rPr>
            </w:pPr>
            <w:r>
              <w:rPr>
                <w:rFonts w:hint="eastAsia" w:cs="宋体"/>
                <w:bCs/>
                <w:color w:val="auto"/>
                <w:sz w:val="24"/>
                <w:szCs w:val="24"/>
                <w:highlight w:val="none"/>
              </w:rPr>
              <w:t>（5）</w:t>
            </w:r>
            <w:r>
              <w:rPr>
                <w:rFonts w:hint="eastAsia" w:cs="宋体"/>
                <w:color w:val="auto"/>
                <w:sz w:val="24"/>
                <w:szCs w:val="24"/>
                <w:highlight w:val="none"/>
              </w:rPr>
              <w:t>退还时间：</w:t>
            </w:r>
            <w:r>
              <w:rPr>
                <w:rFonts w:hint="eastAsia" w:cs="宋体"/>
                <w:bCs/>
                <w:color w:val="auto"/>
                <w:sz w:val="24"/>
                <w:szCs w:val="24"/>
                <w:highlight w:val="none"/>
                <w:u w:val="single"/>
              </w:rPr>
              <w:t>验收合格后，一次性退还。</w:t>
            </w:r>
          </w:p>
          <w:p w14:paraId="64C27A0E">
            <w:pPr>
              <w:spacing w:line="500" w:lineRule="exact"/>
              <w:rPr>
                <w:rFonts w:cs="宋体"/>
                <w:b/>
                <w:bCs/>
                <w:color w:val="auto"/>
                <w:sz w:val="24"/>
                <w:szCs w:val="24"/>
                <w:highlight w:val="none"/>
              </w:rPr>
            </w:pPr>
            <w:r>
              <w:rPr>
                <w:rFonts w:hint="eastAsia" w:cs="宋体"/>
                <w:b/>
                <w:bCs/>
                <w:color w:val="auto"/>
                <w:sz w:val="24"/>
                <w:szCs w:val="24"/>
                <w:highlight w:val="none"/>
              </w:rPr>
              <w:t>注意事项：</w:t>
            </w:r>
          </w:p>
          <w:p w14:paraId="5FF0F573">
            <w:pPr>
              <w:spacing w:line="500" w:lineRule="exact"/>
              <w:rPr>
                <w:rFonts w:cs="宋体"/>
                <w:b/>
                <w:bCs/>
                <w:color w:val="auto"/>
                <w:sz w:val="24"/>
                <w:szCs w:val="24"/>
                <w:highlight w:val="none"/>
              </w:rPr>
            </w:pPr>
            <w:r>
              <w:rPr>
                <w:rFonts w:hint="eastAsia" w:cs="宋体"/>
                <w:b/>
                <w:bCs/>
                <w:color w:val="auto"/>
                <w:sz w:val="24"/>
                <w:szCs w:val="24"/>
                <w:highlight w:val="none"/>
              </w:rPr>
              <w:t>（1）以上各类机构出具的以担保函、保证保险承担责任的方式均须满足无条件见索即付条件。</w:t>
            </w:r>
          </w:p>
          <w:p w14:paraId="154C0BB1">
            <w:pPr>
              <w:pStyle w:val="76"/>
              <w:widowControl w:val="0"/>
              <w:spacing w:before="0" w:beforeAutospacing="0" w:after="0" w:afterAutospacing="0" w:line="500" w:lineRule="exact"/>
              <w:jc w:val="both"/>
              <w:rPr>
                <w:rFonts w:cs="宋体"/>
                <w:color w:val="auto"/>
                <w:sz w:val="24"/>
                <w:szCs w:val="24"/>
                <w:highlight w:val="none"/>
              </w:rPr>
            </w:pPr>
            <w:r>
              <w:rPr>
                <w:rFonts w:hint="eastAsia" w:cs="宋体"/>
                <w:bCs w:val="0"/>
                <w:color w:val="auto"/>
                <w:sz w:val="24"/>
                <w:szCs w:val="24"/>
                <w:highlight w:val="none"/>
              </w:rPr>
              <w:t>（2）以担保函、保证保险形式缴纳履约保证金的，受益人和收取单位须为采购人。</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4AE815A7">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26.1</w:t>
            </w:r>
          </w:p>
        </w:tc>
        <w:tc>
          <w:tcPr>
            <w:tcW w:w="803" w:type="pct"/>
            <w:vAlign w:val="center"/>
          </w:tcPr>
          <w:p w14:paraId="488350AC">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代理费用</w:t>
            </w:r>
          </w:p>
        </w:tc>
        <w:tc>
          <w:tcPr>
            <w:tcW w:w="3666" w:type="pct"/>
            <w:vAlign w:val="center"/>
          </w:tcPr>
          <w:p w14:paraId="6B171853">
            <w:pPr>
              <w:spacing w:line="500" w:lineRule="exact"/>
              <w:rPr>
                <w:rFonts w:cs="宋体"/>
                <w:color w:val="auto"/>
                <w:sz w:val="24"/>
                <w:szCs w:val="24"/>
                <w:highlight w:val="none"/>
              </w:rPr>
            </w:pPr>
            <w:r>
              <w:rPr>
                <w:rFonts w:hint="eastAsia" w:cs="宋体"/>
                <w:bCs/>
                <w:color w:val="auto"/>
                <w:sz w:val="24"/>
                <w:szCs w:val="24"/>
                <w:highlight w:val="none"/>
              </w:rPr>
              <w:t>（1）收费对象</w:t>
            </w:r>
            <w:r>
              <w:rPr>
                <w:rFonts w:hint="eastAsia" w:cs="宋体"/>
                <w:color w:val="auto"/>
                <w:spacing w:val="-12"/>
                <w:sz w:val="24"/>
                <w:szCs w:val="24"/>
                <w:highlight w:val="none"/>
              </w:rPr>
              <w:t>：</w:t>
            </w:r>
            <w:r>
              <w:rPr>
                <w:rFonts w:hint="eastAsia" w:cs="宋体"/>
                <w:bCs/>
                <w:color w:val="auto"/>
                <w:sz w:val="24"/>
                <w:szCs w:val="24"/>
                <w:highlight w:val="none"/>
              </w:rPr>
              <w:sym w:font="Wingdings" w:char="00A8"/>
            </w:r>
            <w:r>
              <w:rPr>
                <w:rFonts w:hint="eastAsia" w:cs="宋体"/>
                <w:color w:val="auto"/>
                <w:spacing w:val="14"/>
                <w:sz w:val="24"/>
                <w:szCs w:val="24"/>
                <w:highlight w:val="none"/>
              </w:rPr>
              <w:t xml:space="preserve">采购人   </w:t>
            </w:r>
            <w:r>
              <w:rPr>
                <w:rFonts w:hint="eastAsia" w:cs="宋体"/>
                <w:bCs/>
                <w:color w:val="auto"/>
                <w:sz w:val="24"/>
                <w:szCs w:val="24"/>
                <w:highlight w:val="none"/>
              </w:rPr>
              <w:sym w:font="Wingdings" w:char="00FE"/>
            </w:r>
            <w:r>
              <w:rPr>
                <w:rFonts w:hint="eastAsia" w:cs="宋体"/>
                <w:color w:val="auto"/>
                <w:spacing w:val="14"/>
                <w:sz w:val="24"/>
                <w:szCs w:val="24"/>
                <w:highlight w:val="none"/>
              </w:rPr>
              <w:t>成交供应商</w:t>
            </w:r>
          </w:p>
          <w:p w14:paraId="619719B2">
            <w:pPr>
              <w:spacing w:line="500" w:lineRule="exact"/>
              <w:rPr>
                <w:rFonts w:cs="宋体"/>
                <w:bCs/>
                <w:color w:val="auto"/>
                <w:sz w:val="24"/>
                <w:szCs w:val="24"/>
                <w:highlight w:val="none"/>
              </w:rPr>
            </w:pPr>
            <w:r>
              <w:rPr>
                <w:rFonts w:hint="eastAsia" w:cs="宋体"/>
                <w:bCs/>
                <w:color w:val="auto"/>
                <w:sz w:val="24"/>
                <w:szCs w:val="24"/>
                <w:highlight w:val="none"/>
              </w:rPr>
              <w:t>（2）收取方式</w:t>
            </w:r>
            <w:r>
              <w:rPr>
                <w:rFonts w:hint="eastAsia" w:cs="宋体"/>
                <w:color w:val="auto"/>
                <w:sz w:val="24"/>
                <w:szCs w:val="24"/>
                <w:highlight w:val="none"/>
              </w:rPr>
              <w:t>：</w:t>
            </w:r>
            <w:r>
              <w:rPr>
                <w:rFonts w:hint="eastAsia" w:cs="宋体"/>
                <w:color w:val="auto"/>
                <w:sz w:val="24"/>
                <w:szCs w:val="24"/>
                <w:highlight w:val="none"/>
                <w:u w:val="single"/>
              </w:rPr>
              <w:t>成交供应商在获取成交通知书时一次性支付给代理机构</w:t>
            </w:r>
          </w:p>
          <w:p w14:paraId="297AC97F">
            <w:pPr>
              <w:pStyle w:val="76"/>
              <w:widowControl w:val="0"/>
              <w:spacing w:before="0" w:beforeAutospacing="0" w:after="0" w:afterAutospacing="0" w:line="500" w:lineRule="exact"/>
              <w:jc w:val="both"/>
              <w:rPr>
                <w:rFonts w:cs="宋体"/>
                <w:color w:val="auto"/>
                <w:sz w:val="24"/>
                <w:szCs w:val="24"/>
                <w:highlight w:val="none"/>
              </w:rPr>
            </w:pPr>
            <w:r>
              <w:rPr>
                <w:rFonts w:hint="eastAsia" w:cs="宋体"/>
                <w:b w:val="0"/>
                <w:bCs w:val="0"/>
                <w:color w:val="auto"/>
                <w:sz w:val="24"/>
                <w:szCs w:val="24"/>
                <w:highlight w:val="none"/>
              </w:rPr>
              <w:t>（3）</w:t>
            </w:r>
            <w:r>
              <w:rPr>
                <w:rFonts w:hint="eastAsia" w:cs="宋体"/>
                <w:b w:val="0"/>
                <w:color w:val="auto"/>
                <w:sz w:val="24"/>
                <w:szCs w:val="24"/>
                <w:highlight w:val="none"/>
              </w:rPr>
              <w:t>收费标准：</w:t>
            </w:r>
            <w:r>
              <w:rPr>
                <w:rFonts w:hint="eastAsia" w:cs="宋体"/>
                <w:b w:val="0"/>
                <w:color w:val="auto"/>
                <w:sz w:val="24"/>
                <w:szCs w:val="24"/>
                <w:highlight w:val="none"/>
                <w:u w:val="single"/>
              </w:rPr>
              <w:t>按照计价格[2002]1980 号文规定标准的80%收取采购代理服务费。(</w:t>
            </w:r>
            <w:r>
              <w:rPr>
                <w:rFonts w:hint="eastAsia" w:cs="宋体"/>
                <w:b w:val="0"/>
                <w:color w:val="auto"/>
                <w:sz w:val="24"/>
                <w:szCs w:val="24"/>
                <w:highlight w:val="none"/>
                <w:u w:val="single"/>
                <w:lang w:val="en-US" w:eastAsia="zh-CN"/>
              </w:rPr>
              <w:t>约</w:t>
            </w:r>
            <w:r>
              <w:rPr>
                <w:rFonts w:hint="eastAsia" w:cs="宋体"/>
                <w:b w:val="0"/>
                <w:color w:val="auto"/>
                <w:sz w:val="24"/>
                <w:szCs w:val="24"/>
                <w:highlight w:val="none"/>
                <w:u w:val="single"/>
              </w:rPr>
              <w:t>9100元）</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0F65D464">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27.1</w:t>
            </w:r>
          </w:p>
        </w:tc>
        <w:tc>
          <w:tcPr>
            <w:tcW w:w="803" w:type="pct"/>
            <w:vAlign w:val="center"/>
          </w:tcPr>
          <w:p w14:paraId="28F413C0">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签订合同和合同公告时间</w:t>
            </w:r>
          </w:p>
        </w:tc>
        <w:tc>
          <w:tcPr>
            <w:tcW w:w="3666" w:type="pct"/>
            <w:vAlign w:val="center"/>
          </w:tcPr>
          <w:p w14:paraId="45FF6AFF">
            <w:pPr>
              <w:pStyle w:val="50"/>
              <w:spacing w:before="0" w:beforeAutospacing="0" w:after="0" w:afterAutospacing="0" w:line="500" w:lineRule="exact"/>
              <w:rPr>
                <w:color w:val="auto"/>
                <w:highlight w:val="none"/>
              </w:rPr>
            </w:pPr>
            <w:r>
              <w:rPr>
                <w:rFonts w:hint="eastAsia"/>
                <w:color w:val="auto"/>
                <w:highlight w:val="none"/>
              </w:rPr>
              <w:t>（1）采购人与成交供应商应当自发出成交通知书之日起7个工作日内签订合同，采购合同签订之日起2个工作日内完成政府采购合同公开。</w:t>
            </w:r>
          </w:p>
          <w:p w14:paraId="148D5E9E">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bCs w:val="0"/>
                <w:color w:val="auto"/>
                <w:sz w:val="24"/>
                <w:szCs w:val="24"/>
                <w:highlight w:val="none"/>
              </w:rPr>
              <w:t>（2）采购人与成交供应商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621548F1">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29.3</w:t>
            </w:r>
          </w:p>
        </w:tc>
        <w:tc>
          <w:tcPr>
            <w:tcW w:w="803" w:type="pct"/>
            <w:vAlign w:val="center"/>
          </w:tcPr>
          <w:p w14:paraId="44E5FD33">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质疑函递交方式、接收部门、联系电话和通讯地址</w:t>
            </w:r>
          </w:p>
        </w:tc>
        <w:tc>
          <w:tcPr>
            <w:tcW w:w="3666" w:type="pct"/>
            <w:vAlign w:val="center"/>
          </w:tcPr>
          <w:p w14:paraId="3958835D">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递交方式：</w:t>
            </w:r>
            <w:r>
              <w:rPr>
                <w:rFonts w:hint="eastAsia" w:cs="宋体"/>
                <w:b w:val="0"/>
                <w:color w:val="auto"/>
                <w:sz w:val="24"/>
                <w:szCs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032D553C">
            <w:pPr>
              <w:pStyle w:val="76"/>
              <w:widowControl w:val="0"/>
              <w:spacing w:before="0" w:beforeAutospacing="0" w:after="0" w:afterAutospacing="0" w:line="500" w:lineRule="exact"/>
              <w:jc w:val="both"/>
              <w:rPr>
                <w:rFonts w:cs="宋体"/>
                <w:b w:val="0"/>
                <w:bCs w:val="0"/>
                <w:color w:val="auto"/>
                <w:sz w:val="24"/>
                <w:szCs w:val="24"/>
                <w:highlight w:val="none"/>
              </w:rPr>
            </w:pPr>
            <w:r>
              <w:rPr>
                <w:rFonts w:hint="eastAsia" w:cs="宋体"/>
                <w:b w:val="0"/>
                <w:color w:val="auto"/>
                <w:sz w:val="24"/>
                <w:szCs w:val="24"/>
                <w:highlight w:val="none"/>
              </w:rPr>
              <w:t>接收部门：</w:t>
            </w:r>
            <w:r>
              <w:rPr>
                <w:rFonts w:hint="eastAsia" w:cs="宋体"/>
                <w:b w:val="0"/>
                <w:bCs w:val="0"/>
                <w:color w:val="auto"/>
                <w:sz w:val="24"/>
                <w:szCs w:val="24"/>
                <w:highlight w:val="none"/>
                <w:u w:val="single"/>
              </w:rPr>
              <w:t>滁州学院、滁州市城投工程咨询管理有限公司</w:t>
            </w:r>
            <w:r>
              <w:rPr>
                <w:rFonts w:hint="eastAsia" w:cs="宋体"/>
                <w:b w:val="0"/>
                <w:color w:val="auto"/>
                <w:sz w:val="24"/>
                <w:szCs w:val="24"/>
                <w:highlight w:val="none"/>
              </w:rPr>
              <w:t>联系电话：</w:t>
            </w:r>
            <w:r>
              <w:rPr>
                <w:rFonts w:hint="eastAsia" w:cs="宋体"/>
                <w:b w:val="0"/>
                <w:color w:val="auto"/>
                <w:sz w:val="24"/>
                <w:szCs w:val="24"/>
                <w:highlight w:val="none"/>
                <w:u w:val="single"/>
              </w:rPr>
              <w:t xml:space="preserve">0550-3512003、0550-3159590 </w:t>
            </w:r>
          </w:p>
          <w:p w14:paraId="516A987A">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通讯地址：</w:t>
            </w:r>
            <w:r>
              <w:rPr>
                <w:rFonts w:hint="eastAsia" w:cs="宋体"/>
                <w:b w:val="0"/>
                <w:color w:val="auto"/>
                <w:sz w:val="24"/>
                <w:szCs w:val="24"/>
                <w:highlight w:val="none"/>
                <w:u w:val="single"/>
              </w:rPr>
              <w:t>安徽省滁州市会峰西路1号滁州学院会峰校区、滁州市龙蟠大道109号房产大厦6楼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2151567F">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w:t>
            </w:r>
          </w:p>
        </w:tc>
        <w:tc>
          <w:tcPr>
            <w:tcW w:w="803" w:type="pct"/>
            <w:vAlign w:val="center"/>
          </w:tcPr>
          <w:p w14:paraId="7397BED6">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其他内容</w:t>
            </w:r>
          </w:p>
        </w:tc>
        <w:tc>
          <w:tcPr>
            <w:tcW w:w="3666" w:type="pct"/>
            <w:vAlign w:val="center"/>
          </w:tcPr>
          <w:p w14:paraId="4C1176D0">
            <w:pPr>
              <w:wordWrap w:val="0"/>
              <w:spacing w:line="500" w:lineRule="exact"/>
              <w:rPr>
                <w:rFonts w:cs="宋体"/>
                <w:bCs/>
                <w:color w:val="auto"/>
                <w:sz w:val="24"/>
                <w:szCs w:val="24"/>
                <w:highlight w:val="none"/>
              </w:rPr>
            </w:pPr>
            <w:r>
              <w:rPr>
                <w:rFonts w:hint="eastAsia" w:cs="宋体"/>
                <w:bCs/>
                <w:color w:val="auto"/>
                <w:sz w:val="24"/>
                <w:szCs w:val="24"/>
                <w:highlight w:val="none"/>
              </w:rPr>
              <w:t>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2EA85779">
            <w:pPr>
              <w:wordWrap w:val="0"/>
              <w:spacing w:line="500" w:lineRule="exact"/>
              <w:rPr>
                <w:rFonts w:cs="宋体"/>
                <w:bCs/>
                <w:color w:val="auto"/>
                <w:sz w:val="24"/>
                <w:szCs w:val="24"/>
                <w:highlight w:val="none"/>
              </w:rPr>
            </w:pPr>
            <w:r>
              <w:rPr>
                <w:rFonts w:hint="eastAsia" w:cs="宋体"/>
                <w:bCs/>
                <w:color w:val="auto"/>
                <w:sz w:val="24"/>
                <w:szCs w:val="24"/>
                <w:highlight w:val="none"/>
              </w:rPr>
              <w:t>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3AD154E7">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3.政府采购监督管理部门在处理投诉事项期间，可以视具体情况书面通知采购人暂停采购活动，但暂停时间最长不得超过30日。</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313A336F">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30.1</w:t>
            </w:r>
          </w:p>
        </w:tc>
        <w:tc>
          <w:tcPr>
            <w:tcW w:w="803" w:type="pct"/>
            <w:vAlign w:val="center"/>
          </w:tcPr>
          <w:p w14:paraId="3AFFEAEB">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承包方式</w:t>
            </w:r>
          </w:p>
        </w:tc>
        <w:tc>
          <w:tcPr>
            <w:tcW w:w="3666" w:type="pct"/>
            <w:vAlign w:val="center"/>
          </w:tcPr>
          <w:p w14:paraId="232E9704">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□施工总承包  ☑专业承包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4BB55F86">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30.2</w:t>
            </w:r>
          </w:p>
        </w:tc>
        <w:tc>
          <w:tcPr>
            <w:tcW w:w="803" w:type="pct"/>
            <w:vAlign w:val="center"/>
          </w:tcPr>
          <w:p w14:paraId="396AD061">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计价方式</w:t>
            </w:r>
          </w:p>
        </w:tc>
        <w:tc>
          <w:tcPr>
            <w:tcW w:w="3666" w:type="pct"/>
            <w:vAlign w:val="center"/>
          </w:tcPr>
          <w:p w14:paraId="7B83370A">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☑工程量清单综合单价报价法</w:t>
            </w:r>
          </w:p>
          <w:p w14:paraId="2BAB9C1B">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38D344F3">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30.3</w:t>
            </w:r>
          </w:p>
        </w:tc>
        <w:tc>
          <w:tcPr>
            <w:tcW w:w="803" w:type="pct"/>
            <w:vAlign w:val="center"/>
          </w:tcPr>
          <w:p w14:paraId="4DE0687A">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计划工期</w:t>
            </w:r>
          </w:p>
        </w:tc>
        <w:tc>
          <w:tcPr>
            <w:tcW w:w="3666" w:type="pct"/>
            <w:vAlign w:val="center"/>
          </w:tcPr>
          <w:p w14:paraId="2EA85FC8">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计划工期：</w:t>
            </w:r>
            <w:r>
              <w:rPr>
                <w:rFonts w:hint="eastAsia" w:cs="宋体"/>
                <w:b w:val="0"/>
                <w:color w:val="auto"/>
                <w:sz w:val="24"/>
                <w:szCs w:val="24"/>
                <w:highlight w:val="none"/>
                <w:u w:val="single"/>
              </w:rPr>
              <w:t>60个</w:t>
            </w:r>
            <w:r>
              <w:rPr>
                <w:rFonts w:hint="eastAsia" w:cs="宋体"/>
                <w:b w:val="0"/>
                <w:color w:val="auto"/>
                <w:sz w:val="24"/>
                <w:szCs w:val="24"/>
                <w:highlight w:val="none"/>
              </w:rPr>
              <w:t>日历天</w:t>
            </w:r>
          </w:p>
          <w:p w14:paraId="1102753E">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计划开工日期：</w:t>
            </w:r>
            <w:r>
              <w:rPr>
                <w:rFonts w:hint="eastAsia" w:cs="宋体"/>
                <w:b w:val="0"/>
                <w:color w:val="auto"/>
                <w:sz w:val="24"/>
                <w:szCs w:val="24"/>
                <w:highlight w:val="none"/>
                <w:u w:val="single"/>
              </w:rPr>
              <w:t xml:space="preserve">    </w:t>
            </w:r>
            <w:r>
              <w:rPr>
                <w:rFonts w:hint="eastAsia" w:cs="宋体"/>
                <w:b w:val="0"/>
                <w:color w:val="auto"/>
                <w:sz w:val="24"/>
                <w:szCs w:val="24"/>
                <w:highlight w:val="none"/>
              </w:rPr>
              <w:t>年</w:t>
            </w:r>
            <w:r>
              <w:rPr>
                <w:rFonts w:hint="eastAsia" w:cs="宋体"/>
                <w:b w:val="0"/>
                <w:color w:val="auto"/>
                <w:sz w:val="24"/>
                <w:szCs w:val="24"/>
                <w:highlight w:val="none"/>
                <w:u w:val="single"/>
              </w:rPr>
              <w:t xml:space="preserve">  </w:t>
            </w:r>
            <w:r>
              <w:rPr>
                <w:rFonts w:hint="eastAsia" w:cs="宋体"/>
                <w:b w:val="0"/>
                <w:color w:val="auto"/>
                <w:sz w:val="24"/>
                <w:szCs w:val="24"/>
                <w:highlight w:val="none"/>
              </w:rPr>
              <w:t>月</w:t>
            </w:r>
            <w:r>
              <w:rPr>
                <w:rFonts w:hint="eastAsia" w:cs="宋体"/>
                <w:b w:val="0"/>
                <w:color w:val="auto"/>
                <w:sz w:val="24"/>
                <w:szCs w:val="24"/>
                <w:highlight w:val="none"/>
                <w:u w:val="single"/>
              </w:rPr>
              <w:t xml:space="preserve">  </w:t>
            </w:r>
            <w:r>
              <w:rPr>
                <w:rFonts w:hint="eastAsia" w:cs="宋体"/>
                <w:b w:val="0"/>
                <w:color w:val="auto"/>
                <w:sz w:val="24"/>
                <w:szCs w:val="24"/>
                <w:highlight w:val="none"/>
              </w:rPr>
              <w:t>日</w:t>
            </w:r>
            <w:bookmarkStart w:id="29" w:name="EB2a2e1a22d449405a860670c095486ab8"/>
            <w:r>
              <w:rPr>
                <w:rFonts w:hint="eastAsia" w:cs="宋体"/>
                <w:b w:val="0"/>
                <w:color w:val="auto"/>
                <w:sz w:val="24"/>
                <w:szCs w:val="24"/>
                <w:highlight w:val="none"/>
              </w:rPr>
              <w:t>。具体开工时间以采购人通知时间为准。</w:t>
            </w:r>
            <w:bookmarkEnd w:id="29"/>
            <w:r>
              <w:rPr>
                <w:rFonts w:hint="eastAsia" w:cs="宋体"/>
                <w:b w:val="0"/>
                <w:color w:val="auto"/>
                <w:sz w:val="24"/>
                <w:szCs w:val="24"/>
                <w:highlight w:val="none"/>
              </w:rPr>
              <w:t>成交人按合同工期要求，每延迟一天，按5000元/天处以违约金，从工程结算款中扣除。如延误工期超出合同工期50%的，不予支付工程款。如因采购人要求增加工程量、教育教学、重大活动、极端天气等不可抗拒因素造成，工期予以顺延，经采购人和成交人书面确认后，具体以实际发生时间为依据。</w:t>
            </w:r>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6D3E6637">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30.4</w:t>
            </w:r>
          </w:p>
        </w:tc>
        <w:tc>
          <w:tcPr>
            <w:tcW w:w="803" w:type="pct"/>
            <w:vAlign w:val="center"/>
          </w:tcPr>
          <w:p w14:paraId="2C25BF6E">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质量标准要求</w:t>
            </w:r>
          </w:p>
        </w:tc>
        <w:tc>
          <w:tcPr>
            <w:tcW w:w="3666" w:type="pct"/>
            <w:vAlign w:val="center"/>
          </w:tcPr>
          <w:p w14:paraId="0F84E49E">
            <w:pPr>
              <w:pStyle w:val="103"/>
              <w:tabs>
                <w:tab w:val="left" w:pos="1152"/>
              </w:tabs>
              <w:spacing w:before="0" w:beforeAutospacing="0" w:after="0" w:afterAutospacing="0" w:line="500" w:lineRule="exact"/>
              <w:rPr>
                <w:rFonts w:cs="宋体"/>
                <w:b/>
                <w:color w:val="auto"/>
                <w:highlight w:val="none"/>
              </w:rPr>
            </w:pPr>
            <w:r>
              <w:rPr>
                <w:rFonts w:hint="eastAsia" w:cs="宋体"/>
                <w:bCs/>
                <w:color w:val="auto"/>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0B95E801">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30.5</w:t>
            </w:r>
          </w:p>
        </w:tc>
        <w:tc>
          <w:tcPr>
            <w:tcW w:w="803" w:type="pct"/>
            <w:vAlign w:val="center"/>
          </w:tcPr>
          <w:p w14:paraId="6FFC3E9C">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安全文明要求</w:t>
            </w:r>
          </w:p>
        </w:tc>
        <w:tc>
          <w:tcPr>
            <w:tcW w:w="3666" w:type="pct"/>
            <w:vAlign w:val="center"/>
          </w:tcPr>
          <w:p w14:paraId="28C69C41">
            <w:pPr>
              <w:pStyle w:val="76"/>
              <w:widowControl w:val="0"/>
              <w:spacing w:before="0" w:beforeAutospacing="0" w:after="0" w:afterAutospacing="0" w:line="500" w:lineRule="exact"/>
              <w:jc w:val="both"/>
              <w:rPr>
                <w:rFonts w:cs="宋体"/>
                <w:b w:val="0"/>
                <w:bCs w:val="0"/>
                <w:color w:val="auto"/>
                <w:sz w:val="24"/>
                <w:szCs w:val="24"/>
                <w:highlight w:val="none"/>
              </w:rPr>
            </w:pPr>
            <w:r>
              <w:rPr>
                <w:rFonts w:hint="eastAsia" w:cs="宋体"/>
                <w:b w:val="0"/>
                <w:bCs w:val="0"/>
                <w:color w:val="auto"/>
                <w:sz w:val="24"/>
                <w:szCs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17746626">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30.6</w:t>
            </w:r>
          </w:p>
        </w:tc>
        <w:tc>
          <w:tcPr>
            <w:tcW w:w="803" w:type="pct"/>
            <w:vAlign w:val="center"/>
          </w:tcPr>
          <w:p w14:paraId="3364FFF6">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总包及分包规定</w:t>
            </w:r>
          </w:p>
        </w:tc>
        <w:tc>
          <w:tcPr>
            <w:tcW w:w="3666" w:type="pct"/>
            <w:vAlign w:val="center"/>
          </w:tcPr>
          <w:p w14:paraId="3F9F3BB3">
            <w:pPr>
              <w:spacing w:line="500" w:lineRule="exact"/>
              <w:rPr>
                <w:rFonts w:cs="宋体"/>
                <w:color w:val="auto"/>
                <w:kern w:val="2"/>
                <w:sz w:val="24"/>
                <w:szCs w:val="24"/>
                <w:highlight w:val="none"/>
              </w:rPr>
            </w:pPr>
            <w:r>
              <w:rPr>
                <w:rFonts w:hint="eastAsia" w:cs="宋体"/>
                <w:color w:val="auto"/>
                <w:kern w:val="2"/>
                <w:sz w:val="24"/>
                <w:szCs w:val="24"/>
                <w:highlight w:val="none"/>
              </w:rPr>
              <w:t>供应商不得在成交后将工程转包给其它施工单位。</w:t>
            </w:r>
          </w:p>
          <w:p w14:paraId="5E30B4F0">
            <w:pPr>
              <w:spacing w:line="500" w:lineRule="exact"/>
              <w:jc w:val="left"/>
              <w:rPr>
                <w:rFonts w:cs="宋体"/>
                <w:color w:val="auto"/>
                <w:kern w:val="2"/>
                <w:sz w:val="24"/>
                <w:szCs w:val="24"/>
                <w:highlight w:val="none"/>
              </w:rPr>
            </w:pPr>
            <w:r>
              <w:rPr>
                <w:rFonts w:hint="eastAsia" w:cs="宋体"/>
                <w:color w:val="auto"/>
                <w:kern w:val="2"/>
                <w:sz w:val="24"/>
                <w:szCs w:val="24"/>
                <w:highlight w:val="none"/>
              </w:rPr>
              <w:t>分包情况</w:t>
            </w:r>
          </w:p>
          <w:p w14:paraId="2FD786D6">
            <w:pPr>
              <w:spacing w:line="500" w:lineRule="exact"/>
              <w:jc w:val="left"/>
              <w:rPr>
                <w:rFonts w:cs="宋体"/>
                <w:color w:val="auto"/>
                <w:kern w:val="2"/>
                <w:sz w:val="24"/>
                <w:szCs w:val="24"/>
                <w:highlight w:val="none"/>
              </w:rPr>
            </w:pPr>
            <w:r>
              <w:rPr>
                <w:rFonts w:hint="eastAsia" w:cs="宋体"/>
                <w:color w:val="auto"/>
                <w:kern w:val="2"/>
                <w:sz w:val="24"/>
                <w:szCs w:val="24"/>
                <w:highlight w:val="none"/>
              </w:rPr>
              <w:t>□允许专业分包，分包项目、内容及分包商须经采购人及监理单位同意和认可</w:t>
            </w:r>
          </w:p>
          <w:p w14:paraId="330EAF85">
            <w:pPr>
              <w:pStyle w:val="76"/>
              <w:widowControl w:val="0"/>
              <w:spacing w:before="0" w:beforeAutospacing="0" w:after="0" w:afterAutospacing="0" w:line="500" w:lineRule="exact"/>
              <w:jc w:val="both"/>
              <w:rPr>
                <w:rFonts w:cs="宋体"/>
                <w:b w:val="0"/>
                <w:bCs w:val="0"/>
                <w:color w:val="auto"/>
                <w:sz w:val="24"/>
                <w:szCs w:val="24"/>
                <w:highlight w:val="none"/>
              </w:rPr>
            </w:pPr>
            <w:r>
              <w:rPr>
                <w:rFonts w:hint="eastAsia" w:cs="宋体"/>
                <w:b w:val="0"/>
                <w:bCs w:val="0"/>
                <w:color w:val="auto"/>
                <w:kern w:val="2"/>
                <w:sz w:val="24"/>
                <w:szCs w:val="24"/>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37BC5DAE">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30.7</w:t>
            </w:r>
          </w:p>
        </w:tc>
        <w:tc>
          <w:tcPr>
            <w:tcW w:w="803" w:type="pct"/>
            <w:vAlign w:val="center"/>
          </w:tcPr>
          <w:p w14:paraId="3B4C9F66">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现场条件</w:t>
            </w:r>
          </w:p>
        </w:tc>
        <w:tc>
          <w:tcPr>
            <w:tcW w:w="3666" w:type="pct"/>
            <w:vAlign w:val="center"/>
          </w:tcPr>
          <w:p w14:paraId="45B30E58">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bCs w:val="0"/>
                <w:color w:val="auto"/>
                <w:sz w:val="24"/>
                <w:szCs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041BFB29">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30.8</w:t>
            </w:r>
          </w:p>
        </w:tc>
        <w:tc>
          <w:tcPr>
            <w:tcW w:w="803" w:type="pct"/>
            <w:vAlign w:val="center"/>
          </w:tcPr>
          <w:p w14:paraId="5E6C73C3">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bCs w:val="0"/>
                <w:color w:val="auto"/>
                <w:sz w:val="24"/>
                <w:szCs w:val="24"/>
                <w:highlight w:val="none"/>
              </w:rPr>
              <w:t>采购人提供的资料</w:t>
            </w:r>
          </w:p>
        </w:tc>
        <w:tc>
          <w:tcPr>
            <w:tcW w:w="3666" w:type="pct"/>
            <w:vAlign w:val="center"/>
          </w:tcPr>
          <w:p w14:paraId="55157ECC">
            <w:pPr>
              <w:adjustRightInd w:val="0"/>
              <w:snapToGrid w:val="0"/>
              <w:spacing w:line="500" w:lineRule="exact"/>
              <w:jc w:val="left"/>
              <w:rPr>
                <w:rFonts w:cs="宋体"/>
                <w:bCs/>
                <w:color w:val="auto"/>
                <w:sz w:val="24"/>
                <w:szCs w:val="24"/>
                <w:highlight w:val="none"/>
              </w:rPr>
            </w:pPr>
            <w:r>
              <w:rPr>
                <w:rFonts w:hint="eastAsia" w:cs="宋体"/>
                <w:bCs/>
                <w:color w:val="auto"/>
                <w:sz w:val="24"/>
                <w:szCs w:val="24"/>
                <w:highlight w:val="none"/>
              </w:rPr>
              <w:t>☑磋商文件</w:t>
            </w:r>
          </w:p>
          <w:p w14:paraId="79C89484">
            <w:pPr>
              <w:adjustRightInd w:val="0"/>
              <w:snapToGrid w:val="0"/>
              <w:spacing w:line="500" w:lineRule="exact"/>
              <w:jc w:val="left"/>
              <w:rPr>
                <w:rFonts w:cs="宋体"/>
                <w:bCs/>
                <w:color w:val="auto"/>
                <w:sz w:val="24"/>
                <w:szCs w:val="24"/>
                <w:highlight w:val="none"/>
              </w:rPr>
            </w:pPr>
            <w:r>
              <w:rPr>
                <w:rFonts w:hint="eastAsia" w:cs="宋体"/>
                <w:bCs/>
                <w:color w:val="auto"/>
                <w:sz w:val="24"/>
                <w:szCs w:val="24"/>
                <w:highlight w:val="none"/>
              </w:rPr>
              <w:t>☑工程量清单</w:t>
            </w:r>
          </w:p>
          <w:p w14:paraId="61AE1135">
            <w:pPr>
              <w:adjustRightInd w:val="0"/>
              <w:snapToGrid w:val="0"/>
              <w:spacing w:line="500" w:lineRule="exact"/>
              <w:jc w:val="left"/>
              <w:rPr>
                <w:rFonts w:cs="宋体"/>
                <w:bCs/>
                <w:color w:val="auto"/>
                <w:sz w:val="24"/>
                <w:szCs w:val="24"/>
                <w:highlight w:val="none"/>
              </w:rPr>
            </w:pPr>
            <w:r>
              <w:rPr>
                <w:rFonts w:hint="eastAsia" w:cs="宋体"/>
                <w:bCs/>
                <w:color w:val="auto"/>
                <w:sz w:val="24"/>
                <w:szCs w:val="24"/>
                <w:highlight w:val="none"/>
              </w:rPr>
              <w:t>☑最高投标限价</w:t>
            </w:r>
          </w:p>
          <w:p w14:paraId="019412B6">
            <w:pPr>
              <w:adjustRightInd w:val="0"/>
              <w:snapToGrid w:val="0"/>
              <w:spacing w:line="500" w:lineRule="exact"/>
              <w:jc w:val="left"/>
              <w:rPr>
                <w:rFonts w:cs="宋体"/>
                <w:bCs/>
                <w:color w:val="auto"/>
                <w:sz w:val="24"/>
                <w:szCs w:val="24"/>
                <w:highlight w:val="none"/>
              </w:rPr>
            </w:pPr>
            <w:r>
              <w:rPr>
                <w:rFonts w:hint="eastAsia" w:cs="宋体"/>
                <w:bCs/>
                <w:color w:val="auto"/>
                <w:sz w:val="24"/>
                <w:szCs w:val="24"/>
                <w:highlight w:val="none"/>
              </w:rPr>
              <w:t>☑电子版图纸</w:t>
            </w:r>
          </w:p>
          <w:p w14:paraId="41D8A9C5">
            <w:pPr>
              <w:adjustRightInd w:val="0"/>
              <w:snapToGrid w:val="0"/>
              <w:spacing w:line="500" w:lineRule="exact"/>
              <w:jc w:val="left"/>
              <w:rPr>
                <w:rFonts w:cs="宋体"/>
                <w:bCs/>
                <w:color w:val="auto"/>
                <w:sz w:val="24"/>
                <w:szCs w:val="24"/>
                <w:highlight w:val="none"/>
              </w:rPr>
            </w:pPr>
            <w:r>
              <w:rPr>
                <w:rFonts w:hint="eastAsia" w:cs="宋体"/>
                <w:bCs/>
                <w:color w:val="auto"/>
                <w:sz w:val="24"/>
                <w:szCs w:val="24"/>
                <w:highlight w:val="none"/>
              </w:rPr>
              <w:t>获得方式：网上下载</w:t>
            </w:r>
          </w:p>
          <w:p w14:paraId="34EC4252">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color w:val="auto"/>
                <w:sz w:val="24"/>
                <w:szCs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43805B5C">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30.9</w:t>
            </w:r>
          </w:p>
        </w:tc>
        <w:tc>
          <w:tcPr>
            <w:tcW w:w="803" w:type="pct"/>
            <w:vAlign w:val="center"/>
          </w:tcPr>
          <w:p w14:paraId="1506C3DA">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bCs w:val="0"/>
                <w:color w:val="auto"/>
                <w:sz w:val="24"/>
                <w:szCs w:val="24"/>
                <w:highlight w:val="none"/>
              </w:rPr>
              <w:t>工程量清单和最高投标限价编制费</w:t>
            </w:r>
          </w:p>
        </w:tc>
        <w:tc>
          <w:tcPr>
            <w:tcW w:w="3666" w:type="pct"/>
            <w:vAlign w:val="center"/>
          </w:tcPr>
          <w:p w14:paraId="18249F77">
            <w:pPr>
              <w:spacing w:line="500" w:lineRule="exact"/>
              <w:rPr>
                <w:rFonts w:cs="宋体"/>
                <w:color w:val="auto"/>
                <w:sz w:val="24"/>
                <w:szCs w:val="24"/>
                <w:highlight w:val="none"/>
              </w:rPr>
            </w:pPr>
            <w:r>
              <w:rPr>
                <w:rFonts w:hint="eastAsia" w:cs="宋体"/>
                <w:bCs/>
                <w:color w:val="auto"/>
                <w:sz w:val="24"/>
                <w:szCs w:val="24"/>
                <w:highlight w:val="none"/>
              </w:rPr>
              <w:t>（1）收费对象</w:t>
            </w:r>
            <w:r>
              <w:rPr>
                <w:rFonts w:hint="eastAsia" w:cs="宋体"/>
                <w:color w:val="auto"/>
                <w:spacing w:val="-12"/>
                <w:sz w:val="24"/>
                <w:szCs w:val="24"/>
                <w:highlight w:val="none"/>
              </w:rPr>
              <w:t>：</w:t>
            </w:r>
            <w:r>
              <w:rPr>
                <w:rFonts w:hint="eastAsia" w:cs="宋体"/>
                <w:color w:val="auto"/>
                <w:spacing w:val="-12"/>
                <w:sz w:val="24"/>
                <w:szCs w:val="24"/>
                <w:highlight w:val="none"/>
                <w:u w:val="single"/>
              </w:rPr>
              <w:t>采购人</w:t>
            </w:r>
          </w:p>
          <w:p w14:paraId="378829C7">
            <w:pPr>
              <w:spacing w:line="500" w:lineRule="exact"/>
              <w:rPr>
                <w:rFonts w:cs="宋体"/>
                <w:bCs/>
                <w:color w:val="auto"/>
                <w:sz w:val="24"/>
                <w:szCs w:val="24"/>
                <w:highlight w:val="none"/>
              </w:rPr>
            </w:pPr>
            <w:r>
              <w:rPr>
                <w:rFonts w:hint="eastAsia" w:cs="宋体"/>
                <w:bCs/>
                <w:color w:val="auto"/>
                <w:sz w:val="24"/>
                <w:szCs w:val="24"/>
                <w:highlight w:val="none"/>
              </w:rPr>
              <w:t>（2）收取方式</w:t>
            </w:r>
            <w:r>
              <w:rPr>
                <w:rFonts w:hint="eastAsia" w:cs="宋体"/>
                <w:color w:val="auto"/>
                <w:sz w:val="24"/>
                <w:szCs w:val="24"/>
                <w:highlight w:val="none"/>
              </w:rPr>
              <w:t>：</w:t>
            </w:r>
            <w:r>
              <w:rPr>
                <w:rFonts w:hint="eastAsia" w:cs="宋体"/>
                <w:color w:val="auto"/>
                <w:sz w:val="24"/>
                <w:szCs w:val="24"/>
                <w:highlight w:val="none"/>
                <w:u w:val="single"/>
              </w:rPr>
              <w:t>转账</w:t>
            </w:r>
          </w:p>
          <w:p w14:paraId="4B004CCC">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bCs w:val="0"/>
                <w:color w:val="auto"/>
                <w:sz w:val="24"/>
                <w:szCs w:val="24"/>
                <w:highlight w:val="none"/>
              </w:rPr>
              <w:t>（3）</w:t>
            </w:r>
            <w:r>
              <w:rPr>
                <w:rFonts w:hint="eastAsia" w:cs="宋体"/>
                <w:b w:val="0"/>
                <w:color w:val="auto"/>
                <w:sz w:val="24"/>
                <w:szCs w:val="24"/>
                <w:highlight w:val="none"/>
              </w:rPr>
              <w:t>收费标准：</w:t>
            </w:r>
            <w:r>
              <w:rPr>
                <w:rFonts w:hint="eastAsia" w:cs="宋体"/>
                <w:b w:val="0"/>
                <w:color w:val="auto"/>
                <w:sz w:val="24"/>
                <w:szCs w:val="24"/>
                <w:highlight w:val="none"/>
                <w:u w:val="single"/>
              </w:rPr>
              <w:t>双方约定为准</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0" w:type="pct"/>
            <w:vAlign w:val="center"/>
          </w:tcPr>
          <w:p w14:paraId="3E6B2BA6">
            <w:pPr>
              <w:pStyle w:val="77"/>
              <w:pBdr>
                <w:bottom w:val="none" w:color="auto" w:sz="0" w:space="0"/>
              </w:pBdr>
              <w:tabs>
                <w:tab w:val="clear" w:pos="4153"/>
                <w:tab w:val="clear" w:pos="8306"/>
              </w:tabs>
              <w:adjustRightInd/>
              <w:spacing w:line="500" w:lineRule="exact"/>
              <w:textAlignment w:val="auto"/>
              <w:rPr>
                <w:rFonts w:cs="宋体"/>
                <w:bCs/>
                <w:color w:val="auto"/>
                <w:kern w:val="2"/>
                <w:szCs w:val="24"/>
                <w:highlight w:val="none"/>
              </w:rPr>
            </w:pPr>
            <w:r>
              <w:rPr>
                <w:rFonts w:hint="eastAsia" w:cs="宋体"/>
                <w:bCs/>
                <w:color w:val="auto"/>
                <w:kern w:val="2"/>
                <w:szCs w:val="24"/>
                <w:highlight w:val="none"/>
              </w:rPr>
              <w:t>30.10</w:t>
            </w:r>
          </w:p>
        </w:tc>
        <w:tc>
          <w:tcPr>
            <w:tcW w:w="803" w:type="pct"/>
            <w:vAlign w:val="center"/>
          </w:tcPr>
          <w:p w14:paraId="096AB9F9">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其他补充说明</w:t>
            </w:r>
          </w:p>
        </w:tc>
        <w:tc>
          <w:tcPr>
            <w:tcW w:w="3666" w:type="pct"/>
            <w:vAlign w:val="center"/>
          </w:tcPr>
          <w:p w14:paraId="555CAF2F">
            <w:pPr>
              <w:spacing w:line="500" w:lineRule="exact"/>
              <w:rPr>
                <w:rFonts w:cs="宋体"/>
                <w:bCs/>
                <w:color w:val="auto"/>
                <w:sz w:val="24"/>
                <w:szCs w:val="24"/>
                <w:highlight w:val="none"/>
              </w:rPr>
            </w:pPr>
            <w:r>
              <w:rPr>
                <w:rFonts w:hint="eastAsia" w:cs="宋体"/>
                <w:bCs/>
                <w:color w:val="auto"/>
                <w:sz w:val="24"/>
                <w:szCs w:val="24"/>
                <w:highlight w:val="none"/>
              </w:rPr>
              <w:t>1、解释权：</w:t>
            </w:r>
          </w:p>
          <w:p w14:paraId="6B5543D7">
            <w:pPr>
              <w:spacing w:line="500" w:lineRule="exact"/>
              <w:rPr>
                <w:rFonts w:cs="宋体"/>
                <w:bCs/>
                <w:color w:val="auto"/>
                <w:sz w:val="24"/>
                <w:szCs w:val="24"/>
                <w:highlight w:val="none"/>
              </w:rPr>
            </w:pPr>
            <w:r>
              <w:rPr>
                <w:rFonts w:hint="eastAsia" w:cs="宋体"/>
                <w:bCs/>
                <w:color w:val="auto"/>
                <w:sz w:val="24"/>
                <w:szCs w:val="24"/>
                <w:highlight w:val="none"/>
              </w:rPr>
              <w:t>（1）构成本磋商文件的各个组成文件应互为解释，互为说明；</w:t>
            </w:r>
          </w:p>
          <w:p w14:paraId="5730B61D">
            <w:pPr>
              <w:spacing w:line="500" w:lineRule="exact"/>
              <w:rPr>
                <w:rFonts w:cs="宋体"/>
                <w:bCs/>
                <w:color w:val="auto"/>
                <w:sz w:val="24"/>
                <w:szCs w:val="24"/>
                <w:highlight w:val="none"/>
              </w:rPr>
            </w:pPr>
            <w:r>
              <w:rPr>
                <w:rFonts w:hint="eastAsia" w:cs="宋体"/>
                <w:bCs/>
                <w:color w:val="auto"/>
                <w:sz w:val="24"/>
                <w:szCs w:val="24"/>
                <w:highlight w:val="none"/>
              </w:rPr>
              <w:t>（2）同一组成文件中就同一事项的规定或约定不一致的，以编排顺序在后者为准；</w:t>
            </w:r>
          </w:p>
          <w:p w14:paraId="4B1E23FC">
            <w:pPr>
              <w:spacing w:line="500" w:lineRule="exact"/>
              <w:rPr>
                <w:rFonts w:cs="宋体"/>
                <w:bCs/>
                <w:color w:val="auto"/>
                <w:sz w:val="24"/>
                <w:szCs w:val="24"/>
                <w:highlight w:val="none"/>
              </w:rPr>
            </w:pPr>
            <w:r>
              <w:rPr>
                <w:rFonts w:hint="eastAsia" w:cs="宋体"/>
                <w:bCs/>
                <w:color w:val="auto"/>
                <w:sz w:val="24"/>
                <w:szCs w:val="24"/>
                <w:highlight w:val="none"/>
              </w:rPr>
              <w:t>（3）如有不明确或不一致，构成合同文件组成内容的，以合同文件约定内容为准，且以专用合同条款约定的合同文件优先顺序解释；</w:t>
            </w:r>
          </w:p>
          <w:p w14:paraId="3BDF8C4A">
            <w:pPr>
              <w:spacing w:line="500" w:lineRule="exact"/>
              <w:rPr>
                <w:rFonts w:cs="宋体"/>
                <w:bCs/>
                <w:color w:val="auto"/>
                <w:sz w:val="24"/>
                <w:szCs w:val="24"/>
                <w:highlight w:val="none"/>
              </w:rPr>
            </w:pPr>
            <w:r>
              <w:rPr>
                <w:rFonts w:hint="eastAsia" w:cs="宋体"/>
                <w:bCs/>
                <w:color w:val="auto"/>
                <w:sz w:val="24"/>
                <w:szCs w:val="24"/>
                <w:highlight w:val="none"/>
              </w:rPr>
              <w:t>（4）除磋商文件中有特别规定外，仅适用于磋商及响应文件提交阶段的规定，按竞争性磋商公告、磋商邀请、供应商须知、评审方法和标准、响应文件格式的先后顺序解释；</w:t>
            </w:r>
          </w:p>
          <w:p w14:paraId="6A2D2116">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（5）按本款前述规定仍不能形成结论的，由采购人负责解释。</w:t>
            </w:r>
          </w:p>
          <w:p w14:paraId="01BBA3DB">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sz w:val="24"/>
                <w:szCs w:val="24"/>
                <w:highlight w:val="none"/>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cs="宋体"/>
                <w:b w:val="0"/>
                <w:color w:val="auto"/>
                <w:sz w:val="24"/>
                <w:szCs w:val="24"/>
                <w:highlight w:val="none"/>
              </w:rPr>
              <w:br w:type="textWrapping"/>
            </w:r>
            <w:r>
              <w:rPr>
                <w:rFonts w:hint="eastAsia" w:cs="宋体"/>
                <w:b w:val="0"/>
                <w:color w:val="auto"/>
                <w:sz w:val="24"/>
                <w:szCs w:val="24"/>
                <w:highlight w:val="none"/>
              </w:rPr>
              <w:t>3、电子保函指引：成交供应商可访问安徽省政府采购网“融资/保函”栏目，申请办理电子保函（包括：履约保函、预付款保函）。</w:t>
            </w:r>
          </w:p>
          <w:p w14:paraId="58C59361">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4、部分可提供线下政采贷的金融机构</w:t>
            </w:r>
          </w:p>
          <w:p w14:paraId="0C94E6FE">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市本级</w:t>
            </w:r>
          </w:p>
          <w:p w14:paraId="64A5063E">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金融机构名称：兴业银行滁州分行</w:t>
            </w:r>
          </w:p>
          <w:p w14:paraId="17BEEB89">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安徽省滁州市琅琊区丰乐大道1090号</w:t>
            </w:r>
          </w:p>
          <w:p w14:paraId="6DD992ED">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伏庚：17755080811</w:t>
            </w:r>
          </w:p>
          <w:p w14:paraId="460ADB64">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5、特别提示：</w:t>
            </w:r>
          </w:p>
          <w:p w14:paraId="280DBEE8">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（1）</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应填写投标信息并下载招标文件，否则无法上传</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w:t>
            </w:r>
          </w:p>
          <w:p w14:paraId="4B5CC7CC">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注：</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如为联合体的，牵头人必须完善</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信息，并在上传</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文件环节添加联合体投标信息。</w:t>
            </w:r>
          </w:p>
          <w:p w14:paraId="4E450954">
            <w:pPr>
              <w:pStyle w:val="76"/>
              <w:widowControl w:val="0"/>
              <w:wordWrap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（2）本项目采用电子招标投标，请</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在滁州市公共资源交易中心网&gt;服务指南&gt;软件下载栏目点击下载投标文件制作工具。</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需采用最新版投标文件制作工具。软件运行需在国际互联网络通畅状态，</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需注意更新，以免造成</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文件制作错误，如因此导致评</w:t>
            </w:r>
            <w:r>
              <w:rPr>
                <w:rFonts w:hint="eastAsia" w:cs="宋体"/>
                <w:b w:val="0"/>
                <w:color w:val="auto"/>
                <w:kern w:val="2"/>
                <w:sz w:val="24"/>
                <w:szCs w:val="24"/>
                <w:highlight w:val="none"/>
                <w:lang w:val="en-US" w:eastAsia="zh-CN"/>
              </w:rPr>
              <w:t>审</w:t>
            </w:r>
            <w:r>
              <w:rPr>
                <w:rFonts w:hint="eastAsia" w:cs="宋体"/>
                <w:b w:val="0"/>
                <w:color w:val="auto"/>
                <w:kern w:val="2"/>
                <w:sz w:val="24"/>
                <w:szCs w:val="24"/>
                <w:highlight w:val="none"/>
              </w:rPr>
              <w:t>委员会否决其投标，责任自负。如有技术问题请联系0550-3801701，</w:t>
            </w:r>
            <w:r>
              <w:rPr>
                <w:rFonts w:hint="eastAsia" w:cs="宋体"/>
                <w:b w:val="0"/>
                <w:color w:val="auto"/>
                <w:kern w:val="2"/>
                <w:sz w:val="24"/>
                <w:szCs w:val="24"/>
                <w:highlight w:val="none"/>
              </w:rPr>
              <w:t>0512-58188516。</w:t>
            </w:r>
          </w:p>
          <w:p w14:paraId="5615295D">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（3）如果过程中出现</w:t>
            </w:r>
            <w:r>
              <w:rPr>
                <w:rFonts w:hint="eastAsia" w:cs="宋体"/>
                <w:b w:val="0"/>
                <w:color w:val="auto"/>
                <w:kern w:val="2"/>
                <w:sz w:val="24"/>
                <w:szCs w:val="24"/>
                <w:highlight w:val="none"/>
                <w:lang w:val="en-US" w:eastAsia="zh-CN"/>
              </w:rPr>
              <w:t>采购</w:t>
            </w:r>
            <w:r>
              <w:rPr>
                <w:rFonts w:hint="eastAsia" w:cs="宋体"/>
                <w:b w:val="0"/>
                <w:color w:val="auto"/>
                <w:kern w:val="2"/>
                <w:sz w:val="24"/>
                <w:szCs w:val="24"/>
                <w:highlight w:val="none"/>
              </w:rPr>
              <w:t>文件更改，应以最后发布的招标答疑澄清文件中的模板制作本项目最新投标文件。</w:t>
            </w:r>
          </w:p>
          <w:p w14:paraId="15C75C64">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（4）</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应当用本单位CA数字证书制作</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文件，制作成功后进行</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 xml:space="preserve">文件上传。 </w:t>
            </w:r>
          </w:p>
          <w:p w14:paraId="03BBE91D">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（5）</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须用CA数字证书盖章和加密</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（6）请</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注意加密投标文件CA数字证书的有效期，不在有效期的CA数字证书无法解密</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w:t>
            </w:r>
          </w:p>
          <w:p w14:paraId="2EE07DC5">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（7）</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投标MAC地址或投标人联系人或联系电话相同的，由评标委员会否决其投标，并报告监管部门作不良行为处理和进一步调查。</w:t>
            </w:r>
          </w:p>
          <w:p w14:paraId="039EE3D5">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（8）</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单方面出现其他</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材料的，由评标委员会否决其</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w:t>
            </w:r>
          </w:p>
          <w:p w14:paraId="5C956BD3">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（9）评</w:t>
            </w:r>
            <w:r>
              <w:rPr>
                <w:rFonts w:hint="eastAsia" w:cs="宋体"/>
                <w:b w:val="0"/>
                <w:color w:val="auto"/>
                <w:kern w:val="2"/>
                <w:sz w:val="24"/>
                <w:szCs w:val="24"/>
                <w:highlight w:val="none"/>
                <w:lang w:val="en-US" w:eastAsia="zh-CN"/>
              </w:rPr>
              <w:t>审</w:t>
            </w:r>
            <w:r>
              <w:rPr>
                <w:rFonts w:hint="eastAsia" w:cs="宋体"/>
                <w:b w:val="0"/>
                <w:color w:val="auto"/>
                <w:kern w:val="2"/>
                <w:sz w:val="24"/>
                <w:szCs w:val="24"/>
                <w:highlight w:val="none"/>
              </w:rPr>
              <w:t>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（10）电子加密</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文件上传到系统后，需要</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和代理公司到开标截止时间后共同解锁，不存在商务报价等投标信息通过系统泄密的风险；投标截止时间前，已上传的</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文件也可以撤回修改。集中到开</w:t>
            </w:r>
            <w:r>
              <w:rPr>
                <w:rFonts w:hint="eastAsia" w:cs="宋体"/>
                <w:b w:val="0"/>
                <w:color w:val="auto"/>
                <w:kern w:val="2"/>
                <w:sz w:val="24"/>
                <w:szCs w:val="24"/>
                <w:highlight w:val="none"/>
                <w:lang w:val="en-US" w:eastAsia="zh-CN"/>
              </w:rPr>
              <w:t>启</w:t>
            </w:r>
            <w:r>
              <w:rPr>
                <w:rFonts w:hint="eastAsia" w:cs="宋体"/>
                <w:b w:val="0"/>
                <w:color w:val="auto"/>
                <w:kern w:val="2"/>
                <w:sz w:val="24"/>
                <w:szCs w:val="24"/>
                <w:highlight w:val="none"/>
              </w:rPr>
              <w:t>截止时间前上传电子加密</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文件，可能出现由于</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制作电子</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文件不熟练、网络拥堵等不可预知的情况而且无法及时解决，丧失投标机会，请各投标企业提前制作、上传电子加密投标文件，否则由于无法及时上传电子加密</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文件而废标或无效</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的情况，责任自负！</w:t>
            </w:r>
          </w:p>
          <w:p w14:paraId="6EE8FAD8">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6、评</w:t>
            </w:r>
            <w:r>
              <w:rPr>
                <w:rFonts w:hint="eastAsia" w:cs="宋体"/>
                <w:b w:val="0"/>
                <w:color w:val="auto"/>
                <w:kern w:val="2"/>
                <w:sz w:val="24"/>
                <w:szCs w:val="24"/>
                <w:highlight w:val="none"/>
                <w:lang w:val="en-US" w:eastAsia="zh-CN"/>
              </w:rPr>
              <w:t>审</w:t>
            </w:r>
            <w:r>
              <w:rPr>
                <w:rFonts w:hint="eastAsia" w:cs="宋体"/>
                <w:b w:val="0"/>
                <w:color w:val="auto"/>
                <w:kern w:val="2"/>
                <w:sz w:val="24"/>
                <w:szCs w:val="24"/>
                <w:highlight w:val="none"/>
              </w:rPr>
              <w:t>过程中的澄清、说明或补正：</w:t>
            </w:r>
          </w:p>
          <w:p w14:paraId="6B6B8A5C">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（1）评</w:t>
            </w:r>
            <w:r>
              <w:rPr>
                <w:rFonts w:hint="eastAsia" w:cs="宋体"/>
                <w:b w:val="0"/>
                <w:color w:val="auto"/>
                <w:kern w:val="2"/>
                <w:sz w:val="24"/>
                <w:szCs w:val="24"/>
                <w:highlight w:val="none"/>
                <w:lang w:val="en-US" w:eastAsia="zh-CN"/>
              </w:rPr>
              <w:t>审</w:t>
            </w:r>
            <w:r>
              <w:rPr>
                <w:rFonts w:hint="eastAsia" w:cs="宋体"/>
                <w:b w:val="0"/>
                <w:color w:val="auto"/>
                <w:kern w:val="2"/>
                <w:sz w:val="24"/>
                <w:szCs w:val="24"/>
                <w:highlight w:val="none"/>
              </w:rPr>
              <w:t>委员会通过网上招投标系统将需要澄清、说明或补正的内容以询标函的形式发送给</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应安排专人登录网上招投标系统并保持在线状态，以便及时接收评</w:t>
            </w:r>
            <w:r>
              <w:rPr>
                <w:rFonts w:hint="eastAsia" w:cs="宋体"/>
                <w:b w:val="0"/>
                <w:color w:val="auto"/>
                <w:kern w:val="2"/>
                <w:sz w:val="24"/>
                <w:szCs w:val="24"/>
                <w:highlight w:val="none"/>
                <w:lang w:val="en-US" w:eastAsia="zh-CN"/>
              </w:rPr>
              <w:t>审</w:t>
            </w:r>
            <w:r>
              <w:rPr>
                <w:rFonts w:hint="eastAsia" w:cs="宋体"/>
                <w:b w:val="0"/>
                <w:color w:val="auto"/>
                <w:kern w:val="2"/>
                <w:sz w:val="24"/>
                <w:szCs w:val="24"/>
                <w:highlight w:val="none"/>
              </w:rPr>
              <w:t>委员会可能发出的询标函。</w:t>
            </w:r>
          </w:p>
          <w:p w14:paraId="32601730">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（2）因</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未登录网上招投标系统导致无法及时接收询标函（远程网上询标）或未在规定时间内按评</w:t>
            </w:r>
            <w:r>
              <w:rPr>
                <w:rFonts w:hint="eastAsia" w:cs="宋体"/>
                <w:b w:val="0"/>
                <w:color w:val="auto"/>
                <w:kern w:val="2"/>
                <w:sz w:val="24"/>
                <w:szCs w:val="24"/>
                <w:highlight w:val="none"/>
                <w:lang w:val="en-US" w:eastAsia="zh-CN"/>
              </w:rPr>
              <w:t>审</w:t>
            </w:r>
            <w:r>
              <w:rPr>
                <w:rFonts w:hint="eastAsia" w:cs="宋体"/>
                <w:b w:val="0"/>
                <w:color w:val="auto"/>
                <w:kern w:val="2"/>
                <w:sz w:val="24"/>
                <w:szCs w:val="24"/>
                <w:highlight w:val="none"/>
              </w:rPr>
              <w:t>委员会要求进行澄清、说明或补正内容的视同</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放弃澄清、说明或补正内容的权利，评</w:t>
            </w:r>
            <w:r>
              <w:rPr>
                <w:rFonts w:hint="eastAsia" w:cs="宋体"/>
                <w:b w:val="0"/>
                <w:color w:val="auto"/>
                <w:kern w:val="2"/>
                <w:sz w:val="24"/>
                <w:szCs w:val="24"/>
                <w:highlight w:val="none"/>
                <w:lang w:val="en-US" w:eastAsia="zh-CN"/>
              </w:rPr>
              <w:t>审</w:t>
            </w:r>
            <w:r>
              <w:rPr>
                <w:rFonts w:hint="eastAsia" w:cs="宋体"/>
                <w:b w:val="0"/>
                <w:color w:val="auto"/>
                <w:kern w:val="2"/>
                <w:sz w:val="24"/>
                <w:szCs w:val="24"/>
                <w:highlight w:val="none"/>
              </w:rPr>
              <w:t>委员会可按对</w:t>
            </w:r>
            <w:r>
              <w:rPr>
                <w:rFonts w:hint="eastAsia" w:cs="宋体"/>
                <w:b w:val="0"/>
                <w:color w:val="auto"/>
                <w:kern w:val="2"/>
                <w:sz w:val="24"/>
                <w:szCs w:val="24"/>
                <w:highlight w:val="none"/>
                <w:lang w:val="en-US" w:eastAsia="zh-CN"/>
              </w:rPr>
              <w:t>供应商</w:t>
            </w:r>
            <w:r>
              <w:rPr>
                <w:rFonts w:hint="eastAsia" w:cs="宋体"/>
                <w:b w:val="0"/>
                <w:color w:val="auto"/>
                <w:kern w:val="2"/>
                <w:sz w:val="24"/>
                <w:szCs w:val="24"/>
                <w:highlight w:val="none"/>
              </w:rPr>
              <w:t>不利的解释进行判定。</w:t>
            </w:r>
          </w:p>
          <w:p w14:paraId="05B93369">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rPr>
              <w:t>7、同义词语：</w:t>
            </w:r>
          </w:p>
          <w:p w14:paraId="43491F5D">
            <w:pPr>
              <w:pStyle w:val="76"/>
              <w:widowControl w:val="0"/>
              <w:spacing w:before="0" w:beforeAutospacing="0" w:after="0" w:afterAutospacing="0" w:line="500" w:lineRule="exact"/>
              <w:jc w:val="both"/>
              <w:rPr>
                <w:rFonts w:cs="宋体"/>
                <w:b w:val="0"/>
                <w:color w:val="auto"/>
                <w:kern w:val="2"/>
                <w:sz w:val="24"/>
                <w:szCs w:val="24"/>
                <w:highlight w:val="none"/>
              </w:rPr>
            </w:pPr>
            <w:r>
              <w:rPr>
                <w:rFonts w:hint="eastAsia" w:cs="宋体"/>
                <w:b w:val="0"/>
                <w:color w:val="auto"/>
                <w:kern w:val="2"/>
                <w:sz w:val="24"/>
                <w:szCs w:val="24"/>
                <w:highlight w:val="none"/>
                <w:lang w:val="en-US" w:eastAsia="zh-CN"/>
              </w:rPr>
              <w:t>采购</w:t>
            </w:r>
            <w:r>
              <w:rPr>
                <w:rFonts w:hint="eastAsia" w:cs="宋体"/>
                <w:b w:val="0"/>
                <w:color w:val="auto"/>
                <w:kern w:val="2"/>
                <w:sz w:val="24"/>
                <w:szCs w:val="24"/>
                <w:highlight w:val="none"/>
              </w:rPr>
              <w:t xml:space="preserve">文件第六章  </w:t>
            </w:r>
            <w:r>
              <w:rPr>
                <w:rFonts w:hint="eastAsia" w:cs="宋体"/>
                <w:b w:val="0"/>
                <w:color w:val="auto"/>
                <w:kern w:val="2"/>
                <w:sz w:val="24"/>
                <w:szCs w:val="24"/>
                <w:highlight w:val="none"/>
                <w:lang w:val="en-US" w:eastAsia="zh-CN"/>
              </w:rPr>
              <w:t>响应</w:t>
            </w:r>
            <w:r>
              <w:rPr>
                <w:rFonts w:hint="eastAsia" w:cs="宋体"/>
                <w:b w:val="0"/>
                <w:color w:val="auto"/>
                <w:kern w:val="2"/>
                <w:sz w:val="24"/>
                <w:szCs w:val="24"/>
                <w:highlight w:val="none"/>
              </w:rPr>
              <w:t>文件格式、附件1“关于联合惩戒失信行为 加强信用查询管理的通知”等章节中 “招标人”、“供应商”，等同于“采购人”、“投标人”。</w:t>
            </w:r>
          </w:p>
          <w:p w14:paraId="5ECEE654">
            <w:pPr>
              <w:pStyle w:val="76"/>
              <w:widowControl w:val="0"/>
              <w:spacing w:before="0" w:beforeAutospacing="0" w:after="0" w:afterAutospacing="0" w:line="500" w:lineRule="exact"/>
              <w:jc w:val="both"/>
              <w:rPr>
                <w:rFonts w:cs="宋体"/>
                <w:b w:val="0"/>
                <w:color w:val="auto"/>
                <w:sz w:val="24"/>
                <w:szCs w:val="24"/>
                <w:highlight w:val="none"/>
              </w:rPr>
            </w:pPr>
            <w:r>
              <w:rPr>
                <w:rFonts w:hint="eastAsia" w:cs="宋体"/>
                <w:b w:val="0"/>
                <w:color w:val="auto"/>
                <w:kern w:val="2"/>
                <w:sz w:val="24"/>
                <w:szCs w:val="24"/>
                <w:highlight w:val="none"/>
              </w:rPr>
              <w:t>8、落实政府采购支持节能产品、环境标志产品政策。</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0" w:name="_Toc26858"/>
      <w:bookmarkStart w:id="31"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0"/>
      <w:bookmarkEnd w:id="31"/>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rPr>
        <w:t>1</w:t>
      </w:r>
      <w:r>
        <w:rPr>
          <w:color w:val="auto"/>
          <w:sz w:val="24"/>
          <w:highlight w:val="none"/>
        </w:rPr>
        <w:t>.4.</w:t>
      </w:r>
      <w:r>
        <w:rPr>
          <w:rFonts w:hint="eastAsia"/>
          <w:color w:val="auto"/>
          <w:sz w:val="24"/>
          <w:highlight w:val="none"/>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rPr>
        <w:t>1</w:t>
      </w:r>
      <w:r>
        <w:rPr>
          <w:color w:val="auto"/>
          <w:sz w:val="24"/>
          <w:highlight w:val="none"/>
        </w:rPr>
        <w:t>.4.</w:t>
      </w:r>
      <w:r>
        <w:rPr>
          <w:rFonts w:hint="eastAsia"/>
          <w:color w:val="auto"/>
          <w:sz w:val="24"/>
          <w:highlight w:val="none"/>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。联合体参加磋商的，</w:t>
      </w:r>
      <w:r>
        <w:rPr>
          <w:rFonts w:hint="eastAsia"/>
          <w:color w:val="auto"/>
          <w:sz w:val="24"/>
          <w:highlight w:val="none"/>
        </w:rPr>
        <w:t>磋商文件获取</w:t>
      </w:r>
      <w:r>
        <w:rPr>
          <w:color w:val="auto"/>
          <w:sz w:val="24"/>
          <w:highlight w:val="none"/>
        </w:rPr>
        <w:t>手续由联合体</w:t>
      </w:r>
      <w:r>
        <w:rPr>
          <w:rFonts w:hint="eastAsia"/>
          <w:color w:val="auto"/>
          <w:sz w:val="24"/>
          <w:highlight w:val="none"/>
        </w:rPr>
        <w:t>中</w:t>
      </w:r>
      <w:r>
        <w:rPr>
          <w:color w:val="auto"/>
          <w:sz w:val="24"/>
          <w:highlight w:val="none"/>
        </w:rPr>
        <w:t>任一</w:t>
      </w:r>
      <w:r>
        <w:rPr>
          <w:rFonts w:hint="eastAsia"/>
          <w:color w:val="auto"/>
          <w:sz w:val="24"/>
          <w:highlight w:val="none"/>
        </w:rPr>
        <w:t>成员单位</w:t>
      </w:r>
      <w:r>
        <w:rPr>
          <w:color w:val="auto"/>
          <w:sz w:val="24"/>
          <w:highlight w:val="none"/>
        </w:rPr>
        <w:t>办理均可。</w:t>
      </w:r>
    </w:p>
    <w:p w14:paraId="7783552F">
      <w:pPr>
        <w:spacing w:line="360" w:lineRule="auto"/>
        <w:ind w:firstLine="435"/>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color w:val="auto"/>
          <w:sz w:val="24"/>
          <w:highlight w:val="none"/>
        </w:rPr>
        <w:t>申请人的资格要求</w:t>
      </w:r>
      <w:r>
        <w:rPr>
          <w:color w:val="auto"/>
          <w:sz w:val="24"/>
          <w:highlight w:val="none"/>
        </w:rPr>
        <w:t>。</w:t>
      </w:r>
    </w:p>
    <w:p w14:paraId="454C111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rPr>
        <w:t>5.1磋商文件包括下列内容：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2采购人可主动地或在答复供应商提出的询问时对磋商文件进行澄清与修改。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32" w:name="_Hlk16458572"/>
      <w:r>
        <w:rPr>
          <w:rFonts w:hint="eastAsia"/>
          <w:color w:val="auto"/>
          <w:sz w:val="24"/>
          <w:szCs w:val="18"/>
          <w:highlight w:val="none"/>
        </w:rPr>
        <w:t>安徽省政府采购网</w:t>
      </w:r>
      <w:bookmarkEnd w:id="32"/>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8.2供应商应提交磋商文件要求的证明文件，证明其响应内容符合磋商文件规定。该证明文件是响应文件的一部分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3" w:name="_Hlk11703583"/>
      <w:r>
        <w:rPr>
          <w:rFonts w:hint="eastAsia" w:asciiTheme="minorEastAsia" w:hAnsiTheme="minorEastAsia" w:eastAsiaTheme="minorEastAsia"/>
          <w:color w:val="auto"/>
          <w:sz w:val="24"/>
          <w:highlight w:val="none"/>
        </w:rPr>
        <w:t>。</w:t>
      </w:r>
      <w:bookmarkEnd w:id="33"/>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2.1供应商应当在竞争性磋商公告规定的响应文件提交截止时间前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cs="宋体"/>
          <w:color w:val="auto"/>
          <w:sz w:val="24"/>
          <w:szCs w:val="24"/>
          <w:highlight w:val="none"/>
        </w:rPr>
      </w:pPr>
      <w:r>
        <w:rPr>
          <w:rFonts w:hint="eastAsia"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cs="宋体"/>
          <w:b/>
          <w:color w:val="auto"/>
          <w:sz w:val="24"/>
          <w:szCs w:val="24"/>
          <w:highlight w:val="none"/>
        </w:rPr>
        <w:t>响应无效</w:t>
      </w:r>
      <w:r>
        <w:rPr>
          <w:rFonts w:hint="eastAsia" w:cs="宋体"/>
          <w:color w:val="auto"/>
          <w:sz w:val="24"/>
          <w:szCs w:val="24"/>
          <w:highlight w:val="none"/>
        </w:rPr>
        <w:t>。</w:t>
      </w:r>
    </w:p>
    <w:p w14:paraId="37012604">
      <w:pPr>
        <w:spacing w:line="360" w:lineRule="auto"/>
        <w:ind w:firstLine="435"/>
        <w:rPr>
          <w:rFonts w:cs="宋体"/>
          <w:color w:val="auto"/>
          <w:sz w:val="24"/>
          <w:szCs w:val="24"/>
          <w:highlight w:val="none"/>
        </w:rPr>
      </w:pPr>
      <w:r>
        <w:rPr>
          <w:rFonts w:hint="eastAsia" w:cs="宋体"/>
          <w:color w:val="auto"/>
          <w:sz w:val="24"/>
          <w:szCs w:val="24"/>
          <w:highlight w:val="none"/>
        </w:rPr>
        <w:t>以联合体形式参加磋商的，联合体成员存在以上不良信用记录的，联合体磋商将被认定为</w:t>
      </w:r>
      <w:r>
        <w:rPr>
          <w:rFonts w:hint="eastAsia" w:cs="宋体"/>
          <w:b/>
          <w:color w:val="auto"/>
          <w:sz w:val="24"/>
          <w:szCs w:val="24"/>
          <w:highlight w:val="none"/>
        </w:rPr>
        <w:t>响应无效</w:t>
      </w:r>
      <w:r>
        <w:rPr>
          <w:rFonts w:hint="eastAsia"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auto"/>
          <w:highlight w:val="none"/>
        </w:rPr>
      </w:pPr>
      <w:r>
        <w:rPr>
          <w:rFonts w:hint="eastAsia" w:asciiTheme="minorEastAsia" w:hAnsiTheme="minorEastAsia" w:eastAsiaTheme="minorEastAsia"/>
          <w:color w:val="auto"/>
          <w:sz w:val="24"/>
          <w:highlight w:val="none"/>
        </w:rPr>
        <w:t xml:space="preserve">14.3.4 </w:t>
      </w:r>
      <w:r>
        <w:rPr>
          <w:rFonts w:hint="eastAsia" w:asciiTheme="minorEastAsia" w:hAnsiTheme="minorEastAsia" w:eastAsiaTheme="minorEastAsia"/>
          <w:b/>
          <w:bCs/>
          <w:color w:val="auto"/>
          <w:sz w:val="24"/>
          <w:highlight w:val="none"/>
        </w:rPr>
        <w:t>异常低价响应审查。</w:t>
      </w:r>
      <w:r>
        <w:rPr>
          <w:rFonts w:hint="eastAsia"/>
          <w:color w:val="auto"/>
          <w:sz w:val="24"/>
          <w:highlight w:val="none"/>
        </w:rPr>
        <w:t>根据《关于推进解决政府采购异常低价问题的通知》（财库〔</w:t>
      </w:r>
      <w:r>
        <w:rPr>
          <w:color w:val="auto"/>
          <w:sz w:val="24"/>
          <w:highlight w:val="none"/>
        </w:rPr>
        <w:t>202</w:t>
      </w:r>
      <w:r>
        <w:rPr>
          <w:rFonts w:hint="eastAsia"/>
          <w:color w:val="auto"/>
          <w:sz w:val="24"/>
          <w:highlight w:val="none"/>
        </w:rPr>
        <w:t>6</w:t>
      </w:r>
      <w:r>
        <w:rPr>
          <w:color w:val="auto"/>
          <w:sz w:val="24"/>
          <w:highlight w:val="none"/>
        </w:rPr>
        <w:t>〕</w:t>
      </w:r>
      <w:r>
        <w:rPr>
          <w:rFonts w:hint="eastAsia"/>
          <w:color w:val="auto"/>
          <w:sz w:val="24"/>
          <w:highlight w:val="none"/>
        </w:rPr>
        <w:t>2</w:t>
      </w:r>
      <w:r>
        <w:rPr>
          <w:color w:val="auto"/>
          <w:sz w:val="24"/>
          <w:highlight w:val="none"/>
        </w:rPr>
        <w:t>号</w:t>
      </w:r>
      <w:r>
        <w:rPr>
          <w:rFonts w:hint="eastAsia"/>
          <w:color w:val="auto"/>
          <w:sz w:val="24"/>
          <w:highlight w:val="none"/>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color w:val="auto"/>
          <w:sz w:val="24"/>
          <w:highlight w:val="none"/>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14.4.4磋商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295C349A">
      <w:pPr>
        <w:spacing w:line="520" w:lineRule="exact"/>
        <w:ind w:firstLine="435"/>
        <w:rPr>
          <w:rFonts w:cs="宋体"/>
          <w:color w:val="auto"/>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cs="宋体"/>
          <w:color w:val="auto"/>
          <w:sz w:val="24"/>
          <w:highlight w:val="none"/>
        </w:rPr>
        <w:t>（本项目约定为两次报价）</w:t>
      </w:r>
    </w:p>
    <w:p w14:paraId="20C6E5B1">
      <w:pPr>
        <w:spacing w:line="360" w:lineRule="auto"/>
        <w:ind w:firstLine="435"/>
        <w:rPr>
          <w:rFonts w:cs="宋体"/>
          <w:b/>
          <w:color w:val="auto"/>
          <w:sz w:val="24"/>
          <w:highlight w:val="none"/>
        </w:rPr>
      </w:pPr>
      <w:r>
        <w:rPr>
          <w:rFonts w:hint="eastAsia" w:cs="宋体"/>
          <w:b/>
          <w:color w:val="auto"/>
          <w:sz w:val="24"/>
          <w:highlight w:val="none"/>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望各供应商务必全程在线，及时进行回复，否则，因此给其造成相关后果，自行承担。</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17.2</w:t>
      </w:r>
      <w:r>
        <w:rPr>
          <w:rFonts w:asciiTheme="minorEastAsia" w:hAnsiTheme="minorEastAsia" w:eastAsiaTheme="minorEastAsia"/>
          <w:b/>
          <w:bCs/>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b/>
          <w:bCs/>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4" w:name="_Hlk60607655"/>
      <w:r>
        <w:rPr>
          <w:rFonts w:hint="eastAsia" w:asciiTheme="majorEastAsia" w:hAnsiTheme="majorEastAsia" w:eastAsiaTheme="majorEastAsia"/>
          <w:color w:val="auto"/>
          <w:sz w:val="24"/>
          <w:highlight w:val="none"/>
        </w:rPr>
        <w:t>17.</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4"/>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rPr>
        <w:t>17.5供应商应当按照企业定额或项目所在地最新建设工程计价依据以及材料市场价格信息等，结合自身实力、施工经验、现场环境以及磋商文件的要求自主报价。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17.9工程造价的确定与控制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17.9.1本工程确定成交供应商后，工程总造价在磋商范围内包定，除经批准的设计变更、经济签证外，其它工程造价增减均不予签证计价。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3</w:t>
      </w:r>
      <w:r>
        <w:rPr>
          <w:rFonts w:hint="eastAsia" w:cs="宋体"/>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4供应商在规定时间内未对工程量清单提出疑问的，成交后，采购人不再对工程量清单的项目和数量进行校对调整。供应商必须按其报价完成竞争性磋商文件规定范围内的设计图纸规定的所有工程项目。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17.10成交供应商在工程量清单报价书中所报的综合单价一律不予调整。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rPr>
        <w:t>17.11本工程不接受恶意不平衡报价，不保证最低价成交。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rPr>
        <w:t>19.1磋商小组根据综合评分的结果和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rPr>
        <w:t>1.1评审将在严格保密的情况下进行。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rPr>
        <w:t>1.2有关人员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b/>
          <w:color w:val="auto"/>
          <w:sz w:val="24"/>
          <w:highlight w:val="none"/>
        </w:rPr>
      </w:pPr>
      <w:r>
        <w:rPr>
          <w:rFonts w:hint="eastAsia"/>
          <w:b/>
          <w:color w:val="auto"/>
          <w:sz w:val="24"/>
          <w:highlight w:val="none"/>
        </w:rPr>
        <w:t>26</w:t>
      </w:r>
      <w:r>
        <w:rPr>
          <w:b/>
          <w:color w:val="auto"/>
          <w:sz w:val="24"/>
          <w:highlight w:val="none"/>
        </w:rPr>
        <w:t>.</w:t>
      </w:r>
      <w:r>
        <w:rPr>
          <w:rFonts w:hint="eastAsia"/>
          <w:b/>
          <w:color w:val="auto"/>
          <w:sz w:val="24"/>
          <w:highlight w:val="none"/>
        </w:rPr>
        <w:t>代理费用</w:t>
      </w:r>
    </w:p>
    <w:p w14:paraId="387B72E0">
      <w:pPr>
        <w:spacing w:line="360" w:lineRule="auto"/>
        <w:ind w:firstLine="435"/>
        <w:rPr>
          <w:color w:val="auto"/>
          <w:sz w:val="24"/>
          <w:highlight w:val="none"/>
        </w:rPr>
      </w:pPr>
      <w:r>
        <w:rPr>
          <w:rFonts w:hint="eastAsia"/>
          <w:color w:val="auto"/>
          <w:sz w:val="24"/>
          <w:highlight w:val="none"/>
        </w:rPr>
        <w:t>26</w:t>
      </w:r>
      <w:r>
        <w:rPr>
          <w:color w:val="auto"/>
          <w:sz w:val="24"/>
          <w:highlight w:val="none"/>
        </w:rPr>
        <w:t>.1本项目</w:t>
      </w:r>
      <w:r>
        <w:rPr>
          <w:rFonts w:hint="eastAsia"/>
          <w:color w:val="auto"/>
          <w:sz w:val="24"/>
          <w:highlight w:val="none"/>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rPr>
        <w:t>27</w:t>
      </w:r>
      <w:r>
        <w:rPr>
          <w:color w:val="auto"/>
          <w:sz w:val="24"/>
          <w:highlight w:val="none"/>
        </w:rPr>
        <w:t>.1</w:t>
      </w:r>
      <w:r>
        <w:rPr>
          <w:rFonts w:hint="eastAsia" w:cs="宋体"/>
          <w:color w:val="auto"/>
          <w:sz w:val="24"/>
          <w:szCs w:val="24"/>
          <w:highlight w:val="none"/>
        </w:rPr>
        <w:t>采购人与成交供应商应当按照</w:t>
      </w:r>
      <w:r>
        <w:rPr>
          <w:rFonts w:hint="eastAsia" w:cs="宋体"/>
          <w:color w:val="auto"/>
          <w:sz w:val="24"/>
          <w:szCs w:val="24"/>
          <w:highlight w:val="none"/>
          <w:u w:val="single"/>
        </w:rPr>
        <w:t>供应商须知前附表</w:t>
      </w:r>
      <w:r>
        <w:rPr>
          <w:rFonts w:hint="eastAsia" w:cs="宋体"/>
          <w:color w:val="auto"/>
          <w:sz w:val="24"/>
          <w:szCs w:val="24"/>
          <w:highlight w:val="none"/>
        </w:rPr>
        <w:t>规定的时间内完成政府采购合同签订及合同公告。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5" w:name="_Hlk60264926"/>
      <w:r>
        <w:rPr>
          <w:rFonts w:hint="eastAsia"/>
          <w:color w:val="auto"/>
          <w:sz w:val="24"/>
          <w:highlight w:val="none"/>
        </w:rPr>
        <w:t>27.4依据《政府采购促进中小企业发展管理办法》（财库〔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5"/>
    </w:p>
    <w:p w14:paraId="4EB81F00">
      <w:pPr>
        <w:spacing w:line="360" w:lineRule="auto"/>
        <w:ind w:firstLine="437"/>
        <w:outlineLvl w:val="2"/>
        <w:rPr>
          <w:b/>
          <w:color w:val="auto"/>
          <w:sz w:val="24"/>
          <w:highlight w:val="none"/>
        </w:rPr>
      </w:pPr>
      <w:r>
        <w:rPr>
          <w:rFonts w:hint="eastAsia"/>
          <w:b/>
          <w:color w:val="auto"/>
          <w:sz w:val="24"/>
          <w:highlight w:val="none"/>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color w:val="auto"/>
          <w:sz w:val="24"/>
          <w:highlight w:val="none"/>
        </w:rPr>
      </w:pPr>
      <w:r>
        <w:rPr>
          <w:rFonts w:hint="eastAsia"/>
          <w:color w:val="auto"/>
          <w:sz w:val="24"/>
          <w:highlight w:val="none"/>
        </w:rPr>
        <w:t>29.3采购代理机构质疑函接收部门、联系电话和通讯地址，见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color w:val="auto"/>
          <w:sz w:val="24"/>
          <w:highlight w:val="none"/>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6" w:name="_Toc30873"/>
      <w:r>
        <w:rPr>
          <w:rFonts w:hint="eastAsia" w:asciiTheme="minorEastAsia" w:hAnsiTheme="minorEastAsia" w:eastAsiaTheme="minorEastAsia"/>
          <w:b/>
          <w:color w:val="auto"/>
          <w:sz w:val="28"/>
          <w:highlight w:val="none"/>
        </w:rPr>
        <w:t>第三章  采购需求</w:t>
      </w:r>
      <w:bookmarkEnd w:id="36"/>
    </w:p>
    <w:tbl>
      <w:tblPr>
        <w:tblStyle w:val="104"/>
        <w:tblW w:w="5887" w:type="pct"/>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783"/>
        <w:gridCol w:w="7261"/>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7ED0AE7F">
            <w:pPr>
              <w:spacing w:line="500" w:lineRule="exact"/>
              <w:jc w:val="center"/>
              <w:rPr>
                <w:rFonts w:cs="宋体" w:asciiTheme="minorHAnsi" w:hAnsiTheme="minorHAnsi" w:eastAsiaTheme="minorEastAsia"/>
                <w:b/>
                <w:color w:val="auto"/>
                <w:kern w:val="2"/>
                <w:sz w:val="24"/>
                <w:szCs w:val="24"/>
                <w:highlight w:val="none"/>
              </w:rPr>
            </w:pPr>
            <w:r>
              <w:rPr>
                <w:rFonts w:hint="eastAsia" w:cs="宋体" w:asciiTheme="minorHAnsi" w:hAnsiTheme="minorHAnsi" w:eastAsiaTheme="minorEastAsia"/>
                <w:b/>
                <w:color w:val="auto"/>
                <w:kern w:val="2"/>
                <w:sz w:val="24"/>
                <w:szCs w:val="24"/>
                <w:highlight w:val="none"/>
              </w:rPr>
              <w:t>序号</w:t>
            </w:r>
          </w:p>
        </w:tc>
        <w:tc>
          <w:tcPr>
            <w:tcW w:w="888" w:type="pct"/>
            <w:vAlign w:val="center"/>
          </w:tcPr>
          <w:p w14:paraId="4CF5B897">
            <w:pPr>
              <w:spacing w:line="500" w:lineRule="exact"/>
              <w:ind w:firstLine="435"/>
              <w:jc w:val="center"/>
              <w:rPr>
                <w:rFonts w:cs="宋体" w:asciiTheme="minorHAnsi" w:hAnsiTheme="minorHAnsi" w:eastAsiaTheme="minorEastAsia"/>
                <w:b/>
                <w:color w:val="auto"/>
                <w:kern w:val="2"/>
                <w:sz w:val="24"/>
                <w:szCs w:val="24"/>
                <w:highlight w:val="none"/>
              </w:rPr>
            </w:pPr>
            <w:r>
              <w:rPr>
                <w:rFonts w:hint="eastAsia" w:cs="宋体" w:asciiTheme="minorHAnsi" w:hAnsiTheme="minorHAnsi" w:eastAsiaTheme="minorEastAsia"/>
                <w:b/>
                <w:color w:val="auto"/>
                <w:kern w:val="2"/>
                <w:sz w:val="24"/>
                <w:szCs w:val="24"/>
                <w:highlight w:val="none"/>
              </w:rPr>
              <w:t>内容</w:t>
            </w:r>
          </w:p>
        </w:tc>
        <w:tc>
          <w:tcPr>
            <w:tcW w:w="3617" w:type="pct"/>
            <w:vAlign w:val="center"/>
          </w:tcPr>
          <w:p w14:paraId="51B292B6">
            <w:pPr>
              <w:spacing w:line="500" w:lineRule="exact"/>
              <w:ind w:firstLine="435"/>
              <w:jc w:val="center"/>
              <w:rPr>
                <w:rFonts w:cs="宋体" w:asciiTheme="minorHAnsi" w:hAnsiTheme="minorHAnsi" w:eastAsiaTheme="minorEastAsia"/>
                <w:b/>
                <w:color w:val="auto"/>
                <w:kern w:val="2"/>
                <w:sz w:val="24"/>
                <w:szCs w:val="24"/>
                <w:highlight w:val="none"/>
              </w:rPr>
            </w:pPr>
            <w:r>
              <w:rPr>
                <w:rFonts w:hint="eastAsia" w:cs="宋体" w:asciiTheme="minorHAnsi" w:hAnsiTheme="minorHAnsi" w:eastAsiaTheme="minorEastAsia"/>
                <w:b/>
                <w:color w:val="auto"/>
                <w:kern w:val="2"/>
                <w:sz w:val="24"/>
                <w:szCs w:val="24"/>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77ABB867">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1</w:t>
            </w:r>
          </w:p>
        </w:tc>
        <w:tc>
          <w:tcPr>
            <w:tcW w:w="888" w:type="pct"/>
            <w:vAlign w:val="center"/>
          </w:tcPr>
          <w:p w14:paraId="28F119A6">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人员到岗及履约要求</w:t>
            </w:r>
          </w:p>
        </w:tc>
        <w:tc>
          <w:tcPr>
            <w:tcW w:w="3617" w:type="pct"/>
            <w:vAlign w:val="center"/>
          </w:tcPr>
          <w:p w14:paraId="25CE96D2">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1.项目经理驻场要求：不得更换项目经理；项目经理驻场累计时间不得低于实际工期的80%，不得无故脱离施工现场，缺少一天按5000元/天从工程结算价抵扣；无故不参加采购人召开的例会、连续缺勤3天、累计缺勤5天或在施工关键技术环节缺勤的，采购人终止合同并对已完工程不予以计量计价，视为成交人违约并承担一切损失和赔偿。</w:t>
            </w:r>
          </w:p>
          <w:p w14:paraId="2B51ECF9">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2.成交人在施工期间，做好采购人既有设施设备的保护和管理，因施工给采购人带来损失的，应予以修复或赔偿，赔偿款从工程结算款价中抵扣。工程结束后提交竣工验收前应做好现场保洁，确保整洁干净。</w:t>
            </w:r>
          </w:p>
          <w:p w14:paraId="50ABB21F">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3.本项目工程，成交人在施工中所使用的水电费，据实结算，从工程结算款价中抵扣。对无法装表计量的用水用电，分别按工程结算价款的0.3%和0.4%收取水电费。</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3798F7A4">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2</w:t>
            </w:r>
          </w:p>
        </w:tc>
        <w:tc>
          <w:tcPr>
            <w:tcW w:w="888" w:type="pct"/>
            <w:vAlign w:val="center"/>
          </w:tcPr>
          <w:p w14:paraId="55F26AE6">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材料要求</w:t>
            </w:r>
          </w:p>
        </w:tc>
        <w:tc>
          <w:tcPr>
            <w:tcW w:w="3617" w:type="pct"/>
            <w:vAlign w:val="center"/>
          </w:tcPr>
          <w:p w14:paraId="7ABB65B2">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1.本项目主材为乳胶漆、腻子、钢质门、木门、木地板、瓷砖、铝扣板、硅钙板、窗帘、竹木纤维板、蹲便器、冲洗水箱、小便器、隔断、不锈钢拖把池、防水涂料、灯具、电线电缆、配电箱、风扇、桥架、开关、面板、电气元器件、六类非屏蔽双绞线。</w:t>
            </w:r>
          </w:p>
          <w:p w14:paraId="26780BAE">
            <w:pPr>
              <w:spacing w:line="500" w:lineRule="exact"/>
              <w:rPr>
                <w:rFonts w:cs="宋体" w:asciiTheme="minorHAnsi" w:hAnsiTheme="minorHAnsi" w:eastAsiaTheme="minorEastAsia"/>
                <w:b/>
                <w:bCs/>
                <w:color w:val="auto"/>
                <w:kern w:val="2"/>
                <w:sz w:val="24"/>
                <w:szCs w:val="24"/>
                <w:highlight w:val="none"/>
              </w:rPr>
            </w:pPr>
            <w:r>
              <w:rPr>
                <w:rFonts w:hint="eastAsia" w:cs="宋体" w:asciiTheme="minorHAnsi" w:hAnsiTheme="minorHAnsi" w:eastAsiaTheme="minorEastAsia"/>
                <w:b/>
                <w:bCs/>
                <w:color w:val="auto"/>
                <w:kern w:val="2"/>
                <w:sz w:val="24"/>
                <w:szCs w:val="24"/>
                <w:highlight w:val="none"/>
              </w:rPr>
              <w:t>2.供应商在响应文件中需明确上述材料品牌、规格或型号，承诺进场前提供</w:t>
            </w:r>
            <w:r>
              <w:rPr>
                <w:rFonts w:hint="eastAsia" w:cs="宋体" w:asciiTheme="minorHAnsi" w:hAnsiTheme="minorHAnsi" w:eastAsiaTheme="minorEastAsia"/>
                <w:b/>
                <w:bCs/>
                <w:color w:val="auto"/>
                <w:kern w:val="2"/>
                <w:sz w:val="24"/>
                <w:szCs w:val="24"/>
                <w:highlight w:val="none"/>
              </w:rPr>
              <w:t>主材第三方有权机构出具“CMA”或“CNAS”标识的产品检验报告或出厂合格证</w:t>
            </w:r>
            <w:r>
              <w:rPr>
                <w:rFonts w:hint="eastAsia" w:cs="宋体" w:asciiTheme="minorHAnsi" w:hAnsiTheme="minorHAnsi" w:eastAsiaTheme="minorEastAsia"/>
                <w:b/>
                <w:bCs/>
                <w:color w:val="auto"/>
                <w:kern w:val="2"/>
                <w:sz w:val="24"/>
                <w:szCs w:val="24"/>
                <w:highlight w:val="none"/>
              </w:rPr>
              <w:t>，各单项结论均符合国标要求及招标清单要求。</w:t>
            </w:r>
            <w:r>
              <w:rPr>
                <w:rFonts w:hint="eastAsia" w:cs="宋体" w:asciiTheme="minorHAnsi" w:hAnsiTheme="minorHAnsi" w:eastAsiaTheme="minorEastAsia"/>
                <w:b/>
                <w:bCs/>
                <w:color w:val="auto"/>
                <w:kern w:val="2"/>
                <w:sz w:val="24"/>
                <w:szCs w:val="24"/>
                <w:highlight w:val="none"/>
                <w:lang w:val="en-US" w:eastAsia="zh-CN"/>
              </w:rPr>
              <w:t>响应</w:t>
            </w:r>
            <w:r>
              <w:rPr>
                <w:rFonts w:hint="eastAsia" w:cs="宋体" w:asciiTheme="minorHAnsi" w:hAnsiTheme="minorHAnsi" w:eastAsiaTheme="minorEastAsia"/>
                <w:b/>
                <w:bCs/>
                <w:color w:val="auto"/>
                <w:kern w:val="2"/>
                <w:sz w:val="24"/>
                <w:szCs w:val="24"/>
                <w:highlight w:val="none"/>
              </w:rPr>
              <w:t>文件提供承诺书（格式自理），否则按无效响应处理。</w:t>
            </w:r>
          </w:p>
          <w:p w14:paraId="0EF63643">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3.所有主材和辅材、主件和配件应为市面可见的全新正规产品，不得使用二手产品；所购设备及材料必须符合招标要求和国家相关安全、环保标准。</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5650DF8A">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3</w:t>
            </w:r>
          </w:p>
        </w:tc>
        <w:tc>
          <w:tcPr>
            <w:tcW w:w="888" w:type="pct"/>
            <w:vAlign w:val="center"/>
          </w:tcPr>
          <w:p w14:paraId="0248369B">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工程施工重点难点</w:t>
            </w:r>
          </w:p>
        </w:tc>
        <w:tc>
          <w:tcPr>
            <w:tcW w:w="3617" w:type="pct"/>
            <w:vAlign w:val="center"/>
          </w:tcPr>
          <w:p w14:paraId="7B2AA394">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施工细节把控。</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5A6A7E42">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4</w:t>
            </w:r>
          </w:p>
        </w:tc>
        <w:tc>
          <w:tcPr>
            <w:tcW w:w="888" w:type="pct"/>
            <w:vAlign w:val="center"/>
          </w:tcPr>
          <w:p w14:paraId="5D175C07">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报价须知</w:t>
            </w:r>
          </w:p>
        </w:tc>
        <w:tc>
          <w:tcPr>
            <w:tcW w:w="3617" w:type="pct"/>
            <w:vAlign w:val="center"/>
          </w:tcPr>
          <w:p w14:paraId="4717948F">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1.供应商最后报价均不得高于磋商文件（公告）列明的项目预算、最高投标限价，否则其响应文件将被认定为响应无效。</w:t>
            </w:r>
          </w:p>
          <w:p w14:paraId="382DF33B">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2.</w:t>
            </w:r>
            <w:r>
              <w:rPr>
                <w:rFonts w:hint="eastAsia" w:cs="宋体" w:asciiTheme="minorHAnsi" w:hAnsiTheme="minorHAnsi" w:eastAsiaTheme="minorEastAsia"/>
                <w:color w:val="auto"/>
                <w:kern w:val="2"/>
                <w:sz w:val="24"/>
                <w:szCs w:val="24"/>
                <w:highlight w:val="none"/>
                <w:lang w:val="en-US" w:eastAsia="zh-CN"/>
              </w:rPr>
              <w:t>供应商</w:t>
            </w:r>
            <w:r>
              <w:rPr>
                <w:rFonts w:hint="eastAsia" w:cs="宋体" w:asciiTheme="minorHAnsi" w:hAnsiTheme="minorHAnsi" w:eastAsiaTheme="minorEastAsia"/>
                <w:color w:val="auto"/>
                <w:kern w:val="2"/>
                <w:sz w:val="24"/>
                <w:szCs w:val="24"/>
                <w:highlight w:val="none"/>
              </w:rPr>
              <w:t>应仔细审阅工程量清单及施工图纸，认真组织现场踏勘，全面掌握施工现场条件与周边环境。在此基础上，结合</w:t>
            </w:r>
            <w:r>
              <w:rPr>
                <w:rFonts w:hint="eastAsia" w:cs="宋体" w:asciiTheme="minorHAnsi" w:hAnsiTheme="minorHAnsi" w:eastAsiaTheme="minorEastAsia"/>
                <w:color w:val="auto"/>
                <w:kern w:val="2"/>
                <w:sz w:val="24"/>
                <w:szCs w:val="24"/>
                <w:highlight w:val="none"/>
                <w:lang w:val="en-US" w:eastAsia="zh-CN"/>
              </w:rPr>
              <w:t>磋商</w:t>
            </w:r>
            <w:r>
              <w:rPr>
                <w:rFonts w:hint="eastAsia" w:cs="宋体" w:asciiTheme="minorHAnsi" w:hAnsiTheme="minorHAnsi" w:eastAsiaTheme="minorEastAsia"/>
                <w:color w:val="auto"/>
                <w:kern w:val="2"/>
                <w:sz w:val="24"/>
                <w:szCs w:val="24"/>
                <w:highlight w:val="none"/>
              </w:rPr>
              <w:t>文件要求、图纸设计意图及踏勘实况，充分考虑各类风险因素，慎重作出报价决策。</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5C128B73">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5</w:t>
            </w:r>
          </w:p>
        </w:tc>
        <w:tc>
          <w:tcPr>
            <w:tcW w:w="888" w:type="pct"/>
            <w:vAlign w:val="center"/>
          </w:tcPr>
          <w:p w14:paraId="764B0141">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重要说明</w:t>
            </w:r>
          </w:p>
        </w:tc>
        <w:tc>
          <w:tcPr>
            <w:tcW w:w="3617" w:type="pct"/>
            <w:vAlign w:val="center"/>
          </w:tcPr>
          <w:p w14:paraId="5BD8340D">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政府采购政策（包括但不限于下列具体政策要求）：</w:t>
            </w:r>
          </w:p>
          <w:p w14:paraId="726F71B9">
            <w:pPr>
              <w:spacing w:line="500" w:lineRule="exact"/>
              <w:rPr>
                <w:rFonts w:cs="宋体" w:asciiTheme="minorHAnsi" w:hAnsiTheme="minorHAnsi" w:eastAsiaTheme="minorEastAsia"/>
                <w:b/>
                <w:bCs/>
                <w:color w:val="auto"/>
                <w:kern w:val="2"/>
                <w:sz w:val="24"/>
                <w:szCs w:val="24"/>
                <w:highlight w:val="none"/>
              </w:rPr>
            </w:pPr>
            <w:r>
              <w:rPr>
                <w:rFonts w:hint="eastAsia" w:cs="宋体" w:asciiTheme="minorHAnsi" w:hAnsiTheme="minorHAnsi" w:eastAsiaTheme="minorEastAsia"/>
                <w:color w:val="auto"/>
                <w:kern w:val="2"/>
                <w:sz w:val="24"/>
                <w:szCs w:val="24"/>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r>
              <w:rPr>
                <w:rFonts w:hint="eastAsia" w:cs="宋体" w:asciiTheme="minorHAnsi" w:hAnsiTheme="minorHAnsi" w:eastAsiaTheme="minorEastAsia"/>
                <w:b/>
                <w:bCs/>
                <w:color w:val="auto"/>
                <w:kern w:val="2"/>
                <w:sz w:val="24"/>
                <w:szCs w:val="24"/>
                <w:highlight w:val="none"/>
              </w:rPr>
              <w:t>本项目内涉及的产品有：蹲便器、小便器、水嘴。</w:t>
            </w:r>
          </w:p>
          <w:p w14:paraId="24D1A62F">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2C7E1ACB">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6</w:t>
            </w:r>
          </w:p>
        </w:tc>
        <w:tc>
          <w:tcPr>
            <w:tcW w:w="888" w:type="pct"/>
            <w:vAlign w:val="center"/>
          </w:tcPr>
          <w:p w14:paraId="7C6E060D">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项目经理</w:t>
            </w:r>
          </w:p>
        </w:tc>
        <w:tc>
          <w:tcPr>
            <w:tcW w:w="3617" w:type="pct"/>
            <w:vAlign w:val="center"/>
          </w:tcPr>
          <w:p w14:paraId="0E6460FC">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见第一章《磋商邀请》</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399967DD">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7</w:t>
            </w:r>
          </w:p>
        </w:tc>
        <w:tc>
          <w:tcPr>
            <w:tcW w:w="888" w:type="pct"/>
            <w:vAlign w:val="center"/>
          </w:tcPr>
          <w:p w14:paraId="2CBC270C">
            <w:pPr>
              <w:pStyle w:val="76"/>
              <w:widowControl w:val="0"/>
              <w:spacing w:before="0" w:beforeAutospacing="0" w:after="0" w:afterAutospacing="0"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b w:val="0"/>
                <w:color w:val="auto"/>
                <w:kern w:val="2"/>
                <w:sz w:val="24"/>
                <w:szCs w:val="24"/>
                <w:highlight w:val="none"/>
              </w:rPr>
              <w:t>本项目采购标的名称及所属行业</w:t>
            </w:r>
          </w:p>
        </w:tc>
        <w:tc>
          <w:tcPr>
            <w:tcW w:w="3617" w:type="pct"/>
            <w:vAlign w:val="center"/>
          </w:tcPr>
          <w:p w14:paraId="17BF0A28">
            <w:pPr>
              <w:spacing w:line="500" w:lineRule="exact"/>
              <w:jc w:val="lef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标的名称：滁州学院2026年部分教学场所改造工程</w:t>
            </w:r>
          </w:p>
          <w:p w14:paraId="511999CE">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所属行业：建筑业</w:t>
            </w:r>
          </w:p>
        </w:tc>
      </w:tr>
      <w:tr w14:paraId="74FA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37AB804E">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8</w:t>
            </w:r>
          </w:p>
        </w:tc>
        <w:tc>
          <w:tcPr>
            <w:tcW w:w="888" w:type="pct"/>
            <w:vAlign w:val="center"/>
          </w:tcPr>
          <w:p w14:paraId="52C6B4BD">
            <w:pPr>
              <w:pStyle w:val="76"/>
              <w:widowControl w:val="0"/>
              <w:spacing w:before="0" w:beforeAutospacing="0" w:after="0" w:afterAutospacing="0" w:line="500" w:lineRule="exact"/>
              <w:rPr>
                <w:rFonts w:cs="宋体" w:asciiTheme="minorHAnsi" w:hAnsiTheme="minorHAnsi" w:eastAsiaTheme="minorEastAsia"/>
                <w:b w:val="0"/>
                <w:color w:val="auto"/>
                <w:kern w:val="2"/>
                <w:sz w:val="24"/>
                <w:szCs w:val="24"/>
                <w:highlight w:val="none"/>
              </w:rPr>
            </w:pPr>
            <w:r>
              <w:rPr>
                <w:rFonts w:hint="eastAsia" w:cs="宋体" w:asciiTheme="minorHAnsi" w:hAnsiTheme="minorHAnsi" w:eastAsiaTheme="minorEastAsia"/>
                <w:b w:val="0"/>
                <w:color w:val="auto"/>
                <w:kern w:val="2"/>
                <w:sz w:val="24"/>
                <w:szCs w:val="24"/>
                <w:highlight w:val="none"/>
              </w:rPr>
              <w:t>免费质保期</w:t>
            </w:r>
          </w:p>
        </w:tc>
        <w:tc>
          <w:tcPr>
            <w:tcW w:w="3617" w:type="pct"/>
            <w:vAlign w:val="center"/>
          </w:tcPr>
          <w:p w14:paraId="7E7EF2AC">
            <w:pPr>
              <w:spacing w:line="500" w:lineRule="exact"/>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本项目免费质量保证期为自验收合格之日起，防水不低于5年,其他内容不低于2年，具体以成交人承诺时间为准。质保期内发生非人为质量问题，成交人收到采购人通知时，应及时响应及时处置，符合维修条件时，3天内完成维修，如遇紧急情况，按采购人要求执行。不能按采购人要求及时到达及时维修的，由采购人组织第三方维修，费用由成交人支付，其发生的费用无需征得成交人同意。成交人拒绝支付的，采购人有权通过法律途径解决。质保期内，同一位置的大便器、小便器、冲洗水箱发生故障、失灵两次及以上的，成交人须无条件更换新品。给采购人造成损失或社会不良影响的，视为违约行为，采购人有权依法依规追究其法律责任。</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vAlign w:val="center"/>
          </w:tcPr>
          <w:p w14:paraId="7C8A1C23">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9</w:t>
            </w:r>
          </w:p>
        </w:tc>
        <w:tc>
          <w:tcPr>
            <w:tcW w:w="888" w:type="pct"/>
            <w:vAlign w:val="center"/>
          </w:tcPr>
          <w:p w14:paraId="4448E7DF">
            <w:pPr>
              <w:spacing w:line="500" w:lineRule="exact"/>
              <w:jc w:val="left"/>
              <w:rPr>
                <w:rFonts w:cs="宋体" w:asciiTheme="minorHAnsi" w:hAnsiTheme="minorHAnsi" w:eastAsiaTheme="minorEastAsia"/>
                <w:color w:val="auto"/>
                <w:kern w:val="2"/>
                <w:sz w:val="24"/>
                <w:szCs w:val="24"/>
                <w:highlight w:val="none"/>
              </w:rPr>
            </w:pPr>
            <w:r>
              <w:rPr>
                <w:rFonts w:hint="eastAsia" w:cs="@仿宋_GB2312" w:asciiTheme="minorHAnsi" w:hAnsiTheme="minorHAnsi" w:eastAsiaTheme="minorEastAsia"/>
                <w:color w:val="auto"/>
                <w:kern w:val="2"/>
                <w:sz w:val="24"/>
                <w:szCs w:val="22"/>
                <w:highlight w:val="none"/>
              </w:rPr>
              <w:t>现场管理要求</w:t>
            </w:r>
          </w:p>
        </w:tc>
        <w:tc>
          <w:tcPr>
            <w:tcW w:w="3617" w:type="pct"/>
            <w:vAlign w:val="center"/>
          </w:tcPr>
          <w:p w14:paraId="377F2228">
            <w:pPr>
              <w:spacing w:line="500" w:lineRule="exact"/>
              <w:jc w:val="left"/>
              <w:rPr>
                <w:rFonts w:cs="宋体" w:asciiTheme="minorHAnsi" w:hAnsiTheme="minorHAnsi" w:eastAsiaTheme="minorEastAsia"/>
                <w:color w:val="auto"/>
                <w:kern w:val="2"/>
                <w:sz w:val="24"/>
                <w:szCs w:val="24"/>
                <w:highlight w:val="none"/>
              </w:rPr>
            </w:pPr>
            <w:r>
              <w:rPr>
                <w:rFonts w:hint="eastAsia" w:cs="@仿宋_GB2312" w:asciiTheme="minorHAnsi" w:hAnsiTheme="minorHAnsi" w:eastAsiaTheme="minorEastAsia"/>
                <w:iCs/>
                <w:color w:val="auto"/>
                <w:kern w:val="2"/>
                <w:sz w:val="24"/>
                <w:szCs w:val="18"/>
                <w:highlight w:val="none"/>
              </w:rPr>
              <w:t>详见合同</w:t>
            </w:r>
          </w:p>
        </w:tc>
      </w:tr>
      <w:tr w14:paraId="6A8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93" w:type="pct"/>
            <w:vAlign w:val="center"/>
          </w:tcPr>
          <w:p w14:paraId="1FE2D2B4">
            <w:pPr>
              <w:spacing w:line="500" w:lineRule="exact"/>
              <w:jc w:val="center"/>
              <w:rPr>
                <w:rFonts w:cs="宋体" w:asciiTheme="minorHAnsi" w:hAnsiTheme="minorHAnsi" w:eastAsiaTheme="minorEastAsia"/>
                <w:color w:val="auto"/>
                <w:kern w:val="2"/>
                <w:sz w:val="24"/>
                <w:szCs w:val="24"/>
                <w:highlight w:val="none"/>
              </w:rPr>
            </w:pPr>
            <w:r>
              <w:rPr>
                <w:rFonts w:hint="eastAsia" w:cs="宋体" w:asciiTheme="minorHAnsi" w:hAnsiTheme="minorHAnsi" w:eastAsiaTheme="minorEastAsia"/>
                <w:color w:val="auto"/>
                <w:kern w:val="2"/>
                <w:sz w:val="24"/>
                <w:szCs w:val="24"/>
                <w:highlight w:val="none"/>
              </w:rPr>
              <w:t>10</w:t>
            </w:r>
          </w:p>
        </w:tc>
        <w:tc>
          <w:tcPr>
            <w:tcW w:w="888" w:type="pct"/>
            <w:vAlign w:val="center"/>
          </w:tcPr>
          <w:p w14:paraId="5A8D28E9">
            <w:pPr>
              <w:spacing w:line="500" w:lineRule="exact"/>
              <w:jc w:val="left"/>
              <w:rPr>
                <w:rFonts w:cs="宋体" w:asciiTheme="minorHAnsi" w:hAnsiTheme="minorHAnsi" w:eastAsiaTheme="minorEastAsia"/>
                <w:color w:val="auto"/>
                <w:kern w:val="2"/>
                <w:sz w:val="24"/>
                <w:szCs w:val="24"/>
                <w:highlight w:val="none"/>
              </w:rPr>
            </w:pPr>
            <w:r>
              <w:rPr>
                <w:rFonts w:hint="eastAsia" w:cs="@仿宋_GB2312" w:asciiTheme="minorHAnsi" w:hAnsiTheme="minorHAnsi" w:eastAsiaTheme="minorEastAsia"/>
                <w:color w:val="auto"/>
                <w:kern w:val="2"/>
                <w:sz w:val="24"/>
                <w:szCs w:val="22"/>
                <w:highlight w:val="none"/>
              </w:rPr>
              <w:t>其他要求</w:t>
            </w:r>
          </w:p>
        </w:tc>
        <w:tc>
          <w:tcPr>
            <w:tcW w:w="3617" w:type="pct"/>
            <w:vAlign w:val="center"/>
          </w:tcPr>
          <w:p w14:paraId="29AD20F7">
            <w:pPr>
              <w:spacing w:line="500" w:lineRule="exact"/>
              <w:jc w:val="left"/>
              <w:rPr>
                <w:rFonts w:cs="宋体" w:asciiTheme="minorHAnsi" w:hAnsiTheme="minorHAnsi" w:eastAsiaTheme="minorEastAsia"/>
                <w:color w:val="auto"/>
                <w:kern w:val="2"/>
                <w:sz w:val="24"/>
                <w:szCs w:val="24"/>
                <w:highlight w:val="none"/>
              </w:rPr>
            </w:pPr>
            <w:r>
              <w:rPr>
                <w:rFonts w:hint="eastAsia" w:cs="@仿宋_GB2312" w:asciiTheme="minorHAnsi" w:hAnsiTheme="minorHAnsi" w:eastAsiaTheme="minorEastAsia"/>
                <w:iCs/>
                <w:color w:val="auto"/>
                <w:kern w:val="2"/>
                <w:sz w:val="24"/>
                <w:szCs w:val="18"/>
                <w:highlight w:val="none"/>
              </w:rPr>
              <w:t>详见合同</w:t>
            </w:r>
          </w:p>
        </w:tc>
      </w:tr>
    </w:tbl>
    <w:p w14:paraId="02D7BCED">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7" w:name="_Toc11353"/>
      <w:r>
        <w:rPr>
          <w:rFonts w:hint="eastAsia" w:asciiTheme="minorEastAsia" w:hAnsiTheme="minorEastAsia" w:eastAsiaTheme="minorEastAsia"/>
          <w:b/>
          <w:color w:val="auto"/>
          <w:sz w:val="28"/>
          <w:highlight w:val="none"/>
        </w:rPr>
        <w:t>第四章  评审方法和标准</w:t>
      </w:r>
      <w:bookmarkEnd w:id="37"/>
    </w:p>
    <w:p w14:paraId="405AFB19">
      <w:pPr>
        <w:spacing w:line="360" w:lineRule="auto"/>
        <w:ind w:firstLine="437"/>
        <w:outlineLvl w:val="1"/>
        <w:rPr>
          <w:rFonts w:asciiTheme="minorEastAsia" w:hAnsiTheme="minorEastAsia" w:eastAsiaTheme="minorEastAsia"/>
          <w:b/>
          <w:color w:val="auto"/>
          <w:sz w:val="24"/>
          <w:highlight w:val="none"/>
        </w:rPr>
      </w:pPr>
      <w:bookmarkStart w:id="38" w:name="_Toc31533"/>
      <w:bookmarkStart w:id="39" w:name="_Toc3679"/>
      <w:r>
        <w:rPr>
          <w:rFonts w:hint="eastAsia" w:asciiTheme="minorEastAsia" w:hAnsiTheme="minorEastAsia" w:eastAsiaTheme="minorEastAsia"/>
          <w:b/>
          <w:color w:val="auto"/>
          <w:sz w:val="24"/>
          <w:highlight w:val="none"/>
        </w:rPr>
        <w:t>一、总则</w:t>
      </w:r>
      <w:bookmarkEnd w:id="38"/>
      <w:bookmarkEnd w:id="39"/>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40" w:name="_Toc13405"/>
      <w:bookmarkStart w:id="41" w:name="_Toc16232"/>
      <w:r>
        <w:rPr>
          <w:rFonts w:hint="eastAsia" w:asciiTheme="minorEastAsia" w:hAnsiTheme="minorEastAsia" w:eastAsiaTheme="minorEastAsia"/>
          <w:b/>
          <w:color w:val="auto"/>
          <w:sz w:val="24"/>
          <w:highlight w:val="none"/>
        </w:rPr>
        <w:t>二、评审方法</w:t>
      </w:r>
      <w:bookmarkEnd w:id="40"/>
      <w:bookmarkEnd w:id="41"/>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08"/>
        <w:gridCol w:w="4225"/>
        <w:gridCol w:w="256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spacing w:line="360" w:lineRule="auto"/>
              <w:ind w:right="-10"/>
              <w:jc w:val="center"/>
              <w:rPr>
                <w:rFonts w:cs="宋体"/>
                <w:b/>
                <w:color w:val="auto"/>
                <w:kern w:val="2"/>
                <w:sz w:val="24"/>
                <w:szCs w:val="24"/>
                <w:highlight w:val="none"/>
              </w:rPr>
            </w:pPr>
            <w:r>
              <w:rPr>
                <w:rFonts w:hint="eastAsia" w:cs="宋体"/>
                <w:b/>
                <w:color w:val="auto"/>
                <w:kern w:val="2"/>
                <w:sz w:val="24"/>
                <w:szCs w:val="24"/>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2" w:type="pct"/>
            <w:tcBorders>
              <w:bottom w:val="single" w:color="auto" w:sz="4" w:space="0"/>
            </w:tcBorders>
            <w:vAlign w:val="center"/>
          </w:tcPr>
          <w:p w14:paraId="5A5D2716">
            <w:pPr>
              <w:adjustRightInd w:val="0"/>
              <w:snapToGrid w:val="0"/>
              <w:spacing w:line="360" w:lineRule="auto"/>
              <w:ind w:right="-10"/>
              <w:jc w:val="center"/>
              <w:rPr>
                <w:rFonts w:cs="宋体"/>
                <w:b/>
                <w:bCs/>
                <w:color w:val="auto"/>
                <w:kern w:val="2"/>
                <w:sz w:val="24"/>
                <w:szCs w:val="24"/>
                <w:highlight w:val="none"/>
              </w:rPr>
            </w:pPr>
            <w:r>
              <w:rPr>
                <w:rFonts w:hint="eastAsia" w:cs="宋体"/>
                <w:b/>
                <w:bCs/>
                <w:color w:val="auto"/>
                <w:sz w:val="24"/>
                <w:szCs w:val="24"/>
                <w:highlight w:val="none"/>
              </w:rPr>
              <w:t>序号</w:t>
            </w:r>
          </w:p>
        </w:tc>
        <w:tc>
          <w:tcPr>
            <w:tcW w:w="882" w:type="pct"/>
            <w:tcBorders>
              <w:bottom w:val="single" w:color="auto" w:sz="4" w:space="0"/>
            </w:tcBorders>
            <w:vAlign w:val="center"/>
          </w:tcPr>
          <w:p w14:paraId="29066BA6">
            <w:pPr>
              <w:pStyle w:val="77"/>
              <w:pBdr>
                <w:bottom w:val="none" w:color="auto" w:sz="0" w:space="0"/>
              </w:pBdr>
              <w:tabs>
                <w:tab w:val="clear" w:pos="4153"/>
                <w:tab w:val="clear" w:pos="8306"/>
              </w:tabs>
              <w:snapToGrid w:val="0"/>
              <w:spacing w:line="360" w:lineRule="auto"/>
              <w:ind w:right="-10"/>
              <w:textAlignment w:val="auto"/>
              <w:rPr>
                <w:rFonts w:cs="宋体"/>
                <w:b/>
                <w:bCs/>
                <w:color w:val="auto"/>
                <w:kern w:val="2"/>
                <w:szCs w:val="24"/>
                <w:highlight w:val="none"/>
              </w:rPr>
            </w:pPr>
            <w:r>
              <w:rPr>
                <w:rFonts w:hint="eastAsia" w:cs="宋体"/>
                <w:b/>
                <w:bCs/>
                <w:color w:val="auto"/>
                <w:kern w:val="2"/>
                <w:szCs w:val="24"/>
                <w:highlight w:val="none"/>
              </w:rPr>
              <w:t>审查因素</w:t>
            </w:r>
          </w:p>
        </w:tc>
        <w:tc>
          <w:tcPr>
            <w:tcW w:w="2316" w:type="pct"/>
            <w:tcBorders>
              <w:bottom w:val="single" w:color="auto" w:sz="4" w:space="0"/>
            </w:tcBorders>
            <w:vAlign w:val="center"/>
          </w:tcPr>
          <w:p w14:paraId="0C8807FF">
            <w:pPr>
              <w:adjustRightInd w:val="0"/>
              <w:snapToGrid w:val="0"/>
              <w:spacing w:line="360" w:lineRule="auto"/>
              <w:ind w:right="-10"/>
              <w:jc w:val="center"/>
              <w:rPr>
                <w:rFonts w:cs="宋体"/>
                <w:b/>
                <w:bCs/>
                <w:color w:val="auto"/>
                <w:kern w:val="2"/>
                <w:sz w:val="24"/>
                <w:szCs w:val="24"/>
                <w:highlight w:val="none"/>
              </w:rPr>
            </w:pPr>
            <w:r>
              <w:rPr>
                <w:rFonts w:hint="eastAsia" w:cs="宋体"/>
                <w:b/>
                <w:bCs/>
                <w:color w:val="auto"/>
                <w:sz w:val="24"/>
                <w:szCs w:val="24"/>
                <w:highlight w:val="none"/>
              </w:rPr>
              <w:t>审查内容</w:t>
            </w:r>
          </w:p>
        </w:tc>
        <w:tc>
          <w:tcPr>
            <w:tcW w:w="1408" w:type="pct"/>
            <w:tcBorders>
              <w:bottom w:val="single" w:color="auto" w:sz="4" w:space="0"/>
            </w:tcBorders>
            <w:vAlign w:val="center"/>
          </w:tcPr>
          <w:p w14:paraId="6DC65911">
            <w:pPr>
              <w:adjustRightInd w:val="0"/>
              <w:snapToGrid w:val="0"/>
              <w:spacing w:line="360" w:lineRule="auto"/>
              <w:ind w:right="-10"/>
              <w:jc w:val="center"/>
              <w:rPr>
                <w:rFonts w:cs="宋体"/>
                <w:b/>
                <w:bCs/>
                <w:color w:val="auto"/>
                <w:kern w:val="2"/>
                <w:sz w:val="24"/>
                <w:szCs w:val="24"/>
                <w:highlight w:val="none"/>
              </w:rPr>
            </w:pPr>
            <w:r>
              <w:rPr>
                <w:rFonts w:hint="eastAsia" w:cs="宋体"/>
                <w:b/>
                <w:bCs/>
                <w:color w:val="auto"/>
                <w:sz w:val="24"/>
                <w:szCs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392" w:type="pct"/>
            <w:tcBorders>
              <w:bottom w:val="single" w:color="auto" w:sz="4" w:space="0"/>
            </w:tcBorders>
            <w:vAlign w:val="center"/>
          </w:tcPr>
          <w:p w14:paraId="190C42D7">
            <w:pPr>
              <w:adjustRightInd w:val="0"/>
              <w:snapToGrid w:val="0"/>
              <w:spacing w:line="360" w:lineRule="auto"/>
              <w:ind w:right="-10"/>
              <w:jc w:val="center"/>
              <w:rPr>
                <w:rFonts w:cs="宋体"/>
                <w:color w:val="auto"/>
                <w:kern w:val="2"/>
                <w:sz w:val="24"/>
                <w:szCs w:val="24"/>
                <w:highlight w:val="none"/>
              </w:rPr>
            </w:pPr>
            <w:r>
              <w:rPr>
                <w:rFonts w:hint="eastAsia" w:cs="宋体"/>
                <w:color w:val="auto"/>
                <w:sz w:val="24"/>
                <w:szCs w:val="24"/>
                <w:highlight w:val="none"/>
              </w:rPr>
              <w:t>1</w:t>
            </w:r>
          </w:p>
        </w:tc>
        <w:tc>
          <w:tcPr>
            <w:tcW w:w="882" w:type="pct"/>
            <w:tcBorders>
              <w:bottom w:val="single" w:color="auto" w:sz="4" w:space="0"/>
            </w:tcBorders>
            <w:vAlign w:val="center"/>
          </w:tcPr>
          <w:p w14:paraId="77535CBB">
            <w:pPr>
              <w:spacing w:line="360" w:lineRule="auto"/>
              <w:ind w:right="-10"/>
              <w:jc w:val="center"/>
              <w:rPr>
                <w:rFonts w:cs="宋体"/>
                <w:color w:val="auto"/>
                <w:kern w:val="2"/>
                <w:sz w:val="24"/>
                <w:szCs w:val="24"/>
                <w:highlight w:val="none"/>
              </w:rPr>
            </w:pPr>
            <w:r>
              <w:rPr>
                <w:rFonts w:hint="eastAsia" w:cs="宋体"/>
                <w:color w:val="auto"/>
                <w:spacing w:val="9"/>
                <w:sz w:val="24"/>
                <w:szCs w:val="24"/>
                <w:highlight w:val="none"/>
              </w:rPr>
              <w:t>营业执照等证明</w:t>
            </w:r>
            <w:r>
              <w:rPr>
                <w:rFonts w:hint="eastAsia" w:cs="宋体"/>
                <w:color w:val="auto"/>
                <w:spacing w:val="-3"/>
                <w:sz w:val="24"/>
                <w:szCs w:val="24"/>
                <w:highlight w:val="none"/>
              </w:rPr>
              <w:t>文件</w:t>
            </w:r>
          </w:p>
        </w:tc>
        <w:tc>
          <w:tcPr>
            <w:tcW w:w="2316" w:type="pct"/>
            <w:tcBorders>
              <w:bottom w:val="single" w:color="auto" w:sz="4" w:space="0"/>
            </w:tcBorders>
            <w:vAlign w:val="center"/>
          </w:tcPr>
          <w:p w14:paraId="2B4144DE">
            <w:pPr>
              <w:spacing w:line="360" w:lineRule="auto"/>
              <w:ind w:right="-10"/>
              <w:jc w:val="left"/>
              <w:rPr>
                <w:rFonts w:cs="宋体"/>
                <w:color w:val="auto"/>
                <w:sz w:val="24"/>
                <w:szCs w:val="24"/>
                <w:highlight w:val="none"/>
              </w:rPr>
            </w:pPr>
            <w:r>
              <w:rPr>
                <w:rFonts w:hint="eastAsia" w:cs="宋体"/>
                <w:color w:val="auto"/>
                <w:sz w:val="24"/>
                <w:szCs w:val="24"/>
                <w:highlight w:val="none"/>
              </w:rPr>
              <w:t>（1）供应商为企业（包括合伙企业）的，应提供有效的营业执照；</w:t>
            </w:r>
          </w:p>
          <w:p w14:paraId="42E28D80">
            <w:pPr>
              <w:spacing w:line="360" w:lineRule="auto"/>
              <w:ind w:right="-10"/>
              <w:jc w:val="left"/>
              <w:rPr>
                <w:rFonts w:cs="宋体"/>
                <w:color w:val="auto"/>
                <w:sz w:val="24"/>
                <w:szCs w:val="24"/>
                <w:highlight w:val="none"/>
              </w:rPr>
            </w:pPr>
            <w:r>
              <w:rPr>
                <w:rFonts w:hint="eastAsia" w:cs="宋体"/>
                <w:color w:val="auto"/>
                <w:sz w:val="24"/>
                <w:szCs w:val="24"/>
                <w:highlight w:val="none"/>
              </w:rPr>
              <w:t>（2）供应商为事业单位的，应提供有效的事业单位法人证书；</w:t>
            </w:r>
          </w:p>
          <w:p w14:paraId="6474E787">
            <w:pPr>
              <w:spacing w:line="360" w:lineRule="auto"/>
              <w:ind w:right="-10"/>
              <w:jc w:val="left"/>
              <w:rPr>
                <w:rFonts w:cs="宋体"/>
                <w:color w:val="auto"/>
                <w:sz w:val="24"/>
                <w:szCs w:val="24"/>
                <w:highlight w:val="none"/>
              </w:rPr>
            </w:pPr>
            <w:r>
              <w:rPr>
                <w:rFonts w:hint="eastAsia" w:cs="宋体"/>
                <w:color w:val="auto"/>
                <w:sz w:val="24"/>
                <w:szCs w:val="24"/>
                <w:highlight w:val="none"/>
              </w:rPr>
              <w:t>（3）供应商是非企业机构的，应提供有效的执业许可证或登记证书等证明文件；</w:t>
            </w:r>
          </w:p>
          <w:p w14:paraId="43E3C9BA">
            <w:pPr>
              <w:spacing w:line="360" w:lineRule="auto"/>
              <w:ind w:right="-10"/>
              <w:jc w:val="left"/>
              <w:rPr>
                <w:rFonts w:cs="宋体"/>
                <w:color w:val="auto"/>
                <w:sz w:val="24"/>
                <w:szCs w:val="24"/>
                <w:highlight w:val="none"/>
              </w:rPr>
            </w:pPr>
            <w:r>
              <w:rPr>
                <w:rFonts w:hint="eastAsia" w:cs="宋体"/>
                <w:color w:val="auto"/>
                <w:sz w:val="24"/>
                <w:szCs w:val="24"/>
                <w:highlight w:val="none"/>
              </w:rPr>
              <w:t>（4）供应商是个体工商户的，应提供有效的个体工商户营业执照；</w:t>
            </w:r>
          </w:p>
          <w:p w14:paraId="5BDC6DC5">
            <w:pPr>
              <w:spacing w:line="360" w:lineRule="auto"/>
              <w:ind w:right="-10"/>
              <w:jc w:val="left"/>
              <w:rPr>
                <w:rFonts w:cs="宋体"/>
                <w:color w:val="auto"/>
                <w:kern w:val="2"/>
                <w:sz w:val="24"/>
                <w:szCs w:val="24"/>
                <w:highlight w:val="none"/>
              </w:rPr>
            </w:pPr>
            <w:r>
              <w:rPr>
                <w:rFonts w:hint="eastAsia" w:cs="宋体"/>
                <w:color w:val="auto"/>
                <w:sz w:val="24"/>
                <w:szCs w:val="24"/>
                <w:highlight w:val="none"/>
              </w:rPr>
              <w:t>（5）供应商是自然人的，应提供有效的自然人身份证明。</w:t>
            </w:r>
          </w:p>
        </w:tc>
        <w:tc>
          <w:tcPr>
            <w:tcW w:w="1408" w:type="pct"/>
            <w:tcBorders>
              <w:bottom w:val="single" w:color="auto" w:sz="4" w:space="0"/>
            </w:tcBorders>
            <w:vAlign w:val="center"/>
          </w:tcPr>
          <w:p w14:paraId="72169DB6">
            <w:pPr>
              <w:spacing w:line="360" w:lineRule="auto"/>
              <w:jc w:val="left"/>
              <w:rPr>
                <w:rFonts w:cs="宋体"/>
                <w:color w:val="auto"/>
                <w:kern w:val="2"/>
                <w:sz w:val="24"/>
                <w:szCs w:val="24"/>
                <w:highlight w:val="none"/>
              </w:rPr>
            </w:pPr>
            <w:r>
              <w:rPr>
                <w:rFonts w:hint="eastAsia" w:cs="宋体"/>
                <w:color w:val="auto"/>
                <w:sz w:val="24"/>
                <w:szCs w:val="24"/>
                <w:highlight w:val="none"/>
              </w:rPr>
              <w:t>提供材料扫描件或电子证照，应完整的体现出材料或电子证照全部内容。联合体磋商的联合体各方均须提供。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3713D55">
            <w:pPr>
              <w:adjustRightInd w:val="0"/>
              <w:snapToGrid w:val="0"/>
              <w:spacing w:line="360" w:lineRule="auto"/>
              <w:ind w:right="-10"/>
              <w:jc w:val="center"/>
              <w:rPr>
                <w:rFonts w:cs="宋体"/>
                <w:color w:val="auto"/>
                <w:kern w:val="2"/>
                <w:sz w:val="24"/>
                <w:szCs w:val="24"/>
                <w:highlight w:val="none"/>
              </w:rPr>
            </w:pPr>
            <w:r>
              <w:rPr>
                <w:rFonts w:hint="eastAsia" w:cs="宋体"/>
                <w:color w:val="auto"/>
                <w:sz w:val="24"/>
                <w:szCs w:val="24"/>
                <w:highlight w:val="none"/>
              </w:rPr>
              <w:t>2</w:t>
            </w:r>
          </w:p>
        </w:tc>
        <w:tc>
          <w:tcPr>
            <w:tcW w:w="882" w:type="pct"/>
            <w:vAlign w:val="center"/>
          </w:tcPr>
          <w:p w14:paraId="0C6F2D69">
            <w:pPr>
              <w:spacing w:line="360" w:lineRule="auto"/>
              <w:ind w:right="-10"/>
              <w:jc w:val="center"/>
              <w:rPr>
                <w:rFonts w:cs="宋体"/>
                <w:color w:val="auto"/>
                <w:kern w:val="2"/>
                <w:sz w:val="24"/>
                <w:szCs w:val="24"/>
                <w:highlight w:val="none"/>
              </w:rPr>
            </w:pPr>
            <w:r>
              <w:rPr>
                <w:rFonts w:hint="eastAsia" w:cs="宋体"/>
                <w:color w:val="auto"/>
                <w:sz w:val="24"/>
                <w:szCs w:val="24"/>
                <w:highlight w:val="none"/>
              </w:rPr>
              <w:t>供应商资格声明书</w:t>
            </w:r>
          </w:p>
        </w:tc>
        <w:tc>
          <w:tcPr>
            <w:tcW w:w="2316" w:type="pct"/>
            <w:vAlign w:val="center"/>
          </w:tcPr>
          <w:p w14:paraId="469DA493">
            <w:pPr>
              <w:spacing w:line="360" w:lineRule="auto"/>
              <w:ind w:right="-10"/>
              <w:jc w:val="left"/>
              <w:rPr>
                <w:rFonts w:cs="宋体"/>
                <w:color w:val="auto"/>
                <w:kern w:val="2"/>
                <w:sz w:val="24"/>
                <w:szCs w:val="24"/>
                <w:highlight w:val="none"/>
              </w:rPr>
            </w:pPr>
            <w:r>
              <w:rPr>
                <w:rFonts w:hint="eastAsia" w:cs="宋体"/>
                <w:color w:val="auto"/>
                <w:sz w:val="24"/>
                <w:szCs w:val="24"/>
                <w:highlight w:val="none"/>
              </w:rPr>
              <w:t>提供符合磋商文件要求的《供应商资格声明书》。</w:t>
            </w:r>
          </w:p>
        </w:tc>
        <w:tc>
          <w:tcPr>
            <w:tcW w:w="1408" w:type="pct"/>
            <w:vAlign w:val="center"/>
          </w:tcPr>
          <w:p w14:paraId="4B2B2C47">
            <w:pPr>
              <w:spacing w:line="360" w:lineRule="auto"/>
              <w:jc w:val="left"/>
              <w:rPr>
                <w:rFonts w:cs="宋体"/>
                <w:color w:val="auto"/>
                <w:kern w:val="2"/>
                <w:sz w:val="24"/>
                <w:szCs w:val="24"/>
                <w:highlight w:val="none"/>
              </w:rPr>
            </w:pPr>
            <w:r>
              <w:rPr>
                <w:rFonts w:hint="eastAsia" w:cs="宋体"/>
                <w:color w:val="auto"/>
                <w:sz w:val="24"/>
                <w:szCs w:val="24"/>
                <w:highlight w:val="none"/>
              </w:rPr>
              <w:t>详见第六章响应文件格式。</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BAD0112">
            <w:pPr>
              <w:adjustRightInd w:val="0"/>
              <w:snapToGrid w:val="0"/>
              <w:spacing w:line="360" w:lineRule="auto"/>
              <w:ind w:right="-10"/>
              <w:jc w:val="center"/>
              <w:rPr>
                <w:rFonts w:cs="宋体"/>
                <w:color w:val="auto"/>
                <w:kern w:val="2"/>
                <w:sz w:val="24"/>
                <w:szCs w:val="24"/>
                <w:highlight w:val="none"/>
              </w:rPr>
            </w:pPr>
            <w:r>
              <w:rPr>
                <w:rFonts w:hint="eastAsia" w:cs="宋体"/>
                <w:color w:val="auto"/>
                <w:sz w:val="24"/>
                <w:szCs w:val="24"/>
                <w:highlight w:val="none"/>
              </w:rPr>
              <w:t>3</w:t>
            </w:r>
          </w:p>
        </w:tc>
        <w:tc>
          <w:tcPr>
            <w:tcW w:w="882" w:type="pct"/>
            <w:vAlign w:val="center"/>
          </w:tcPr>
          <w:p w14:paraId="49F2A0A9">
            <w:pPr>
              <w:spacing w:line="360" w:lineRule="auto"/>
              <w:ind w:right="-10"/>
              <w:jc w:val="center"/>
              <w:rPr>
                <w:rFonts w:cs="宋体"/>
                <w:color w:val="auto"/>
                <w:kern w:val="2"/>
                <w:sz w:val="24"/>
                <w:szCs w:val="24"/>
                <w:highlight w:val="none"/>
              </w:rPr>
            </w:pPr>
            <w:r>
              <w:rPr>
                <w:rFonts w:hint="eastAsia" w:cs="宋体"/>
                <w:color w:val="auto"/>
                <w:sz w:val="24"/>
                <w:szCs w:val="24"/>
                <w:highlight w:val="none"/>
              </w:rPr>
              <w:t>供应商信用记录</w:t>
            </w:r>
          </w:p>
        </w:tc>
        <w:tc>
          <w:tcPr>
            <w:tcW w:w="2316" w:type="pct"/>
            <w:vAlign w:val="center"/>
          </w:tcPr>
          <w:p w14:paraId="004C8599">
            <w:pPr>
              <w:spacing w:line="360" w:lineRule="auto"/>
              <w:ind w:right="-10"/>
              <w:jc w:val="left"/>
              <w:rPr>
                <w:rFonts w:cs="宋体"/>
                <w:color w:val="auto"/>
                <w:kern w:val="2"/>
                <w:sz w:val="24"/>
                <w:szCs w:val="24"/>
                <w:highlight w:val="none"/>
              </w:rPr>
            </w:pPr>
            <w:r>
              <w:rPr>
                <w:rFonts w:hint="eastAsia" w:cs="宋体"/>
                <w:color w:val="auto"/>
                <w:sz w:val="24"/>
                <w:szCs w:val="24"/>
                <w:highlight w:val="none"/>
              </w:rPr>
              <w:t>供应商</w:t>
            </w:r>
            <w:r>
              <w:rPr>
                <w:rFonts w:hint="eastAsia" w:cs="宋体"/>
                <w:color w:val="auto"/>
                <w:sz w:val="24"/>
                <w:szCs w:val="24"/>
                <w:highlight w:val="none"/>
                <w:lang w:val="zh-CN"/>
              </w:rPr>
              <w:t>不得存在</w:t>
            </w:r>
            <w:r>
              <w:rPr>
                <w:rFonts w:hint="eastAsia" w:cs="宋体"/>
                <w:color w:val="auto"/>
                <w:sz w:val="24"/>
                <w:szCs w:val="24"/>
                <w:highlight w:val="none"/>
              </w:rPr>
              <w:t>供应商</w:t>
            </w:r>
            <w:r>
              <w:rPr>
                <w:rFonts w:hint="eastAsia" w:cs="宋体"/>
                <w:color w:val="auto"/>
                <w:sz w:val="24"/>
                <w:szCs w:val="24"/>
                <w:highlight w:val="none"/>
                <w:lang w:val="zh-CN"/>
              </w:rPr>
              <w:t>须知正文第1</w:t>
            </w:r>
            <w:r>
              <w:rPr>
                <w:rFonts w:hint="eastAsia" w:cs="宋体"/>
                <w:color w:val="auto"/>
                <w:sz w:val="24"/>
                <w:szCs w:val="24"/>
                <w:highlight w:val="none"/>
              </w:rPr>
              <w:t>4</w:t>
            </w:r>
            <w:r>
              <w:rPr>
                <w:rFonts w:hint="eastAsia" w:cs="宋体"/>
                <w:color w:val="auto"/>
                <w:sz w:val="24"/>
                <w:szCs w:val="24"/>
                <w:highlight w:val="none"/>
                <w:lang w:val="zh-CN"/>
              </w:rPr>
              <w:t>.</w:t>
            </w:r>
            <w:r>
              <w:rPr>
                <w:rFonts w:hint="eastAsia" w:cs="宋体"/>
                <w:color w:val="auto"/>
                <w:sz w:val="24"/>
                <w:szCs w:val="24"/>
                <w:highlight w:val="none"/>
              </w:rPr>
              <w:t>3条中的不良信用记录情形</w:t>
            </w:r>
          </w:p>
        </w:tc>
        <w:tc>
          <w:tcPr>
            <w:tcW w:w="1408" w:type="pct"/>
            <w:vAlign w:val="center"/>
          </w:tcPr>
          <w:p w14:paraId="20AC20DE">
            <w:pPr>
              <w:spacing w:line="360" w:lineRule="auto"/>
              <w:jc w:val="left"/>
              <w:rPr>
                <w:rFonts w:cs="宋体"/>
                <w:color w:val="auto"/>
                <w:kern w:val="2"/>
                <w:sz w:val="24"/>
                <w:szCs w:val="24"/>
                <w:highlight w:val="none"/>
              </w:rPr>
            </w:pPr>
            <w:r>
              <w:rPr>
                <w:rFonts w:hint="eastAsia" w:cs="宋体"/>
                <w:color w:val="auto"/>
                <w:sz w:val="24"/>
                <w:szCs w:val="24"/>
                <w:highlight w:val="none"/>
              </w:rPr>
              <w:t>无须供应商提供，由采购人或采购代理机构查询。</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8A07B30">
            <w:pPr>
              <w:adjustRightInd w:val="0"/>
              <w:snapToGrid w:val="0"/>
              <w:spacing w:line="360" w:lineRule="auto"/>
              <w:ind w:right="-10"/>
              <w:jc w:val="center"/>
              <w:rPr>
                <w:rFonts w:cs="宋体"/>
                <w:color w:val="auto"/>
                <w:kern w:val="2"/>
                <w:sz w:val="24"/>
                <w:szCs w:val="24"/>
                <w:highlight w:val="none"/>
              </w:rPr>
            </w:pPr>
            <w:r>
              <w:rPr>
                <w:rFonts w:hint="eastAsia" w:cs="宋体"/>
                <w:color w:val="auto"/>
                <w:sz w:val="24"/>
                <w:szCs w:val="24"/>
                <w:highlight w:val="none"/>
              </w:rPr>
              <w:t>4</w:t>
            </w:r>
          </w:p>
        </w:tc>
        <w:tc>
          <w:tcPr>
            <w:tcW w:w="882" w:type="pct"/>
            <w:vAlign w:val="center"/>
          </w:tcPr>
          <w:p w14:paraId="078F8623">
            <w:pPr>
              <w:spacing w:line="360" w:lineRule="auto"/>
              <w:ind w:right="-10"/>
              <w:jc w:val="center"/>
              <w:rPr>
                <w:rFonts w:cs="宋体"/>
                <w:color w:val="auto"/>
                <w:kern w:val="2"/>
                <w:sz w:val="24"/>
                <w:szCs w:val="24"/>
                <w:highlight w:val="none"/>
              </w:rPr>
            </w:pPr>
            <w:r>
              <w:rPr>
                <w:rFonts w:hint="eastAsia" w:cs="宋体"/>
                <w:color w:val="auto"/>
                <w:sz w:val="24"/>
                <w:szCs w:val="24"/>
                <w:highlight w:val="none"/>
              </w:rPr>
              <w:t>中小企业证明文件</w:t>
            </w:r>
          </w:p>
        </w:tc>
        <w:tc>
          <w:tcPr>
            <w:tcW w:w="2316" w:type="pct"/>
          </w:tcPr>
          <w:p w14:paraId="6EC19E94">
            <w:pPr>
              <w:spacing w:line="360" w:lineRule="auto"/>
              <w:ind w:right="-10"/>
              <w:jc w:val="left"/>
              <w:rPr>
                <w:rFonts w:cs="宋体"/>
                <w:color w:val="auto"/>
                <w:sz w:val="24"/>
                <w:szCs w:val="24"/>
                <w:highlight w:val="none"/>
              </w:rPr>
            </w:pPr>
            <w:r>
              <w:rPr>
                <w:rFonts w:hint="eastAsia" w:cs="宋体"/>
                <w:color w:val="auto"/>
                <w:sz w:val="24"/>
                <w:szCs w:val="24"/>
                <w:highlight w:val="none"/>
              </w:rPr>
              <w:t>符合申请人的资格要求中落实政府采购政策需满足的资格要求：</w:t>
            </w:r>
          </w:p>
          <w:p w14:paraId="28A904C7">
            <w:pPr>
              <w:spacing w:line="360" w:lineRule="auto"/>
              <w:ind w:right="-10"/>
              <w:jc w:val="left"/>
              <w:rPr>
                <w:rFonts w:cs="宋体"/>
                <w:color w:val="auto"/>
                <w:sz w:val="24"/>
                <w:szCs w:val="24"/>
                <w:highlight w:val="none"/>
              </w:rPr>
            </w:pPr>
            <w:r>
              <w:rPr>
                <w:rFonts w:hint="eastAsia" w:cs="宋体"/>
                <w:color w:val="auto"/>
                <w:sz w:val="24"/>
                <w:szCs w:val="24"/>
                <w:highlight w:val="none"/>
              </w:rPr>
              <w:t>（1）专门面向中小企业采购的，供应商应提供《中小企业声明函》或《残疾人福利性单位声明函》或由省级以上监狱管理局、戒毒管理局（含新疆 生产建设兵团）出具的属于监狱企业的证明文件。</w:t>
            </w:r>
          </w:p>
          <w:p w14:paraId="44C319A2">
            <w:pPr>
              <w:spacing w:line="360" w:lineRule="auto"/>
              <w:ind w:right="-10"/>
              <w:jc w:val="left"/>
              <w:rPr>
                <w:rFonts w:cs="宋体"/>
                <w:color w:val="auto"/>
                <w:kern w:val="2"/>
                <w:sz w:val="24"/>
                <w:szCs w:val="24"/>
                <w:highlight w:val="none"/>
              </w:rPr>
            </w:pPr>
            <w:r>
              <w:rPr>
                <w:rFonts w:hint="eastAsia" w:cs="宋体"/>
                <w:color w:val="auto"/>
                <w:sz w:val="24"/>
                <w:szCs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文件关于预留份额的要求。</w:t>
            </w:r>
          </w:p>
        </w:tc>
        <w:tc>
          <w:tcPr>
            <w:tcW w:w="1408" w:type="pct"/>
            <w:vAlign w:val="center"/>
          </w:tcPr>
          <w:p w14:paraId="35FBCB66">
            <w:pPr>
              <w:spacing w:line="360" w:lineRule="auto"/>
              <w:ind w:right="-10"/>
              <w:jc w:val="center"/>
              <w:rPr>
                <w:rFonts w:cs="宋体"/>
                <w:color w:val="auto"/>
                <w:kern w:val="2"/>
                <w:sz w:val="24"/>
                <w:szCs w:val="24"/>
                <w:highlight w:val="none"/>
              </w:rPr>
            </w:pPr>
            <w:r>
              <w:rPr>
                <w:rFonts w:hint="eastAsia" w:cs="宋体"/>
                <w:color w:val="auto"/>
                <w:sz w:val="24"/>
                <w:szCs w:val="24"/>
                <w:highlight w:val="none"/>
              </w:rPr>
              <w:t>详见第六章响应文件格式。</w:t>
            </w:r>
          </w:p>
        </w:tc>
      </w:tr>
      <w:tr w14:paraId="2F30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D31D2EB">
            <w:pPr>
              <w:adjustRightInd w:val="0"/>
              <w:snapToGrid w:val="0"/>
              <w:spacing w:line="360" w:lineRule="auto"/>
              <w:ind w:right="-10"/>
              <w:jc w:val="center"/>
              <w:rPr>
                <w:rFonts w:cs="宋体"/>
                <w:color w:val="auto"/>
                <w:kern w:val="2"/>
                <w:sz w:val="24"/>
                <w:szCs w:val="24"/>
                <w:highlight w:val="none"/>
              </w:rPr>
            </w:pPr>
            <w:r>
              <w:rPr>
                <w:rFonts w:hint="eastAsia" w:cs="宋体"/>
                <w:color w:val="auto"/>
                <w:sz w:val="24"/>
                <w:szCs w:val="24"/>
                <w:highlight w:val="none"/>
              </w:rPr>
              <w:t>5</w:t>
            </w:r>
          </w:p>
        </w:tc>
        <w:tc>
          <w:tcPr>
            <w:tcW w:w="882" w:type="pct"/>
            <w:vAlign w:val="center"/>
          </w:tcPr>
          <w:p w14:paraId="09A4C4CF">
            <w:pPr>
              <w:spacing w:line="360" w:lineRule="auto"/>
              <w:ind w:right="-10"/>
              <w:rPr>
                <w:rFonts w:cs="宋体"/>
                <w:color w:val="auto"/>
                <w:kern w:val="2"/>
                <w:sz w:val="24"/>
                <w:szCs w:val="24"/>
                <w:highlight w:val="none"/>
              </w:rPr>
            </w:pPr>
            <w:r>
              <w:rPr>
                <w:rFonts w:hint="eastAsia" w:cs="宋体"/>
                <w:color w:val="auto"/>
                <w:spacing w:val="10"/>
                <w:sz w:val="24"/>
                <w:szCs w:val="24"/>
                <w:highlight w:val="none"/>
              </w:rPr>
              <w:t>其它落实政府采</w:t>
            </w:r>
            <w:r>
              <w:rPr>
                <w:rFonts w:hint="eastAsia" w:cs="宋体"/>
                <w:color w:val="auto"/>
                <w:spacing w:val="11"/>
                <w:sz w:val="24"/>
                <w:szCs w:val="24"/>
                <w:highlight w:val="none"/>
              </w:rPr>
              <w:t>购政策的资格要</w:t>
            </w:r>
            <w:r>
              <w:rPr>
                <w:rFonts w:hint="eastAsia" w:cs="宋体"/>
                <w:color w:val="auto"/>
                <w:sz w:val="24"/>
                <w:szCs w:val="24"/>
                <w:highlight w:val="none"/>
              </w:rPr>
              <w:t>求</w:t>
            </w:r>
          </w:p>
        </w:tc>
        <w:tc>
          <w:tcPr>
            <w:tcW w:w="2316" w:type="pct"/>
            <w:vAlign w:val="center"/>
          </w:tcPr>
          <w:p w14:paraId="21A99F83">
            <w:pPr>
              <w:spacing w:line="360" w:lineRule="auto"/>
              <w:ind w:right="-10"/>
              <w:rPr>
                <w:rFonts w:cs="宋体"/>
                <w:color w:val="auto"/>
                <w:kern w:val="2"/>
                <w:sz w:val="24"/>
                <w:szCs w:val="24"/>
                <w:highlight w:val="none"/>
              </w:rPr>
            </w:pPr>
            <w:r>
              <w:rPr>
                <w:rFonts w:hint="eastAsia" w:cs="宋体"/>
                <w:color w:val="auto"/>
                <w:spacing w:val="-2"/>
                <w:sz w:val="24"/>
                <w:szCs w:val="24"/>
                <w:highlight w:val="none"/>
              </w:rPr>
              <w:t>如有，见第一章《投标邀请》</w:t>
            </w:r>
          </w:p>
        </w:tc>
        <w:tc>
          <w:tcPr>
            <w:tcW w:w="1408" w:type="pct"/>
            <w:vAlign w:val="center"/>
          </w:tcPr>
          <w:p w14:paraId="110F44DF">
            <w:pPr>
              <w:spacing w:line="360" w:lineRule="auto"/>
              <w:ind w:right="-10"/>
              <w:rPr>
                <w:rFonts w:cs="宋体"/>
                <w:color w:val="auto"/>
                <w:kern w:val="2"/>
                <w:sz w:val="24"/>
                <w:szCs w:val="24"/>
                <w:highlight w:val="none"/>
              </w:rPr>
            </w:pPr>
            <w:r>
              <w:rPr>
                <w:rFonts w:hint="eastAsia" w:cs="宋体"/>
                <w:color w:val="auto"/>
                <w:sz w:val="24"/>
                <w:szCs w:val="24"/>
                <w:highlight w:val="none"/>
              </w:rPr>
              <w:t>提供材料扫描件或电子证照，应完整的体现出材料或电子证照全部内容。</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92" w:type="pct"/>
            <w:vAlign w:val="center"/>
          </w:tcPr>
          <w:p w14:paraId="766ABE5E">
            <w:pPr>
              <w:adjustRightInd w:val="0"/>
              <w:snapToGrid w:val="0"/>
              <w:spacing w:line="360" w:lineRule="auto"/>
              <w:ind w:right="-10"/>
              <w:jc w:val="center"/>
              <w:rPr>
                <w:rFonts w:cs="宋体"/>
                <w:color w:val="auto"/>
                <w:kern w:val="2"/>
                <w:sz w:val="24"/>
                <w:szCs w:val="24"/>
                <w:highlight w:val="none"/>
              </w:rPr>
            </w:pPr>
            <w:r>
              <w:rPr>
                <w:rFonts w:hint="eastAsia" w:cs="宋体"/>
                <w:color w:val="auto"/>
                <w:sz w:val="24"/>
                <w:szCs w:val="24"/>
                <w:highlight w:val="none"/>
              </w:rPr>
              <w:t>6</w:t>
            </w:r>
          </w:p>
        </w:tc>
        <w:tc>
          <w:tcPr>
            <w:tcW w:w="882" w:type="pct"/>
            <w:vAlign w:val="center"/>
          </w:tcPr>
          <w:p w14:paraId="508169DD">
            <w:pPr>
              <w:spacing w:line="360" w:lineRule="auto"/>
              <w:ind w:right="-10"/>
              <w:rPr>
                <w:rFonts w:cs="宋体"/>
                <w:color w:val="auto"/>
                <w:kern w:val="2"/>
                <w:sz w:val="24"/>
                <w:szCs w:val="24"/>
                <w:highlight w:val="none"/>
              </w:rPr>
            </w:pPr>
            <w:r>
              <w:rPr>
                <w:rFonts w:hint="eastAsia" w:cs="宋体"/>
                <w:color w:val="auto"/>
                <w:spacing w:val="10"/>
                <w:sz w:val="24"/>
                <w:szCs w:val="24"/>
                <w:highlight w:val="none"/>
              </w:rPr>
              <w:t>本项目的特定资格要求</w:t>
            </w:r>
          </w:p>
        </w:tc>
        <w:tc>
          <w:tcPr>
            <w:tcW w:w="2316" w:type="pct"/>
            <w:vAlign w:val="center"/>
          </w:tcPr>
          <w:p w14:paraId="0128CE7C">
            <w:pPr>
              <w:spacing w:line="360" w:lineRule="auto"/>
              <w:ind w:right="-10"/>
              <w:rPr>
                <w:rFonts w:cs="宋体"/>
                <w:color w:val="auto"/>
                <w:kern w:val="2"/>
                <w:sz w:val="24"/>
                <w:szCs w:val="24"/>
                <w:highlight w:val="none"/>
              </w:rPr>
            </w:pPr>
            <w:r>
              <w:rPr>
                <w:rFonts w:hint="eastAsia" w:cs="宋体"/>
                <w:color w:val="auto"/>
                <w:spacing w:val="10"/>
                <w:sz w:val="24"/>
                <w:szCs w:val="24"/>
                <w:highlight w:val="none"/>
              </w:rPr>
              <w:t>如有，见第一章《磋商邀请》</w:t>
            </w:r>
          </w:p>
        </w:tc>
        <w:tc>
          <w:tcPr>
            <w:tcW w:w="1408" w:type="pct"/>
            <w:vAlign w:val="center"/>
          </w:tcPr>
          <w:p w14:paraId="389442EA">
            <w:pPr>
              <w:spacing w:line="360" w:lineRule="auto"/>
              <w:ind w:right="-10"/>
              <w:rPr>
                <w:rFonts w:cs="宋体"/>
                <w:color w:val="auto"/>
                <w:kern w:val="2"/>
                <w:sz w:val="24"/>
                <w:szCs w:val="24"/>
                <w:highlight w:val="none"/>
              </w:rPr>
            </w:pPr>
            <w:r>
              <w:rPr>
                <w:rFonts w:hint="eastAsia" w:cs="宋体"/>
                <w:color w:val="auto"/>
                <w:sz w:val="24"/>
                <w:szCs w:val="24"/>
                <w:highlight w:val="none"/>
              </w:rPr>
              <w:t>提供材料扫描件或电子证照，应完整的体现出材料或电子证照全部内容。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7EADD14">
            <w:pPr>
              <w:adjustRightInd w:val="0"/>
              <w:snapToGrid w:val="0"/>
              <w:spacing w:line="360" w:lineRule="auto"/>
              <w:ind w:right="-10"/>
              <w:jc w:val="center"/>
              <w:rPr>
                <w:rFonts w:cs="宋体"/>
                <w:color w:val="auto"/>
                <w:kern w:val="2"/>
                <w:sz w:val="24"/>
                <w:szCs w:val="24"/>
                <w:highlight w:val="none"/>
              </w:rPr>
            </w:pPr>
            <w:r>
              <w:rPr>
                <w:rFonts w:hint="eastAsia" w:cs="宋体"/>
                <w:color w:val="auto"/>
                <w:kern w:val="2"/>
                <w:sz w:val="24"/>
                <w:szCs w:val="24"/>
                <w:highlight w:val="none"/>
              </w:rPr>
              <w:t>7</w:t>
            </w:r>
          </w:p>
        </w:tc>
        <w:tc>
          <w:tcPr>
            <w:tcW w:w="882" w:type="pct"/>
            <w:vAlign w:val="center"/>
          </w:tcPr>
          <w:p w14:paraId="0B0D1B2A">
            <w:pPr>
              <w:adjustRightInd w:val="0"/>
              <w:snapToGrid w:val="0"/>
              <w:spacing w:line="360" w:lineRule="auto"/>
              <w:ind w:right="-10"/>
              <w:jc w:val="center"/>
              <w:rPr>
                <w:rFonts w:cs="宋体"/>
                <w:color w:val="auto"/>
                <w:kern w:val="2"/>
                <w:sz w:val="24"/>
                <w:szCs w:val="24"/>
                <w:highlight w:val="none"/>
              </w:rPr>
            </w:pPr>
            <w:r>
              <w:rPr>
                <w:rFonts w:hint="eastAsia" w:cs="宋体"/>
                <w:color w:val="auto"/>
                <w:kern w:val="2"/>
                <w:sz w:val="24"/>
                <w:szCs w:val="24"/>
                <w:highlight w:val="none"/>
              </w:rPr>
              <w:t>授权书</w:t>
            </w:r>
          </w:p>
        </w:tc>
        <w:tc>
          <w:tcPr>
            <w:tcW w:w="2316" w:type="pct"/>
            <w:vAlign w:val="center"/>
          </w:tcPr>
          <w:p w14:paraId="08F70821">
            <w:pPr>
              <w:adjustRightInd w:val="0"/>
              <w:snapToGrid w:val="0"/>
              <w:spacing w:line="360" w:lineRule="auto"/>
              <w:ind w:right="-10"/>
              <w:jc w:val="left"/>
              <w:rPr>
                <w:rFonts w:cs="宋体"/>
                <w:color w:val="auto"/>
                <w:kern w:val="2"/>
                <w:sz w:val="24"/>
                <w:szCs w:val="24"/>
                <w:highlight w:val="none"/>
              </w:rPr>
            </w:pPr>
            <w:r>
              <w:rPr>
                <w:rFonts w:hint="eastAsia" w:cs="宋体"/>
                <w:color w:val="auto"/>
                <w:kern w:val="2"/>
                <w:sz w:val="24"/>
                <w:szCs w:val="24"/>
                <w:highlight w:val="none"/>
              </w:rPr>
              <w:t>符合磋商文件要求。</w:t>
            </w:r>
          </w:p>
        </w:tc>
        <w:tc>
          <w:tcPr>
            <w:tcW w:w="1408" w:type="pct"/>
            <w:vAlign w:val="center"/>
          </w:tcPr>
          <w:p w14:paraId="323B8D59">
            <w:pPr>
              <w:adjustRightInd w:val="0"/>
              <w:snapToGrid w:val="0"/>
              <w:spacing w:line="360" w:lineRule="auto"/>
              <w:ind w:right="-10"/>
              <w:jc w:val="left"/>
              <w:rPr>
                <w:rFonts w:cs="宋体"/>
                <w:color w:val="auto"/>
                <w:kern w:val="2"/>
                <w:sz w:val="24"/>
                <w:szCs w:val="24"/>
                <w:highlight w:val="none"/>
              </w:rPr>
            </w:pP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E4FACAE">
            <w:pPr>
              <w:adjustRightInd w:val="0"/>
              <w:snapToGrid w:val="0"/>
              <w:spacing w:line="360" w:lineRule="auto"/>
              <w:ind w:right="-10"/>
              <w:jc w:val="center"/>
              <w:rPr>
                <w:rFonts w:cs="宋体"/>
                <w:color w:val="auto"/>
                <w:kern w:val="2"/>
                <w:sz w:val="24"/>
                <w:szCs w:val="24"/>
                <w:highlight w:val="none"/>
              </w:rPr>
            </w:pPr>
            <w:r>
              <w:rPr>
                <w:rFonts w:hint="eastAsia" w:cs="宋体"/>
                <w:color w:val="auto"/>
                <w:kern w:val="2"/>
                <w:sz w:val="24"/>
                <w:szCs w:val="24"/>
                <w:highlight w:val="none"/>
              </w:rPr>
              <w:t>8</w:t>
            </w:r>
          </w:p>
        </w:tc>
        <w:tc>
          <w:tcPr>
            <w:tcW w:w="882" w:type="pct"/>
            <w:vAlign w:val="center"/>
          </w:tcPr>
          <w:p w14:paraId="626403B2">
            <w:pPr>
              <w:adjustRightInd w:val="0"/>
              <w:snapToGrid w:val="0"/>
              <w:spacing w:line="360" w:lineRule="auto"/>
              <w:ind w:right="-10"/>
              <w:jc w:val="center"/>
              <w:rPr>
                <w:rFonts w:cs="宋体"/>
                <w:color w:val="auto"/>
                <w:kern w:val="2"/>
                <w:sz w:val="24"/>
                <w:szCs w:val="24"/>
                <w:highlight w:val="none"/>
              </w:rPr>
            </w:pPr>
            <w:r>
              <w:rPr>
                <w:rFonts w:hint="eastAsia" w:cs="宋体"/>
                <w:color w:val="auto"/>
                <w:kern w:val="2"/>
                <w:sz w:val="24"/>
                <w:szCs w:val="24"/>
                <w:highlight w:val="none"/>
              </w:rPr>
              <w:t>磋商响应函</w:t>
            </w:r>
          </w:p>
        </w:tc>
        <w:tc>
          <w:tcPr>
            <w:tcW w:w="2316" w:type="pct"/>
            <w:vAlign w:val="center"/>
          </w:tcPr>
          <w:p w14:paraId="793FCFF1">
            <w:pPr>
              <w:adjustRightInd w:val="0"/>
              <w:snapToGrid w:val="0"/>
              <w:spacing w:line="360" w:lineRule="auto"/>
              <w:ind w:right="-10"/>
              <w:jc w:val="left"/>
              <w:rPr>
                <w:rFonts w:cs="宋体"/>
                <w:color w:val="auto"/>
                <w:kern w:val="2"/>
                <w:sz w:val="24"/>
                <w:szCs w:val="24"/>
                <w:highlight w:val="none"/>
              </w:rPr>
            </w:pPr>
            <w:r>
              <w:rPr>
                <w:rFonts w:hint="eastAsia" w:cs="宋体"/>
                <w:color w:val="auto"/>
                <w:kern w:val="2"/>
                <w:sz w:val="24"/>
                <w:szCs w:val="24"/>
                <w:highlight w:val="none"/>
              </w:rPr>
              <w:t>符合磋商文件要求。</w:t>
            </w:r>
          </w:p>
        </w:tc>
        <w:tc>
          <w:tcPr>
            <w:tcW w:w="1408" w:type="pct"/>
            <w:vAlign w:val="center"/>
          </w:tcPr>
          <w:p w14:paraId="7F9D6E43">
            <w:pPr>
              <w:adjustRightInd w:val="0"/>
              <w:snapToGrid w:val="0"/>
              <w:spacing w:line="360" w:lineRule="auto"/>
              <w:ind w:right="-10"/>
              <w:jc w:val="left"/>
              <w:rPr>
                <w:rFonts w:cs="宋体"/>
                <w:color w:val="auto"/>
                <w:kern w:val="2"/>
                <w:sz w:val="24"/>
                <w:szCs w:val="24"/>
                <w:highlight w:val="none"/>
              </w:rPr>
            </w:pP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CC0501B">
            <w:pPr>
              <w:adjustRightInd w:val="0"/>
              <w:snapToGrid w:val="0"/>
              <w:spacing w:line="360" w:lineRule="auto"/>
              <w:ind w:right="-10"/>
              <w:jc w:val="center"/>
              <w:rPr>
                <w:rFonts w:cs="宋体"/>
                <w:color w:val="auto"/>
                <w:kern w:val="2"/>
                <w:sz w:val="24"/>
                <w:szCs w:val="24"/>
                <w:highlight w:val="none"/>
              </w:rPr>
            </w:pPr>
            <w:r>
              <w:rPr>
                <w:rFonts w:hint="eastAsia" w:cs="宋体"/>
                <w:color w:val="auto"/>
                <w:sz w:val="24"/>
                <w:szCs w:val="24"/>
                <w:highlight w:val="none"/>
              </w:rPr>
              <w:t>9</w:t>
            </w:r>
          </w:p>
        </w:tc>
        <w:tc>
          <w:tcPr>
            <w:tcW w:w="882" w:type="pct"/>
            <w:vAlign w:val="center"/>
          </w:tcPr>
          <w:p w14:paraId="318E1CD7">
            <w:pPr>
              <w:spacing w:line="360" w:lineRule="auto"/>
              <w:ind w:right="-10"/>
              <w:jc w:val="center"/>
              <w:rPr>
                <w:rFonts w:cs="宋体"/>
                <w:color w:val="auto"/>
                <w:kern w:val="2"/>
                <w:sz w:val="24"/>
                <w:szCs w:val="24"/>
                <w:highlight w:val="none"/>
              </w:rPr>
            </w:pPr>
            <w:r>
              <w:rPr>
                <w:rFonts w:hint="eastAsia" w:cs="宋体"/>
                <w:color w:val="auto"/>
                <w:sz w:val="24"/>
                <w:szCs w:val="24"/>
                <w:highlight w:val="none"/>
              </w:rPr>
              <w:t>磋商报价</w:t>
            </w:r>
          </w:p>
        </w:tc>
        <w:tc>
          <w:tcPr>
            <w:tcW w:w="2316" w:type="pct"/>
            <w:vAlign w:val="center"/>
          </w:tcPr>
          <w:p w14:paraId="5B337567">
            <w:pPr>
              <w:spacing w:line="360" w:lineRule="auto"/>
              <w:ind w:right="-10"/>
              <w:rPr>
                <w:rFonts w:cs="宋体"/>
                <w:color w:val="auto"/>
                <w:kern w:val="2"/>
                <w:sz w:val="24"/>
                <w:szCs w:val="24"/>
                <w:highlight w:val="none"/>
              </w:rPr>
            </w:pPr>
            <w:r>
              <w:rPr>
                <w:rFonts w:hint="eastAsia" w:cs="宋体"/>
                <w:color w:val="auto"/>
                <w:sz w:val="24"/>
                <w:szCs w:val="24"/>
                <w:highlight w:val="none"/>
              </w:rPr>
              <w:t>符合</w:t>
            </w:r>
            <w:r>
              <w:rPr>
                <w:rFonts w:hint="eastAsia" w:cs="宋体"/>
                <w:color w:val="auto"/>
                <w:kern w:val="2"/>
                <w:sz w:val="24"/>
                <w:szCs w:val="24"/>
                <w:highlight w:val="none"/>
              </w:rPr>
              <w:t>磋商</w:t>
            </w:r>
            <w:r>
              <w:rPr>
                <w:rFonts w:hint="eastAsia" w:cs="宋体"/>
                <w:color w:val="auto"/>
                <w:sz w:val="24"/>
                <w:szCs w:val="24"/>
                <w:highlight w:val="none"/>
              </w:rPr>
              <w:t>文件要求。</w:t>
            </w:r>
          </w:p>
        </w:tc>
        <w:tc>
          <w:tcPr>
            <w:tcW w:w="1408" w:type="pct"/>
            <w:vAlign w:val="center"/>
          </w:tcPr>
          <w:p w14:paraId="11A49FBF">
            <w:pPr>
              <w:adjustRightInd w:val="0"/>
              <w:snapToGrid w:val="0"/>
              <w:spacing w:line="360" w:lineRule="auto"/>
              <w:ind w:right="-10"/>
              <w:jc w:val="center"/>
              <w:rPr>
                <w:rFonts w:cs="宋体"/>
                <w:color w:val="auto"/>
                <w:kern w:val="2"/>
                <w:sz w:val="24"/>
                <w:szCs w:val="24"/>
                <w:highlight w:val="none"/>
              </w:rPr>
            </w:pPr>
          </w:p>
        </w:tc>
      </w:tr>
      <w:tr w14:paraId="1A6B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2D249E3">
            <w:pPr>
              <w:adjustRightInd w:val="0"/>
              <w:snapToGrid w:val="0"/>
              <w:spacing w:line="360" w:lineRule="auto"/>
              <w:ind w:right="-10"/>
              <w:jc w:val="center"/>
              <w:rPr>
                <w:rFonts w:cs="宋体"/>
                <w:color w:val="auto"/>
                <w:sz w:val="24"/>
                <w:szCs w:val="24"/>
                <w:highlight w:val="none"/>
              </w:rPr>
            </w:pPr>
            <w:r>
              <w:rPr>
                <w:rFonts w:hint="eastAsia" w:cs="宋体"/>
                <w:color w:val="auto"/>
                <w:sz w:val="24"/>
                <w:szCs w:val="24"/>
                <w:highlight w:val="none"/>
              </w:rPr>
              <w:t>10</w:t>
            </w:r>
          </w:p>
        </w:tc>
        <w:tc>
          <w:tcPr>
            <w:tcW w:w="882" w:type="pct"/>
            <w:vAlign w:val="center"/>
          </w:tcPr>
          <w:p w14:paraId="5C960F58">
            <w:pPr>
              <w:spacing w:line="360" w:lineRule="auto"/>
              <w:ind w:right="-10"/>
              <w:jc w:val="center"/>
              <w:rPr>
                <w:rFonts w:cs="宋体"/>
                <w:color w:val="auto"/>
                <w:sz w:val="24"/>
                <w:szCs w:val="24"/>
                <w:highlight w:val="none"/>
              </w:rPr>
            </w:pPr>
            <w:r>
              <w:rPr>
                <w:rFonts w:hint="eastAsia" w:cs="宋体"/>
                <w:color w:val="auto"/>
                <w:sz w:val="24"/>
                <w:szCs w:val="24"/>
                <w:highlight w:val="none"/>
              </w:rPr>
              <w:t>诚信响应承诺书</w:t>
            </w:r>
          </w:p>
        </w:tc>
        <w:tc>
          <w:tcPr>
            <w:tcW w:w="2316" w:type="pct"/>
            <w:vAlign w:val="center"/>
          </w:tcPr>
          <w:p w14:paraId="2EEC6194">
            <w:pPr>
              <w:spacing w:line="360" w:lineRule="auto"/>
              <w:ind w:right="-10"/>
              <w:rPr>
                <w:rFonts w:cs="宋体"/>
                <w:color w:val="auto"/>
                <w:sz w:val="24"/>
                <w:szCs w:val="24"/>
                <w:highlight w:val="none"/>
              </w:rPr>
            </w:pPr>
            <w:r>
              <w:rPr>
                <w:rFonts w:hint="eastAsia" w:cs="宋体"/>
                <w:color w:val="auto"/>
                <w:sz w:val="24"/>
                <w:szCs w:val="24"/>
                <w:highlight w:val="none"/>
              </w:rPr>
              <w:t>符合</w:t>
            </w:r>
            <w:r>
              <w:rPr>
                <w:rFonts w:hint="eastAsia" w:cs="宋体"/>
                <w:color w:val="auto"/>
                <w:kern w:val="2"/>
                <w:sz w:val="24"/>
                <w:szCs w:val="24"/>
                <w:highlight w:val="none"/>
              </w:rPr>
              <w:t>磋商</w:t>
            </w:r>
            <w:r>
              <w:rPr>
                <w:rFonts w:hint="eastAsia" w:cs="宋体"/>
                <w:color w:val="auto"/>
                <w:sz w:val="24"/>
                <w:szCs w:val="24"/>
                <w:highlight w:val="none"/>
              </w:rPr>
              <w:t>文件要求。</w:t>
            </w:r>
          </w:p>
        </w:tc>
        <w:tc>
          <w:tcPr>
            <w:tcW w:w="1408" w:type="pct"/>
            <w:vAlign w:val="center"/>
          </w:tcPr>
          <w:p w14:paraId="3DDEB042">
            <w:pPr>
              <w:adjustRightInd w:val="0"/>
              <w:snapToGrid w:val="0"/>
              <w:spacing w:line="360" w:lineRule="auto"/>
              <w:ind w:right="-10"/>
              <w:jc w:val="left"/>
              <w:rPr>
                <w:rFonts w:cs="宋体"/>
                <w:color w:val="auto"/>
                <w:kern w:val="2"/>
                <w:sz w:val="24"/>
                <w:szCs w:val="24"/>
                <w:highlight w:val="none"/>
              </w:rPr>
            </w:pPr>
            <w:r>
              <w:rPr>
                <w:rFonts w:hint="eastAsia" w:cs="宋体"/>
                <w:color w:val="auto"/>
                <w:sz w:val="24"/>
                <w:szCs w:val="24"/>
                <w:highlight w:val="none"/>
              </w:rPr>
              <w:t>详见第六章响应文件格式。</w:t>
            </w: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591" w:type="pct"/>
            <w:gridSpan w:val="3"/>
            <w:tcBorders>
              <w:bottom w:val="single" w:color="auto" w:sz="4" w:space="0"/>
            </w:tcBorders>
            <w:vAlign w:val="center"/>
          </w:tcPr>
          <w:p w14:paraId="1EB36777">
            <w:pPr>
              <w:adjustRightInd w:val="0"/>
              <w:snapToGrid w:val="0"/>
              <w:spacing w:line="360" w:lineRule="auto"/>
              <w:ind w:right="-10"/>
              <w:jc w:val="left"/>
              <w:rPr>
                <w:rFonts w:cs="宋体"/>
                <w:color w:val="auto"/>
                <w:kern w:val="2"/>
                <w:sz w:val="24"/>
                <w:szCs w:val="24"/>
                <w:highlight w:val="none"/>
              </w:rPr>
            </w:pPr>
            <w:r>
              <w:rPr>
                <w:rFonts w:hint="eastAsia" w:cs="宋体"/>
                <w:color w:val="auto"/>
                <w:kern w:val="2"/>
                <w:sz w:val="24"/>
                <w:szCs w:val="24"/>
                <w:highlight w:val="none"/>
              </w:rPr>
              <w:t>评审指标通过标准：供应商必须通过上述全部指标。</w:t>
            </w:r>
          </w:p>
        </w:tc>
        <w:tc>
          <w:tcPr>
            <w:tcW w:w="1408" w:type="pct"/>
            <w:tcBorders>
              <w:bottom w:val="single" w:color="auto" w:sz="4" w:space="0"/>
            </w:tcBorders>
            <w:vAlign w:val="center"/>
          </w:tcPr>
          <w:p w14:paraId="679ADF89">
            <w:pPr>
              <w:adjustRightInd w:val="0"/>
              <w:snapToGrid w:val="0"/>
              <w:spacing w:line="360" w:lineRule="auto"/>
              <w:ind w:right="-10"/>
              <w:jc w:val="left"/>
              <w:rPr>
                <w:rFonts w:cs="宋体"/>
                <w:color w:val="auto"/>
                <w:kern w:val="2"/>
                <w:sz w:val="24"/>
                <w:szCs w:val="24"/>
                <w:highlight w:val="none"/>
              </w:rPr>
            </w:pPr>
          </w:p>
        </w:tc>
      </w:tr>
    </w:tbl>
    <w:p w14:paraId="3631FE8C">
      <w:pPr>
        <w:spacing w:line="520" w:lineRule="exact"/>
        <w:ind w:firstLine="581" w:firstLineChars="241"/>
        <w:jc w:val="left"/>
        <w:rPr>
          <w:rFonts w:cs="宋体"/>
          <w:b/>
          <w:color w:val="auto"/>
          <w:sz w:val="24"/>
          <w:szCs w:val="24"/>
          <w:highlight w:val="none"/>
        </w:rPr>
      </w:pPr>
      <w:r>
        <w:rPr>
          <w:rFonts w:hint="eastAsia" w:cs="宋体"/>
          <w:b/>
          <w:bCs/>
          <w:color w:val="auto"/>
          <w:sz w:val="24"/>
          <w:szCs w:val="24"/>
          <w:highlight w:val="none"/>
        </w:rPr>
        <w:t>注：</w:t>
      </w:r>
      <w:r>
        <w:rPr>
          <w:rFonts w:hint="eastAsia" w:cs="宋体"/>
          <w:b/>
          <w:color w:val="auto"/>
          <w:sz w:val="24"/>
          <w:szCs w:val="24"/>
          <w:highlight w:val="none"/>
        </w:rPr>
        <w:t>供应商拟委任项目经理为注册建造师（含一级、二级）的，须提供有效的纸质版电子证书。一级建造师打印电子证书后，应在个人签名处手写本人签名，未手写签名或与签名图像笔迹不一致的，该电子证书无效。</w:t>
      </w:r>
    </w:p>
    <w:p w14:paraId="7F55CCE8">
      <w:pPr>
        <w:spacing w:line="520" w:lineRule="exact"/>
        <w:ind w:firstLine="581" w:firstLineChars="241"/>
        <w:jc w:val="left"/>
        <w:rPr>
          <w:rFonts w:cs="宋体"/>
          <w:b/>
          <w:bCs/>
          <w:color w:val="auto"/>
          <w:sz w:val="24"/>
          <w:highlight w:val="none"/>
        </w:rPr>
      </w:pPr>
      <w:r>
        <w:rPr>
          <w:rFonts w:hint="eastAsia" w:cs="宋体"/>
          <w:b/>
          <w:color w:val="auto"/>
          <w:sz w:val="24"/>
          <w:szCs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232CFAE8">
      <w:pPr>
        <w:spacing w:line="360" w:lineRule="auto"/>
        <w:ind w:firstLine="435"/>
        <w:rPr>
          <w:rFonts w:cs="宋体"/>
          <w:color w:val="auto"/>
          <w:sz w:val="24"/>
          <w:highlight w:val="none"/>
        </w:rPr>
      </w:pPr>
      <w:r>
        <w:rPr>
          <w:rFonts w:hint="eastAsia" w:cs="宋体"/>
          <w:b/>
          <w:bCs/>
          <w:color w:val="auto"/>
          <w:sz w:val="24"/>
          <w:highlight w:val="none"/>
        </w:rPr>
        <w:t>初审指标通过标准：</w:t>
      </w:r>
      <w:r>
        <w:rPr>
          <w:rFonts w:hint="eastAsia" w:cs="宋体"/>
          <w:color w:val="auto"/>
          <w:sz w:val="24"/>
          <w:highlight w:val="none"/>
        </w:rPr>
        <w:t>供应商必须通过初审表中的全部评审指标。</w:t>
      </w:r>
    </w:p>
    <w:p w14:paraId="32A459D7">
      <w:pPr>
        <w:spacing w:line="360" w:lineRule="auto"/>
        <w:ind w:firstLine="435"/>
        <w:outlineLvl w:val="2"/>
        <w:rPr>
          <w:rFonts w:cs="宋体"/>
          <w:color w:val="auto"/>
          <w:sz w:val="24"/>
          <w:highlight w:val="none"/>
        </w:rPr>
      </w:pPr>
      <w:r>
        <w:rPr>
          <w:rFonts w:hint="eastAsia" w:cs="宋体"/>
          <w:color w:val="auto"/>
          <w:sz w:val="24"/>
          <w:highlight w:val="none"/>
        </w:rPr>
        <w:t>2.2异常低价响应审查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jc w:val="center"/>
              <w:rPr>
                <w:color w:val="auto"/>
                <w:sz w:val="24"/>
                <w:highlight w:val="none"/>
              </w:rPr>
            </w:pPr>
            <w:r>
              <w:rPr>
                <w:rFonts w:hint="eastAsia" w:cs="Times New Roman"/>
                <w:b/>
                <w:bCs/>
                <w:color w:val="auto"/>
                <w:sz w:val="24"/>
                <w:highlight w:val="none"/>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color w:val="auto"/>
                <w:sz w:val="24"/>
                <w:highlight w:val="none"/>
              </w:rPr>
            </w:pPr>
            <w:r>
              <w:rPr>
                <w:rFonts w:hint="eastAsia" w:cs="Times New Roman"/>
                <w:color w:val="auto"/>
                <w:sz w:val="24"/>
                <w:highlight w:val="none"/>
              </w:rPr>
              <w:t>序号</w:t>
            </w:r>
          </w:p>
        </w:tc>
        <w:tc>
          <w:tcPr>
            <w:tcW w:w="1450" w:type="dxa"/>
            <w:tcBorders>
              <w:bottom w:val="single" w:color="auto" w:sz="4" w:space="0"/>
            </w:tcBorders>
            <w:vAlign w:val="center"/>
          </w:tcPr>
          <w:p w14:paraId="242D7536">
            <w:pPr>
              <w:spacing w:line="360" w:lineRule="auto"/>
              <w:ind w:firstLine="240" w:firstLineChars="100"/>
              <w:jc w:val="center"/>
              <w:rPr>
                <w:color w:val="auto"/>
                <w:kern w:val="2"/>
                <w:szCs w:val="24"/>
                <w:highlight w:val="none"/>
              </w:rPr>
            </w:pPr>
            <w:r>
              <w:rPr>
                <w:rFonts w:hint="eastAsia" w:cs="Times New Roman"/>
                <w:color w:val="auto"/>
                <w:sz w:val="24"/>
                <w:highlight w:val="none"/>
              </w:rPr>
              <w:t>评审指标</w:t>
            </w:r>
          </w:p>
        </w:tc>
        <w:tc>
          <w:tcPr>
            <w:tcW w:w="4439" w:type="dxa"/>
            <w:tcBorders>
              <w:bottom w:val="single" w:color="auto" w:sz="4" w:space="0"/>
            </w:tcBorders>
            <w:vAlign w:val="center"/>
          </w:tcPr>
          <w:p w14:paraId="63EC8315">
            <w:pPr>
              <w:spacing w:line="360" w:lineRule="auto"/>
              <w:ind w:firstLine="240" w:firstLineChars="100"/>
              <w:jc w:val="center"/>
              <w:rPr>
                <w:color w:val="auto"/>
                <w:sz w:val="24"/>
                <w:highlight w:val="none"/>
              </w:rPr>
            </w:pPr>
            <w:r>
              <w:rPr>
                <w:rFonts w:hint="eastAsia" w:cs="Times New Roman"/>
                <w:color w:val="auto"/>
                <w:sz w:val="24"/>
                <w:highlight w:val="none"/>
              </w:rPr>
              <w:t>评审标准</w:t>
            </w:r>
          </w:p>
        </w:tc>
        <w:tc>
          <w:tcPr>
            <w:tcW w:w="2260" w:type="dxa"/>
            <w:tcBorders>
              <w:bottom w:val="single" w:color="auto" w:sz="4" w:space="0"/>
            </w:tcBorders>
            <w:vAlign w:val="center"/>
          </w:tcPr>
          <w:p w14:paraId="39E809DA">
            <w:pPr>
              <w:spacing w:line="360" w:lineRule="auto"/>
              <w:jc w:val="center"/>
              <w:rPr>
                <w:color w:val="auto"/>
                <w:sz w:val="24"/>
                <w:highlight w:val="none"/>
              </w:rPr>
            </w:pPr>
            <w:r>
              <w:rPr>
                <w:rFonts w:hint="eastAsia" w:cs="Times New Roman"/>
                <w:color w:val="auto"/>
                <w:sz w:val="24"/>
                <w:highlight w:val="none"/>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05" w:type="dxa"/>
            <w:tcBorders>
              <w:bottom w:val="single" w:color="auto" w:sz="4" w:space="0"/>
            </w:tcBorders>
            <w:vAlign w:val="center"/>
          </w:tcPr>
          <w:p w14:paraId="53262601">
            <w:pPr>
              <w:spacing w:line="360" w:lineRule="auto"/>
              <w:ind w:firstLine="240" w:firstLineChars="100"/>
              <w:rPr>
                <w:rFonts w:cs="宋体"/>
                <w:color w:val="auto"/>
                <w:sz w:val="24"/>
                <w:highlight w:val="none"/>
              </w:rPr>
            </w:pPr>
            <w:r>
              <w:rPr>
                <w:rFonts w:hint="eastAsia" w:cs="宋体"/>
                <w:color w:val="auto"/>
                <w:sz w:val="24"/>
                <w:highlight w:val="none"/>
              </w:rPr>
              <w:t>1</w:t>
            </w:r>
          </w:p>
        </w:tc>
        <w:tc>
          <w:tcPr>
            <w:tcW w:w="1450" w:type="dxa"/>
            <w:tcBorders>
              <w:bottom w:val="single" w:color="auto" w:sz="4" w:space="0"/>
            </w:tcBorders>
            <w:vAlign w:val="center"/>
          </w:tcPr>
          <w:p w14:paraId="4828CEF5">
            <w:pPr>
              <w:spacing w:line="360" w:lineRule="auto"/>
              <w:rPr>
                <w:rFonts w:cs="宋体"/>
                <w:color w:val="auto"/>
                <w:sz w:val="24"/>
                <w:szCs w:val="28"/>
                <w:highlight w:val="none"/>
              </w:rPr>
            </w:pPr>
            <w:r>
              <w:rPr>
                <w:rFonts w:hint="eastAsia" w:cs="宋体"/>
                <w:color w:val="auto"/>
                <w:sz w:val="24"/>
                <w:highlight w:val="none"/>
              </w:rPr>
              <w:t>异常低价响应审查</w:t>
            </w:r>
          </w:p>
        </w:tc>
        <w:tc>
          <w:tcPr>
            <w:tcW w:w="4439" w:type="dxa"/>
            <w:tcBorders>
              <w:bottom w:val="single" w:color="auto" w:sz="4" w:space="0"/>
            </w:tcBorders>
            <w:vAlign w:val="center"/>
          </w:tcPr>
          <w:p w14:paraId="14855D12">
            <w:pPr>
              <w:pStyle w:val="16"/>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（1）报价＜全部通过初审供应商响应报价平均值×</w:t>
            </w:r>
            <w:r>
              <w:rPr>
                <w:rFonts w:hint="eastAsia" w:ascii="宋体" w:hAnsi="宋体" w:eastAsia="宋体" w:cs="宋体"/>
                <w:color w:val="auto"/>
                <w:sz w:val="24"/>
                <w:szCs w:val="24"/>
                <w:highlight w:val="none"/>
                <w:u w:val="single"/>
              </w:rPr>
              <w:t>50%</w:t>
            </w:r>
            <w:r>
              <w:rPr>
                <w:rFonts w:hint="eastAsia" w:ascii="宋体" w:hAnsi="宋体" w:eastAsia="宋体" w:cs="宋体"/>
                <w:color w:val="auto"/>
                <w:sz w:val="24"/>
                <w:szCs w:val="24"/>
                <w:highlight w:val="none"/>
              </w:rPr>
              <w:t>；</w:t>
            </w:r>
          </w:p>
          <w:p w14:paraId="12D6E1A2">
            <w:pPr>
              <w:pStyle w:val="16"/>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（2）报价＜通过初审的次低报价供应商响应报价×</w:t>
            </w:r>
            <w:r>
              <w:rPr>
                <w:rFonts w:hint="eastAsia" w:ascii="宋体" w:hAnsi="宋体" w:eastAsia="宋体" w:cs="宋体"/>
                <w:color w:val="auto"/>
                <w:sz w:val="24"/>
                <w:szCs w:val="24"/>
                <w:highlight w:val="none"/>
                <w:u w:val="single"/>
              </w:rPr>
              <w:t>50%</w:t>
            </w:r>
            <w:r>
              <w:rPr>
                <w:rFonts w:hint="eastAsia" w:ascii="宋体" w:hAnsi="宋体" w:eastAsia="宋体" w:cs="宋体"/>
                <w:color w:val="auto"/>
                <w:sz w:val="24"/>
                <w:szCs w:val="24"/>
                <w:highlight w:val="none"/>
              </w:rPr>
              <w:t>；</w:t>
            </w:r>
          </w:p>
          <w:p w14:paraId="595C90C5">
            <w:pPr>
              <w:pStyle w:val="16"/>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（3）报价＜采购项目最高限价（如采购项目未设定最高限价的，以采购项目预算金额作为最高限价）×</w:t>
            </w:r>
            <w:r>
              <w:rPr>
                <w:rFonts w:hint="eastAsia" w:ascii="宋体" w:hAnsi="宋体" w:eastAsia="宋体" w:cs="宋体"/>
                <w:color w:val="auto"/>
                <w:sz w:val="24"/>
                <w:szCs w:val="24"/>
                <w:highlight w:val="none"/>
                <w:u w:val="single"/>
              </w:rPr>
              <w:t>45%</w:t>
            </w:r>
            <w:r>
              <w:rPr>
                <w:rFonts w:hint="eastAsia" w:ascii="宋体" w:hAnsi="宋体" w:eastAsia="宋体" w:cs="宋体"/>
                <w:color w:val="auto"/>
                <w:sz w:val="24"/>
                <w:szCs w:val="24"/>
                <w:highlight w:val="none"/>
              </w:rPr>
              <w:t>；</w:t>
            </w:r>
          </w:p>
          <w:p w14:paraId="6545F9B4">
            <w:pPr>
              <w:pStyle w:val="16"/>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（4）磋商小组基于专业判断，认为供应商报价过低，有可能影响产品质量或者不能诚信履约的其他情形。</w:t>
            </w:r>
          </w:p>
          <w:p w14:paraId="1F1C5BD8">
            <w:pPr>
              <w:pStyle w:val="16"/>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提醒：</w:t>
            </w:r>
          </w:p>
          <w:p w14:paraId="5CB21018">
            <w:pPr>
              <w:pStyle w:val="16"/>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（1）上述第（1）项数值计算：涉及总价、单价的精确到“分”并四舍五入，涉及费率的精确到小数点后两位，第三位四舍五入（例：如平均值为123.456元，即为123.46元；如平均值为80.126%，即为80.13%）。</w:t>
            </w:r>
          </w:p>
          <w:p w14:paraId="361741D1">
            <w:pPr>
              <w:pStyle w:val="16"/>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（2）上述第（1）项至第（2）项中的供应商响应报价为最后承诺报价。</w:t>
            </w:r>
          </w:p>
        </w:tc>
        <w:tc>
          <w:tcPr>
            <w:tcW w:w="2260" w:type="dxa"/>
            <w:vAlign w:val="center"/>
          </w:tcPr>
          <w:p w14:paraId="4F4E35CC">
            <w:pPr>
              <w:spacing w:line="360" w:lineRule="auto"/>
              <w:ind w:firstLine="240" w:firstLineChars="100"/>
              <w:rPr>
                <w:rFonts w:cs="宋体"/>
                <w:color w:val="auto"/>
                <w:sz w:val="24"/>
                <w:highlight w:val="none"/>
              </w:rPr>
            </w:pPr>
            <w:r>
              <w:rPr>
                <w:rFonts w:hint="eastAsia" w:cs="宋体"/>
                <w:color w:val="auto"/>
                <w:sz w:val="24"/>
                <w:highlight w:val="none"/>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cs="Arial"/>
          <w:color w:val="auto"/>
          <w:sz w:val="24"/>
          <w:highlight w:val="none"/>
        </w:rPr>
      </w:pPr>
      <w:r>
        <w:rPr>
          <w:rFonts w:hint="eastAsia" w:cs="Times New Roman"/>
          <w:color w:val="auto"/>
          <w:sz w:val="24"/>
          <w:highlight w:val="none"/>
        </w:rPr>
        <w:t>注：</w:t>
      </w:r>
    </w:p>
    <w:p w14:paraId="09D88CC1">
      <w:pPr>
        <w:pStyle w:val="16"/>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根据《关于推进解决政府采购异常低价问题的通知》（财库〔2026〕2号），采购人可以结合具体项目实际情况，提高上述</w:t>
      </w:r>
      <w:r>
        <w:rPr>
          <w:rFonts w:hint="eastAsia" w:ascii="宋体" w:hAnsi="宋体" w:eastAsia="宋体" w:cs="Times New Roman"/>
          <w:color w:val="auto"/>
          <w:sz w:val="24"/>
          <w:highlight w:val="none"/>
        </w:rPr>
        <w:t>评审标准</w:t>
      </w:r>
      <w:r>
        <w:rPr>
          <w:rFonts w:hint="eastAsia" w:ascii="宋体" w:hAnsi="宋体" w:eastAsia="宋体"/>
          <w:color w:val="auto"/>
          <w:sz w:val="24"/>
          <w:highlight w:val="none"/>
        </w:rPr>
        <w:t>第（1）项至第（3）项中的数值标准，但是最高不得超过65%。</w:t>
      </w:r>
    </w:p>
    <w:p w14:paraId="153DDD6B">
      <w:pPr>
        <w:pStyle w:val="16"/>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326F5DD3">
      <w:pPr>
        <w:pStyle w:val="16"/>
        <w:spacing w:line="360" w:lineRule="auto"/>
        <w:ind w:firstLine="480" w:firstLineChars="200"/>
        <w:rPr>
          <w:rFonts w:asciiTheme="minorEastAsia" w:hAnsiTheme="minorEastAsia" w:eastAsiaTheme="minorEastAsia"/>
          <w:b/>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asciiTheme="minorEastAsia" w:hAnsiTheme="minorEastAsia" w:eastAsiaTheme="minorEastAsia"/>
          <w:b/>
          <w:color w:val="auto"/>
          <w:sz w:val="24"/>
          <w:highlight w:val="none"/>
        </w:rPr>
      </w:pPr>
      <w:r>
        <w:rPr>
          <w:rFonts w:hint="eastAsia"/>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rPr>
        <w:t>63</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37</w:t>
      </w:r>
      <w:r>
        <w:rPr>
          <w:rFonts w:asciiTheme="minorEastAsia" w:hAnsiTheme="minorEastAsia" w:eastAsiaTheme="minorEastAsia"/>
          <w:color w:val="auto"/>
          <w:sz w:val="24"/>
          <w:highlight w:val="none"/>
        </w:rPr>
        <w:t>%。具体评分细则如下：</w:t>
      </w:r>
    </w:p>
    <w:tbl>
      <w:tblPr>
        <w:tblStyle w:val="55"/>
        <w:tblW w:w="5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44"/>
        <w:gridCol w:w="6435"/>
        <w:gridCol w:w="1123"/>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36"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cs="宋体"/>
                <w:b/>
                <w:bCs/>
                <w:color w:val="auto"/>
                <w:sz w:val="21"/>
                <w:szCs w:val="21"/>
                <w:highlight w:val="none"/>
              </w:rPr>
            </w:pPr>
            <w:r>
              <w:rPr>
                <w:rFonts w:hint="eastAsia" w:cs="宋体"/>
                <w:b/>
                <w:bCs/>
                <w:color w:val="auto"/>
                <w:sz w:val="21"/>
                <w:szCs w:val="21"/>
                <w:highlight w:val="none"/>
              </w:rPr>
              <w:t>类别</w:t>
            </w:r>
          </w:p>
        </w:tc>
        <w:tc>
          <w:tcPr>
            <w:tcW w:w="774"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cs="宋体"/>
                <w:b/>
                <w:bCs/>
                <w:color w:val="auto"/>
                <w:sz w:val="21"/>
                <w:szCs w:val="21"/>
                <w:highlight w:val="none"/>
              </w:rPr>
            </w:pPr>
            <w:r>
              <w:rPr>
                <w:rFonts w:hint="eastAsia" w:cs="宋体"/>
                <w:b/>
                <w:bCs/>
                <w:color w:val="auto"/>
                <w:sz w:val="21"/>
                <w:szCs w:val="21"/>
                <w:highlight w:val="none"/>
              </w:rPr>
              <w:t>评分内容</w:t>
            </w:r>
          </w:p>
        </w:tc>
        <w:tc>
          <w:tcPr>
            <w:tcW w:w="3226"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cs="宋体"/>
                <w:b/>
                <w:bCs/>
                <w:color w:val="auto"/>
                <w:sz w:val="21"/>
                <w:szCs w:val="21"/>
                <w:highlight w:val="none"/>
              </w:rPr>
            </w:pPr>
            <w:r>
              <w:rPr>
                <w:rFonts w:hint="eastAsia" w:cs="宋体"/>
                <w:b/>
                <w:bCs/>
                <w:color w:val="auto"/>
                <w:sz w:val="21"/>
                <w:szCs w:val="21"/>
                <w:highlight w:val="none"/>
              </w:rPr>
              <w:t>评分标准</w:t>
            </w:r>
          </w:p>
        </w:tc>
        <w:tc>
          <w:tcPr>
            <w:tcW w:w="562"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cs="宋体"/>
                <w:b/>
                <w:bCs/>
                <w:color w:val="auto"/>
                <w:sz w:val="21"/>
                <w:szCs w:val="21"/>
                <w:highlight w:val="none"/>
              </w:rPr>
            </w:pPr>
            <w:r>
              <w:rPr>
                <w:rFonts w:hint="eastAsia" w:cs="宋体"/>
                <w:b/>
                <w:bCs/>
                <w:color w:val="auto"/>
                <w:sz w:val="21"/>
                <w:szCs w:val="21"/>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cs="宋体"/>
                <w:color w:val="auto"/>
                <w:sz w:val="21"/>
                <w:szCs w:val="21"/>
                <w:highlight w:val="none"/>
              </w:rPr>
            </w:pPr>
            <w:r>
              <w:rPr>
                <w:rFonts w:hint="eastAsia" w:cs="宋体"/>
                <w:color w:val="auto"/>
                <w:sz w:val="21"/>
                <w:szCs w:val="21"/>
                <w:highlight w:val="none"/>
              </w:rPr>
              <w:t>技术资信分</w:t>
            </w:r>
          </w:p>
          <w:p w14:paraId="6DCFB4EA">
            <w:pPr>
              <w:spacing w:line="360" w:lineRule="auto"/>
              <w:jc w:val="center"/>
              <w:rPr>
                <w:rFonts w:cs="宋体"/>
                <w:b/>
                <w:bCs/>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u w:val="single"/>
              </w:rPr>
              <w:t>63</w:t>
            </w:r>
            <w:r>
              <w:rPr>
                <w:rFonts w:hint="eastAsia" w:cs="宋体"/>
                <w:color w:val="auto"/>
                <w:sz w:val="21"/>
                <w:szCs w:val="21"/>
                <w:highlight w:val="none"/>
              </w:rPr>
              <w:t>分）</w:t>
            </w:r>
          </w:p>
        </w:tc>
        <w:tc>
          <w:tcPr>
            <w:tcW w:w="774" w:type="pct"/>
            <w:tcBorders>
              <w:top w:val="single" w:color="auto" w:sz="4" w:space="0"/>
              <w:left w:val="single" w:color="auto" w:sz="4" w:space="0"/>
              <w:bottom w:val="single" w:color="auto" w:sz="4" w:space="0"/>
              <w:right w:val="single" w:color="auto" w:sz="4" w:space="0"/>
            </w:tcBorders>
            <w:vAlign w:val="center"/>
          </w:tcPr>
          <w:p w14:paraId="4060C640">
            <w:pPr>
              <w:spacing w:line="360" w:lineRule="auto"/>
              <w:jc w:val="center"/>
              <w:rPr>
                <w:rFonts w:cs="宋体"/>
                <w:bCs/>
                <w:color w:val="auto"/>
                <w:sz w:val="21"/>
                <w:szCs w:val="21"/>
                <w:highlight w:val="none"/>
              </w:rPr>
            </w:pPr>
            <w:r>
              <w:rPr>
                <w:rFonts w:hint="eastAsia" w:cs="宋体"/>
                <w:bCs/>
                <w:color w:val="auto"/>
                <w:sz w:val="21"/>
                <w:szCs w:val="21"/>
                <w:highlight w:val="none"/>
              </w:rPr>
              <w:t>供应商业绩</w:t>
            </w:r>
          </w:p>
        </w:tc>
        <w:tc>
          <w:tcPr>
            <w:tcW w:w="6435" w:type="dxa"/>
            <w:tcBorders>
              <w:top w:val="single" w:color="auto" w:sz="4" w:space="0"/>
              <w:left w:val="single" w:color="auto" w:sz="4" w:space="0"/>
              <w:bottom w:val="single" w:color="auto" w:sz="4" w:space="0"/>
              <w:right w:val="single" w:color="auto" w:sz="4" w:space="0"/>
            </w:tcBorders>
            <w:vAlign w:val="center"/>
          </w:tcPr>
          <w:p w14:paraId="0993C59C">
            <w:pPr>
              <w:spacing w:line="360" w:lineRule="auto"/>
              <w:rPr>
                <w:rFonts w:cs="宋体"/>
                <w:color w:val="auto"/>
                <w:sz w:val="21"/>
                <w:szCs w:val="21"/>
                <w:highlight w:val="none"/>
              </w:rPr>
            </w:pPr>
            <w:r>
              <w:rPr>
                <w:rFonts w:hint="eastAsia" w:cs="宋体"/>
                <w:color w:val="auto"/>
                <w:sz w:val="21"/>
                <w:szCs w:val="21"/>
                <w:highlight w:val="none"/>
              </w:rPr>
              <w:t>自2023年1月1日以来（时间以合同签订日期为准），供应商具有一个装饰装修或改造工程施工项目业绩的，得2分，满分2分。</w:t>
            </w:r>
          </w:p>
          <w:p w14:paraId="2743B3CC">
            <w:pPr>
              <w:spacing w:line="360" w:lineRule="auto"/>
              <w:rPr>
                <w:rFonts w:cs="宋体"/>
                <w:b/>
                <w:bCs/>
                <w:color w:val="auto"/>
                <w:sz w:val="21"/>
                <w:szCs w:val="21"/>
                <w:highlight w:val="none"/>
              </w:rPr>
            </w:pPr>
            <w:r>
              <w:rPr>
                <w:rFonts w:hint="eastAsia" w:cs="宋体"/>
                <w:b/>
                <w:bCs/>
                <w:color w:val="auto"/>
                <w:sz w:val="21"/>
                <w:szCs w:val="21"/>
                <w:highlight w:val="none"/>
              </w:rPr>
              <w:t>注：1.响应文件中提供业绩合同，如前述证明材料无法体现时间、工程内容等评审因素的，须另提供加盖业主单位公章的证明材料予以明确说明。</w:t>
            </w:r>
          </w:p>
          <w:p w14:paraId="4DD44DCB">
            <w:pPr>
              <w:spacing w:line="360" w:lineRule="auto"/>
              <w:rPr>
                <w:rFonts w:cs="宋体"/>
                <w:color w:val="auto"/>
                <w:sz w:val="21"/>
                <w:szCs w:val="21"/>
                <w:highlight w:val="none"/>
              </w:rPr>
            </w:pPr>
            <w:r>
              <w:rPr>
                <w:rFonts w:hint="eastAsia" w:cs="宋体"/>
                <w:b/>
                <w:bCs/>
                <w:color w:val="auto"/>
                <w:sz w:val="21"/>
                <w:szCs w:val="21"/>
                <w:highlight w:val="none"/>
              </w:rPr>
              <w:t>2.项目经理业绩与供应商业绩不得重复加分。</w:t>
            </w:r>
          </w:p>
        </w:tc>
        <w:tc>
          <w:tcPr>
            <w:tcW w:w="562" w:type="pct"/>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cs="宋体"/>
                <w:b/>
                <w:bCs/>
                <w:color w:val="auto"/>
                <w:sz w:val="21"/>
                <w:szCs w:val="21"/>
                <w:highlight w:val="none"/>
              </w:rPr>
            </w:pPr>
            <w:r>
              <w:rPr>
                <w:rFonts w:hint="eastAsia" w:cs="宋体"/>
                <w:b/>
                <w:bCs/>
                <w:color w:val="auto"/>
                <w:sz w:val="21"/>
                <w:szCs w:val="21"/>
                <w:highlight w:val="none"/>
              </w:rPr>
              <w:t>0-2分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36" w:type="pct"/>
            <w:vMerge w:val="continue"/>
            <w:tcBorders>
              <w:left w:val="single" w:color="auto" w:sz="4" w:space="0"/>
              <w:right w:val="single" w:color="auto" w:sz="4" w:space="0"/>
            </w:tcBorders>
            <w:vAlign w:val="center"/>
          </w:tcPr>
          <w:p w14:paraId="36F05733">
            <w:pPr>
              <w:spacing w:line="360" w:lineRule="auto"/>
              <w:ind w:firstLine="435"/>
              <w:jc w:val="center"/>
              <w:rPr>
                <w:rFonts w:cs="宋体"/>
                <w:b/>
                <w:bCs/>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5DE27A65">
            <w:pPr>
              <w:spacing w:line="360" w:lineRule="auto"/>
              <w:jc w:val="center"/>
              <w:rPr>
                <w:rFonts w:cs="宋体"/>
                <w:color w:val="auto"/>
                <w:sz w:val="21"/>
                <w:szCs w:val="21"/>
                <w:highlight w:val="none"/>
              </w:rPr>
            </w:pPr>
            <w:r>
              <w:rPr>
                <w:rFonts w:hint="eastAsia" w:cs="宋体"/>
                <w:color w:val="auto"/>
                <w:sz w:val="21"/>
                <w:szCs w:val="21"/>
                <w:highlight w:val="none"/>
              </w:rPr>
              <w:t>项目经理业绩</w:t>
            </w:r>
          </w:p>
        </w:tc>
        <w:tc>
          <w:tcPr>
            <w:tcW w:w="6435" w:type="dxa"/>
            <w:tcBorders>
              <w:top w:val="single" w:color="auto" w:sz="4" w:space="0"/>
              <w:left w:val="single" w:color="auto" w:sz="4" w:space="0"/>
              <w:bottom w:val="single" w:color="auto" w:sz="4" w:space="0"/>
              <w:right w:val="single" w:color="auto" w:sz="4" w:space="0"/>
            </w:tcBorders>
            <w:vAlign w:val="center"/>
          </w:tcPr>
          <w:p w14:paraId="301D7BF3">
            <w:pPr>
              <w:spacing w:line="360" w:lineRule="auto"/>
              <w:rPr>
                <w:rFonts w:cs="宋体"/>
                <w:color w:val="auto"/>
                <w:sz w:val="21"/>
                <w:szCs w:val="21"/>
                <w:highlight w:val="none"/>
              </w:rPr>
            </w:pPr>
            <w:r>
              <w:rPr>
                <w:rFonts w:hint="eastAsia" w:cs="宋体"/>
                <w:color w:val="auto"/>
                <w:sz w:val="21"/>
                <w:szCs w:val="21"/>
                <w:highlight w:val="none"/>
              </w:rPr>
              <w:t>自2023年1月1日以来（时间以合同签订日期为准），拟派项目经理具有一个装饰装修或改造工程施工项目业绩的，得2分，满分2分。</w:t>
            </w:r>
          </w:p>
          <w:p w14:paraId="6FE0E640">
            <w:pPr>
              <w:spacing w:line="360" w:lineRule="auto"/>
              <w:rPr>
                <w:rFonts w:cs="宋体"/>
                <w:b/>
                <w:bCs/>
                <w:color w:val="auto"/>
                <w:sz w:val="21"/>
                <w:szCs w:val="21"/>
                <w:highlight w:val="none"/>
              </w:rPr>
            </w:pPr>
            <w:r>
              <w:rPr>
                <w:rFonts w:hint="eastAsia" w:cs="宋体"/>
                <w:b/>
                <w:bCs/>
                <w:color w:val="auto"/>
                <w:sz w:val="21"/>
                <w:szCs w:val="21"/>
                <w:highlight w:val="none"/>
              </w:rPr>
              <w:t>注：1.响应文件中提供业绩合同。如前述证明材料无法体现时间、工程内容、项目经理姓名等评审因素的，须另提供加盖业主单位公章的证明材料予以明确说明。</w:t>
            </w:r>
          </w:p>
          <w:p w14:paraId="3D6358E1">
            <w:pPr>
              <w:spacing w:line="360" w:lineRule="auto"/>
              <w:rPr>
                <w:rFonts w:cs="宋体"/>
                <w:color w:val="auto"/>
                <w:sz w:val="21"/>
                <w:szCs w:val="21"/>
                <w:highlight w:val="none"/>
              </w:rPr>
            </w:pPr>
            <w:r>
              <w:rPr>
                <w:rFonts w:hint="eastAsia" w:cs="宋体"/>
                <w:b/>
                <w:bCs/>
                <w:color w:val="auto"/>
                <w:sz w:val="21"/>
                <w:szCs w:val="21"/>
                <w:highlight w:val="none"/>
              </w:rPr>
              <w:t>2.项目经理业绩与供应商业绩不得重复加分。</w:t>
            </w:r>
          </w:p>
        </w:tc>
        <w:tc>
          <w:tcPr>
            <w:tcW w:w="562"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cs="宋体"/>
                <w:b/>
                <w:bCs/>
                <w:color w:val="auto"/>
                <w:sz w:val="21"/>
                <w:szCs w:val="21"/>
                <w:highlight w:val="none"/>
              </w:rPr>
            </w:pPr>
            <w:r>
              <w:rPr>
                <w:rFonts w:hint="eastAsia" w:cs="宋体"/>
                <w:b/>
                <w:bCs/>
                <w:color w:val="auto"/>
                <w:sz w:val="21"/>
                <w:szCs w:val="21"/>
                <w:highlight w:val="none"/>
              </w:rPr>
              <w:t>0-2分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57F3D774">
            <w:pPr>
              <w:spacing w:line="360" w:lineRule="auto"/>
              <w:ind w:firstLine="435"/>
              <w:jc w:val="center"/>
              <w:rPr>
                <w:rFonts w:cs="宋体"/>
                <w:b/>
                <w:bCs/>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6D850305">
            <w:pPr>
              <w:spacing w:line="360" w:lineRule="auto"/>
              <w:jc w:val="center"/>
              <w:rPr>
                <w:rFonts w:cs="宋体"/>
                <w:color w:val="auto"/>
                <w:sz w:val="21"/>
                <w:szCs w:val="21"/>
                <w:highlight w:val="none"/>
              </w:rPr>
            </w:pPr>
            <w:r>
              <w:rPr>
                <w:rFonts w:hint="eastAsia" w:cs="宋体"/>
                <w:color w:val="auto"/>
                <w:sz w:val="21"/>
                <w:szCs w:val="21"/>
                <w:highlight w:val="none"/>
              </w:rPr>
              <w:t>质保期</w:t>
            </w:r>
          </w:p>
        </w:tc>
        <w:tc>
          <w:tcPr>
            <w:tcW w:w="6435" w:type="dxa"/>
            <w:tcBorders>
              <w:top w:val="single" w:color="auto" w:sz="4" w:space="0"/>
              <w:left w:val="single" w:color="auto" w:sz="4" w:space="0"/>
              <w:bottom w:val="single" w:color="auto" w:sz="4" w:space="0"/>
              <w:right w:val="single" w:color="auto" w:sz="4" w:space="0"/>
            </w:tcBorders>
            <w:vAlign w:val="center"/>
          </w:tcPr>
          <w:p w14:paraId="7F63FBE9">
            <w:pPr>
              <w:spacing w:line="360" w:lineRule="auto"/>
              <w:rPr>
                <w:rFonts w:cs="宋体"/>
                <w:b/>
                <w:bCs/>
                <w:color w:val="auto"/>
                <w:sz w:val="21"/>
                <w:szCs w:val="21"/>
                <w:highlight w:val="none"/>
              </w:rPr>
            </w:pPr>
            <w:r>
              <w:rPr>
                <w:rFonts w:hint="eastAsia" w:cs="宋体"/>
                <w:color w:val="auto"/>
                <w:sz w:val="21"/>
                <w:szCs w:val="21"/>
                <w:highlight w:val="none"/>
              </w:rPr>
              <w:t>本项目防水免费质量保证期为自验收合格之日起为5年,其他内容为2年。每同步延保一年得2分，满分4分。</w:t>
            </w:r>
            <w:r>
              <w:rPr>
                <w:rFonts w:hint="eastAsia" w:cs="宋体"/>
                <w:b/>
                <w:bCs/>
                <w:color w:val="auto"/>
                <w:sz w:val="21"/>
                <w:szCs w:val="21"/>
                <w:highlight w:val="none"/>
              </w:rPr>
              <w:t xml:space="preserve">延保期间按合同执行。延长不足一年的部分不得分。 </w:t>
            </w:r>
          </w:p>
          <w:p w14:paraId="4FBA2170">
            <w:pPr>
              <w:spacing w:line="360" w:lineRule="auto"/>
              <w:rPr>
                <w:rFonts w:cs="宋体"/>
                <w:color w:val="auto"/>
                <w:sz w:val="21"/>
                <w:szCs w:val="21"/>
                <w:highlight w:val="none"/>
              </w:rPr>
            </w:pPr>
            <w:r>
              <w:rPr>
                <w:rFonts w:hint="eastAsia" w:cs="宋体"/>
                <w:b/>
                <w:bCs/>
                <w:color w:val="auto"/>
                <w:sz w:val="21"/>
                <w:szCs w:val="21"/>
                <w:highlight w:val="none"/>
              </w:rPr>
              <w:t>注：以供应商承诺的免费质保期为准。提供承诺函扫描件。格式自拟，不承诺不得分。</w:t>
            </w:r>
          </w:p>
        </w:tc>
        <w:tc>
          <w:tcPr>
            <w:tcW w:w="562" w:type="pct"/>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cs="宋体"/>
                <w:b/>
                <w:bCs/>
                <w:color w:val="auto"/>
                <w:sz w:val="21"/>
                <w:szCs w:val="21"/>
                <w:highlight w:val="none"/>
              </w:rPr>
            </w:pPr>
            <w:r>
              <w:rPr>
                <w:rFonts w:hint="eastAsia" w:cs="宋体"/>
                <w:b/>
                <w:bCs/>
                <w:color w:val="auto"/>
                <w:sz w:val="21"/>
                <w:szCs w:val="21"/>
                <w:highlight w:val="none"/>
              </w:rPr>
              <w:t>0-4分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5E78ED2A">
            <w:pPr>
              <w:pStyle w:val="54"/>
              <w:spacing w:after="0"/>
              <w:ind w:left="400"/>
              <w:rPr>
                <w:rFonts w:ascii="宋体" w:hAnsi="宋体" w:cs="宋体"/>
                <w:color w:val="auto"/>
                <w:szCs w:val="21"/>
                <w:highlight w:val="none"/>
              </w:rPr>
            </w:pPr>
          </w:p>
          <w:p w14:paraId="48284C17">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69CE528F">
            <w:pPr>
              <w:spacing w:line="360" w:lineRule="auto"/>
              <w:jc w:val="center"/>
              <w:rPr>
                <w:rFonts w:cs="宋体"/>
                <w:color w:val="auto"/>
                <w:sz w:val="21"/>
                <w:szCs w:val="21"/>
                <w:highlight w:val="none"/>
              </w:rPr>
            </w:pPr>
            <w:r>
              <w:rPr>
                <w:rFonts w:hint="eastAsia" w:cs="宋体"/>
                <w:color w:val="auto"/>
                <w:sz w:val="21"/>
                <w:szCs w:val="21"/>
                <w:highlight w:val="none"/>
              </w:rPr>
              <w:t>项目总体方案</w:t>
            </w:r>
          </w:p>
        </w:tc>
        <w:tc>
          <w:tcPr>
            <w:tcW w:w="3226" w:type="pct"/>
            <w:tcBorders>
              <w:top w:val="single" w:color="auto" w:sz="4" w:space="0"/>
              <w:left w:val="single" w:color="auto" w:sz="4" w:space="0"/>
              <w:bottom w:val="single" w:color="auto" w:sz="4" w:space="0"/>
              <w:right w:val="single" w:color="auto" w:sz="4" w:space="0"/>
            </w:tcBorders>
            <w:vAlign w:val="center"/>
          </w:tcPr>
          <w:p w14:paraId="2DFA1B33">
            <w:pPr>
              <w:spacing w:line="360" w:lineRule="auto"/>
              <w:jc w:val="left"/>
              <w:rPr>
                <w:rFonts w:cs="宋体"/>
                <w:color w:val="auto"/>
                <w:sz w:val="21"/>
                <w:szCs w:val="21"/>
                <w:highlight w:val="none"/>
              </w:rPr>
            </w:pPr>
            <w:r>
              <w:rPr>
                <w:rFonts w:hint="eastAsia" w:cs="宋体"/>
                <w:color w:val="auto"/>
                <w:sz w:val="21"/>
                <w:szCs w:val="21"/>
                <w:highlight w:val="none"/>
              </w:rPr>
              <w:t>根据供应商提供的该项目总体方案进行综合评分：</w:t>
            </w:r>
          </w:p>
          <w:p w14:paraId="1906FB14">
            <w:pPr>
              <w:spacing w:line="360" w:lineRule="auto"/>
              <w:jc w:val="left"/>
              <w:rPr>
                <w:rFonts w:cs="宋体"/>
                <w:color w:val="auto"/>
                <w:sz w:val="21"/>
                <w:szCs w:val="21"/>
                <w:highlight w:val="none"/>
              </w:rPr>
            </w:pPr>
            <w:r>
              <w:rPr>
                <w:rFonts w:hint="eastAsia" w:cs="宋体"/>
                <w:color w:val="auto"/>
                <w:sz w:val="21"/>
                <w:szCs w:val="21"/>
                <w:highlight w:val="none"/>
              </w:rPr>
              <w:t>1.总体方案与布置完全符合本项目实际情况，能完全满足施工现场的施工需求、充分调动现场的各项资源，能高效组织施工顺序、场地管理、材料运输，得5分；</w:t>
            </w:r>
          </w:p>
          <w:p w14:paraId="5FEB6A43">
            <w:pPr>
              <w:spacing w:line="360" w:lineRule="auto"/>
              <w:jc w:val="left"/>
              <w:rPr>
                <w:rFonts w:cs="宋体"/>
                <w:color w:val="auto"/>
                <w:sz w:val="21"/>
                <w:szCs w:val="21"/>
                <w:highlight w:val="none"/>
              </w:rPr>
            </w:pPr>
            <w:r>
              <w:rPr>
                <w:rFonts w:hint="eastAsia" w:cs="宋体"/>
                <w:color w:val="auto"/>
                <w:sz w:val="21"/>
                <w:szCs w:val="21"/>
                <w:highlight w:val="none"/>
              </w:rPr>
              <w:t>2.总体方案与布置符合本项目实际情况，能较好满足施工现场的施工需求、调动现场的各项资源，能较好组织施工顺序、场地管理、材料运输，得4分；</w:t>
            </w:r>
          </w:p>
          <w:p w14:paraId="5ECD6A05">
            <w:pPr>
              <w:spacing w:line="360" w:lineRule="auto"/>
              <w:jc w:val="left"/>
              <w:rPr>
                <w:rFonts w:cs="宋体"/>
                <w:color w:val="auto"/>
                <w:sz w:val="21"/>
                <w:szCs w:val="21"/>
                <w:highlight w:val="none"/>
              </w:rPr>
            </w:pPr>
            <w:r>
              <w:rPr>
                <w:rFonts w:hint="eastAsia" w:cs="宋体"/>
                <w:color w:val="auto"/>
                <w:sz w:val="21"/>
                <w:szCs w:val="21"/>
                <w:highlight w:val="none"/>
              </w:rPr>
              <w:t>3.总体方案与布置基本符合项目实际情况，能基本满足施工现场的施工需求、调动现场的各项资源，能基本组织施工顺序、场地管理、材料运输，得3分；</w:t>
            </w:r>
          </w:p>
          <w:p w14:paraId="3CF18AE7">
            <w:pPr>
              <w:spacing w:line="360" w:lineRule="auto"/>
              <w:jc w:val="left"/>
              <w:rPr>
                <w:rFonts w:cs="宋体"/>
                <w:color w:val="auto"/>
                <w:sz w:val="21"/>
                <w:szCs w:val="21"/>
                <w:highlight w:val="none"/>
              </w:rPr>
            </w:pPr>
            <w:r>
              <w:rPr>
                <w:rFonts w:hint="eastAsia" w:cs="宋体"/>
                <w:color w:val="auto"/>
                <w:sz w:val="21"/>
                <w:szCs w:val="21"/>
                <w:highlight w:val="none"/>
              </w:rPr>
              <w:t>4.不符合项目实际或未提供的不得分。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2AAE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268F4CAF">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0F433B08">
            <w:pPr>
              <w:spacing w:line="360" w:lineRule="auto"/>
              <w:jc w:val="center"/>
              <w:rPr>
                <w:rFonts w:cs="宋体"/>
                <w:color w:val="auto"/>
                <w:sz w:val="21"/>
                <w:szCs w:val="21"/>
                <w:highlight w:val="none"/>
              </w:rPr>
            </w:pPr>
            <w:r>
              <w:rPr>
                <w:rFonts w:hint="eastAsia" w:cs="宋体"/>
                <w:color w:val="auto"/>
                <w:sz w:val="21"/>
                <w:szCs w:val="21"/>
                <w:highlight w:val="none"/>
              </w:rPr>
              <w:t>重难点分析及应对措施</w:t>
            </w:r>
          </w:p>
        </w:tc>
        <w:tc>
          <w:tcPr>
            <w:tcW w:w="3226" w:type="pct"/>
            <w:tcBorders>
              <w:top w:val="single" w:color="auto" w:sz="4" w:space="0"/>
              <w:left w:val="single" w:color="auto" w:sz="4" w:space="0"/>
              <w:bottom w:val="single" w:color="auto" w:sz="4" w:space="0"/>
              <w:right w:val="single" w:color="auto" w:sz="4" w:space="0"/>
            </w:tcBorders>
            <w:vAlign w:val="center"/>
          </w:tcPr>
          <w:p w14:paraId="264D38BF">
            <w:pPr>
              <w:spacing w:line="360" w:lineRule="auto"/>
              <w:jc w:val="left"/>
              <w:rPr>
                <w:rFonts w:cs="宋体"/>
                <w:color w:val="auto"/>
                <w:sz w:val="21"/>
                <w:szCs w:val="21"/>
                <w:highlight w:val="none"/>
              </w:rPr>
            </w:pPr>
            <w:r>
              <w:rPr>
                <w:rFonts w:hint="eastAsia" w:cs="宋体"/>
                <w:color w:val="auto"/>
                <w:sz w:val="21"/>
                <w:szCs w:val="21"/>
                <w:highlight w:val="none"/>
              </w:rPr>
              <w:t>根据供应商提供的各分部分项工程的工程重难点及应对措施进行综合评分：</w:t>
            </w:r>
          </w:p>
          <w:p w14:paraId="55726CCF">
            <w:pPr>
              <w:spacing w:line="360" w:lineRule="auto"/>
              <w:jc w:val="left"/>
              <w:rPr>
                <w:rFonts w:cs="宋体"/>
                <w:color w:val="auto"/>
                <w:sz w:val="21"/>
                <w:szCs w:val="21"/>
                <w:highlight w:val="none"/>
              </w:rPr>
            </w:pPr>
            <w:r>
              <w:rPr>
                <w:rFonts w:hint="eastAsia" w:cs="宋体"/>
                <w:color w:val="auto"/>
                <w:sz w:val="21"/>
                <w:szCs w:val="21"/>
                <w:highlight w:val="none"/>
              </w:rPr>
              <w:t>1.对施工中可能会产生的重点、难点进行分析梳理全面、详细，处理方法及步骤清晰，可行性、实用性、针对性强的，得5分；</w:t>
            </w:r>
          </w:p>
          <w:p w14:paraId="0EB3800A">
            <w:pPr>
              <w:spacing w:line="360" w:lineRule="auto"/>
              <w:jc w:val="left"/>
              <w:rPr>
                <w:rFonts w:cs="宋体"/>
                <w:color w:val="auto"/>
                <w:sz w:val="21"/>
                <w:szCs w:val="21"/>
                <w:highlight w:val="none"/>
              </w:rPr>
            </w:pPr>
            <w:r>
              <w:rPr>
                <w:rFonts w:hint="eastAsia" w:cs="宋体"/>
                <w:color w:val="auto"/>
                <w:sz w:val="21"/>
                <w:szCs w:val="21"/>
                <w:highlight w:val="none"/>
              </w:rPr>
              <w:t>2.对施工中可能会产生的重点、难点进行分析梳理较清楚，处理方法及步骤较清晰，具有可行性、实用性、针对性，得4分；</w:t>
            </w:r>
          </w:p>
          <w:p w14:paraId="6032202E">
            <w:pPr>
              <w:spacing w:line="360" w:lineRule="auto"/>
              <w:jc w:val="left"/>
              <w:rPr>
                <w:rFonts w:cs="宋体"/>
                <w:color w:val="auto"/>
                <w:sz w:val="21"/>
                <w:szCs w:val="21"/>
                <w:highlight w:val="none"/>
              </w:rPr>
            </w:pPr>
            <w:r>
              <w:rPr>
                <w:rFonts w:hint="eastAsia" w:cs="宋体"/>
                <w:color w:val="auto"/>
                <w:sz w:val="21"/>
                <w:szCs w:val="21"/>
                <w:highlight w:val="none"/>
              </w:rPr>
              <w:t>3.对施工中可能会产生的重点、难点进行分析梳理不完整，可行性、实用性、针对性有待改善，得3分；</w:t>
            </w:r>
          </w:p>
          <w:p w14:paraId="10A82746">
            <w:pPr>
              <w:spacing w:line="360" w:lineRule="auto"/>
              <w:jc w:val="left"/>
              <w:rPr>
                <w:rFonts w:cs="宋体"/>
                <w:color w:val="auto"/>
                <w:sz w:val="21"/>
                <w:szCs w:val="21"/>
                <w:highlight w:val="none"/>
              </w:rPr>
            </w:pPr>
            <w:r>
              <w:rPr>
                <w:rFonts w:hint="eastAsia" w:cs="宋体"/>
                <w:color w:val="auto"/>
                <w:sz w:val="21"/>
                <w:szCs w:val="21"/>
                <w:highlight w:val="none"/>
              </w:rPr>
              <w:t>4.无专门针对该项目治理过程中重点、难点分析内容和解决措施的或者未提供的不得分。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599B721B">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61CC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56027B82">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001CA2F3">
            <w:pPr>
              <w:spacing w:line="360" w:lineRule="auto"/>
              <w:jc w:val="center"/>
              <w:rPr>
                <w:rFonts w:cs="宋体"/>
                <w:color w:val="auto"/>
                <w:sz w:val="21"/>
                <w:szCs w:val="21"/>
                <w:highlight w:val="none"/>
              </w:rPr>
            </w:pPr>
            <w:r>
              <w:rPr>
                <w:rFonts w:hint="eastAsia" w:cs="宋体"/>
                <w:color w:val="auto"/>
                <w:sz w:val="21"/>
                <w:szCs w:val="21"/>
                <w:highlight w:val="none"/>
              </w:rPr>
              <w:t>主要施工技术方案</w:t>
            </w:r>
          </w:p>
        </w:tc>
        <w:tc>
          <w:tcPr>
            <w:tcW w:w="3226" w:type="pct"/>
            <w:tcBorders>
              <w:top w:val="single" w:color="auto" w:sz="4" w:space="0"/>
              <w:left w:val="single" w:color="auto" w:sz="4" w:space="0"/>
              <w:bottom w:val="single" w:color="auto" w:sz="4" w:space="0"/>
              <w:right w:val="single" w:color="auto" w:sz="4" w:space="0"/>
            </w:tcBorders>
            <w:vAlign w:val="center"/>
          </w:tcPr>
          <w:p w14:paraId="0DF59319">
            <w:pPr>
              <w:spacing w:line="360" w:lineRule="auto"/>
              <w:rPr>
                <w:rFonts w:cs="宋体"/>
                <w:color w:val="auto"/>
                <w:sz w:val="21"/>
                <w:szCs w:val="21"/>
                <w:highlight w:val="none"/>
              </w:rPr>
            </w:pPr>
            <w:r>
              <w:rPr>
                <w:rFonts w:hint="eastAsia" w:cs="宋体"/>
                <w:color w:val="auto"/>
                <w:sz w:val="21"/>
                <w:szCs w:val="21"/>
                <w:highlight w:val="none"/>
              </w:rPr>
              <w:t>根据供应商提供的各分部分项工程的主要施工技术方案进行综合评分：</w:t>
            </w:r>
          </w:p>
          <w:p w14:paraId="5605F97F">
            <w:pPr>
              <w:spacing w:line="360" w:lineRule="auto"/>
              <w:rPr>
                <w:rFonts w:cs="宋体"/>
                <w:color w:val="auto"/>
                <w:sz w:val="21"/>
                <w:szCs w:val="21"/>
                <w:highlight w:val="none"/>
              </w:rPr>
            </w:pPr>
            <w:r>
              <w:rPr>
                <w:rFonts w:hint="eastAsia" w:cs="宋体"/>
                <w:color w:val="auto"/>
                <w:sz w:val="21"/>
                <w:szCs w:val="21"/>
                <w:highlight w:val="none"/>
              </w:rPr>
              <w:t>1.施工技术方案贴合项目实际，方案详尽，工艺先进、方法可行，能够高质高效的施工并确保安全的，得5分；</w:t>
            </w:r>
          </w:p>
          <w:p w14:paraId="625052B0">
            <w:pPr>
              <w:spacing w:line="360" w:lineRule="auto"/>
              <w:rPr>
                <w:rFonts w:cs="宋体"/>
                <w:color w:val="auto"/>
                <w:sz w:val="21"/>
                <w:szCs w:val="21"/>
                <w:highlight w:val="none"/>
              </w:rPr>
            </w:pPr>
            <w:r>
              <w:rPr>
                <w:rFonts w:hint="eastAsia" w:cs="宋体"/>
                <w:color w:val="auto"/>
                <w:sz w:val="21"/>
                <w:szCs w:val="21"/>
                <w:highlight w:val="none"/>
              </w:rPr>
              <w:t>2.施工技术方案基本符合项目实际，工艺技术大部分符合施工需求，可以指导施工并确保安全的，得4分；</w:t>
            </w:r>
          </w:p>
          <w:p w14:paraId="00C9FB28">
            <w:pPr>
              <w:spacing w:line="360" w:lineRule="auto"/>
              <w:rPr>
                <w:rFonts w:cs="宋体"/>
                <w:color w:val="auto"/>
                <w:sz w:val="21"/>
                <w:szCs w:val="21"/>
                <w:highlight w:val="none"/>
              </w:rPr>
            </w:pPr>
            <w:r>
              <w:rPr>
                <w:rFonts w:hint="eastAsia" w:cs="宋体"/>
                <w:color w:val="auto"/>
                <w:sz w:val="21"/>
                <w:szCs w:val="21"/>
                <w:highlight w:val="none"/>
              </w:rPr>
              <w:t>3.施工技术方案需要再完善，不能完全指导具体施工的，得3分；</w:t>
            </w:r>
          </w:p>
          <w:p w14:paraId="2A3A95F8">
            <w:pPr>
              <w:spacing w:line="360" w:lineRule="auto"/>
              <w:jc w:val="left"/>
              <w:rPr>
                <w:rFonts w:cs="宋体"/>
                <w:color w:val="auto"/>
                <w:sz w:val="21"/>
                <w:szCs w:val="21"/>
                <w:highlight w:val="none"/>
              </w:rPr>
            </w:pPr>
            <w:r>
              <w:rPr>
                <w:rFonts w:hint="eastAsia" w:cs="宋体"/>
                <w:color w:val="auto"/>
                <w:sz w:val="21"/>
                <w:szCs w:val="21"/>
                <w:highlight w:val="none"/>
              </w:rPr>
              <w:t>4.方案不能满足项目实施要求或未提供的不得分。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2DF1EEB2">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56DF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00D5317B">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19EF99D7">
            <w:pPr>
              <w:spacing w:line="360" w:lineRule="auto"/>
              <w:jc w:val="center"/>
              <w:rPr>
                <w:rFonts w:cs="宋体"/>
                <w:color w:val="auto"/>
                <w:sz w:val="21"/>
                <w:szCs w:val="21"/>
                <w:highlight w:val="none"/>
              </w:rPr>
            </w:pPr>
            <w:r>
              <w:rPr>
                <w:rFonts w:hint="eastAsia" w:cs="宋体"/>
                <w:color w:val="auto"/>
                <w:sz w:val="21"/>
                <w:szCs w:val="21"/>
                <w:highlight w:val="none"/>
              </w:rPr>
              <w:t>工程质量控制措施</w:t>
            </w:r>
          </w:p>
        </w:tc>
        <w:tc>
          <w:tcPr>
            <w:tcW w:w="3226" w:type="pct"/>
            <w:tcBorders>
              <w:top w:val="single" w:color="auto" w:sz="4" w:space="0"/>
              <w:left w:val="single" w:color="auto" w:sz="4" w:space="0"/>
              <w:bottom w:val="single" w:color="auto" w:sz="4" w:space="0"/>
              <w:right w:val="single" w:color="auto" w:sz="4" w:space="0"/>
            </w:tcBorders>
            <w:vAlign w:val="center"/>
          </w:tcPr>
          <w:p w14:paraId="066F2DE2">
            <w:pPr>
              <w:spacing w:line="360" w:lineRule="auto"/>
              <w:jc w:val="left"/>
              <w:rPr>
                <w:rFonts w:cs="宋体"/>
                <w:color w:val="auto"/>
                <w:sz w:val="21"/>
                <w:szCs w:val="21"/>
                <w:highlight w:val="none"/>
              </w:rPr>
            </w:pPr>
            <w:r>
              <w:rPr>
                <w:rFonts w:hint="eastAsia" w:cs="宋体"/>
                <w:color w:val="auto"/>
                <w:sz w:val="21"/>
                <w:szCs w:val="21"/>
                <w:highlight w:val="none"/>
              </w:rPr>
              <w:t>根据供应商提供的各分部分项工程质量的控制措施进行综合评分：</w:t>
            </w:r>
          </w:p>
          <w:p w14:paraId="28AC539D">
            <w:pPr>
              <w:spacing w:line="360" w:lineRule="auto"/>
              <w:jc w:val="left"/>
              <w:rPr>
                <w:rFonts w:cs="宋体"/>
                <w:color w:val="auto"/>
                <w:sz w:val="21"/>
                <w:szCs w:val="21"/>
                <w:highlight w:val="none"/>
              </w:rPr>
            </w:pPr>
            <w:r>
              <w:rPr>
                <w:rFonts w:hint="eastAsia" w:cs="宋体"/>
                <w:color w:val="auto"/>
                <w:sz w:val="21"/>
                <w:szCs w:val="21"/>
                <w:highlight w:val="none"/>
              </w:rPr>
              <w:t>1.工程质量的控制措施内容分析全面、详细，处理方法及步骤清晰，有专门的质量技术管理班子和制度，且人员配备齐全，制度健全，材料选用有利于提高工程质量的，能有效的保证技术质量，达到承诺的质量标准的，得5分；</w:t>
            </w:r>
          </w:p>
          <w:p w14:paraId="5D0A7A8E">
            <w:pPr>
              <w:spacing w:line="360" w:lineRule="auto"/>
              <w:jc w:val="left"/>
              <w:rPr>
                <w:rFonts w:cs="宋体"/>
                <w:color w:val="auto"/>
                <w:sz w:val="21"/>
                <w:szCs w:val="21"/>
                <w:highlight w:val="none"/>
              </w:rPr>
            </w:pPr>
            <w:r>
              <w:rPr>
                <w:rFonts w:hint="eastAsia" w:cs="宋体"/>
                <w:color w:val="auto"/>
                <w:sz w:val="21"/>
                <w:szCs w:val="21"/>
                <w:highlight w:val="none"/>
              </w:rPr>
              <w:t>2.工程质量的控制措施内容分析清楚，处理方法及步骤较清晰，符合实际，有专门的质量技术管理班子和制度，且人员配备较齐全，制度比较健全，材料选用有利于提高工程质量的，能够保证技术质量，基本达到承诺的质量标准的，得4分；</w:t>
            </w:r>
          </w:p>
          <w:p w14:paraId="26896F99">
            <w:pPr>
              <w:spacing w:line="360" w:lineRule="auto"/>
              <w:jc w:val="left"/>
              <w:rPr>
                <w:rFonts w:cs="宋体"/>
                <w:color w:val="auto"/>
                <w:sz w:val="21"/>
                <w:szCs w:val="21"/>
                <w:highlight w:val="none"/>
              </w:rPr>
            </w:pPr>
            <w:r>
              <w:rPr>
                <w:rFonts w:hint="eastAsia" w:cs="宋体"/>
                <w:color w:val="auto"/>
                <w:sz w:val="21"/>
                <w:szCs w:val="21"/>
                <w:highlight w:val="none"/>
              </w:rPr>
              <w:t>3.工程质量的控制措施内容分析不完整，方案需完善，处理方法步骤不全，存在不足的，得3分；</w:t>
            </w:r>
          </w:p>
          <w:p w14:paraId="66A2A9A4">
            <w:pPr>
              <w:spacing w:line="360" w:lineRule="auto"/>
              <w:jc w:val="left"/>
              <w:rPr>
                <w:rFonts w:cs="宋体"/>
                <w:color w:val="auto"/>
                <w:sz w:val="21"/>
                <w:szCs w:val="21"/>
                <w:highlight w:val="none"/>
              </w:rPr>
            </w:pPr>
            <w:r>
              <w:rPr>
                <w:rFonts w:hint="eastAsia" w:cs="宋体"/>
                <w:color w:val="auto"/>
                <w:sz w:val="21"/>
                <w:szCs w:val="21"/>
                <w:highlight w:val="none"/>
              </w:rPr>
              <w:t>4.无专门针对该项目分析内容和解决措施的或者未提供的不得分。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578526CC">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3BD9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407E4083">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1AD5E0C4">
            <w:pPr>
              <w:spacing w:line="360" w:lineRule="auto"/>
              <w:jc w:val="center"/>
              <w:rPr>
                <w:rFonts w:cs="宋体"/>
                <w:color w:val="auto"/>
                <w:sz w:val="21"/>
                <w:szCs w:val="21"/>
                <w:highlight w:val="none"/>
              </w:rPr>
            </w:pPr>
            <w:r>
              <w:rPr>
                <w:rFonts w:hint="eastAsia" w:cs="宋体"/>
                <w:color w:val="auto"/>
                <w:sz w:val="21"/>
                <w:szCs w:val="21"/>
                <w:highlight w:val="none"/>
              </w:rPr>
              <w:t>安全生产管理措施</w:t>
            </w:r>
          </w:p>
        </w:tc>
        <w:tc>
          <w:tcPr>
            <w:tcW w:w="3226" w:type="pct"/>
            <w:tcBorders>
              <w:top w:val="single" w:color="auto" w:sz="4" w:space="0"/>
              <w:left w:val="single" w:color="auto" w:sz="4" w:space="0"/>
              <w:bottom w:val="single" w:color="auto" w:sz="4" w:space="0"/>
              <w:right w:val="single" w:color="auto" w:sz="4" w:space="0"/>
            </w:tcBorders>
            <w:vAlign w:val="center"/>
          </w:tcPr>
          <w:p w14:paraId="6EB41E9C">
            <w:pPr>
              <w:spacing w:line="360" w:lineRule="auto"/>
              <w:jc w:val="left"/>
              <w:rPr>
                <w:rFonts w:cs="宋体"/>
                <w:color w:val="auto"/>
                <w:sz w:val="21"/>
                <w:szCs w:val="21"/>
                <w:highlight w:val="none"/>
              </w:rPr>
            </w:pPr>
            <w:r>
              <w:rPr>
                <w:rFonts w:hint="eastAsia" w:cs="宋体"/>
                <w:color w:val="auto"/>
                <w:sz w:val="21"/>
                <w:szCs w:val="21"/>
                <w:highlight w:val="none"/>
              </w:rPr>
              <w:t xml:space="preserve">根据供应商提供的各分部分项工程的安全生产的管理措施进行综合评分： </w:t>
            </w:r>
          </w:p>
          <w:p w14:paraId="2BC00A3E">
            <w:pPr>
              <w:spacing w:line="360" w:lineRule="auto"/>
              <w:jc w:val="left"/>
              <w:rPr>
                <w:rFonts w:cs="宋体"/>
                <w:color w:val="auto"/>
                <w:sz w:val="21"/>
                <w:szCs w:val="21"/>
                <w:highlight w:val="none"/>
              </w:rPr>
            </w:pPr>
            <w:r>
              <w:rPr>
                <w:rFonts w:hint="eastAsia" w:cs="宋体"/>
                <w:color w:val="auto"/>
                <w:sz w:val="21"/>
                <w:szCs w:val="21"/>
                <w:highlight w:val="none"/>
              </w:rPr>
              <w:t>1.安全生产的管理措施应有专门的安全管理人员和制度，且人员配备齐全，制度健全，各道工序安全技术措施针对性强，符合实际且满足有关安全技术标准要求。现场防火、社会治安安全措施得力，处理方法及步骤清晰，可行性强的，得5分；</w:t>
            </w:r>
          </w:p>
          <w:p w14:paraId="7448B4C7">
            <w:pPr>
              <w:spacing w:line="360" w:lineRule="auto"/>
              <w:jc w:val="left"/>
              <w:rPr>
                <w:rFonts w:cs="宋体"/>
                <w:color w:val="auto"/>
                <w:sz w:val="21"/>
                <w:szCs w:val="21"/>
                <w:highlight w:val="none"/>
              </w:rPr>
            </w:pPr>
            <w:r>
              <w:rPr>
                <w:rFonts w:hint="eastAsia" w:cs="宋体"/>
                <w:color w:val="auto"/>
                <w:sz w:val="21"/>
                <w:szCs w:val="21"/>
                <w:highlight w:val="none"/>
              </w:rPr>
              <w:t>2.安全生产的管理措施有专门的安全管理人员和制度，且人员配备较齐全，制度比较健全，各道工序安全技术措施较完善，基本符合实际且满足有关安全技术标准要求。现场防火、社会治安安全措施比较得力，处理方法及步骤较清晰，符合实际的，得4分；</w:t>
            </w:r>
          </w:p>
          <w:p w14:paraId="34DD0331">
            <w:pPr>
              <w:spacing w:line="360" w:lineRule="auto"/>
              <w:jc w:val="left"/>
              <w:rPr>
                <w:rFonts w:cs="宋体"/>
                <w:color w:val="auto"/>
                <w:sz w:val="21"/>
                <w:szCs w:val="21"/>
                <w:highlight w:val="none"/>
              </w:rPr>
            </w:pPr>
            <w:r>
              <w:rPr>
                <w:rFonts w:hint="eastAsia" w:cs="宋体"/>
                <w:color w:val="auto"/>
                <w:sz w:val="21"/>
                <w:szCs w:val="21"/>
                <w:highlight w:val="none"/>
              </w:rPr>
              <w:t>3.安全生产的管理措施内容、人员配备、制度、工序等环节不完善，得3分；</w:t>
            </w:r>
          </w:p>
          <w:p w14:paraId="00A9B33C">
            <w:pPr>
              <w:spacing w:line="360" w:lineRule="auto"/>
              <w:jc w:val="left"/>
              <w:rPr>
                <w:rFonts w:cs="宋体"/>
                <w:color w:val="auto"/>
                <w:sz w:val="21"/>
                <w:szCs w:val="21"/>
                <w:highlight w:val="none"/>
              </w:rPr>
            </w:pPr>
            <w:r>
              <w:rPr>
                <w:rFonts w:hint="eastAsia" w:cs="宋体"/>
                <w:color w:val="auto"/>
                <w:sz w:val="21"/>
                <w:szCs w:val="21"/>
                <w:highlight w:val="none"/>
              </w:rPr>
              <w:t>4.无专门针对该项目分析内容和解决措施的或者未提供的不得分。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58567EBB">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488B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1295396B">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5BE10FFF">
            <w:pPr>
              <w:spacing w:line="360" w:lineRule="auto"/>
              <w:jc w:val="center"/>
              <w:rPr>
                <w:rFonts w:cs="宋体"/>
                <w:color w:val="auto"/>
                <w:sz w:val="21"/>
                <w:szCs w:val="21"/>
                <w:highlight w:val="none"/>
              </w:rPr>
            </w:pPr>
            <w:r>
              <w:rPr>
                <w:rFonts w:hint="eastAsia" w:cs="宋体"/>
                <w:color w:val="auto"/>
                <w:sz w:val="21"/>
                <w:szCs w:val="21"/>
                <w:highlight w:val="none"/>
              </w:rPr>
              <w:t>工程进度控制措施</w:t>
            </w:r>
          </w:p>
        </w:tc>
        <w:tc>
          <w:tcPr>
            <w:tcW w:w="3226" w:type="pct"/>
            <w:tcBorders>
              <w:top w:val="single" w:color="auto" w:sz="4" w:space="0"/>
              <w:left w:val="single" w:color="auto" w:sz="4" w:space="0"/>
              <w:bottom w:val="single" w:color="auto" w:sz="4" w:space="0"/>
              <w:right w:val="single" w:color="auto" w:sz="4" w:space="0"/>
            </w:tcBorders>
            <w:vAlign w:val="center"/>
          </w:tcPr>
          <w:p w14:paraId="593CFE97">
            <w:pPr>
              <w:spacing w:line="360" w:lineRule="auto"/>
              <w:jc w:val="left"/>
              <w:rPr>
                <w:rFonts w:cs="宋体"/>
                <w:color w:val="auto"/>
                <w:sz w:val="21"/>
                <w:szCs w:val="21"/>
                <w:highlight w:val="none"/>
              </w:rPr>
            </w:pPr>
            <w:r>
              <w:rPr>
                <w:rFonts w:hint="eastAsia" w:cs="宋体"/>
                <w:color w:val="auto"/>
                <w:sz w:val="21"/>
                <w:szCs w:val="21"/>
                <w:highlight w:val="none"/>
              </w:rPr>
              <w:t>根据供应商提供的各分部分项工程的工程进度控制进行综合评分：</w:t>
            </w:r>
          </w:p>
          <w:p w14:paraId="3B8EE902">
            <w:pPr>
              <w:spacing w:line="360" w:lineRule="auto"/>
              <w:jc w:val="left"/>
              <w:rPr>
                <w:rFonts w:cs="宋体"/>
                <w:color w:val="auto"/>
                <w:sz w:val="21"/>
                <w:szCs w:val="21"/>
                <w:highlight w:val="none"/>
              </w:rPr>
            </w:pPr>
            <w:r>
              <w:rPr>
                <w:rFonts w:hint="eastAsia" w:cs="宋体"/>
                <w:color w:val="auto"/>
                <w:sz w:val="21"/>
                <w:szCs w:val="21"/>
                <w:highlight w:val="none"/>
              </w:rPr>
              <w:t>1.工程进度在施工工艺、施工工序、流水节拍、施工方法、不可以预见性事件等方面有保证工期的具体措施且措施得当，控制工期的施工进度计划合理，得5分；</w:t>
            </w:r>
          </w:p>
          <w:p w14:paraId="29149A2E">
            <w:pPr>
              <w:spacing w:line="360" w:lineRule="auto"/>
              <w:jc w:val="left"/>
              <w:rPr>
                <w:rFonts w:cs="宋体"/>
                <w:color w:val="auto"/>
                <w:sz w:val="21"/>
                <w:szCs w:val="21"/>
                <w:highlight w:val="none"/>
              </w:rPr>
            </w:pPr>
            <w:r>
              <w:rPr>
                <w:rFonts w:hint="eastAsia" w:cs="宋体"/>
                <w:color w:val="auto"/>
                <w:sz w:val="21"/>
                <w:szCs w:val="21"/>
                <w:highlight w:val="none"/>
              </w:rPr>
              <w:t>2.工程进度在施工工艺、施工工序、流水节拍、施工方法、不可以预见性事件等方面有保证工期的措施且措施比较得当，有控制工期的施工进度计划，得4分；</w:t>
            </w:r>
          </w:p>
          <w:p w14:paraId="25CDA75B">
            <w:pPr>
              <w:spacing w:line="360" w:lineRule="auto"/>
              <w:jc w:val="left"/>
              <w:rPr>
                <w:rFonts w:cs="宋体"/>
                <w:color w:val="auto"/>
                <w:sz w:val="21"/>
                <w:szCs w:val="21"/>
                <w:highlight w:val="none"/>
              </w:rPr>
            </w:pPr>
            <w:r>
              <w:rPr>
                <w:rFonts w:hint="eastAsia" w:cs="宋体"/>
                <w:color w:val="auto"/>
                <w:sz w:val="21"/>
                <w:szCs w:val="21"/>
                <w:highlight w:val="none"/>
              </w:rPr>
              <w:t>3.工程进度在施工工艺、施工工序、流水节拍、施工方法、不可以预见性事件等保证工期的具体措施不详细，还需要完善的，得3分；</w:t>
            </w:r>
          </w:p>
          <w:p w14:paraId="1CFE4CBA">
            <w:pPr>
              <w:spacing w:line="360" w:lineRule="auto"/>
              <w:jc w:val="left"/>
              <w:rPr>
                <w:rFonts w:cs="宋体"/>
                <w:color w:val="auto"/>
                <w:sz w:val="21"/>
                <w:szCs w:val="21"/>
                <w:highlight w:val="none"/>
              </w:rPr>
            </w:pPr>
            <w:r>
              <w:rPr>
                <w:rFonts w:hint="eastAsia" w:cs="宋体"/>
                <w:color w:val="auto"/>
                <w:sz w:val="21"/>
                <w:szCs w:val="21"/>
                <w:highlight w:val="none"/>
              </w:rPr>
              <w:t>4.无专门针对该项目分析内容和解决措施的或者未提供的不得分。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67A7B7D7">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228C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161DF1A0">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22D94F55">
            <w:pPr>
              <w:spacing w:line="360" w:lineRule="auto"/>
              <w:jc w:val="center"/>
              <w:rPr>
                <w:rFonts w:cs="宋体"/>
                <w:color w:val="auto"/>
                <w:sz w:val="21"/>
                <w:szCs w:val="21"/>
                <w:highlight w:val="none"/>
              </w:rPr>
            </w:pPr>
            <w:r>
              <w:rPr>
                <w:rFonts w:hint="eastAsia" w:cs="宋体"/>
                <w:color w:val="auto"/>
                <w:sz w:val="21"/>
                <w:szCs w:val="21"/>
                <w:highlight w:val="none"/>
              </w:rPr>
              <w:t>投入的劳动力计划</w:t>
            </w:r>
          </w:p>
        </w:tc>
        <w:tc>
          <w:tcPr>
            <w:tcW w:w="3226" w:type="pct"/>
            <w:tcBorders>
              <w:top w:val="single" w:color="auto" w:sz="4" w:space="0"/>
              <w:left w:val="single" w:color="auto" w:sz="4" w:space="0"/>
              <w:bottom w:val="single" w:color="auto" w:sz="4" w:space="0"/>
              <w:right w:val="single" w:color="auto" w:sz="4" w:space="0"/>
            </w:tcBorders>
            <w:vAlign w:val="center"/>
          </w:tcPr>
          <w:p w14:paraId="50EC13CE">
            <w:pPr>
              <w:spacing w:line="360" w:lineRule="auto"/>
              <w:jc w:val="left"/>
              <w:rPr>
                <w:rFonts w:cs="宋体"/>
                <w:color w:val="auto"/>
                <w:sz w:val="21"/>
                <w:szCs w:val="21"/>
                <w:highlight w:val="none"/>
              </w:rPr>
            </w:pPr>
            <w:r>
              <w:rPr>
                <w:rFonts w:hint="eastAsia" w:cs="宋体"/>
                <w:color w:val="auto"/>
                <w:sz w:val="21"/>
                <w:szCs w:val="21"/>
                <w:highlight w:val="none"/>
              </w:rPr>
              <w:t>根据供应商投入的各部分工程劳动力计划进行综合评分：</w:t>
            </w:r>
          </w:p>
          <w:p w14:paraId="2C7E7777">
            <w:pPr>
              <w:spacing w:line="360" w:lineRule="auto"/>
              <w:jc w:val="left"/>
              <w:rPr>
                <w:rFonts w:cs="宋体"/>
                <w:color w:val="auto"/>
                <w:sz w:val="21"/>
                <w:szCs w:val="21"/>
                <w:highlight w:val="none"/>
              </w:rPr>
            </w:pPr>
            <w:r>
              <w:rPr>
                <w:rFonts w:hint="eastAsia" w:cs="宋体"/>
                <w:color w:val="auto"/>
                <w:sz w:val="21"/>
                <w:szCs w:val="21"/>
                <w:highlight w:val="none"/>
              </w:rPr>
              <w:t>1.施工工序应有详细周密的劳动力安排计划明细，有各工种劳动力安排计划，劳动力投入计划可行性、实用性、针对性强，得5分；</w:t>
            </w:r>
          </w:p>
          <w:p w14:paraId="5C8CC35D">
            <w:pPr>
              <w:spacing w:line="360" w:lineRule="auto"/>
              <w:jc w:val="left"/>
              <w:rPr>
                <w:rFonts w:cs="宋体"/>
                <w:color w:val="auto"/>
                <w:sz w:val="21"/>
                <w:szCs w:val="21"/>
                <w:highlight w:val="none"/>
              </w:rPr>
            </w:pPr>
            <w:r>
              <w:rPr>
                <w:rFonts w:hint="eastAsia" w:cs="宋体"/>
                <w:color w:val="auto"/>
                <w:sz w:val="21"/>
                <w:szCs w:val="21"/>
                <w:highlight w:val="none"/>
              </w:rPr>
              <w:t>2.施工工序应有劳动力安排计划，有各工种劳动力安排计划，劳动力投入计划具有可行性、实用性、针对性，得4分；</w:t>
            </w:r>
          </w:p>
          <w:p w14:paraId="7FCCB3F4">
            <w:pPr>
              <w:spacing w:line="360" w:lineRule="auto"/>
              <w:jc w:val="left"/>
              <w:rPr>
                <w:rFonts w:cs="宋体"/>
                <w:color w:val="auto"/>
                <w:sz w:val="21"/>
                <w:szCs w:val="21"/>
                <w:highlight w:val="none"/>
              </w:rPr>
            </w:pPr>
            <w:r>
              <w:rPr>
                <w:rFonts w:hint="eastAsia" w:cs="宋体"/>
                <w:color w:val="auto"/>
                <w:sz w:val="21"/>
                <w:szCs w:val="21"/>
                <w:highlight w:val="none"/>
              </w:rPr>
              <w:t>3.劳动力安排计划需调整，各工种劳动力安排计划可行性、实用性、针对性有待改善的，得3分；</w:t>
            </w:r>
          </w:p>
          <w:p w14:paraId="468ABE65">
            <w:pPr>
              <w:spacing w:line="360" w:lineRule="auto"/>
              <w:jc w:val="left"/>
              <w:rPr>
                <w:rFonts w:cs="宋体"/>
                <w:color w:val="auto"/>
                <w:sz w:val="21"/>
                <w:szCs w:val="21"/>
                <w:highlight w:val="none"/>
              </w:rPr>
            </w:pPr>
            <w:r>
              <w:rPr>
                <w:rFonts w:hint="eastAsia" w:cs="宋体"/>
                <w:color w:val="auto"/>
                <w:sz w:val="21"/>
                <w:szCs w:val="21"/>
                <w:highlight w:val="none"/>
              </w:rPr>
              <w:t>4.计划不能满足项目实施要求或未提供的不得分。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0F17F6B0">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7205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15C3CF70">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749C1463">
            <w:pPr>
              <w:spacing w:line="360" w:lineRule="auto"/>
              <w:jc w:val="center"/>
              <w:rPr>
                <w:rFonts w:cs="宋体"/>
                <w:color w:val="auto"/>
                <w:sz w:val="21"/>
                <w:szCs w:val="21"/>
                <w:highlight w:val="none"/>
              </w:rPr>
            </w:pPr>
            <w:r>
              <w:rPr>
                <w:rFonts w:hint="eastAsia" w:cs="宋体"/>
                <w:color w:val="auto"/>
                <w:sz w:val="21"/>
                <w:szCs w:val="21"/>
                <w:highlight w:val="none"/>
              </w:rPr>
              <w:t>文明施工管理措施</w:t>
            </w:r>
          </w:p>
        </w:tc>
        <w:tc>
          <w:tcPr>
            <w:tcW w:w="3226" w:type="pct"/>
            <w:tcBorders>
              <w:top w:val="single" w:color="auto" w:sz="4" w:space="0"/>
              <w:left w:val="single" w:color="auto" w:sz="4" w:space="0"/>
              <w:bottom w:val="single" w:color="auto" w:sz="4" w:space="0"/>
              <w:right w:val="single" w:color="auto" w:sz="4" w:space="0"/>
            </w:tcBorders>
            <w:vAlign w:val="center"/>
          </w:tcPr>
          <w:p w14:paraId="70C4DD33">
            <w:pPr>
              <w:spacing w:line="360" w:lineRule="auto"/>
              <w:jc w:val="left"/>
              <w:rPr>
                <w:rFonts w:cs="宋体"/>
                <w:color w:val="auto"/>
                <w:sz w:val="21"/>
                <w:szCs w:val="21"/>
                <w:highlight w:val="none"/>
              </w:rPr>
            </w:pPr>
            <w:r>
              <w:rPr>
                <w:rFonts w:hint="eastAsia" w:cs="宋体"/>
                <w:color w:val="auto"/>
                <w:sz w:val="21"/>
                <w:szCs w:val="21"/>
                <w:highlight w:val="none"/>
              </w:rPr>
              <w:t>根据供应商提供的各分部分项工程文明施工的管理措施进行综合评分：</w:t>
            </w:r>
          </w:p>
          <w:p w14:paraId="548C772A">
            <w:pPr>
              <w:spacing w:line="360" w:lineRule="auto"/>
              <w:jc w:val="left"/>
              <w:rPr>
                <w:rFonts w:cs="宋体"/>
                <w:color w:val="auto"/>
                <w:sz w:val="21"/>
                <w:szCs w:val="21"/>
                <w:highlight w:val="none"/>
              </w:rPr>
            </w:pPr>
            <w:r>
              <w:rPr>
                <w:rFonts w:hint="eastAsia" w:cs="宋体"/>
                <w:color w:val="auto"/>
                <w:sz w:val="21"/>
                <w:szCs w:val="21"/>
                <w:highlight w:val="none"/>
              </w:rPr>
              <w:t>1.针对本项目特点，有现场文明施工计划，环境保护措施，各项措施周全、具体、有效。有具体实现现场文明施工目标的承诺，得5分；</w:t>
            </w:r>
          </w:p>
          <w:p w14:paraId="6E7170A0">
            <w:pPr>
              <w:spacing w:line="360" w:lineRule="auto"/>
              <w:jc w:val="left"/>
              <w:rPr>
                <w:rFonts w:cs="宋体"/>
                <w:color w:val="auto"/>
                <w:sz w:val="21"/>
                <w:szCs w:val="21"/>
                <w:highlight w:val="none"/>
              </w:rPr>
            </w:pPr>
            <w:r>
              <w:rPr>
                <w:rFonts w:hint="eastAsia" w:cs="宋体"/>
                <w:color w:val="auto"/>
                <w:sz w:val="21"/>
                <w:szCs w:val="21"/>
                <w:highlight w:val="none"/>
              </w:rPr>
              <w:t>2.针对本项目特点，有现场文明施工计划，环境保护措施，得4分；</w:t>
            </w:r>
          </w:p>
          <w:p w14:paraId="5D4F0EDF">
            <w:pPr>
              <w:spacing w:line="360" w:lineRule="auto"/>
              <w:jc w:val="left"/>
              <w:rPr>
                <w:rFonts w:cs="宋体"/>
                <w:color w:val="auto"/>
                <w:sz w:val="21"/>
                <w:szCs w:val="21"/>
                <w:highlight w:val="none"/>
              </w:rPr>
            </w:pPr>
            <w:r>
              <w:rPr>
                <w:rFonts w:hint="eastAsia" w:cs="宋体"/>
                <w:color w:val="auto"/>
                <w:sz w:val="21"/>
                <w:szCs w:val="21"/>
                <w:highlight w:val="none"/>
              </w:rPr>
              <w:t>3.针对本项目特点，现场文明施工计划、环境保护措施不完整，还需要完善的，得3分；</w:t>
            </w:r>
          </w:p>
          <w:p w14:paraId="6B18C339">
            <w:pPr>
              <w:spacing w:line="360" w:lineRule="auto"/>
              <w:jc w:val="left"/>
              <w:rPr>
                <w:rFonts w:cs="宋体"/>
                <w:color w:val="auto"/>
                <w:sz w:val="21"/>
                <w:szCs w:val="21"/>
                <w:highlight w:val="none"/>
              </w:rPr>
            </w:pPr>
            <w:r>
              <w:rPr>
                <w:rFonts w:hint="eastAsia" w:cs="宋体"/>
                <w:color w:val="auto"/>
                <w:sz w:val="21"/>
                <w:szCs w:val="21"/>
                <w:highlight w:val="none"/>
              </w:rPr>
              <w:t>4.无专门针对该项目分析内容和解决措施的或者未提供的不得分。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56E6A232">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3133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7ED0B1BF">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6B2FD40F">
            <w:pPr>
              <w:spacing w:line="360" w:lineRule="auto"/>
              <w:jc w:val="center"/>
              <w:rPr>
                <w:rFonts w:cs="宋体"/>
                <w:color w:val="auto"/>
                <w:sz w:val="21"/>
                <w:szCs w:val="21"/>
                <w:highlight w:val="none"/>
              </w:rPr>
            </w:pPr>
            <w:r>
              <w:rPr>
                <w:rFonts w:hint="eastAsia" w:cs="宋体"/>
                <w:color w:val="auto"/>
                <w:sz w:val="21"/>
                <w:szCs w:val="21"/>
                <w:highlight w:val="none"/>
              </w:rPr>
              <w:t>施工机械设备计划</w:t>
            </w:r>
          </w:p>
        </w:tc>
        <w:tc>
          <w:tcPr>
            <w:tcW w:w="3226" w:type="pct"/>
            <w:tcBorders>
              <w:top w:val="single" w:color="auto" w:sz="4" w:space="0"/>
              <w:left w:val="single" w:color="auto" w:sz="4" w:space="0"/>
              <w:bottom w:val="single" w:color="auto" w:sz="4" w:space="0"/>
              <w:right w:val="single" w:color="auto" w:sz="4" w:space="0"/>
            </w:tcBorders>
            <w:vAlign w:val="center"/>
          </w:tcPr>
          <w:p w14:paraId="78644805">
            <w:pPr>
              <w:spacing w:line="360" w:lineRule="auto"/>
              <w:jc w:val="left"/>
              <w:rPr>
                <w:rFonts w:cs="宋体"/>
                <w:color w:val="auto"/>
                <w:sz w:val="21"/>
                <w:szCs w:val="21"/>
                <w:highlight w:val="none"/>
              </w:rPr>
            </w:pPr>
            <w:r>
              <w:rPr>
                <w:rFonts w:hint="eastAsia" w:cs="宋体"/>
                <w:color w:val="auto"/>
                <w:sz w:val="21"/>
                <w:szCs w:val="21"/>
                <w:highlight w:val="none"/>
              </w:rPr>
              <w:t>根据供应商投入的施工机械设备计划进行综合评分：</w:t>
            </w:r>
          </w:p>
          <w:p w14:paraId="5D547CEF">
            <w:pPr>
              <w:spacing w:line="360" w:lineRule="auto"/>
              <w:jc w:val="left"/>
              <w:rPr>
                <w:rFonts w:cs="宋体"/>
                <w:color w:val="auto"/>
                <w:sz w:val="21"/>
                <w:szCs w:val="21"/>
                <w:highlight w:val="none"/>
              </w:rPr>
            </w:pPr>
            <w:r>
              <w:rPr>
                <w:rFonts w:hint="eastAsia" w:cs="宋体"/>
                <w:color w:val="auto"/>
                <w:sz w:val="21"/>
                <w:szCs w:val="21"/>
                <w:highlight w:val="none"/>
              </w:rPr>
              <w:t>1.施工机械设备计划内容完整、详细，时间安排可行性强，保证措施完整、清楚，投入的施工机械、设备、机具有详细计划且计划周密，设备数量、选型配置、进场数量，完全满足要求的，得5分；</w:t>
            </w:r>
          </w:p>
          <w:p w14:paraId="73CF46C4">
            <w:pPr>
              <w:spacing w:line="360" w:lineRule="auto"/>
              <w:jc w:val="left"/>
              <w:rPr>
                <w:rFonts w:cs="宋体"/>
                <w:color w:val="auto"/>
                <w:sz w:val="21"/>
                <w:szCs w:val="21"/>
                <w:highlight w:val="none"/>
              </w:rPr>
            </w:pPr>
            <w:r>
              <w:rPr>
                <w:rFonts w:hint="eastAsia" w:cs="宋体"/>
                <w:color w:val="auto"/>
                <w:sz w:val="21"/>
                <w:szCs w:val="21"/>
                <w:highlight w:val="none"/>
              </w:rPr>
              <w:t>2.施工机械设备计划内容较完整，时间安排具有可行性，保证措施需完善，基本满足服务工期要求的，得4分；</w:t>
            </w:r>
          </w:p>
          <w:p w14:paraId="1B11DE37">
            <w:pPr>
              <w:spacing w:line="360" w:lineRule="auto"/>
              <w:jc w:val="left"/>
              <w:rPr>
                <w:rFonts w:cs="宋体"/>
                <w:color w:val="auto"/>
                <w:sz w:val="21"/>
                <w:szCs w:val="21"/>
                <w:highlight w:val="none"/>
              </w:rPr>
            </w:pPr>
            <w:r>
              <w:rPr>
                <w:rFonts w:hint="eastAsia" w:cs="宋体"/>
                <w:color w:val="auto"/>
                <w:sz w:val="21"/>
                <w:szCs w:val="21"/>
                <w:highlight w:val="none"/>
              </w:rPr>
              <w:t>3.投入的施工机械、设备、机具设备数量基本满足要求、选型配置、进场数量、时间安排有待改善的，得3分；</w:t>
            </w:r>
          </w:p>
          <w:p w14:paraId="703BB02D">
            <w:pPr>
              <w:spacing w:line="360" w:lineRule="auto"/>
              <w:jc w:val="left"/>
              <w:rPr>
                <w:rFonts w:cs="宋体"/>
                <w:color w:val="auto"/>
                <w:sz w:val="21"/>
                <w:szCs w:val="21"/>
                <w:highlight w:val="none"/>
              </w:rPr>
            </w:pPr>
            <w:r>
              <w:rPr>
                <w:rFonts w:hint="eastAsia" w:cs="宋体"/>
                <w:color w:val="auto"/>
                <w:sz w:val="21"/>
                <w:szCs w:val="21"/>
                <w:highlight w:val="none"/>
              </w:rPr>
              <w:t>4. 计划不能满足项目实施要求或未提供的不得分。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2AFE2454">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2437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30847F3B">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7D946A11">
            <w:pPr>
              <w:spacing w:line="360" w:lineRule="auto"/>
              <w:jc w:val="center"/>
              <w:rPr>
                <w:rFonts w:cs="宋体"/>
                <w:color w:val="auto"/>
                <w:sz w:val="21"/>
                <w:szCs w:val="21"/>
                <w:highlight w:val="none"/>
              </w:rPr>
            </w:pPr>
            <w:r>
              <w:rPr>
                <w:rFonts w:hint="eastAsia" w:cs="宋体"/>
                <w:color w:val="auto"/>
                <w:sz w:val="21"/>
                <w:szCs w:val="21"/>
                <w:highlight w:val="none"/>
              </w:rPr>
              <w:t>质保期内服务方案</w:t>
            </w:r>
          </w:p>
        </w:tc>
        <w:tc>
          <w:tcPr>
            <w:tcW w:w="3226" w:type="pct"/>
            <w:tcBorders>
              <w:top w:val="single" w:color="auto" w:sz="4" w:space="0"/>
              <w:left w:val="single" w:color="auto" w:sz="4" w:space="0"/>
              <w:bottom w:val="single" w:color="auto" w:sz="4" w:space="0"/>
              <w:right w:val="single" w:color="auto" w:sz="4" w:space="0"/>
            </w:tcBorders>
            <w:vAlign w:val="center"/>
          </w:tcPr>
          <w:p w14:paraId="5BE09A51">
            <w:pPr>
              <w:spacing w:line="360" w:lineRule="auto"/>
              <w:jc w:val="left"/>
              <w:rPr>
                <w:rFonts w:cs="宋体"/>
                <w:color w:val="auto"/>
                <w:sz w:val="21"/>
                <w:szCs w:val="21"/>
                <w:highlight w:val="none"/>
              </w:rPr>
            </w:pPr>
            <w:r>
              <w:rPr>
                <w:rFonts w:hint="eastAsia" w:cs="宋体"/>
                <w:color w:val="auto"/>
                <w:sz w:val="21"/>
                <w:szCs w:val="21"/>
                <w:highlight w:val="none"/>
              </w:rPr>
              <w:t>根据采购文件要求和</w:t>
            </w:r>
            <w:r>
              <w:rPr>
                <w:rFonts w:hint="eastAsia" w:cs="宋体"/>
                <w:color w:val="auto"/>
                <w:sz w:val="21"/>
                <w:szCs w:val="21"/>
                <w:highlight w:val="none"/>
                <w:lang w:val="en-US" w:eastAsia="zh-CN"/>
              </w:rPr>
              <w:t>响应</w:t>
            </w:r>
            <w:r>
              <w:rPr>
                <w:rFonts w:hint="eastAsia" w:cs="宋体"/>
                <w:color w:val="auto"/>
                <w:sz w:val="21"/>
                <w:szCs w:val="21"/>
                <w:highlight w:val="none"/>
              </w:rPr>
              <w:t>提供的质保期内服务方案进行综合评分：</w:t>
            </w:r>
          </w:p>
          <w:p w14:paraId="47A69E83">
            <w:pPr>
              <w:spacing w:line="360" w:lineRule="auto"/>
              <w:jc w:val="left"/>
              <w:rPr>
                <w:rFonts w:cs="宋体"/>
                <w:color w:val="auto"/>
                <w:sz w:val="21"/>
                <w:szCs w:val="21"/>
                <w:highlight w:val="none"/>
              </w:rPr>
            </w:pPr>
            <w:r>
              <w:rPr>
                <w:rFonts w:hint="eastAsia" w:cs="宋体"/>
                <w:color w:val="auto"/>
                <w:sz w:val="21"/>
                <w:szCs w:val="21"/>
                <w:highlight w:val="none"/>
              </w:rPr>
              <w:t>1.方案符合实际，方案可行性、实用性、针对性强的，得5分；</w:t>
            </w:r>
          </w:p>
          <w:p w14:paraId="0DCCE7A9">
            <w:pPr>
              <w:spacing w:line="360" w:lineRule="auto"/>
              <w:jc w:val="left"/>
              <w:rPr>
                <w:rFonts w:cs="宋体"/>
                <w:color w:val="auto"/>
                <w:sz w:val="21"/>
                <w:szCs w:val="21"/>
                <w:highlight w:val="none"/>
              </w:rPr>
            </w:pPr>
            <w:r>
              <w:rPr>
                <w:rFonts w:hint="eastAsia" w:cs="宋体"/>
                <w:color w:val="auto"/>
                <w:sz w:val="21"/>
                <w:szCs w:val="21"/>
                <w:highlight w:val="none"/>
              </w:rPr>
              <w:t>2.方案符合实际，方案具有可行性、实用性、针对性，得4分；</w:t>
            </w:r>
          </w:p>
          <w:p w14:paraId="6CD0B87A">
            <w:pPr>
              <w:spacing w:line="360" w:lineRule="auto"/>
              <w:jc w:val="left"/>
              <w:rPr>
                <w:rFonts w:cs="宋体"/>
                <w:color w:val="auto"/>
                <w:sz w:val="21"/>
                <w:szCs w:val="21"/>
                <w:highlight w:val="none"/>
              </w:rPr>
            </w:pPr>
            <w:r>
              <w:rPr>
                <w:rFonts w:hint="eastAsia" w:cs="宋体"/>
                <w:color w:val="auto"/>
                <w:sz w:val="21"/>
                <w:szCs w:val="21"/>
                <w:highlight w:val="none"/>
              </w:rPr>
              <w:t>3.方案不符合实际，方案可行性、实用性、针对性有待改善，得3分；</w:t>
            </w:r>
          </w:p>
          <w:p w14:paraId="308EA7B3">
            <w:pPr>
              <w:spacing w:line="360" w:lineRule="auto"/>
              <w:jc w:val="left"/>
              <w:rPr>
                <w:rFonts w:cs="宋体"/>
                <w:color w:val="auto"/>
                <w:sz w:val="21"/>
                <w:szCs w:val="21"/>
                <w:highlight w:val="none"/>
              </w:rPr>
            </w:pPr>
            <w:r>
              <w:rPr>
                <w:rFonts w:hint="eastAsia" w:cs="宋体"/>
                <w:color w:val="auto"/>
                <w:sz w:val="21"/>
                <w:szCs w:val="21"/>
                <w:highlight w:val="none"/>
              </w:rPr>
              <w:t>4.方案不符合项目实际或未提供的不得分。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093D3B4B">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76E5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Merge w:val="continue"/>
            <w:tcBorders>
              <w:left w:val="single" w:color="auto" w:sz="4" w:space="0"/>
              <w:right w:val="single" w:color="auto" w:sz="4" w:space="0"/>
            </w:tcBorders>
            <w:vAlign w:val="center"/>
          </w:tcPr>
          <w:p w14:paraId="73519C6A">
            <w:pPr>
              <w:spacing w:line="360" w:lineRule="auto"/>
              <w:rPr>
                <w:rFonts w:cs="宋体"/>
                <w:color w:val="auto"/>
                <w:sz w:val="21"/>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14:paraId="378319AB">
            <w:pPr>
              <w:spacing w:line="360" w:lineRule="auto"/>
              <w:jc w:val="center"/>
              <w:rPr>
                <w:rFonts w:cs="宋体"/>
                <w:color w:val="auto"/>
                <w:sz w:val="21"/>
                <w:szCs w:val="21"/>
                <w:highlight w:val="none"/>
              </w:rPr>
            </w:pPr>
            <w:r>
              <w:rPr>
                <w:rFonts w:hint="eastAsia" w:cs="宋体"/>
                <w:color w:val="auto"/>
                <w:sz w:val="21"/>
                <w:szCs w:val="21"/>
                <w:highlight w:val="none"/>
              </w:rPr>
              <w:t>档案管理方案</w:t>
            </w:r>
          </w:p>
        </w:tc>
        <w:tc>
          <w:tcPr>
            <w:tcW w:w="3226" w:type="pct"/>
            <w:tcBorders>
              <w:top w:val="single" w:color="auto" w:sz="4" w:space="0"/>
              <w:left w:val="single" w:color="auto" w:sz="4" w:space="0"/>
              <w:bottom w:val="single" w:color="auto" w:sz="4" w:space="0"/>
              <w:right w:val="single" w:color="auto" w:sz="4" w:space="0"/>
            </w:tcBorders>
            <w:vAlign w:val="center"/>
          </w:tcPr>
          <w:p w14:paraId="7E83C11A">
            <w:pPr>
              <w:spacing w:line="360" w:lineRule="auto"/>
              <w:jc w:val="left"/>
              <w:rPr>
                <w:rFonts w:cs="宋体"/>
                <w:color w:val="auto"/>
                <w:sz w:val="21"/>
                <w:szCs w:val="21"/>
                <w:highlight w:val="none"/>
              </w:rPr>
            </w:pPr>
            <w:r>
              <w:rPr>
                <w:rFonts w:hint="eastAsia" w:cs="宋体"/>
                <w:color w:val="auto"/>
                <w:sz w:val="21"/>
                <w:szCs w:val="21"/>
                <w:highlight w:val="none"/>
              </w:rPr>
              <w:t>根据工程建设档案管理的相关规定，结合采购人相关要求对工程档案资料的及时性、完整性方案进行综合评分：</w:t>
            </w:r>
          </w:p>
          <w:p w14:paraId="3C4AD957">
            <w:pPr>
              <w:spacing w:line="360" w:lineRule="auto"/>
              <w:jc w:val="left"/>
              <w:rPr>
                <w:rFonts w:cs="宋体"/>
                <w:color w:val="auto"/>
                <w:sz w:val="21"/>
                <w:szCs w:val="21"/>
                <w:highlight w:val="none"/>
              </w:rPr>
            </w:pPr>
            <w:r>
              <w:rPr>
                <w:rFonts w:hint="eastAsia" w:cs="宋体"/>
                <w:color w:val="auto"/>
                <w:sz w:val="21"/>
                <w:szCs w:val="21"/>
                <w:highlight w:val="none"/>
              </w:rPr>
              <w:t>1.有完整档案管理制度，能全面完整地完成档案资料的制件与整理，提交档案资料准确及时，与工程进度相匹配，符合项目实际情况的，得5分；</w:t>
            </w:r>
          </w:p>
          <w:p w14:paraId="7DF28925">
            <w:pPr>
              <w:spacing w:line="360" w:lineRule="auto"/>
              <w:jc w:val="left"/>
              <w:rPr>
                <w:rFonts w:cs="宋体"/>
                <w:color w:val="auto"/>
                <w:sz w:val="21"/>
                <w:szCs w:val="21"/>
                <w:highlight w:val="none"/>
              </w:rPr>
            </w:pPr>
            <w:r>
              <w:rPr>
                <w:rFonts w:hint="eastAsia" w:cs="宋体"/>
                <w:color w:val="auto"/>
                <w:sz w:val="21"/>
                <w:szCs w:val="21"/>
                <w:highlight w:val="none"/>
              </w:rPr>
              <w:t>2.有相应的档案管理制度，能完成档案资料的制件与整理，基本符合项目实际情况的，得4分；</w:t>
            </w:r>
          </w:p>
          <w:p w14:paraId="66A72324">
            <w:pPr>
              <w:spacing w:line="360" w:lineRule="auto"/>
              <w:jc w:val="left"/>
              <w:rPr>
                <w:rFonts w:cs="宋体"/>
                <w:color w:val="auto"/>
                <w:sz w:val="21"/>
                <w:szCs w:val="21"/>
                <w:highlight w:val="none"/>
              </w:rPr>
            </w:pPr>
            <w:r>
              <w:rPr>
                <w:rFonts w:hint="eastAsia" w:cs="宋体"/>
                <w:color w:val="auto"/>
                <w:sz w:val="21"/>
                <w:szCs w:val="21"/>
                <w:highlight w:val="none"/>
              </w:rPr>
              <w:t>3.无相应档案管理制度，但基本能完成档案资料的制件与整理的，得3分；</w:t>
            </w:r>
          </w:p>
          <w:p w14:paraId="66CEF8D2">
            <w:pPr>
              <w:spacing w:line="360" w:lineRule="auto"/>
              <w:jc w:val="left"/>
              <w:rPr>
                <w:rFonts w:cs="宋体"/>
                <w:color w:val="auto"/>
                <w:sz w:val="21"/>
                <w:szCs w:val="21"/>
                <w:highlight w:val="none"/>
              </w:rPr>
            </w:pPr>
            <w:r>
              <w:rPr>
                <w:rFonts w:hint="eastAsia" w:cs="宋体"/>
                <w:color w:val="auto"/>
                <w:sz w:val="21"/>
                <w:szCs w:val="21"/>
                <w:highlight w:val="none"/>
              </w:rPr>
              <w:t>4.档案管理方案不符合项目实际或未提供的不得分。</w:t>
            </w:r>
          </w:p>
        </w:tc>
        <w:tc>
          <w:tcPr>
            <w:tcW w:w="562" w:type="pct"/>
            <w:tcBorders>
              <w:top w:val="single" w:color="auto" w:sz="4" w:space="0"/>
              <w:left w:val="single" w:color="auto" w:sz="4" w:space="0"/>
              <w:bottom w:val="single" w:color="auto" w:sz="4" w:space="0"/>
              <w:right w:val="single" w:color="auto" w:sz="4" w:space="0"/>
            </w:tcBorders>
            <w:vAlign w:val="center"/>
          </w:tcPr>
          <w:p w14:paraId="6576C611">
            <w:pPr>
              <w:spacing w:line="360" w:lineRule="auto"/>
              <w:jc w:val="center"/>
              <w:rPr>
                <w:rFonts w:cs="宋体"/>
                <w:b/>
                <w:bCs/>
                <w:color w:val="auto"/>
                <w:sz w:val="21"/>
                <w:szCs w:val="21"/>
                <w:highlight w:val="none"/>
              </w:rPr>
            </w:pPr>
            <w:r>
              <w:rPr>
                <w:rFonts w:hint="eastAsia" w:cs="宋体"/>
                <w:b/>
                <w:bCs/>
                <w:color w:val="auto"/>
                <w:sz w:val="21"/>
                <w:szCs w:val="21"/>
                <w:highlight w:val="none"/>
              </w:rPr>
              <w:t>0-5分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tcBorders>
              <w:left w:val="single" w:color="auto" w:sz="4" w:space="0"/>
              <w:right w:val="single" w:color="auto" w:sz="4" w:space="0"/>
            </w:tcBorders>
            <w:vAlign w:val="center"/>
          </w:tcPr>
          <w:p w14:paraId="5CDC8C66">
            <w:pPr>
              <w:spacing w:line="360" w:lineRule="auto"/>
              <w:jc w:val="center"/>
              <w:rPr>
                <w:rFonts w:cs="宋体"/>
                <w:color w:val="auto"/>
                <w:sz w:val="21"/>
                <w:szCs w:val="21"/>
                <w:highlight w:val="none"/>
              </w:rPr>
            </w:pPr>
            <w:r>
              <w:rPr>
                <w:rFonts w:hint="eastAsia" w:cs="宋体"/>
                <w:color w:val="auto"/>
                <w:sz w:val="21"/>
                <w:szCs w:val="21"/>
                <w:highlight w:val="none"/>
              </w:rPr>
              <w:t>价格分</w:t>
            </w:r>
          </w:p>
          <w:p w14:paraId="3DC3A027">
            <w:pPr>
              <w:spacing w:line="360" w:lineRule="auto"/>
              <w:jc w:val="center"/>
              <w:rPr>
                <w:rFonts w:cs="宋体"/>
                <w:b/>
                <w:bCs/>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u w:val="single"/>
              </w:rPr>
              <w:t>37</w:t>
            </w:r>
            <w:r>
              <w:rPr>
                <w:rFonts w:hint="eastAsia" w:cs="宋体"/>
                <w:color w:val="auto"/>
                <w:sz w:val="21"/>
                <w:szCs w:val="21"/>
                <w:highlight w:val="none"/>
              </w:rPr>
              <w:t>分）</w:t>
            </w:r>
          </w:p>
        </w:tc>
        <w:tc>
          <w:tcPr>
            <w:tcW w:w="4563"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cs="宋体"/>
                <w:color w:val="auto"/>
                <w:sz w:val="21"/>
                <w:szCs w:val="21"/>
                <w:highlight w:val="none"/>
              </w:rPr>
            </w:pPr>
            <w:r>
              <w:rPr>
                <w:rFonts w:hint="eastAsia" w:cs="宋体"/>
                <w:color w:val="auto"/>
                <w:sz w:val="21"/>
                <w:szCs w:val="21"/>
                <w:highlight w:val="none"/>
              </w:rPr>
              <w:t>价格分统一采用低价优先法，即满足磋商文件要求且最后报价最低的供应商的价格为磋商基准价，其价格分为满分</w:t>
            </w:r>
            <w:r>
              <w:rPr>
                <w:rFonts w:hint="eastAsia" w:cs="宋体"/>
                <w:color w:val="auto"/>
                <w:sz w:val="21"/>
                <w:szCs w:val="21"/>
                <w:highlight w:val="none"/>
                <w:u w:val="single"/>
              </w:rPr>
              <w:t>37</w:t>
            </w:r>
            <w:r>
              <w:rPr>
                <w:rFonts w:hint="eastAsia" w:cs="宋体"/>
                <w:color w:val="auto"/>
                <w:sz w:val="21"/>
                <w:szCs w:val="21"/>
                <w:highlight w:val="none"/>
              </w:rPr>
              <w:t>分。其他供应商的价格分统一按照下列公式计算：</w:t>
            </w:r>
          </w:p>
          <w:p w14:paraId="3A14FEF6">
            <w:pPr>
              <w:spacing w:line="360" w:lineRule="auto"/>
              <w:rPr>
                <w:rFonts w:cs="宋体"/>
                <w:b/>
                <w:bCs/>
                <w:color w:val="auto"/>
                <w:sz w:val="21"/>
                <w:szCs w:val="21"/>
                <w:highlight w:val="none"/>
              </w:rPr>
            </w:pPr>
            <w:r>
              <w:rPr>
                <w:rFonts w:hint="eastAsia" w:cs="宋体"/>
                <w:color w:val="auto"/>
                <w:sz w:val="21"/>
                <w:szCs w:val="21"/>
                <w:highlight w:val="none"/>
              </w:rPr>
              <w:t>磋商报价得分＝（磋商基准价/最后磋商报价）×</w:t>
            </w:r>
            <w:r>
              <w:rPr>
                <w:rFonts w:hint="eastAsia" w:cs="宋体"/>
                <w:color w:val="auto"/>
                <w:sz w:val="21"/>
                <w:szCs w:val="21"/>
                <w:highlight w:val="none"/>
                <w:u w:val="single"/>
              </w:rPr>
              <w:t>37</w:t>
            </w:r>
            <w:r>
              <w:rPr>
                <w:rFonts w:hint="eastAsia" w:cs="宋体"/>
                <w:color w:val="auto"/>
                <w:sz w:val="21"/>
                <w:szCs w:val="21"/>
                <w:highlight w:val="none"/>
              </w:rPr>
              <w:t>％×100</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7755F01">
      <w:pPr>
        <w:spacing w:line="360" w:lineRule="auto"/>
        <w:ind w:firstLine="437"/>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三、无效响应条款</w:t>
      </w:r>
    </w:p>
    <w:p w14:paraId="3F92753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w:t>
      </w:r>
      <w:r>
        <w:rPr>
          <w:rFonts w:hint="eastAsia" w:asciiTheme="minorEastAsia" w:hAnsiTheme="minorEastAsia" w:eastAsiaTheme="minorEastAsia"/>
          <w:color w:val="auto"/>
          <w:sz w:val="24"/>
          <w:highlight w:val="none"/>
          <w:lang w:val="en-US" w:eastAsia="zh-CN"/>
        </w:rPr>
        <w:t>1响应</w:t>
      </w:r>
      <w:r>
        <w:rPr>
          <w:rFonts w:hint="eastAsia" w:asciiTheme="minorEastAsia" w:hAnsiTheme="minorEastAsia" w:eastAsiaTheme="minorEastAsia"/>
          <w:color w:val="auto"/>
          <w:sz w:val="24"/>
          <w:highlight w:val="none"/>
          <w:lang w:eastAsia="zh-CN"/>
        </w:rPr>
        <w:t>文件有下列情形之一的,其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文件拒收:</w:t>
      </w:r>
    </w:p>
    <w:p w14:paraId="2045E5E5">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 未在开</w:t>
      </w:r>
      <w:r>
        <w:rPr>
          <w:rFonts w:hint="eastAsia" w:asciiTheme="minorEastAsia" w:hAnsiTheme="minorEastAsia" w:eastAsiaTheme="minorEastAsia"/>
          <w:color w:val="auto"/>
          <w:sz w:val="24"/>
          <w:highlight w:val="none"/>
          <w:lang w:val="en-US" w:eastAsia="zh-CN"/>
        </w:rPr>
        <w:t>启</w:t>
      </w:r>
      <w:r>
        <w:rPr>
          <w:rFonts w:hint="eastAsia" w:asciiTheme="minorEastAsia" w:hAnsiTheme="minorEastAsia" w:eastAsiaTheme="minorEastAsia"/>
          <w:color w:val="auto"/>
          <w:sz w:val="24"/>
          <w:highlight w:val="none"/>
          <w:lang w:eastAsia="zh-CN"/>
        </w:rPr>
        <w:t>截止时间前通过网上招标投标系统递交有效电子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文件的，开标系统不予接收，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将被拒绝。</w:t>
      </w:r>
    </w:p>
    <w:p w14:paraId="6453B19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lang w:eastAsia="zh-CN"/>
        </w:rPr>
        <w:t>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接到远程解密指令后，须在规定时间内解密。因</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自身原因导致</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文件在规定时间内未能解密、解密失败或解密超时，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文件无效；解密时间：从本项目解密程序开始时计时，至完成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文件解密时间，不得超过60分钟，否则</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文件将被拒绝。</w:t>
      </w:r>
    </w:p>
    <w:p w14:paraId="4B3D269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有下列情形之一的,资格审查后其作无效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处理：</w:t>
      </w:r>
    </w:p>
    <w:p w14:paraId="0EDB4B5F">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为本项目提供招标代理服务的；</w:t>
      </w:r>
    </w:p>
    <w:p w14:paraId="13A279DB">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与在本项目代理机构存在相互任职或工作的；</w:t>
      </w:r>
    </w:p>
    <w:p w14:paraId="021F73B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与采购人存在利害关系可能影响采购公正性的法人、其他组织或者个人；</w:t>
      </w:r>
    </w:p>
    <w:p w14:paraId="048B3C8A">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公告写明专门面向中小企业采购，</w:t>
      </w:r>
      <w:r>
        <w:rPr>
          <w:rFonts w:hint="eastAsia" w:cs="宋体"/>
          <w:b w:val="0"/>
          <w:color w:val="auto"/>
          <w:kern w:val="2"/>
          <w:sz w:val="24"/>
          <w:szCs w:val="24"/>
          <w:highlight w:val="none"/>
          <w:lang w:val="en-US" w:eastAsia="zh-CN"/>
        </w:rPr>
        <w:t>供应商</w:t>
      </w:r>
      <w:r>
        <w:rPr>
          <w:rFonts w:hint="eastAsia" w:asciiTheme="minorEastAsia" w:hAnsiTheme="minorEastAsia" w:eastAsiaTheme="minorEastAsia"/>
          <w:color w:val="auto"/>
          <w:sz w:val="24"/>
          <w:highlight w:val="none"/>
          <w:lang w:eastAsia="zh-CN"/>
        </w:rPr>
        <w:t>提供的货物非中小企业制造的；</w:t>
      </w:r>
    </w:p>
    <w:p w14:paraId="7199FF9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lang w:eastAsia="zh-CN"/>
        </w:rPr>
        <w:t>)要求供应商以联合体形式参加采购活动，</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非联合体或者联合协议中中小企业合同金额未达到应当达到的比例；</w:t>
      </w:r>
    </w:p>
    <w:p w14:paraId="757CD1A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lang w:eastAsia="zh-CN"/>
        </w:rPr>
        <w:t>)要求获得采购合同的供应商向中小企业分包，</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未提供分包意向协议或者分包意向协议中中小企业合同金额未达到应当达到的比例；</w:t>
      </w:r>
    </w:p>
    <w:p w14:paraId="3216F893">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eastAsia="zh-CN"/>
        </w:rPr>
        <w:t>)评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专家无法查看并检验电子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文件中相关资料的；</w:t>
      </w:r>
    </w:p>
    <w:p w14:paraId="4C66F12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lang w:eastAsia="zh-CN"/>
        </w:rPr>
        <w:t>)联合体</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未提交联合体协议的；</w:t>
      </w:r>
    </w:p>
    <w:p w14:paraId="0A9C22A4">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lang w:eastAsia="zh-CN"/>
        </w:rPr>
        <w:t>)责令停产停业的；</w:t>
      </w:r>
    </w:p>
    <w:p w14:paraId="4EADD86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lang w:eastAsia="zh-CN"/>
        </w:rPr>
        <w:t>)暂停或者取消参与政府采购项目资格的；</w:t>
      </w:r>
    </w:p>
    <w:p w14:paraId="4C3B928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单位负责人为同一人或者存在直接控股、管理关系的不同单位的；</w:t>
      </w:r>
    </w:p>
    <w:p w14:paraId="22176784">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基本资格条件和特定资格条件中有一项及以上不符合要求的；</w:t>
      </w:r>
    </w:p>
    <w:p w14:paraId="54045168">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lang w:eastAsia="zh-CN"/>
        </w:rPr>
        <w:t>)开</w:t>
      </w:r>
      <w:r>
        <w:rPr>
          <w:rFonts w:hint="eastAsia" w:asciiTheme="minorEastAsia" w:hAnsiTheme="minorEastAsia" w:eastAsiaTheme="minorEastAsia"/>
          <w:color w:val="auto"/>
          <w:sz w:val="24"/>
          <w:highlight w:val="none"/>
          <w:lang w:val="en-US" w:eastAsia="zh-CN"/>
        </w:rPr>
        <w:t>启</w:t>
      </w:r>
      <w:r>
        <w:rPr>
          <w:rFonts w:hint="eastAsia" w:asciiTheme="minorEastAsia" w:hAnsiTheme="minorEastAsia" w:eastAsiaTheme="minorEastAsia"/>
          <w:color w:val="auto"/>
          <w:sz w:val="24"/>
          <w:highlight w:val="none"/>
          <w:lang w:eastAsia="zh-CN"/>
        </w:rPr>
        <w:t>时查询投标文件制作机器码、文件创建标识码及造价软件加密锁号。若存在投标文件制作机器码或创建标识码或造价软件加密锁号信息与其他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雷同的，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无效、进行信用信息披露，行政监管部门将依据线索依法查处；</w:t>
      </w:r>
    </w:p>
    <w:p w14:paraId="0B33711F">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)其它情形，经评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委员会委提出按无效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处理，并经公共资源交易监督部门核准的；</w:t>
      </w:r>
    </w:p>
    <w:p w14:paraId="41C201BF">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投标MAC地址</w:t>
      </w:r>
      <w:r>
        <w:rPr>
          <w:rFonts w:hint="eastAsia" w:asciiTheme="minorEastAsia" w:hAnsiTheme="minorEastAsia" w:eastAsiaTheme="minorEastAsia"/>
          <w:color w:val="auto"/>
          <w:sz w:val="24"/>
          <w:highlight w:val="none"/>
          <w:lang w:val="en-US" w:eastAsia="zh-CN"/>
        </w:rPr>
        <w:t>一致</w:t>
      </w:r>
      <w:r>
        <w:rPr>
          <w:rFonts w:hint="eastAsia" w:asciiTheme="minorEastAsia" w:hAnsiTheme="minorEastAsia" w:eastAsiaTheme="minorEastAsia"/>
          <w:color w:val="auto"/>
          <w:sz w:val="24"/>
          <w:highlight w:val="none"/>
          <w:lang w:eastAsia="zh-CN"/>
        </w:rPr>
        <w:t>，由评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委员会否决其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w:t>
      </w:r>
    </w:p>
    <w:p w14:paraId="5C65B4C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单方面出现其他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材料的；</w:t>
      </w:r>
    </w:p>
    <w:p w14:paraId="07094F3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供应商联系人或联系电话相同的，</w:t>
      </w:r>
      <w:r>
        <w:rPr>
          <w:rFonts w:hint="eastAsia" w:asciiTheme="minorEastAsia" w:hAnsiTheme="minorEastAsia" w:eastAsiaTheme="minorEastAsia"/>
          <w:color w:val="auto"/>
          <w:sz w:val="24"/>
          <w:highlight w:val="none"/>
          <w:lang w:eastAsia="zh-CN"/>
        </w:rPr>
        <w:t>由评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委员会否决其</w:t>
      </w:r>
      <w:r>
        <w:rPr>
          <w:rFonts w:hint="eastAsia" w:asciiTheme="minorEastAsia" w:hAnsiTheme="minorEastAsia" w:eastAsiaTheme="minorEastAsia"/>
          <w:color w:val="auto"/>
          <w:sz w:val="24"/>
          <w:highlight w:val="none"/>
          <w:lang w:val="en-US" w:eastAsia="zh-CN"/>
        </w:rPr>
        <w:t>响应，并报告监管部门作不良行为处理和进一步调查；</w:t>
      </w:r>
    </w:p>
    <w:p w14:paraId="446CC0F8">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公告未写明允许采购进口产品，</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所投产品为进口产品的；</w:t>
      </w:r>
    </w:p>
    <w:p w14:paraId="7EFDEAD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文件规定的其它无效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情形。</w:t>
      </w:r>
    </w:p>
    <w:p w14:paraId="0CD8B37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 xml:space="preserve">3.3 </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有下列情形之一的,符合性审查后其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按无效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处理：</w:t>
      </w:r>
    </w:p>
    <w:p w14:paraId="4AC4DB3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文件签字、盖章不全，经评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委员会一致认定对开评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内容有实质性影响并经公共资源交易监督部门核准的；</w:t>
      </w:r>
    </w:p>
    <w:p w14:paraId="103229B7">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(2)未按规定的格式填写导致实质性内容不全以及实质上不响应，或者关键字迹模糊、无法辨认； 经公共资源交易监督部门核准的；</w:t>
      </w:r>
    </w:p>
    <w:p w14:paraId="324545C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(3)同一</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提交两个以上不同的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文件或者</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报价，但</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文件规定提交备选方案的除外；</w:t>
      </w:r>
    </w:p>
    <w:p w14:paraId="56117AA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(4)</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文件没有对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文件的实质性要求和条件作出响应;</w:t>
      </w:r>
    </w:p>
    <w:p w14:paraId="19E824D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(5)</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报价超出规定的限价或公布的采购预算的或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报价各项单价高于</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文件给定的单价最高限价；</w:t>
      </w:r>
    </w:p>
    <w:p w14:paraId="44BCB3FC">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(6)不按评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委员会要求澄清、说明或补正的，或者评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委员会根据</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文件的规定对</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文件的计算错误进行修正后，</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不接受修正的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报价的。</w:t>
      </w:r>
    </w:p>
    <w:p w14:paraId="5D428E0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(7)其它情形，经评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委员会委提出按无效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处理，并经公共资源交易监督部门核准的；</w:t>
      </w:r>
    </w:p>
    <w:p w14:paraId="678A346F">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(8)</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文件含有采购人不能接受的附加条件的；</w:t>
      </w:r>
    </w:p>
    <w:p w14:paraId="777E132F">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(9)</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文件规定的其它无效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情形。</w:t>
      </w:r>
    </w:p>
    <w:p w14:paraId="5D33EE1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 xml:space="preserve">3.4 </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有下列情形之一的, 详细评审后其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按无效处理：</w:t>
      </w:r>
    </w:p>
    <w:p w14:paraId="1845F68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产品不符合必须强制执行的国家标准的；</w:t>
      </w:r>
    </w:p>
    <w:p w14:paraId="70B2452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有串通投标、弄虚作假、行贿等违法行为；</w:t>
      </w:r>
    </w:p>
    <w:p w14:paraId="19EBF405">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文件含有违反国家法律、法规的内容，或附有采购人不能接受的条件的；</w:t>
      </w:r>
    </w:p>
    <w:p w14:paraId="3BCDA4D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)拒不确认评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委员会评审修正的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无效；</w:t>
      </w:r>
    </w:p>
    <w:p w14:paraId="221E3E27">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lang w:eastAsia="zh-CN"/>
        </w:rPr>
        <w:t>)其它情形，经评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委员会委提出按无效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处理，并经公共资源交易监督部门核准的；</w:t>
      </w:r>
    </w:p>
    <w:p w14:paraId="0D423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文件规定的其它无效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情形。</w:t>
      </w: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42"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2"/>
    </w:p>
    <w:p w14:paraId="556F4C54">
      <w:pPr>
        <w:keepNext/>
        <w:keepLines/>
        <w:snapToGrid w:val="0"/>
        <w:spacing w:before="93" w:beforeLines="30" w:after="93" w:afterLines="30" w:line="360" w:lineRule="auto"/>
        <w:jc w:val="center"/>
        <w:outlineLvl w:val="1"/>
        <w:rPr>
          <w:rFonts w:cs="宋体"/>
          <w:b/>
          <w:bCs/>
          <w:color w:val="auto"/>
          <w:sz w:val="22"/>
          <w:szCs w:val="22"/>
          <w:highlight w:val="none"/>
        </w:rPr>
      </w:pPr>
      <w:r>
        <w:rPr>
          <w:rFonts w:hint="eastAsia" w:cs="宋体"/>
          <w:b/>
          <w:bCs/>
          <w:color w:val="auto"/>
          <w:sz w:val="22"/>
          <w:szCs w:val="22"/>
          <w:highlight w:val="none"/>
        </w:rPr>
        <w:t>第一节  合同协议书</w:t>
      </w:r>
    </w:p>
    <w:p w14:paraId="379BB13C">
      <w:pPr>
        <w:spacing w:line="360" w:lineRule="auto"/>
        <w:rPr>
          <w:rFonts w:cs="宋体"/>
          <w:b/>
          <w:color w:val="auto"/>
          <w:sz w:val="21"/>
          <w:szCs w:val="21"/>
          <w:highlight w:val="none"/>
          <w:u w:val="single"/>
        </w:rPr>
      </w:pPr>
      <w:r>
        <w:rPr>
          <w:rFonts w:hint="eastAsia" w:cs="宋体"/>
          <w:b/>
          <w:color w:val="auto"/>
          <w:sz w:val="21"/>
          <w:szCs w:val="21"/>
          <w:highlight w:val="none"/>
        </w:rPr>
        <w:t>发包人（全称）：</w:t>
      </w:r>
      <w:r>
        <w:rPr>
          <w:rFonts w:hint="eastAsia" w:cs="宋体"/>
          <w:b/>
          <w:color w:val="auto"/>
          <w:sz w:val="21"/>
          <w:szCs w:val="21"/>
          <w:highlight w:val="none"/>
          <w:u w:val="single"/>
        </w:rPr>
        <w:t xml:space="preserve">滁州学院         </w:t>
      </w:r>
    </w:p>
    <w:p w14:paraId="7FF4DA4D">
      <w:pPr>
        <w:spacing w:line="360" w:lineRule="auto"/>
        <w:rPr>
          <w:rFonts w:cs="宋体"/>
          <w:b/>
          <w:color w:val="auto"/>
          <w:sz w:val="21"/>
          <w:szCs w:val="21"/>
          <w:highlight w:val="none"/>
          <w:u w:val="single"/>
        </w:rPr>
      </w:pPr>
      <w:r>
        <w:rPr>
          <w:rFonts w:hint="eastAsia" w:cs="宋体"/>
          <w:b/>
          <w:color w:val="auto"/>
          <w:sz w:val="21"/>
          <w:szCs w:val="21"/>
          <w:highlight w:val="none"/>
        </w:rPr>
        <w:t>承包人（全称）：</w:t>
      </w:r>
      <w:r>
        <w:rPr>
          <w:rFonts w:hint="eastAsia" w:cs="宋体"/>
          <w:b/>
          <w:color w:val="auto"/>
          <w:sz w:val="21"/>
          <w:szCs w:val="21"/>
          <w:highlight w:val="none"/>
          <w:u w:val="single"/>
        </w:rPr>
        <w:t xml:space="preserve">                 </w:t>
      </w:r>
    </w:p>
    <w:p w14:paraId="4E42E7A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滁州学院2026年部分教学场所改造工程</w:t>
      </w:r>
      <w:r>
        <w:rPr>
          <w:rFonts w:hint="eastAsia" w:cs="宋体"/>
          <w:b/>
          <w:color w:val="auto"/>
          <w:sz w:val="21"/>
          <w:szCs w:val="21"/>
          <w:highlight w:val="none"/>
          <w:u w:val="singl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6B2D2F31">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3C51AA45">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滁州学院2026年部分教学场所改造工程 </w:t>
      </w:r>
      <w:r>
        <w:rPr>
          <w:rFonts w:hint="eastAsia" w:cs="宋体"/>
          <w:color w:val="auto"/>
          <w:sz w:val="21"/>
          <w:szCs w:val="21"/>
          <w:highlight w:val="none"/>
        </w:rPr>
        <w:t>。</w:t>
      </w:r>
    </w:p>
    <w:p w14:paraId="7209DB2D">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bCs/>
          <w:color w:val="auto"/>
          <w:sz w:val="21"/>
          <w:szCs w:val="21"/>
          <w:highlight w:val="none"/>
          <w:u w:val="single"/>
        </w:rPr>
        <w:t>滁州学院会峰校区、琅琊校区内，采购人指定地点</w:t>
      </w:r>
      <w:r>
        <w:rPr>
          <w:rFonts w:hint="eastAsia" w:cs="宋体"/>
          <w:color w:val="auto"/>
          <w:sz w:val="21"/>
          <w:szCs w:val="21"/>
          <w:highlight w:val="none"/>
          <w:u w:val="single"/>
        </w:rPr>
        <w:t>。</w:t>
      </w:r>
    </w:p>
    <w:p w14:paraId="77465A02">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233CE06E">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财政资金  </w:t>
      </w:r>
      <w:r>
        <w:rPr>
          <w:rFonts w:hint="eastAsia" w:cs="宋体"/>
          <w:bCs/>
          <w:color w:val="auto"/>
          <w:sz w:val="21"/>
          <w:szCs w:val="21"/>
          <w:highlight w:val="none"/>
        </w:rPr>
        <w:t>。</w:t>
      </w:r>
    </w:p>
    <w:p w14:paraId="336F06E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bCs/>
          <w:color w:val="auto"/>
          <w:sz w:val="21"/>
          <w:szCs w:val="21"/>
          <w:highlight w:val="none"/>
          <w:u w:val="single"/>
        </w:rPr>
        <w:t>室内强弱电线路改造；砌筑讲台；部分灯具、风扇更换；钢质门开观察窗；部分教室吊顶；墙面粉刷等；部分教室地面重新铺装；重新铺设主排污管道；安装独立成套的蹲坑、小便池、冲水箱等设施；对部分卫生间加装套装门等。详见工程量清单。</w:t>
      </w:r>
    </w:p>
    <w:p w14:paraId="20BEEE4E">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49935AE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1CAAB6E5">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工程量清单范围内的所有内容；不在范围内的以签证为准。    </w:t>
      </w:r>
    </w:p>
    <w:p w14:paraId="1F96998F">
      <w:pPr>
        <w:snapToGrid w:val="0"/>
        <w:spacing w:line="360" w:lineRule="auto"/>
        <w:ind w:firstLine="422" w:firstLineChars="200"/>
        <w:rPr>
          <w:rFonts w:cs="宋体"/>
          <w:b/>
          <w:color w:val="auto"/>
          <w:sz w:val="21"/>
          <w:szCs w:val="21"/>
          <w:highlight w:val="none"/>
        </w:rPr>
      </w:pPr>
      <w:bookmarkStart w:id="43" w:name="_Toc351203482"/>
      <w:r>
        <w:rPr>
          <w:rFonts w:hint="eastAsia" w:cs="宋体"/>
          <w:b/>
          <w:color w:val="auto"/>
          <w:sz w:val="21"/>
          <w:szCs w:val="21"/>
          <w:highlight w:val="none"/>
        </w:rPr>
        <w:t>二、合同工期</w:t>
      </w:r>
      <w:bookmarkEnd w:id="43"/>
    </w:p>
    <w:p w14:paraId="2632E38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   </w:t>
      </w:r>
      <w:r>
        <w:rPr>
          <w:rFonts w:hint="eastAsia" w:cs="宋体"/>
          <w:color w:val="auto"/>
          <w:sz w:val="21"/>
          <w:szCs w:val="21"/>
          <w:highlight w:val="none"/>
        </w:rPr>
        <w:t>年</w:t>
      </w:r>
      <w:r>
        <w:rPr>
          <w:rFonts w:hint="eastAsia" w:cs="宋体"/>
          <w:color w:val="auto"/>
          <w:sz w:val="21"/>
          <w:szCs w:val="21"/>
          <w:highlight w:val="none"/>
          <w:u w:val="single"/>
        </w:rPr>
        <w:t> </w:t>
      </w:r>
      <w:r>
        <w:rPr>
          <w:rFonts w:hint="eastAsia" w:cs="宋体"/>
          <w:color w:val="auto"/>
          <w:sz w:val="21"/>
          <w:szCs w:val="21"/>
          <w:highlight w:val="none"/>
        </w:rPr>
        <w:t>月</w:t>
      </w:r>
      <w:r>
        <w:rPr>
          <w:rFonts w:hint="eastAsia" w:cs="宋体"/>
          <w:color w:val="auto"/>
          <w:sz w:val="21"/>
          <w:szCs w:val="21"/>
          <w:highlight w:val="none"/>
          <w:u w:val="single"/>
        </w:rPr>
        <w:t> </w:t>
      </w:r>
      <w:r>
        <w:rPr>
          <w:rFonts w:hint="eastAsia" w:cs="宋体"/>
          <w:color w:val="auto"/>
          <w:sz w:val="21"/>
          <w:szCs w:val="21"/>
          <w:highlight w:val="none"/>
        </w:rPr>
        <w:t>日。</w:t>
      </w:r>
    </w:p>
    <w:p w14:paraId="6F9E54B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   </w:t>
      </w:r>
      <w:r>
        <w:rPr>
          <w:rFonts w:hint="eastAsia" w:cs="宋体"/>
          <w:color w:val="auto"/>
          <w:sz w:val="21"/>
          <w:szCs w:val="21"/>
          <w:highlight w:val="none"/>
        </w:rPr>
        <w:t>年</w:t>
      </w:r>
      <w:r>
        <w:rPr>
          <w:rFonts w:hint="eastAsia" w:cs="宋体"/>
          <w:color w:val="auto"/>
          <w:sz w:val="21"/>
          <w:szCs w:val="21"/>
          <w:highlight w:val="none"/>
          <w:u w:val="single"/>
        </w:rPr>
        <w:t> </w:t>
      </w:r>
      <w:r>
        <w:rPr>
          <w:rFonts w:hint="eastAsia" w:cs="宋体"/>
          <w:color w:val="auto"/>
          <w:sz w:val="21"/>
          <w:szCs w:val="21"/>
          <w:highlight w:val="none"/>
        </w:rPr>
        <w:t>月</w:t>
      </w:r>
      <w:r>
        <w:rPr>
          <w:rFonts w:hint="eastAsia" w:cs="宋体"/>
          <w:color w:val="auto"/>
          <w:sz w:val="21"/>
          <w:szCs w:val="21"/>
          <w:highlight w:val="none"/>
          <w:u w:val="single"/>
        </w:rPr>
        <w:t> </w:t>
      </w:r>
      <w:r>
        <w:rPr>
          <w:rFonts w:hint="eastAsia" w:cs="宋体"/>
          <w:color w:val="auto"/>
          <w:sz w:val="21"/>
          <w:szCs w:val="21"/>
          <w:highlight w:val="none"/>
        </w:rPr>
        <w:t>日。</w:t>
      </w:r>
    </w:p>
    <w:p w14:paraId="159C090D">
      <w:pPr>
        <w:snapToGrid w:val="0"/>
        <w:spacing w:line="360" w:lineRule="auto"/>
        <w:ind w:firstLine="459"/>
        <w:rPr>
          <w:rFonts w:cs="宋体"/>
          <w:color w:val="auto"/>
          <w:sz w:val="21"/>
          <w:szCs w:val="21"/>
          <w:highlight w:val="none"/>
          <w:u w:val="single"/>
        </w:rPr>
      </w:pPr>
      <w:r>
        <w:rPr>
          <w:rFonts w:hint="eastAsia" w:cs="宋体"/>
          <w:color w:val="auto"/>
          <w:sz w:val="21"/>
          <w:szCs w:val="21"/>
          <w:highlight w:val="none"/>
        </w:rPr>
        <w:t>工期总日历天数：</w:t>
      </w:r>
      <w:r>
        <w:rPr>
          <w:rFonts w:hint="eastAsia" w:cs="宋体"/>
          <w:color w:val="auto"/>
          <w:sz w:val="21"/>
          <w:szCs w:val="21"/>
          <w:highlight w:val="none"/>
          <w:u w:val="single"/>
        </w:rPr>
        <w:t>不高于60个日历天。</w:t>
      </w:r>
      <w:r>
        <w:rPr>
          <w:rFonts w:hint="eastAsia" w:cs="宋体"/>
          <w:color w:val="auto"/>
          <w:sz w:val="21"/>
          <w:szCs w:val="21"/>
          <w:highlight w:val="none"/>
          <w:u w:val="single"/>
        </w:rPr>
        <w:t>具体开工时间以发包人通知时间为准。承包人按合同工期要求，每延迟一天，按 5000元/天处以违约金，从工程结算款中扣除。如延误工期超出合同工期50%的，不予支付工程款，招标人有权解除合同。如因采购人要求增加工程量、教育教学、重大活动、极端天气等不可抗拒因素造成延期，经发包人和承包人书面确认后，工期予以顺延，具体以实际发生时间为依据。</w:t>
      </w:r>
    </w:p>
    <w:p w14:paraId="7D94A77F">
      <w:pPr>
        <w:snapToGrid w:val="0"/>
        <w:spacing w:line="360" w:lineRule="auto"/>
        <w:ind w:firstLine="422" w:firstLineChars="200"/>
        <w:rPr>
          <w:rFonts w:cs="宋体"/>
          <w:b/>
          <w:color w:val="auto"/>
          <w:sz w:val="21"/>
          <w:szCs w:val="21"/>
          <w:highlight w:val="none"/>
        </w:rPr>
      </w:pPr>
      <w:bookmarkStart w:id="44" w:name="_Toc351203483"/>
      <w:r>
        <w:rPr>
          <w:rFonts w:hint="eastAsia" w:cs="宋体"/>
          <w:b/>
          <w:color w:val="auto"/>
          <w:sz w:val="21"/>
          <w:szCs w:val="21"/>
          <w:highlight w:val="none"/>
        </w:rPr>
        <w:t>三、质量标准</w:t>
      </w:r>
      <w:bookmarkEnd w:id="44"/>
    </w:p>
    <w:p w14:paraId="349CF551">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64CBC41F">
      <w:pPr>
        <w:snapToGrid w:val="0"/>
        <w:spacing w:line="360" w:lineRule="auto"/>
        <w:ind w:firstLine="422" w:firstLineChars="200"/>
        <w:rPr>
          <w:rFonts w:cs="宋体"/>
          <w:b/>
          <w:color w:val="auto"/>
          <w:sz w:val="21"/>
          <w:szCs w:val="21"/>
          <w:highlight w:val="none"/>
        </w:rPr>
      </w:pPr>
      <w:bookmarkStart w:id="45" w:name="_Toc351203484"/>
      <w:r>
        <w:rPr>
          <w:rFonts w:hint="eastAsia" w:cs="宋体"/>
          <w:b/>
          <w:color w:val="auto"/>
          <w:sz w:val="21"/>
          <w:szCs w:val="21"/>
          <w:highlight w:val="none"/>
        </w:rPr>
        <w:t>四、签约合同价与合同价格形式</w:t>
      </w:r>
      <w:bookmarkEnd w:id="45"/>
    </w:p>
    <w:p w14:paraId="5088642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0EB42A0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万元（</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92096C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38B808E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54CDF8B7">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r>
        <w:rPr>
          <w:rFonts w:hint="eastAsia" w:cs="宋体"/>
          <w:color w:val="auto"/>
          <w:sz w:val="21"/>
          <w:szCs w:val="21"/>
          <w:highlight w:val="none"/>
          <w:u w:val="single"/>
        </w:rPr>
        <w:t xml:space="preserve">    /      </w:t>
      </w:r>
      <w:r>
        <w:rPr>
          <w:rFonts w:hint="eastAsia" w:cs="宋体"/>
          <w:color w:val="auto"/>
          <w:sz w:val="21"/>
          <w:szCs w:val="21"/>
          <w:highlight w:val="none"/>
        </w:rPr>
        <w:t>元）；</w:t>
      </w:r>
    </w:p>
    <w:p w14:paraId="3F55CFA6">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3E5A807E">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r>
        <w:rPr>
          <w:rFonts w:hint="eastAsia" w:cs="宋体"/>
          <w:color w:val="auto"/>
          <w:sz w:val="21"/>
          <w:szCs w:val="21"/>
          <w:highlight w:val="none"/>
          <w:u w:val="single"/>
        </w:rPr>
        <w:t xml:space="preserve">    /      </w:t>
      </w:r>
      <w:r>
        <w:rPr>
          <w:rFonts w:hint="eastAsia" w:cs="宋体"/>
          <w:color w:val="auto"/>
          <w:sz w:val="21"/>
          <w:szCs w:val="21"/>
          <w:highlight w:val="none"/>
        </w:rPr>
        <w:t>元）；</w:t>
      </w:r>
    </w:p>
    <w:p w14:paraId="1AD80C55">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5DEBDEE1">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r>
        <w:rPr>
          <w:rFonts w:hint="eastAsia" w:cs="宋体"/>
          <w:color w:val="auto"/>
          <w:sz w:val="21"/>
          <w:szCs w:val="21"/>
          <w:highlight w:val="none"/>
          <w:u w:val="single"/>
        </w:rPr>
        <w:t xml:space="preserve">   /      </w:t>
      </w:r>
      <w:r>
        <w:rPr>
          <w:rFonts w:hint="eastAsia" w:cs="宋体"/>
          <w:color w:val="auto"/>
          <w:sz w:val="21"/>
          <w:szCs w:val="21"/>
          <w:highlight w:val="none"/>
        </w:rPr>
        <w:t>元）；</w:t>
      </w:r>
    </w:p>
    <w:p w14:paraId="682B86A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554B0F3C">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A642CC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rPr>
        <w:t xml:space="preserve">固定单价合同    </w:t>
      </w:r>
      <w:r>
        <w:rPr>
          <w:rFonts w:hint="eastAsia" w:cs="宋体"/>
          <w:color w:val="auto"/>
          <w:sz w:val="21"/>
          <w:szCs w:val="21"/>
          <w:highlight w:val="none"/>
        </w:rPr>
        <w:t>。</w:t>
      </w:r>
    </w:p>
    <w:p w14:paraId="23D86EB9">
      <w:pPr>
        <w:snapToGrid w:val="0"/>
        <w:spacing w:line="360" w:lineRule="auto"/>
        <w:ind w:firstLine="422" w:firstLineChars="200"/>
        <w:rPr>
          <w:rFonts w:cs="宋体"/>
          <w:b/>
          <w:color w:val="auto"/>
          <w:sz w:val="21"/>
          <w:szCs w:val="21"/>
          <w:highlight w:val="none"/>
        </w:rPr>
      </w:pPr>
      <w:bookmarkStart w:id="46" w:name="_Toc351203485"/>
      <w:r>
        <w:rPr>
          <w:rFonts w:hint="eastAsia" w:cs="宋体"/>
          <w:b/>
          <w:color w:val="auto"/>
          <w:sz w:val="21"/>
          <w:szCs w:val="21"/>
          <w:highlight w:val="none"/>
        </w:rPr>
        <w:t>五、</w:t>
      </w:r>
      <w:bookmarkEnd w:id="46"/>
      <w:r>
        <w:rPr>
          <w:rFonts w:hint="eastAsia" w:cs="宋体"/>
          <w:b/>
          <w:color w:val="auto"/>
          <w:sz w:val="21"/>
          <w:szCs w:val="21"/>
          <w:highlight w:val="none"/>
        </w:rPr>
        <w:t>项目经理</w:t>
      </w:r>
    </w:p>
    <w:p w14:paraId="17874A07">
      <w:pPr>
        <w:spacing w:line="360" w:lineRule="auto"/>
        <w:ind w:firstLine="420" w:firstLineChars="200"/>
        <w:rPr>
          <w:rFonts w:cs="宋体"/>
          <w:color w:val="auto"/>
          <w:sz w:val="21"/>
          <w:szCs w:val="21"/>
          <w:highlight w:val="none"/>
        </w:rPr>
      </w:pPr>
      <w:bookmarkStart w:id="47" w:name="_Toc351203486"/>
      <w:r>
        <w:rPr>
          <w:rFonts w:hint="eastAsia" w:cs="宋体"/>
          <w:color w:val="auto"/>
          <w:sz w:val="21"/>
          <w:szCs w:val="21"/>
          <w:highlight w:val="none"/>
        </w:rPr>
        <w:t>承包人项目经理：</w:t>
      </w:r>
      <w:r>
        <w:rPr>
          <w:rFonts w:hint="eastAsia" w:cs="宋体"/>
          <w:color w:val="auto"/>
          <w:sz w:val="21"/>
          <w:szCs w:val="21"/>
          <w:highlight w:val="none"/>
          <w:u w:val="single"/>
        </w:rPr>
        <w:t xml:space="preserve">   </w:t>
      </w:r>
      <w:r>
        <w:rPr>
          <w:rFonts w:hint="eastAsia" w:cs="宋体"/>
          <w:color w:val="auto"/>
          <w:sz w:val="21"/>
          <w:szCs w:val="21"/>
          <w:highlight w:val="none"/>
        </w:rPr>
        <w:t>，建造师注册执业号</w:t>
      </w:r>
      <w:r>
        <w:rPr>
          <w:rFonts w:hint="eastAsia" w:cs="宋体"/>
          <w:color w:val="auto"/>
          <w:sz w:val="21"/>
          <w:szCs w:val="21"/>
          <w:highlight w:val="none"/>
          <w:u w:val="single"/>
        </w:rPr>
        <w:t xml:space="preserve">：   </w:t>
      </w:r>
      <w:r>
        <w:rPr>
          <w:rFonts w:hint="eastAsia" w:cs="宋体"/>
          <w:color w:val="auto"/>
          <w:sz w:val="21"/>
          <w:szCs w:val="21"/>
          <w:highlight w:val="none"/>
        </w:rPr>
        <w:t>，联系号码：</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7427A06">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六、合同文件构成</w:t>
      </w:r>
      <w:bookmarkEnd w:id="47"/>
    </w:p>
    <w:p w14:paraId="1E3AA5F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1C204CC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（1）中标通知书（如果有）；（2）投标函及其附录（如果有）； </w:t>
      </w:r>
    </w:p>
    <w:p w14:paraId="245B9B3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（3）专用合同条款及其附件；（4）通用合同条款；（5）技术标准和要求；</w:t>
      </w:r>
    </w:p>
    <w:p w14:paraId="082B8A4B">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（6）图纸；（7）已标价工程量清单或预算书；（8）其他合同文件。</w:t>
      </w:r>
    </w:p>
    <w:p w14:paraId="7004577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2ED9C23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56D6F792">
      <w:pPr>
        <w:snapToGrid w:val="0"/>
        <w:spacing w:line="360" w:lineRule="auto"/>
        <w:ind w:firstLine="422" w:firstLineChars="200"/>
        <w:rPr>
          <w:rFonts w:cs="宋体"/>
          <w:b/>
          <w:color w:val="auto"/>
          <w:sz w:val="21"/>
          <w:szCs w:val="21"/>
          <w:highlight w:val="none"/>
        </w:rPr>
      </w:pPr>
      <w:bookmarkStart w:id="48" w:name="_Toc351203487"/>
      <w:r>
        <w:rPr>
          <w:rFonts w:hint="eastAsia" w:cs="宋体"/>
          <w:b/>
          <w:color w:val="auto"/>
          <w:sz w:val="21"/>
          <w:szCs w:val="21"/>
          <w:highlight w:val="none"/>
        </w:rPr>
        <w:t>七、承诺</w:t>
      </w:r>
      <w:bookmarkEnd w:id="48"/>
    </w:p>
    <w:p w14:paraId="61BC0B0A">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28328DD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11B9790D">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w:t>
      </w:r>
      <w:bookmarkStart w:id="755" w:name="_GoBack"/>
      <w:bookmarkEnd w:id="755"/>
      <w:r>
        <w:rPr>
          <w:rFonts w:hint="eastAsia" w:cs="宋体"/>
          <w:bCs/>
          <w:color w:val="auto"/>
          <w:sz w:val="21"/>
          <w:szCs w:val="21"/>
          <w:highlight w:val="none"/>
        </w:rPr>
        <w:t>协议。</w:t>
      </w:r>
    </w:p>
    <w:p w14:paraId="1142394C">
      <w:pPr>
        <w:snapToGrid w:val="0"/>
        <w:spacing w:line="360" w:lineRule="auto"/>
        <w:ind w:firstLine="422" w:firstLineChars="200"/>
        <w:rPr>
          <w:rFonts w:cs="宋体"/>
          <w:b/>
          <w:color w:val="auto"/>
          <w:sz w:val="21"/>
          <w:szCs w:val="21"/>
          <w:highlight w:val="none"/>
        </w:rPr>
      </w:pPr>
      <w:bookmarkStart w:id="49" w:name="_Toc351203488"/>
      <w:r>
        <w:rPr>
          <w:rFonts w:hint="eastAsia" w:cs="宋体"/>
          <w:b/>
          <w:color w:val="auto"/>
          <w:sz w:val="21"/>
          <w:szCs w:val="21"/>
          <w:highlight w:val="none"/>
        </w:rPr>
        <w:t>八、词语含义</w:t>
      </w:r>
      <w:bookmarkEnd w:id="49"/>
    </w:p>
    <w:p w14:paraId="63B6B19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225B4F5C">
      <w:pPr>
        <w:snapToGrid w:val="0"/>
        <w:spacing w:line="360" w:lineRule="auto"/>
        <w:ind w:firstLine="422" w:firstLineChars="200"/>
        <w:rPr>
          <w:rFonts w:cs="宋体"/>
          <w:b/>
          <w:color w:val="auto"/>
          <w:sz w:val="21"/>
          <w:szCs w:val="21"/>
          <w:highlight w:val="none"/>
        </w:rPr>
      </w:pPr>
      <w:bookmarkStart w:id="50" w:name="_Toc351203489"/>
      <w:r>
        <w:rPr>
          <w:rFonts w:hint="eastAsia" w:cs="宋体"/>
          <w:b/>
          <w:color w:val="auto"/>
          <w:sz w:val="21"/>
          <w:szCs w:val="21"/>
          <w:highlight w:val="none"/>
        </w:rPr>
        <w:t>九、签订时间</w:t>
      </w:r>
      <w:bookmarkEnd w:id="50"/>
    </w:p>
    <w:p w14:paraId="237E551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0CFC784E">
      <w:pPr>
        <w:snapToGrid w:val="0"/>
        <w:spacing w:line="360" w:lineRule="auto"/>
        <w:ind w:firstLine="422" w:firstLineChars="200"/>
        <w:rPr>
          <w:rFonts w:cs="宋体"/>
          <w:b/>
          <w:color w:val="auto"/>
          <w:sz w:val="21"/>
          <w:szCs w:val="21"/>
          <w:highlight w:val="none"/>
        </w:rPr>
      </w:pPr>
      <w:bookmarkStart w:id="51" w:name="_Toc351203490"/>
      <w:r>
        <w:rPr>
          <w:rFonts w:hint="eastAsia" w:cs="宋体"/>
          <w:b/>
          <w:color w:val="auto"/>
          <w:sz w:val="21"/>
          <w:szCs w:val="21"/>
          <w:highlight w:val="none"/>
        </w:rPr>
        <w:t>十、签订地点</w:t>
      </w:r>
      <w:bookmarkEnd w:id="51"/>
    </w:p>
    <w:p w14:paraId="75081DB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滁州学院会峰校区             </w:t>
      </w:r>
      <w:r>
        <w:rPr>
          <w:rFonts w:hint="eastAsia" w:cs="宋体"/>
          <w:bCs/>
          <w:color w:val="auto"/>
          <w:sz w:val="21"/>
          <w:szCs w:val="21"/>
          <w:highlight w:val="none"/>
        </w:rPr>
        <w:t>签订。</w:t>
      </w:r>
    </w:p>
    <w:p w14:paraId="6AA87658">
      <w:pPr>
        <w:snapToGrid w:val="0"/>
        <w:spacing w:line="360" w:lineRule="auto"/>
        <w:ind w:firstLine="422" w:firstLineChars="200"/>
        <w:rPr>
          <w:rFonts w:cs="宋体"/>
          <w:b/>
          <w:color w:val="auto"/>
          <w:sz w:val="21"/>
          <w:szCs w:val="21"/>
          <w:highlight w:val="none"/>
        </w:rPr>
      </w:pPr>
      <w:bookmarkStart w:id="52" w:name="_Toc351203491"/>
      <w:r>
        <w:rPr>
          <w:rFonts w:hint="eastAsia" w:cs="宋体"/>
          <w:b/>
          <w:color w:val="auto"/>
          <w:sz w:val="21"/>
          <w:szCs w:val="21"/>
          <w:highlight w:val="none"/>
        </w:rPr>
        <w:t>十一、补充协议</w:t>
      </w:r>
      <w:bookmarkEnd w:id="52"/>
    </w:p>
    <w:p w14:paraId="3DC66DAF">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083FE6BF">
      <w:pPr>
        <w:snapToGrid w:val="0"/>
        <w:spacing w:line="360" w:lineRule="auto"/>
        <w:ind w:firstLine="422" w:firstLineChars="200"/>
        <w:rPr>
          <w:rFonts w:cs="宋体"/>
          <w:b/>
          <w:color w:val="auto"/>
          <w:sz w:val="21"/>
          <w:szCs w:val="21"/>
          <w:highlight w:val="none"/>
        </w:rPr>
      </w:pPr>
      <w:bookmarkStart w:id="53" w:name="_Toc351203492"/>
      <w:r>
        <w:rPr>
          <w:rFonts w:hint="eastAsia" w:cs="宋体"/>
          <w:b/>
          <w:color w:val="auto"/>
          <w:sz w:val="21"/>
          <w:szCs w:val="21"/>
          <w:highlight w:val="none"/>
        </w:rPr>
        <w:t>十二、合同生效</w:t>
      </w:r>
      <w:bookmarkEnd w:id="53"/>
    </w:p>
    <w:p w14:paraId="1DF4652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双方签字盖章 </w:t>
      </w:r>
      <w:r>
        <w:rPr>
          <w:rFonts w:hint="eastAsia" w:cs="宋体"/>
          <w:bCs/>
          <w:color w:val="auto"/>
          <w:sz w:val="21"/>
          <w:szCs w:val="21"/>
          <w:highlight w:val="none"/>
        </w:rPr>
        <w:t>生效。</w:t>
      </w:r>
    </w:p>
    <w:p w14:paraId="2E4FBD81">
      <w:pPr>
        <w:snapToGrid w:val="0"/>
        <w:spacing w:line="360" w:lineRule="auto"/>
        <w:ind w:firstLine="422" w:firstLineChars="200"/>
        <w:rPr>
          <w:rFonts w:cs="宋体"/>
          <w:b/>
          <w:color w:val="auto"/>
          <w:sz w:val="21"/>
          <w:szCs w:val="21"/>
          <w:highlight w:val="none"/>
        </w:rPr>
      </w:pPr>
      <w:bookmarkStart w:id="54" w:name="_Toc351203493"/>
      <w:r>
        <w:rPr>
          <w:rFonts w:hint="eastAsia" w:cs="宋体"/>
          <w:b/>
          <w:color w:val="auto"/>
          <w:sz w:val="21"/>
          <w:szCs w:val="21"/>
          <w:highlight w:val="none"/>
        </w:rPr>
        <w:t>十三、合同份数</w:t>
      </w:r>
      <w:bookmarkEnd w:id="54"/>
    </w:p>
    <w:p w14:paraId="4A0D522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捌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陆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贰  </w:t>
      </w:r>
      <w:r>
        <w:rPr>
          <w:rFonts w:hint="eastAsia" w:cs="宋体"/>
          <w:bCs/>
          <w:color w:val="auto"/>
          <w:sz w:val="21"/>
          <w:szCs w:val="21"/>
          <w:highlight w:val="none"/>
        </w:rPr>
        <w:t>份。</w:t>
      </w:r>
    </w:p>
    <w:p w14:paraId="6492BC27">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滁州学院（</w:t>
      </w:r>
      <w:r>
        <w:rPr>
          <w:rFonts w:hint="eastAsia" w:cs="宋体"/>
          <w:color w:val="auto"/>
          <w:sz w:val="21"/>
          <w:szCs w:val="21"/>
          <w:highlight w:val="none"/>
        </w:rPr>
        <w:t>公章）                 承包人：</w:t>
      </w:r>
      <w:r>
        <w:rPr>
          <w:rFonts w:hint="eastAsia" w:cs="宋体"/>
          <w:color w:val="auto"/>
          <w:sz w:val="21"/>
          <w:szCs w:val="21"/>
          <w:highlight w:val="none"/>
          <w:u w:val="single"/>
        </w:rPr>
        <w:t xml:space="preserve">                （</w:t>
      </w:r>
      <w:r>
        <w:rPr>
          <w:rFonts w:hint="eastAsia" w:cs="宋体"/>
          <w:color w:val="auto"/>
          <w:sz w:val="21"/>
          <w:szCs w:val="21"/>
          <w:highlight w:val="none"/>
        </w:rPr>
        <w:t>公章）</w:t>
      </w:r>
    </w:p>
    <w:p w14:paraId="1571CCB7">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FE7E24D">
      <w:pPr>
        <w:snapToGrid w:val="0"/>
        <w:spacing w:line="360" w:lineRule="auto"/>
        <w:rPr>
          <w:rFonts w:cs="宋体"/>
          <w:color w:val="auto"/>
          <w:sz w:val="21"/>
          <w:szCs w:val="21"/>
          <w:highlight w:val="none"/>
        </w:rPr>
      </w:pPr>
      <w:r>
        <w:rPr>
          <w:rFonts w:hint="eastAsia" w:cs="宋体"/>
          <w:color w:val="auto"/>
          <w:sz w:val="21"/>
          <w:szCs w:val="21"/>
          <w:highlight w:val="none"/>
        </w:rPr>
        <w:t>（签章）</w:t>
      </w:r>
      <w:r>
        <w:rPr>
          <w:rFonts w:hint="eastAsia" w:cs="宋体"/>
          <w:color w:val="auto"/>
          <w:sz w:val="21"/>
          <w:szCs w:val="21"/>
          <w:highlight w:val="none"/>
          <w:u w:val="single"/>
        </w:rPr>
        <w:t xml:space="preserve">                    </w:t>
      </w:r>
      <w:r>
        <w:rPr>
          <w:rFonts w:hint="eastAsia" w:cs="宋体"/>
          <w:color w:val="auto"/>
          <w:sz w:val="21"/>
          <w:szCs w:val="21"/>
          <w:highlight w:val="none"/>
        </w:rPr>
        <w:t xml:space="preserve">              （签章）</w:t>
      </w:r>
      <w:r>
        <w:rPr>
          <w:rFonts w:hint="eastAsia" w:cs="宋体"/>
          <w:color w:val="auto"/>
          <w:sz w:val="21"/>
          <w:szCs w:val="21"/>
          <w:highlight w:val="none"/>
          <w:u w:val="single"/>
        </w:rPr>
        <w:t xml:space="preserve">                   </w:t>
      </w:r>
    </w:p>
    <w:p w14:paraId="5DE710CB">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123400004860905355</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0614EE56">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安徽省滁州市南谯区会峰西路1号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0B68B943">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239000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12DB6656">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82D2167">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3A6E125A">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0AEDC0F7">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160351E">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1A6752A4">
      <w:pPr>
        <w:snapToGrid w:val="0"/>
        <w:spacing w:line="360" w:lineRule="auto"/>
        <w:rPr>
          <w:rFonts w:cs="宋体"/>
          <w:color w:val="auto"/>
          <w:sz w:val="21"/>
          <w:szCs w:val="21"/>
          <w:highlight w:val="none"/>
          <w:u w:val="singl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79A45BEF">
      <w:pPr>
        <w:snapToGrid w:val="0"/>
        <w:spacing w:line="360" w:lineRule="auto"/>
        <w:jc w:val="center"/>
        <w:rPr>
          <w:rFonts w:cs="宋体"/>
          <w:bCs/>
          <w:color w:val="auto"/>
          <w:szCs w:val="21"/>
          <w:highlight w:val="none"/>
        </w:rPr>
      </w:pPr>
      <w:r>
        <w:rPr>
          <w:rFonts w:hint="eastAsia" w:cs="宋体"/>
          <w:color w:val="auto"/>
          <w:sz w:val="21"/>
          <w:szCs w:val="21"/>
          <w:highlight w:val="none"/>
        </w:rPr>
        <w:t xml:space="preserve">账  号：  </w:t>
      </w:r>
      <w:r>
        <w:rPr>
          <w:rFonts w:hint="eastAsia" w:cs="宋体"/>
          <w:color w:val="auto"/>
          <w:sz w:val="21"/>
          <w:szCs w:val="21"/>
          <w:highlight w:val="none"/>
          <w:u w:val="single"/>
        </w:rPr>
        <w:t xml:space="preserve">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r>
        <w:rPr>
          <w:rFonts w:hint="eastAsia" w:cs="宋体"/>
          <w:b/>
          <w:bCs/>
          <w:color w:val="auto"/>
          <w:szCs w:val="21"/>
          <w:highlight w:val="none"/>
        </w:rPr>
        <w:br w:type="page"/>
      </w:r>
      <w:bookmarkStart w:id="55" w:name="_Toc28799377"/>
      <w:bookmarkStart w:id="56" w:name="_Toc130919121"/>
      <w:bookmarkStart w:id="57" w:name="_Toc30550"/>
      <w:r>
        <w:rPr>
          <w:rFonts w:hint="eastAsia" w:cs="宋体"/>
          <w:b/>
          <w:bCs/>
          <w:color w:val="auto"/>
          <w:sz w:val="22"/>
          <w:szCs w:val="22"/>
          <w:highlight w:val="none"/>
        </w:rPr>
        <w:t xml:space="preserve"> 第二节  通用合同条款</w:t>
      </w:r>
      <w:bookmarkEnd w:id="55"/>
      <w:bookmarkEnd w:id="56"/>
      <w:bookmarkEnd w:id="57"/>
    </w:p>
    <w:p w14:paraId="7E523D59">
      <w:pPr>
        <w:spacing w:line="360" w:lineRule="auto"/>
        <w:ind w:firstLine="420" w:firstLineChars="200"/>
        <w:rPr>
          <w:rFonts w:cs="宋体"/>
          <w:color w:val="auto"/>
          <w:kern w:val="2"/>
          <w:sz w:val="21"/>
          <w:szCs w:val="21"/>
          <w:highlight w:val="none"/>
        </w:rPr>
      </w:pPr>
      <w:r>
        <w:rPr>
          <w:rFonts w:hint="eastAsia" w:cs="宋体"/>
          <w:color w:val="auto"/>
          <w:kern w:val="2"/>
          <w:sz w:val="21"/>
          <w:szCs w:val="21"/>
          <w:highlight w:val="none"/>
        </w:rPr>
        <w:t>采用《建设工程施工合同（示范文本）》（GF-2017-0201）中通用合同条款。上述资料由承包人自行准备。</w:t>
      </w:r>
    </w:p>
    <w:p w14:paraId="3AE3FF22">
      <w:pPr>
        <w:keepNext/>
        <w:keepLines/>
        <w:snapToGrid w:val="0"/>
        <w:spacing w:before="93" w:beforeLines="30" w:after="93" w:afterLines="30" w:line="360" w:lineRule="auto"/>
        <w:jc w:val="center"/>
        <w:outlineLvl w:val="1"/>
        <w:rPr>
          <w:rFonts w:cs="宋体"/>
          <w:b/>
          <w:bCs/>
          <w:color w:val="auto"/>
          <w:sz w:val="22"/>
          <w:szCs w:val="22"/>
          <w:highlight w:val="none"/>
        </w:rPr>
      </w:pPr>
      <w:bookmarkStart w:id="58" w:name="_Toc130919122"/>
      <w:bookmarkStart w:id="59" w:name="_Toc28799378"/>
      <w:bookmarkStart w:id="60" w:name="_Toc31931"/>
      <w:r>
        <w:rPr>
          <w:rFonts w:hint="eastAsia" w:cs="宋体"/>
          <w:b/>
          <w:bCs/>
          <w:color w:val="auto"/>
          <w:sz w:val="22"/>
          <w:szCs w:val="22"/>
          <w:highlight w:val="none"/>
        </w:rPr>
        <w:t>第三节  专用合同条款</w:t>
      </w:r>
      <w:bookmarkEnd w:id="58"/>
      <w:bookmarkEnd w:id="59"/>
      <w:bookmarkEnd w:id="60"/>
    </w:p>
    <w:p w14:paraId="7AC2D0AF">
      <w:pPr>
        <w:snapToGrid w:val="0"/>
        <w:spacing w:line="520" w:lineRule="exact"/>
        <w:jc w:val="center"/>
        <w:outlineLvl w:val="2"/>
        <w:rPr>
          <w:rFonts w:cs="宋体"/>
          <w:color w:val="auto"/>
          <w:szCs w:val="21"/>
          <w:highlight w:val="none"/>
        </w:rPr>
      </w:pPr>
      <w:r>
        <w:rPr>
          <w:rFonts w:hint="eastAsia" w:cs="宋体"/>
          <w:color w:val="auto"/>
          <w:szCs w:val="21"/>
          <w:highlight w:val="none"/>
        </w:rPr>
        <w:t>专用合同条款数据表</w:t>
      </w:r>
    </w:p>
    <w:p w14:paraId="45FBC41A">
      <w:pPr>
        <w:pStyle w:val="20"/>
        <w:snapToGrid w:val="0"/>
        <w:spacing w:after="0" w:line="520" w:lineRule="exact"/>
        <w:ind w:left="-400" w:leftChars="-200" w:firstLine="420" w:firstLineChars="20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10023" w:type="dxa"/>
        <w:tblInd w:w="-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85"/>
        <w:gridCol w:w="8358"/>
      </w:tblGrid>
      <w:tr w14:paraId="01DF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80" w:type="dxa"/>
            <w:vAlign w:val="center"/>
          </w:tcPr>
          <w:p w14:paraId="5B45BCFD">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885" w:type="dxa"/>
            <w:vAlign w:val="center"/>
          </w:tcPr>
          <w:p w14:paraId="1D9F85E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8358" w:type="dxa"/>
            <w:vAlign w:val="center"/>
          </w:tcPr>
          <w:p w14:paraId="2C5B8AE4">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29E3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5B9ECDD5">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08D014B8">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8358" w:type="dxa"/>
            <w:vAlign w:val="center"/>
          </w:tcPr>
          <w:p w14:paraId="26D7D151">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发包人提供资金来源证明的期限要求：</w:t>
            </w:r>
            <w:r>
              <w:rPr>
                <w:rFonts w:hint="eastAsia" w:cs="宋体"/>
                <w:color w:val="auto"/>
                <w:spacing w:val="9"/>
                <w:sz w:val="21"/>
                <w:szCs w:val="21"/>
                <w:highlight w:val="none"/>
                <w:u w:val="single"/>
              </w:rPr>
              <w:t>财政资金，不需提供</w:t>
            </w:r>
            <w:r>
              <w:rPr>
                <w:rFonts w:hint="eastAsia" w:cs="宋体"/>
                <w:color w:val="auto"/>
                <w:spacing w:val="3"/>
                <w:sz w:val="21"/>
                <w:szCs w:val="21"/>
                <w:highlight w:val="none"/>
                <w:u w:val="single"/>
              </w:rPr>
              <w:t xml:space="preserve"> </w:t>
            </w:r>
          </w:p>
          <w:p w14:paraId="6D3D892A">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发包人是否提供支付担保：</w:t>
            </w:r>
            <w:r>
              <w:rPr>
                <w:rFonts w:hint="eastAsia" w:cs="宋体"/>
                <w:bCs/>
                <w:color w:val="auto"/>
                <w:sz w:val="21"/>
                <w:szCs w:val="21"/>
                <w:highlight w:val="none"/>
                <w:u w:val="single"/>
              </w:rPr>
              <w:t xml:space="preserve"> </w:t>
            </w:r>
            <w:r>
              <w:rPr>
                <w:rFonts w:hint="eastAsia" w:cs="宋体"/>
                <w:color w:val="auto"/>
                <w:spacing w:val="9"/>
                <w:sz w:val="21"/>
                <w:szCs w:val="21"/>
                <w:highlight w:val="none"/>
                <w:u w:val="single"/>
              </w:rPr>
              <w:t>财政资金，不需提供</w:t>
            </w:r>
            <w:r>
              <w:rPr>
                <w:rFonts w:hint="eastAsia" w:cs="宋体"/>
                <w:color w:val="auto"/>
                <w:spacing w:val="3"/>
                <w:sz w:val="21"/>
                <w:szCs w:val="21"/>
                <w:highlight w:val="none"/>
                <w:u w:val="single"/>
              </w:rPr>
              <w:t xml:space="preserve"> </w:t>
            </w:r>
          </w:p>
          <w:p w14:paraId="27D1204B">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color w:val="auto"/>
                <w:spacing w:val="9"/>
                <w:sz w:val="21"/>
                <w:szCs w:val="21"/>
                <w:highlight w:val="none"/>
                <w:u w:val="single"/>
              </w:rPr>
              <w:t>财政资金，不需提供</w:t>
            </w:r>
            <w:r>
              <w:rPr>
                <w:rFonts w:hint="eastAsia" w:cs="宋体"/>
                <w:color w:val="auto"/>
                <w:spacing w:val="3"/>
                <w:sz w:val="21"/>
                <w:szCs w:val="21"/>
                <w:highlight w:val="none"/>
                <w:u w:val="single"/>
              </w:rPr>
              <w:t xml:space="preserve"> </w:t>
            </w:r>
          </w:p>
        </w:tc>
      </w:tr>
      <w:tr w14:paraId="0EC8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3B79C419">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74B3D478">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3.2.1</w:t>
            </w:r>
          </w:p>
        </w:tc>
        <w:tc>
          <w:tcPr>
            <w:tcW w:w="8358" w:type="dxa"/>
            <w:vAlign w:val="center"/>
          </w:tcPr>
          <w:p w14:paraId="1E196154">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571C5034">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003C9BA0">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25037A07">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2138566A">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57B1BA7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项目整体          </w:t>
            </w:r>
          </w:p>
          <w:p w14:paraId="415D8C5B">
            <w:pPr>
              <w:snapToGrid w:val="0"/>
              <w:spacing w:line="360" w:lineRule="auto"/>
              <w:rPr>
                <w:rFonts w:cs="宋体"/>
                <w:bCs/>
                <w:color w:val="auto"/>
                <w:sz w:val="21"/>
                <w:szCs w:val="21"/>
                <w:highlight w:val="none"/>
              </w:rPr>
            </w:pPr>
            <w:r>
              <w:rPr>
                <w:rFonts w:hint="eastAsia" w:cs="宋体"/>
                <w:bCs/>
                <w:color w:val="auto"/>
                <w:sz w:val="21"/>
                <w:szCs w:val="21"/>
                <w:highlight w:val="none"/>
              </w:rPr>
              <w:t>承包人项目经理每月在施工现场的时间：</w:t>
            </w:r>
            <w:r>
              <w:rPr>
                <w:rFonts w:hint="eastAsia" w:cs="宋体"/>
                <w:color w:val="auto"/>
                <w:sz w:val="21"/>
                <w:szCs w:val="21"/>
                <w:highlight w:val="none"/>
                <w:u w:val="single"/>
              </w:rPr>
              <w:t>项目经理驻场累计时间不得低于实际工期的80%</w:t>
            </w:r>
            <w:r>
              <w:rPr>
                <w:rFonts w:hint="eastAsia" w:cs="宋体"/>
                <w:bCs/>
                <w:color w:val="auto"/>
                <w:sz w:val="21"/>
                <w:szCs w:val="21"/>
                <w:highlight w:val="none"/>
              </w:rPr>
              <w:t>，每天在岗工作时间不得少于</w:t>
            </w:r>
            <w:r>
              <w:rPr>
                <w:rFonts w:hint="eastAsia" w:cs="宋体"/>
                <w:bCs/>
                <w:color w:val="auto"/>
                <w:sz w:val="21"/>
                <w:szCs w:val="21"/>
                <w:highlight w:val="none"/>
                <w:u w:val="single"/>
              </w:rPr>
              <w:t xml:space="preserve"> 8 </w:t>
            </w:r>
            <w:r>
              <w:rPr>
                <w:rFonts w:hint="eastAsia" w:cs="宋体"/>
                <w:bCs/>
                <w:color w:val="auto"/>
                <w:sz w:val="21"/>
                <w:szCs w:val="21"/>
                <w:highlight w:val="none"/>
              </w:rPr>
              <w:t>小时。</w:t>
            </w:r>
          </w:p>
        </w:tc>
      </w:tr>
      <w:tr w14:paraId="2B92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55786B6E">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42AE1840">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3.7</w:t>
            </w:r>
          </w:p>
        </w:tc>
        <w:tc>
          <w:tcPr>
            <w:tcW w:w="8358" w:type="dxa"/>
            <w:vAlign w:val="center"/>
          </w:tcPr>
          <w:p w14:paraId="0979A9B8">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是    </w:t>
            </w:r>
            <w:r>
              <w:rPr>
                <w:rFonts w:hint="eastAsia" w:cs="宋体"/>
                <w:bCs/>
                <w:color w:val="auto"/>
                <w:sz w:val="21"/>
                <w:szCs w:val="21"/>
                <w:highlight w:val="none"/>
              </w:rPr>
              <w:t>。</w:t>
            </w:r>
          </w:p>
          <w:p w14:paraId="4AB6F566">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支持转账/电汇 、支票 、汇票 、本票 、保险 、保函。</w:t>
            </w:r>
          </w:p>
          <w:p w14:paraId="34F4A8EA">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2.5 </w:t>
            </w:r>
            <w:r>
              <w:rPr>
                <w:rFonts w:hint="eastAsia" w:cs="宋体"/>
                <w:bCs/>
                <w:color w:val="auto"/>
                <w:sz w:val="21"/>
                <w:szCs w:val="21"/>
                <w:highlight w:val="none"/>
              </w:rPr>
              <w:t>%。</w:t>
            </w:r>
          </w:p>
          <w:p w14:paraId="14C7C36C">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履约保证金提交期限的要求：</w:t>
            </w:r>
            <w:r>
              <w:rPr>
                <w:rFonts w:hint="eastAsia" w:cs="宋体"/>
                <w:bCs/>
                <w:color w:val="auto"/>
                <w:sz w:val="21"/>
                <w:szCs w:val="21"/>
                <w:highlight w:val="none"/>
                <w:u w:val="single"/>
              </w:rPr>
              <w:t>成交人取得中标通知书后7个工作日内缴纳履约保证金。</w:t>
            </w:r>
          </w:p>
          <w:p w14:paraId="5D708F85">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验收合格后，一次性退还 </w:t>
            </w:r>
            <w:r>
              <w:rPr>
                <w:rFonts w:hint="eastAsia" w:cs="宋体"/>
                <w:bCs/>
                <w:color w:val="auto"/>
                <w:sz w:val="21"/>
                <w:szCs w:val="21"/>
                <w:highlight w:val="none"/>
              </w:rPr>
              <w:t>。</w:t>
            </w:r>
          </w:p>
        </w:tc>
      </w:tr>
      <w:tr w14:paraId="0E89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370934E4">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712C43A0">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8358" w:type="dxa"/>
            <w:vAlign w:val="center"/>
          </w:tcPr>
          <w:p w14:paraId="061EAD12">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rPr>
              <w:t>工程质量必须达到国家工程施工质量验收合格标准 。</w:t>
            </w:r>
          </w:p>
          <w:p w14:paraId="437E083E">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3C02C559">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77978327">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1B2F1A58">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759542FA">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465C3EB9">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              </w:t>
            </w:r>
            <w:r>
              <w:rPr>
                <w:rFonts w:hint="eastAsia" w:cs="宋体"/>
                <w:bCs/>
                <w:color w:val="auto"/>
                <w:sz w:val="21"/>
                <w:szCs w:val="21"/>
                <w:highlight w:val="none"/>
              </w:rPr>
              <w:t>；</w:t>
            </w:r>
          </w:p>
        </w:tc>
      </w:tr>
      <w:tr w14:paraId="35AD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6F1859AF">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6F16D4CE">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7.5.2</w:t>
            </w:r>
          </w:p>
        </w:tc>
        <w:tc>
          <w:tcPr>
            <w:tcW w:w="8358" w:type="dxa"/>
            <w:tcBorders>
              <w:bottom w:val="single" w:color="auto" w:sz="4" w:space="0"/>
            </w:tcBorders>
            <w:vAlign w:val="center"/>
          </w:tcPr>
          <w:p w14:paraId="25783936">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因承包人原因造成工期延误，逾期竣工违约金的计算方法为：</w:t>
            </w:r>
            <w:r>
              <w:rPr>
                <w:rFonts w:hint="eastAsia" w:cs="宋体"/>
                <w:bCs/>
                <w:color w:val="auto"/>
                <w:sz w:val="21"/>
                <w:szCs w:val="21"/>
                <w:highlight w:val="none"/>
                <w:u w:val="single"/>
              </w:rPr>
              <w:t>具体开工时间以发包人通知为准。成交人按合同工期要求，每延迟一天，按5000元/天处以违约金，从工程结算款中扣除。如延误工期超出合同工期50%的，不予支付工程款，招标人有权解除合同。如因采购人要求增加工程量、教育教学、重大活动、极端天气等不可抗拒因素造成，经采购人和中标人书面确认后，工期予以顺延，具体以实际发生时间为依据。</w:t>
            </w:r>
          </w:p>
          <w:p w14:paraId="05470BD4">
            <w:pPr>
              <w:snapToGrid w:val="0"/>
              <w:spacing w:line="360" w:lineRule="auto"/>
              <w:rPr>
                <w:rFonts w:cs="宋体"/>
                <w:bCs/>
                <w:color w:val="auto"/>
                <w:sz w:val="21"/>
                <w:szCs w:val="21"/>
                <w:highlight w:val="none"/>
              </w:rPr>
            </w:pPr>
            <w:r>
              <w:rPr>
                <w:rFonts w:hint="eastAsia" w:cs="宋体"/>
                <w:bCs/>
                <w:color w:val="auto"/>
                <w:sz w:val="21"/>
                <w:szCs w:val="21"/>
                <w:highlight w:val="none"/>
              </w:rPr>
              <w:t>因承包人原因造成工期延误，逾期竣工违约金的上限：</w:t>
            </w:r>
            <w:r>
              <w:rPr>
                <w:rFonts w:hint="eastAsia" w:cs="宋体"/>
                <w:bCs/>
                <w:color w:val="auto"/>
                <w:sz w:val="21"/>
                <w:szCs w:val="21"/>
                <w:highlight w:val="none"/>
                <w:u w:val="single"/>
              </w:rPr>
              <w:t xml:space="preserve"> </w:t>
            </w:r>
            <w:r>
              <w:rPr>
                <w:rFonts w:hint="eastAsia" w:cs="宋体"/>
                <w:bCs/>
                <w:color w:val="auto"/>
                <w:sz w:val="21"/>
                <w:szCs w:val="21"/>
                <w:highlight w:val="none"/>
                <w:u w:val="single"/>
              </w:rPr>
              <w:t>/</w:t>
            </w:r>
            <w:r>
              <w:rPr>
                <w:rFonts w:hint="eastAsia" w:cs="宋体"/>
                <w:bCs/>
                <w:color w:val="auto"/>
                <w:sz w:val="21"/>
                <w:szCs w:val="21"/>
                <w:highlight w:val="none"/>
              </w:rPr>
              <w:t>。</w:t>
            </w:r>
          </w:p>
        </w:tc>
      </w:tr>
      <w:tr w14:paraId="73EC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1B3EDC9F">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5FA27C9A">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7.9.2</w:t>
            </w:r>
          </w:p>
        </w:tc>
        <w:tc>
          <w:tcPr>
            <w:tcW w:w="8358" w:type="dxa"/>
            <w:tcBorders>
              <w:bottom w:val="single" w:color="auto" w:sz="4" w:space="0"/>
            </w:tcBorders>
            <w:vAlign w:val="center"/>
          </w:tcPr>
          <w:p w14:paraId="47DD9DAF">
            <w:pPr>
              <w:snapToGrid w:val="0"/>
              <w:spacing w:line="360" w:lineRule="auto"/>
              <w:rPr>
                <w:rFonts w:cs="宋体"/>
                <w:bCs/>
                <w:color w:val="auto"/>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无                   </w:t>
            </w:r>
            <w:r>
              <w:rPr>
                <w:rFonts w:hint="eastAsia" w:cs="宋体"/>
                <w:color w:val="auto"/>
                <w:sz w:val="21"/>
                <w:szCs w:val="21"/>
                <w:highlight w:val="none"/>
              </w:rPr>
              <w:t>。</w:t>
            </w:r>
          </w:p>
        </w:tc>
      </w:tr>
      <w:tr w14:paraId="70C7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6DF1A186">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6F7F9DA5">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11.1</w:t>
            </w:r>
          </w:p>
        </w:tc>
        <w:tc>
          <w:tcPr>
            <w:tcW w:w="8358" w:type="dxa"/>
            <w:tcBorders>
              <w:bottom w:val="single" w:color="auto" w:sz="4" w:space="0"/>
            </w:tcBorders>
            <w:vAlign w:val="center"/>
          </w:tcPr>
          <w:p w14:paraId="3DE68A71">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市场价格波动是否调整合同价格的约定：</w:t>
            </w:r>
            <w:r>
              <w:rPr>
                <w:rFonts w:hint="eastAsia" w:cs="宋体"/>
                <w:bCs/>
                <w:color w:val="auto"/>
                <w:sz w:val="21"/>
                <w:szCs w:val="21"/>
                <w:highlight w:val="none"/>
                <w:u w:val="single"/>
              </w:rPr>
              <w:t xml:space="preserve">  不调价  </w:t>
            </w:r>
            <w:r>
              <w:rPr>
                <w:rFonts w:hint="eastAsia" w:cs="宋体"/>
                <w:bCs/>
                <w:color w:val="auto"/>
                <w:sz w:val="21"/>
                <w:szCs w:val="21"/>
                <w:highlight w:val="none"/>
              </w:rPr>
              <w:t>。</w:t>
            </w:r>
          </w:p>
        </w:tc>
      </w:tr>
      <w:tr w14:paraId="5A0E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6D41BF04">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4B6912FC">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8358" w:type="dxa"/>
            <w:tcBorders>
              <w:bottom w:val="single" w:color="auto" w:sz="4" w:space="0"/>
            </w:tcBorders>
            <w:vAlign w:val="center"/>
          </w:tcPr>
          <w:p w14:paraId="1473EC60">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73CAAAB0">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25C766B2">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综合单价包含的风险范围：</w:t>
            </w:r>
            <w:r>
              <w:rPr>
                <w:rFonts w:hint="eastAsia" w:cs="宋体"/>
                <w:color w:val="auto"/>
                <w:sz w:val="21"/>
                <w:szCs w:val="21"/>
                <w:highlight w:val="none"/>
                <w:u w:val="single"/>
              </w:rPr>
              <w:t>隐含于已标价工程量清单综合单价中，用于化解发承包双方在工程合同中约定内容和范围内的市场价格波动风险的费用。综合单价包括为完成本项目所需要的一切费用,包括但不限于人工费、材料费、施工机械费、管理费、利润、风险费用、总包管理费、赶工措施费、相关交易费及完成本工程招标文件及合同条款内容等所有费用。</w:t>
            </w:r>
          </w:p>
          <w:p w14:paraId="1334E060">
            <w:pPr>
              <w:adjustRightInd w:val="0"/>
              <w:snapToGrid w:val="0"/>
              <w:spacing w:line="360" w:lineRule="auto"/>
              <w:jc w:val="left"/>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color w:val="auto"/>
                <w:sz w:val="21"/>
                <w:szCs w:val="21"/>
                <w:highlight w:val="none"/>
                <w:u w:val="single"/>
              </w:rPr>
              <w:t xml:space="preserve"> 承包人自行考虑，包含在报价中 。</w:t>
            </w:r>
          </w:p>
          <w:p w14:paraId="46CF8EAB">
            <w:pPr>
              <w:adjustRightInd w:val="0"/>
              <w:snapToGrid w:val="0"/>
              <w:spacing w:line="360" w:lineRule="auto"/>
              <w:jc w:val="left"/>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color w:val="auto"/>
                <w:spacing w:val="9"/>
                <w:sz w:val="21"/>
                <w:szCs w:val="21"/>
                <w:highlight w:val="none"/>
                <w:u w:val="single"/>
              </w:rPr>
              <w:t>按照国家级省市政策要求。</w:t>
            </w:r>
          </w:p>
          <w:p w14:paraId="4ECF064B">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4A5EE5DA">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总价包含的风险范围：</w:t>
            </w:r>
            <w:r>
              <w:rPr>
                <w:rFonts w:hint="eastAsia" w:cs="宋体"/>
                <w:bCs/>
                <w:color w:val="auto"/>
                <w:sz w:val="21"/>
                <w:szCs w:val="21"/>
                <w:highlight w:val="none"/>
                <w:u w:val="single"/>
              </w:rPr>
              <w:t xml:space="preserve">  /                  </w:t>
            </w:r>
          </w:p>
          <w:p w14:paraId="73A25348">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7A764B45">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66EA90E5">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                        </w:t>
            </w:r>
            <w:r>
              <w:rPr>
                <w:rFonts w:hint="eastAsia" w:cs="宋体"/>
                <w:bCs/>
                <w:color w:val="auto"/>
                <w:sz w:val="21"/>
                <w:szCs w:val="21"/>
                <w:highlight w:val="none"/>
              </w:rPr>
              <w:t>。</w:t>
            </w:r>
          </w:p>
        </w:tc>
      </w:tr>
      <w:tr w14:paraId="68F4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2D50E630">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559CC209">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 xml:space="preserve">12.2.1 </w:t>
            </w:r>
          </w:p>
        </w:tc>
        <w:tc>
          <w:tcPr>
            <w:tcW w:w="8358" w:type="dxa"/>
            <w:tcBorders>
              <w:bottom w:val="single" w:color="auto" w:sz="4" w:space="0"/>
            </w:tcBorders>
            <w:vAlign w:val="center"/>
          </w:tcPr>
          <w:p w14:paraId="729DE077">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预付款的支付</w:t>
            </w:r>
          </w:p>
          <w:p w14:paraId="36E179EF">
            <w:pPr>
              <w:adjustRightInd w:val="0"/>
              <w:snapToGrid w:val="0"/>
              <w:spacing w:line="360" w:lineRule="auto"/>
              <w:rPr>
                <w:rFonts w:cs="宋体"/>
                <w:bCs/>
                <w:color w:val="auto"/>
                <w:sz w:val="21"/>
                <w:szCs w:val="21"/>
                <w:highlight w:val="none"/>
                <w:u w:val="single"/>
              </w:rPr>
            </w:pPr>
            <w:r>
              <w:rPr>
                <w:rFonts w:hint="eastAsia" w:cs="宋体"/>
                <w:bCs/>
                <w:color w:val="auto"/>
                <w:sz w:val="21"/>
                <w:szCs w:val="21"/>
                <w:highlight w:val="none"/>
              </w:rPr>
              <w:t>预付款支付比例或金额：</w:t>
            </w:r>
            <w:r>
              <w:rPr>
                <w:rFonts w:hint="eastAsia" w:cs="宋体"/>
                <w:color w:val="auto"/>
                <w:sz w:val="21"/>
                <w:szCs w:val="21"/>
                <w:highlight w:val="none"/>
                <w:u w:val="single"/>
              </w:rPr>
              <w:t>合同价款的40%（预付款支付前，成交人须提供同等金额的见索即付保函)。</w:t>
            </w:r>
          </w:p>
          <w:p w14:paraId="354D974C">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预付款支付期限：</w:t>
            </w:r>
            <w:r>
              <w:rPr>
                <w:rFonts w:hint="eastAsia" w:cs="宋体"/>
                <w:color w:val="auto"/>
                <w:sz w:val="21"/>
                <w:szCs w:val="21"/>
                <w:highlight w:val="none"/>
                <w:u w:val="single"/>
              </w:rPr>
              <w:t xml:space="preserve">合同签订具备实施条件后支付合同价的 40% </w:t>
            </w:r>
            <w:r>
              <w:rPr>
                <w:rFonts w:hint="eastAsia" w:cs="宋体"/>
                <w:bCs/>
                <w:color w:val="auto"/>
                <w:sz w:val="21"/>
                <w:szCs w:val="21"/>
                <w:highlight w:val="none"/>
                <w:u w:val="single"/>
              </w:rPr>
              <w:t xml:space="preserve"> </w:t>
            </w:r>
          </w:p>
          <w:p w14:paraId="7EDBB8B0">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预付款扣回的方式：</w:t>
            </w:r>
            <w:r>
              <w:rPr>
                <w:rFonts w:hint="eastAsia" w:cs="宋体"/>
                <w:color w:val="auto"/>
                <w:spacing w:val="8"/>
                <w:sz w:val="21"/>
                <w:szCs w:val="21"/>
                <w:highlight w:val="none"/>
                <w:u w:val="single"/>
              </w:rPr>
              <w:t>总结算时扣除</w:t>
            </w:r>
            <w:r>
              <w:rPr>
                <w:rFonts w:hint="eastAsia" w:cs="宋体"/>
                <w:bCs/>
                <w:color w:val="auto"/>
                <w:sz w:val="21"/>
                <w:szCs w:val="21"/>
                <w:highlight w:val="none"/>
                <w:u w:val="single"/>
              </w:rPr>
              <w:t xml:space="preserve"> </w:t>
            </w:r>
          </w:p>
        </w:tc>
      </w:tr>
      <w:tr w14:paraId="29F0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80" w:type="dxa"/>
            <w:vAlign w:val="center"/>
          </w:tcPr>
          <w:p w14:paraId="09D5718C">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0042FE0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12.2.2</w:t>
            </w:r>
          </w:p>
        </w:tc>
        <w:tc>
          <w:tcPr>
            <w:tcW w:w="8358" w:type="dxa"/>
            <w:tcBorders>
              <w:bottom w:val="single" w:color="auto" w:sz="4" w:space="0"/>
            </w:tcBorders>
            <w:vAlign w:val="center"/>
          </w:tcPr>
          <w:p w14:paraId="485A8892">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2D5591E6">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r>
              <w:rPr>
                <w:rFonts w:hint="eastAsia" w:cs="宋体"/>
                <w:color w:val="auto"/>
                <w:spacing w:val="9"/>
                <w:sz w:val="21"/>
                <w:szCs w:val="21"/>
                <w:highlight w:val="none"/>
                <w:u w:val="single"/>
              </w:rPr>
              <w:t xml:space="preserve">预付款支付前 </w:t>
            </w:r>
            <w:r>
              <w:rPr>
                <w:rFonts w:hint="eastAsia" w:cs="宋体"/>
                <w:bCs/>
                <w:color w:val="auto"/>
                <w:sz w:val="21"/>
                <w:szCs w:val="21"/>
                <w:highlight w:val="none"/>
                <w:u w:val="single"/>
              </w:rPr>
              <w:t xml:space="preserve"> </w:t>
            </w:r>
          </w:p>
          <w:p w14:paraId="55A86131">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预付款担保的形式为：</w:t>
            </w:r>
            <w:r>
              <w:rPr>
                <w:rFonts w:hint="eastAsia" w:cs="宋体"/>
                <w:color w:val="auto"/>
                <w:spacing w:val="9"/>
                <w:sz w:val="21"/>
                <w:szCs w:val="21"/>
                <w:highlight w:val="none"/>
                <w:u w:val="single"/>
              </w:rPr>
              <w:t xml:space="preserve">  见索即付保函  </w:t>
            </w:r>
          </w:p>
        </w:tc>
      </w:tr>
      <w:tr w14:paraId="6AB1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5863F333">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670B6B9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8358" w:type="dxa"/>
            <w:tcBorders>
              <w:bottom w:val="single" w:color="auto" w:sz="4" w:space="0"/>
            </w:tcBorders>
            <w:vAlign w:val="center"/>
          </w:tcPr>
          <w:p w14:paraId="57D68F8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78255B10">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签订合同并具备实施条件后支付合同总价的40%预付款（预付款支付前，承包人须提供同等金额的见索即付保函），项目完工并验收合格后，经过竣工结算审计，付至工程结算审计价款的100%（结算税率按开票税率结算），同时承包人须提交审计价的2%作为工程质量保证金（取整到个位）至发包人处。质量保证金支持保函(银行保函、担保机构担保、保证保险)使用，保函有效期须与工程缺陷责任期截止时间保持一致。缺陷责任期(2年)满后，办理缺陷责任期验收手续和质保金退还手续，符合要求后，一个月内退还。</w:t>
            </w:r>
          </w:p>
        </w:tc>
      </w:tr>
      <w:tr w14:paraId="56B2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2DFD3545">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1136EF99">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15.2.1</w:t>
            </w:r>
          </w:p>
        </w:tc>
        <w:tc>
          <w:tcPr>
            <w:tcW w:w="8358" w:type="dxa"/>
            <w:vAlign w:val="center"/>
          </w:tcPr>
          <w:p w14:paraId="16D80F41">
            <w:pPr>
              <w:pStyle w:val="16"/>
              <w:spacing w:line="360" w:lineRule="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本项目缺陷责任期自验收合格之日起两年。</w:t>
            </w:r>
            <w:r>
              <w:rPr>
                <w:rFonts w:hint="eastAsia" w:ascii="宋体" w:hAnsi="宋体" w:eastAsia="宋体" w:cs="宋体"/>
                <w:color w:val="auto"/>
                <w:sz w:val="21"/>
                <w:szCs w:val="21"/>
                <w:highlight w:val="none"/>
                <w:u w:val="single"/>
              </w:rPr>
              <w:t>本项目免费质量保证期自验收合格之日起，防水不低于5年,其他内容不低于2年，具体以承包人承诺时间为准。质保期内发生非人为质量问题，承包人收到发包人通知时，应及时响应及时处置，符合维修条件时，3天内完成维修，如遇紧急情况，按发包人要求执行。不能按发包人要求及时到达及时维修的，由发包人组织第三方维修，费用由承包人支付，其发生的费用无需征得中标人同意。承包人拒绝支付的，发包人有权通过法律途径解决。质保期内，同一位置的大便器、小便器、冲洗水箱发生故障、失灵两次及以上的，</w:t>
            </w:r>
            <w:r>
              <w:rPr>
                <w:rFonts w:hint="eastAsia" w:ascii="宋体" w:hAnsi="宋体" w:eastAsia="宋体" w:cs="宋体"/>
                <w:color w:val="auto"/>
                <w:sz w:val="21"/>
                <w:szCs w:val="21"/>
                <w:highlight w:val="none"/>
                <w:u w:val="single"/>
                <w:lang w:val="en-US" w:eastAsia="zh-CN"/>
              </w:rPr>
              <w:t>承包人</w:t>
            </w:r>
            <w:r>
              <w:rPr>
                <w:rFonts w:hint="eastAsia" w:ascii="宋体" w:hAnsi="宋体" w:eastAsia="宋体" w:cs="宋体"/>
                <w:color w:val="auto"/>
                <w:sz w:val="21"/>
                <w:szCs w:val="21"/>
                <w:highlight w:val="none"/>
                <w:u w:val="single"/>
              </w:rPr>
              <w:t>须无条件更换新品。给发包人造成损失或社会不良影响的，视为违约行为，发包人有权依法依规追究其法律责任。</w:t>
            </w:r>
          </w:p>
        </w:tc>
      </w:tr>
      <w:tr w14:paraId="7BE2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0E9F804B">
            <w:pPr>
              <w:numPr>
                <w:ilvl w:val="0"/>
                <w:numId w:val="2"/>
              </w:numPr>
              <w:snapToGrid w:val="0"/>
              <w:spacing w:line="360" w:lineRule="auto"/>
              <w:jc w:val="center"/>
              <w:rPr>
                <w:rFonts w:cs="宋体"/>
                <w:bCs/>
                <w:color w:val="auto"/>
                <w:sz w:val="21"/>
                <w:szCs w:val="21"/>
                <w:highlight w:val="none"/>
              </w:rPr>
            </w:pPr>
          </w:p>
        </w:tc>
        <w:tc>
          <w:tcPr>
            <w:tcW w:w="885" w:type="dxa"/>
            <w:vAlign w:val="center"/>
          </w:tcPr>
          <w:p w14:paraId="18D92B6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15.3.1</w:t>
            </w:r>
          </w:p>
        </w:tc>
        <w:tc>
          <w:tcPr>
            <w:tcW w:w="8358" w:type="dxa"/>
            <w:vAlign w:val="center"/>
          </w:tcPr>
          <w:p w14:paraId="7C4B1194">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09B81A03">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 xml:space="preserve"> 工程结算款的2% ；</w:t>
            </w:r>
          </w:p>
          <w:p w14:paraId="482D07EF">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对公转账  ；</w:t>
            </w:r>
          </w:p>
          <w:p w14:paraId="7857DD53">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（3）其他方式：</w:t>
            </w:r>
            <w:r>
              <w:rPr>
                <w:rFonts w:hint="eastAsia" w:cs="宋体"/>
                <w:color w:val="auto"/>
                <w:sz w:val="21"/>
                <w:szCs w:val="21"/>
                <w:highlight w:val="none"/>
                <w:u w:val="single"/>
              </w:rPr>
              <w:t xml:space="preserve">    /      。</w:t>
            </w:r>
          </w:p>
          <w:p w14:paraId="3BE86C98">
            <w:pPr>
              <w:pStyle w:val="4"/>
              <w:snapToGrid w:val="0"/>
              <w:spacing w:before="0" w:after="0" w:line="360" w:lineRule="auto"/>
              <w:rPr>
                <w:rFonts w:cs="宋体"/>
                <w:bCs w:val="0"/>
                <w:color w:val="auto"/>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5B145B2F">
      <w:pPr>
        <w:rPr>
          <w:rFonts w:cs="宋体"/>
          <w:color w:val="auto"/>
          <w:sz w:val="21"/>
          <w:szCs w:val="21"/>
          <w:highlight w:val="none"/>
        </w:rPr>
      </w:pPr>
      <w:r>
        <w:rPr>
          <w:rFonts w:hint="eastAsia" w:cs="宋体"/>
          <w:color w:val="auto"/>
          <w:sz w:val="21"/>
          <w:szCs w:val="21"/>
          <w:highlight w:val="none"/>
        </w:rPr>
        <w:br w:type="page"/>
      </w:r>
    </w:p>
    <w:p w14:paraId="29679B58">
      <w:pPr>
        <w:snapToGrid w:val="0"/>
        <w:spacing w:line="360" w:lineRule="auto"/>
        <w:ind w:firstLine="420" w:firstLineChars="200"/>
        <w:outlineLvl w:val="2"/>
        <w:rPr>
          <w:rFonts w:cs="宋体"/>
          <w:color w:val="auto"/>
          <w:sz w:val="21"/>
          <w:szCs w:val="21"/>
          <w:highlight w:val="none"/>
        </w:rPr>
      </w:pPr>
      <w:r>
        <w:rPr>
          <w:rFonts w:hint="eastAsia" w:cs="宋体"/>
          <w:color w:val="auto"/>
          <w:sz w:val="21"/>
          <w:szCs w:val="21"/>
          <w:highlight w:val="none"/>
        </w:rPr>
        <w:t>1</w:t>
      </w:r>
      <w:bookmarkStart w:id="61" w:name="_Toc297048342"/>
      <w:bookmarkStart w:id="62" w:name="_Toc296346657"/>
      <w:bookmarkStart w:id="63" w:name="_Toc297120456"/>
      <w:bookmarkStart w:id="64" w:name="_Toc296891196"/>
      <w:bookmarkStart w:id="65" w:name="_Toc296944495"/>
      <w:bookmarkStart w:id="66" w:name="_Toc296347155"/>
      <w:bookmarkStart w:id="67" w:name="_Toc292559866"/>
      <w:bookmarkStart w:id="68" w:name="_Toc296890984"/>
      <w:bookmarkStart w:id="69" w:name="_Toc292559361"/>
      <w:bookmarkStart w:id="70" w:name="_Toc296503156"/>
      <w:r>
        <w:rPr>
          <w:rFonts w:hint="eastAsia" w:cs="宋体"/>
          <w:color w:val="auto"/>
          <w:sz w:val="21"/>
          <w:szCs w:val="21"/>
          <w:highlight w:val="none"/>
        </w:rPr>
        <w:t>. 一般约定</w:t>
      </w:r>
    </w:p>
    <w:bookmarkEnd w:id="61"/>
    <w:bookmarkEnd w:id="62"/>
    <w:bookmarkEnd w:id="63"/>
    <w:bookmarkEnd w:id="64"/>
    <w:bookmarkEnd w:id="65"/>
    <w:bookmarkEnd w:id="66"/>
    <w:bookmarkEnd w:id="67"/>
    <w:bookmarkEnd w:id="68"/>
    <w:bookmarkEnd w:id="69"/>
    <w:bookmarkEnd w:id="70"/>
    <w:p w14:paraId="3ED27101">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3928E0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4CE60CF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本项目招标文件、在合同订立及履行过程中形成的与合同有关的文件均构成合同文件组成部分。 </w:t>
      </w:r>
    </w:p>
    <w:p w14:paraId="5E8502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0457261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pacing w:val="6"/>
          <w:sz w:val="21"/>
          <w:szCs w:val="21"/>
          <w:highlight w:val="none"/>
          <w:u w:val="single"/>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83A081">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pacing w:val="6"/>
          <w:sz w:val="21"/>
          <w:szCs w:val="21"/>
          <w:highlight w:val="none"/>
          <w:u w:val="single"/>
        </w:rPr>
        <w:t xml:space="preserve"> /</w:t>
      </w:r>
      <w:r>
        <w:rPr>
          <w:rFonts w:hint="eastAsia" w:cs="宋体"/>
          <w:color w:val="auto"/>
          <w:sz w:val="21"/>
          <w:szCs w:val="21"/>
          <w:highlight w:val="none"/>
          <w:u w:val="single"/>
        </w:rPr>
        <w:t>   </w:t>
      </w:r>
      <w:r>
        <w:rPr>
          <w:rFonts w:hint="eastAsia" w:cs="宋体"/>
          <w:color w:val="auto"/>
          <w:sz w:val="21"/>
          <w:szCs w:val="21"/>
          <w:highlight w:val="none"/>
        </w:rPr>
        <w:t>；</w:t>
      </w:r>
    </w:p>
    <w:p w14:paraId="26DFE45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pacing w:val="6"/>
          <w:sz w:val="21"/>
          <w:szCs w:val="21"/>
          <w:highlight w:val="none"/>
          <w:u w:val="singl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DBCED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pacing w:val="6"/>
          <w:sz w:val="21"/>
          <w:szCs w:val="21"/>
          <w:highlight w:val="none"/>
          <w:u w:val="single"/>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44CC3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pacing w:val="6"/>
          <w:sz w:val="21"/>
          <w:szCs w:val="21"/>
          <w:highlight w:val="none"/>
          <w:u w:val="single"/>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7680EB">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05794C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FF06A8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      /       </w:t>
      </w:r>
      <w:r>
        <w:rPr>
          <w:rFonts w:hint="eastAsia" w:cs="宋体"/>
          <w:color w:val="auto"/>
          <w:sz w:val="21"/>
          <w:szCs w:val="21"/>
          <w:highlight w:val="none"/>
        </w:rPr>
        <w:t>；</w:t>
      </w:r>
    </w:p>
    <w:p w14:paraId="01C683D6">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        /         </w:t>
      </w:r>
      <w:r>
        <w:rPr>
          <w:rFonts w:hint="eastAsia" w:cs="宋体"/>
          <w:color w:val="auto"/>
          <w:sz w:val="21"/>
          <w:szCs w:val="21"/>
          <w:highlight w:val="none"/>
        </w:rPr>
        <w:t>；</w:t>
      </w:r>
    </w:p>
    <w:p w14:paraId="060B311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       /            </w:t>
      </w:r>
      <w:r>
        <w:rPr>
          <w:rFonts w:hint="eastAsia" w:cs="宋体"/>
          <w:color w:val="auto"/>
          <w:sz w:val="21"/>
          <w:szCs w:val="21"/>
          <w:highlight w:val="none"/>
        </w:rPr>
        <w:t>；</w:t>
      </w:r>
    </w:p>
    <w:p w14:paraId="34DC4D4B">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     /            </w:t>
      </w:r>
      <w:r>
        <w:rPr>
          <w:rFonts w:hint="eastAsia" w:cs="宋体"/>
          <w:color w:val="auto"/>
          <w:sz w:val="21"/>
          <w:szCs w:val="21"/>
          <w:highlight w:val="none"/>
        </w:rPr>
        <w:t>；</w:t>
      </w:r>
    </w:p>
    <w:p w14:paraId="34C036F6">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66C677E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见图和现场确定</w:t>
      </w:r>
      <w:r>
        <w:rPr>
          <w:rFonts w:hint="eastAsia" w:cs="宋体"/>
          <w:color w:val="auto"/>
          <w:sz w:val="21"/>
          <w:szCs w:val="21"/>
          <w:highlight w:val="none"/>
        </w:rPr>
        <w:t>。</w:t>
      </w:r>
    </w:p>
    <w:p w14:paraId="1F14F395">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见图和现场确定</w:t>
      </w:r>
      <w:r>
        <w:rPr>
          <w:rFonts w:hint="eastAsia" w:cs="宋体"/>
          <w:color w:val="auto"/>
          <w:sz w:val="21"/>
          <w:szCs w:val="21"/>
          <w:highlight w:val="none"/>
        </w:rPr>
        <w:t>。</w:t>
      </w:r>
    </w:p>
    <w:p w14:paraId="17B8FC90">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现场确定</w:t>
      </w:r>
      <w:r>
        <w:rPr>
          <w:rFonts w:hint="eastAsia" w:cs="宋体"/>
          <w:color w:val="auto"/>
          <w:sz w:val="21"/>
          <w:szCs w:val="21"/>
          <w:highlight w:val="none"/>
        </w:rPr>
        <w:t>。</w:t>
      </w:r>
    </w:p>
    <w:p w14:paraId="126781D9">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1801554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706C7FEE">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6AD8424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中华人民共和国住房和城乡建设部等部门及省、市发布的有关文件</w:t>
      </w:r>
      <w:r>
        <w:rPr>
          <w:rFonts w:hint="eastAsia" w:cs="宋体"/>
          <w:color w:val="auto"/>
          <w:sz w:val="21"/>
          <w:szCs w:val="21"/>
          <w:highlight w:val="none"/>
        </w:rPr>
        <w:t>。</w:t>
      </w:r>
    </w:p>
    <w:p w14:paraId="0510999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承包人自备国内现行适用的标准、规范</w:t>
      </w:r>
      <w:r>
        <w:rPr>
          <w:rFonts w:hint="eastAsia" w:cs="宋体"/>
          <w:color w:val="auto"/>
          <w:sz w:val="21"/>
          <w:szCs w:val="21"/>
          <w:highlight w:val="none"/>
        </w:rPr>
        <w:t>；</w:t>
      </w:r>
    </w:p>
    <w:p w14:paraId="258F4C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32F219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35A476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按现行规范执行 </w:t>
      </w:r>
      <w:r>
        <w:rPr>
          <w:rFonts w:hint="eastAsia" w:cs="宋体"/>
          <w:color w:val="auto"/>
          <w:sz w:val="21"/>
          <w:szCs w:val="21"/>
          <w:highlight w:val="none"/>
        </w:rPr>
        <w:t>。</w:t>
      </w:r>
    </w:p>
    <w:p w14:paraId="25AD1BBC">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580A0960">
      <w:pPr>
        <w:keepNext/>
        <w:keepLines/>
        <w:snapToGrid w:val="0"/>
        <w:spacing w:line="360" w:lineRule="auto"/>
        <w:ind w:firstLine="420" w:firstLineChars="200"/>
        <w:outlineLvl w:val="3"/>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1）合同协议书；（2）中标通知书；（3）投标函及其附录；（4）招标文件；（5）专用合同条款及其附件；（6）通用合同条款；（7）技术标准和要求；（8）图纸；（9）已标价工程量清单或预算书；（10）其他合同文件。</w:t>
      </w:r>
    </w:p>
    <w:p w14:paraId="6FD8DE29">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7E09C6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35723F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开工前10个日历日向承包人提供图纸</w:t>
      </w:r>
      <w:r>
        <w:rPr>
          <w:rFonts w:hint="eastAsia" w:cs="宋体"/>
          <w:color w:val="auto"/>
          <w:sz w:val="21"/>
          <w:szCs w:val="21"/>
          <w:highlight w:val="none"/>
        </w:rPr>
        <w:t>；</w:t>
      </w:r>
    </w:p>
    <w:p w14:paraId="574EDB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1套本工程图纸，承包人如需增加，由承包人自行复制并承担费用，所有设计图纸和设计变更文件须经设计单位和发包人盖章确认方有效；</w:t>
      </w:r>
    </w:p>
    <w:p w14:paraId="512113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施工范围的图纸 </w:t>
      </w:r>
      <w:r>
        <w:rPr>
          <w:rFonts w:hint="eastAsia" w:cs="宋体"/>
          <w:color w:val="auto"/>
          <w:sz w:val="21"/>
          <w:szCs w:val="21"/>
          <w:highlight w:val="none"/>
        </w:rPr>
        <w:t>。</w:t>
      </w:r>
    </w:p>
    <w:p w14:paraId="0E5488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BA3C3AE">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包括但不限于施工组织设计、总进度计划、阶段性进度计划、月度进度计划、工程计量报告、竣工资料、归档资料电子档、影像资料及工程结算送审资料及</w:t>
      </w:r>
      <w:r>
        <w:rPr>
          <w:rFonts w:hint="eastAsia" w:cs="宋体"/>
          <w:color w:val="auto"/>
          <w:sz w:val="21"/>
          <w:szCs w:val="21"/>
          <w:highlight w:val="none"/>
          <w:u w:val="single"/>
        </w:rPr>
        <w:t>发包人要求</w:t>
      </w:r>
      <w:r>
        <w:rPr>
          <w:rFonts w:hint="eastAsia" w:cs="宋体"/>
          <w:color w:val="auto"/>
          <w:sz w:val="21"/>
          <w:szCs w:val="21"/>
          <w:highlight w:val="none"/>
          <w:u w:val="single"/>
        </w:rPr>
        <w:t>提供的等其他文件；</w:t>
      </w:r>
    </w:p>
    <w:p w14:paraId="525A74B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按照合同相关约定或发包人、监理人书面要求执行    </w:t>
      </w:r>
      <w:r>
        <w:rPr>
          <w:rFonts w:hint="eastAsia" w:cs="宋体"/>
          <w:color w:val="auto"/>
          <w:sz w:val="21"/>
          <w:szCs w:val="21"/>
          <w:highlight w:val="none"/>
        </w:rPr>
        <w:t>；</w:t>
      </w:r>
    </w:p>
    <w:p w14:paraId="6C76681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按照合同相关约定或发包人、监理人书面要求执行   </w:t>
      </w:r>
      <w:r>
        <w:rPr>
          <w:rFonts w:hint="eastAsia" w:cs="宋体"/>
          <w:color w:val="auto"/>
          <w:sz w:val="21"/>
          <w:szCs w:val="21"/>
          <w:highlight w:val="none"/>
        </w:rPr>
        <w:t>；</w:t>
      </w:r>
    </w:p>
    <w:p w14:paraId="388AB82E">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按照合同相关约定或发包人、监理人书面要求执行  </w:t>
      </w:r>
      <w:r>
        <w:rPr>
          <w:rFonts w:hint="eastAsia" w:cs="宋体"/>
          <w:color w:val="auto"/>
          <w:sz w:val="21"/>
          <w:szCs w:val="21"/>
          <w:highlight w:val="none"/>
        </w:rPr>
        <w:t>；</w:t>
      </w:r>
    </w:p>
    <w:p w14:paraId="519E907B">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按照合同相关约定或发包人、监理人书面要求执行</w:t>
      </w:r>
      <w:r>
        <w:rPr>
          <w:rFonts w:hint="eastAsia" w:cs="宋体"/>
          <w:color w:val="auto"/>
          <w:sz w:val="21"/>
          <w:szCs w:val="21"/>
          <w:highlight w:val="none"/>
        </w:rPr>
        <w:t>。</w:t>
      </w:r>
    </w:p>
    <w:p w14:paraId="510F1773">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0106D238">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关于图纸和承包人文件的保管的约定：</w:t>
      </w:r>
      <w:r>
        <w:rPr>
          <w:rFonts w:hint="eastAsia" w:cs="宋体"/>
          <w:color w:val="auto"/>
          <w:sz w:val="21"/>
          <w:szCs w:val="21"/>
          <w:highlight w:val="none"/>
          <w:u w:val="single"/>
        </w:rPr>
        <w:t xml:space="preserve">执行通用条款 </w:t>
      </w:r>
      <w:r>
        <w:rPr>
          <w:rFonts w:hint="eastAsia" w:cs="宋体"/>
          <w:color w:val="auto"/>
          <w:sz w:val="21"/>
          <w:szCs w:val="21"/>
          <w:highlight w:val="none"/>
        </w:rPr>
        <w:t>。</w:t>
      </w:r>
    </w:p>
    <w:p w14:paraId="279C8C6F">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00DC826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发包人办公室  </w:t>
      </w:r>
      <w:r>
        <w:rPr>
          <w:rFonts w:hint="eastAsia" w:cs="宋体"/>
          <w:color w:val="auto"/>
          <w:sz w:val="21"/>
          <w:szCs w:val="21"/>
          <w:highlight w:val="none"/>
        </w:rPr>
        <w:t>；</w:t>
      </w:r>
    </w:p>
    <w:p w14:paraId="017AE03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发包人指派的项目经理</w:t>
      </w:r>
      <w:r>
        <w:rPr>
          <w:rFonts w:hint="eastAsia" w:cs="宋体"/>
          <w:color w:val="auto"/>
          <w:sz w:val="21"/>
          <w:szCs w:val="21"/>
          <w:highlight w:val="none"/>
        </w:rPr>
        <w:t>；</w:t>
      </w:r>
    </w:p>
    <w:p w14:paraId="07030096">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项目部</w:t>
      </w:r>
      <w:r>
        <w:rPr>
          <w:rFonts w:hint="eastAsia" w:cs="宋体"/>
          <w:color w:val="auto"/>
          <w:sz w:val="21"/>
          <w:szCs w:val="21"/>
          <w:highlight w:val="none"/>
        </w:rPr>
        <w:t>；</w:t>
      </w:r>
    </w:p>
    <w:p w14:paraId="65765FD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项目经理</w:t>
      </w:r>
      <w:r>
        <w:rPr>
          <w:rFonts w:hint="eastAsia" w:cs="宋体"/>
          <w:color w:val="auto"/>
          <w:sz w:val="21"/>
          <w:szCs w:val="21"/>
          <w:highlight w:val="none"/>
        </w:rPr>
        <w:t>。</w:t>
      </w:r>
    </w:p>
    <w:p w14:paraId="535EFE0E">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监理部</w:t>
      </w:r>
      <w:r>
        <w:rPr>
          <w:rFonts w:hint="eastAsia" w:cs="宋体"/>
          <w:color w:val="auto"/>
          <w:sz w:val="21"/>
          <w:szCs w:val="21"/>
          <w:highlight w:val="none"/>
        </w:rPr>
        <w:t>；</w:t>
      </w:r>
    </w:p>
    <w:p w14:paraId="52C9F92F">
      <w:pPr>
        <w:keepNext/>
        <w:keepLines/>
        <w:snapToGrid w:val="0"/>
        <w:spacing w:line="360" w:lineRule="auto"/>
        <w:ind w:firstLine="420" w:firstLineChars="200"/>
        <w:outlineLvl w:val="3"/>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总监理工程师</w:t>
      </w:r>
      <w:r>
        <w:rPr>
          <w:rFonts w:hint="eastAsia" w:cs="宋体"/>
          <w:color w:val="auto"/>
          <w:sz w:val="21"/>
          <w:szCs w:val="21"/>
          <w:highlight w:val="none"/>
        </w:rPr>
        <w:t>。</w:t>
      </w:r>
    </w:p>
    <w:p w14:paraId="4215F926">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59DFD4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1" w:name="_Toc312677986"/>
      <w:bookmarkStart w:id="72" w:name="_Toc303539100"/>
      <w:bookmarkStart w:id="73" w:name="_Toc304295521"/>
      <w:bookmarkStart w:id="74" w:name="_Toc318581155"/>
      <w:bookmarkStart w:id="75" w:name="_Toc300934943"/>
      <w:r>
        <w:rPr>
          <w:rFonts w:hint="eastAsia" w:cs="宋体"/>
          <w:color w:val="auto"/>
          <w:sz w:val="21"/>
          <w:szCs w:val="21"/>
          <w:highlight w:val="none"/>
        </w:rPr>
        <w:t>.10.1 出入现场的权利</w:t>
      </w:r>
    </w:p>
    <w:p w14:paraId="6E946872">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费用由中标人承担，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违约金的，由承包人承担。在本工程施工期间，施工单位使用的运输车辆须满足公安、市容城管、交通管理部门等的规定并按要求依法遵照有关规定办理运输许可证，严禁使用无牌无证车辆进行施工，若因以上原因造成的各种行政违约金等费用，由施工单位自行承担，发包人不具有协调等责任义务。如由此造成影响导致业主声誉受损，发包人将向承包人收取违约金5000元/次。</w:t>
      </w:r>
    </w:p>
    <w:bookmarkEnd w:id="71"/>
    <w:bookmarkEnd w:id="72"/>
    <w:bookmarkEnd w:id="73"/>
    <w:bookmarkEnd w:id="74"/>
    <w:bookmarkEnd w:id="75"/>
    <w:p w14:paraId="040F16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6" w:name="_Toc300934944"/>
      <w:bookmarkStart w:id="77" w:name="_Toc318581156"/>
      <w:bookmarkStart w:id="78" w:name="_Toc303539101"/>
      <w:bookmarkStart w:id="79" w:name="_Toc312677987"/>
      <w:bookmarkStart w:id="80" w:name="_Toc304295522"/>
      <w:r>
        <w:rPr>
          <w:rFonts w:hint="eastAsia" w:cs="宋体"/>
          <w:color w:val="auto"/>
          <w:sz w:val="21"/>
          <w:szCs w:val="21"/>
          <w:highlight w:val="none"/>
        </w:rPr>
        <w:t>.10.3 场内交通</w:t>
      </w:r>
    </w:p>
    <w:p w14:paraId="68ED3F5D">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场内交通设施和道路由承包人负责建设，发包人不另支付费用，场内交通边界现场确定</w:t>
      </w:r>
      <w:r>
        <w:rPr>
          <w:rFonts w:hint="eastAsia" w:cs="宋体"/>
          <w:color w:val="auto"/>
          <w:sz w:val="21"/>
          <w:szCs w:val="21"/>
          <w:highlight w:val="none"/>
        </w:rPr>
        <w:t>。</w:t>
      </w:r>
    </w:p>
    <w:p w14:paraId="6C06D9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自行踏勘，自行解决</w:t>
      </w:r>
      <w:r>
        <w:rPr>
          <w:rFonts w:hint="eastAsia" w:cs="宋体"/>
          <w:color w:val="auto"/>
          <w:sz w:val="21"/>
          <w:szCs w:val="21"/>
          <w:highlight w:val="none"/>
        </w:rPr>
        <w:t>。</w:t>
      </w:r>
      <w:bookmarkEnd w:id="76"/>
      <w:bookmarkEnd w:id="77"/>
      <w:bookmarkEnd w:id="78"/>
      <w:bookmarkEnd w:id="79"/>
      <w:bookmarkEnd w:id="80"/>
      <w:bookmarkStart w:id="81" w:name="_Toc318581157"/>
    </w:p>
    <w:p w14:paraId="448DC8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6F37A9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承包人 </w:t>
      </w:r>
      <w:r>
        <w:rPr>
          <w:rFonts w:hint="eastAsia" w:cs="宋体"/>
          <w:color w:val="auto"/>
          <w:sz w:val="21"/>
          <w:szCs w:val="21"/>
          <w:highlight w:val="none"/>
        </w:rPr>
        <w:t>承担。</w:t>
      </w:r>
    </w:p>
    <w:bookmarkEnd w:id="81"/>
    <w:p w14:paraId="54CA30D4">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7A058D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发包人  </w:t>
      </w:r>
      <w:r>
        <w:rPr>
          <w:rFonts w:hint="eastAsia" w:cs="宋体"/>
          <w:color w:val="auto"/>
          <w:sz w:val="21"/>
          <w:szCs w:val="21"/>
          <w:highlight w:val="none"/>
        </w:rPr>
        <w:t>。</w:t>
      </w:r>
    </w:p>
    <w:p w14:paraId="1404D9B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未经发包人同意不得复制，不得向承包人以外的人员泄漏有关图纸内容，工程竣工后，原图全部收回 </w:t>
      </w:r>
      <w:r>
        <w:rPr>
          <w:rFonts w:hint="eastAsia" w:cs="宋体"/>
          <w:color w:val="auto"/>
          <w:sz w:val="21"/>
          <w:szCs w:val="21"/>
          <w:highlight w:val="none"/>
        </w:rPr>
        <w:t>。</w:t>
      </w:r>
    </w:p>
    <w:p w14:paraId="27E2A9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发包人   </w:t>
      </w:r>
      <w:r>
        <w:rPr>
          <w:rFonts w:hint="eastAsia" w:cs="宋体"/>
          <w:color w:val="auto"/>
          <w:sz w:val="21"/>
          <w:szCs w:val="21"/>
          <w:highlight w:val="none"/>
        </w:rPr>
        <w:t>。</w:t>
      </w:r>
    </w:p>
    <w:p w14:paraId="362E26A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执行通用条款 </w:t>
      </w:r>
      <w:r>
        <w:rPr>
          <w:rFonts w:hint="eastAsia" w:cs="宋体"/>
          <w:color w:val="auto"/>
          <w:sz w:val="21"/>
          <w:szCs w:val="21"/>
          <w:highlight w:val="none"/>
        </w:rPr>
        <w:t>。</w:t>
      </w:r>
    </w:p>
    <w:p w14:paraId="779ED5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3E81CC52">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3603255C">
      <w:pPr>
        <w:pStyle w:val="31"/>
        <w:ind w:firstLine="468" w:firstLineChars="200"/>
        <w:rPr>
          <w:rFonts w:hAnsi="宋体" w:cs="宋体"/>
          <w:color w:val="auto"/>
          <w:sz w:val="21"/>
          <w:szCs w:val="21"/>
          <w:highlight w:val="none"/>
        </w:rPr>
      </w:pPr>
      <w:r>
        <w:rPr>
          <w:rFonts w:hint="eastAsia" w:hAnsi="宋体" w:cs="宋体"/>
          <w:color w:val="auto"/>
          <w:sz w:val="21"/>
          <w:szCs w:val="21"/>
          <w:highlight w:val="none"/>
        </w:rPr>
        <w:t>出现工程量清单错误时，是否调整合同价格：</w:t>
      </w:r>
      <w:r>
        <w:rPr>
          <w:rFonts w:hint="eastAsia" w:hAnsi="宋体" w:cs="宋体"/>
          <w:color w:val="auto"/>
          <w:sz w:val="21"/>
          <w:szCs w:val="21"/>
          <w:highlight w:val="none"/>
          <w:u w:val="single"/>
        </w:rPr>
        <w:t>是，具体调整方式见下款</w:t>
      </w:r>
      <w:r>
        <w:rPr>
          <w:rFonts w:hint="eastAsia" w:hAnsi="宋体" w:cs="宋体"/>
          <w:color w:val="auto"/>
          <w:sz w:val="21"/>
          <w:szCs w:val="21"/>
          <w:highlight w:val="none"/>
        </w:rPr>
        <w:t>。</w:t>
      </w:r>
    </w:p>
    <w:p w14:paraId="301394B0">
      <w:pPr>
        <w:snapToGrid w:val="0"/>
        <w:spacing w:line="360" w:lineRule="auto"/>
        <w:ind w:firstLine="420" w:firstLineChars="200"/>
        <w:rPr>
          <w:rFonts w:cs="宋体"/>
          <w:b/>
          <w:bCs/>
          <w:i/>
          <w:iCs/>
          <w:color w:val="auto"/>
          <w:sz w:val="21"/>
          <w:szCs w:val="21"/>
          <w:highlight w:val="none"/>
          <w:shd w:val="clear" w:color="FFFFFF" w:fill="D9D9D9"/>
        </w:rPr>
      </w:pPr>
      <w:r>
        <w:rPr>
          <w:rFonts w:hint="eastAsia" w:cs="宋体"/>
          <w:color w:val="auto"/>
          <w:sz w:val="21"/>
          <w:szCs w:val="21"/>
          <w:highlight w:val="none"/>
          <w:u w:val="single"/>
        </w:rPr>
        <w:t xml:space="preserve">允许调整合同价格的工程量偏差范围：发包人指令调整施工内容及范围（包括但不限于取消或增加项目，变更设计方案及材料，改变施工工艺、施工方法，调整施工顺序等），工程量无论增减，承包人必须无条件执行，否则视为违约，发包人视情节轻重给予违约处罚，发包人将向承包人收取5-50万元的违约金。结算时，工程量按实计算。结算工程量减少0-100%或增加15%以内（含 15%）部分的，执行中标单价；超出15%以外部分，投标综合单价高于（控制价×投标让利幅度）时，按（控制价×投标让利幅度）计算，投标综合单价低于（控制价×投标让利幅度）时，执行中标单价。组价明显错误或人材机含量及单价明显异常的（明显异常指承包人单价超出清单控制价中相应单价20%及以上的）应予纠正；新增项目单价按照控制价的编制原则重新组价×投标让利幅度（投标让利幅度为中标价/控制价，其中中标价和控制价均扣除暂定金额、暂估价），重新组价价格最终以竣工结算审计核定为准。 </w:t>
      </w:r>
    </w:p>
    <w:p w14:paraId="61DC06F9">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2.1 施工现场、施工条件和基础资料的提供</w:t>
      </w:r>
    </w:p>
    <w:p w14:paraId="378A28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2.1.1 提供施工现场</w:t>
      </w:r>
    </w:p>
    <w:p w14:paraId="7085BF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开工前 </w:t>
      </w:r>
      <w:r>
        <w:rPr>
          <w:rFonts w:hint="eastAsia" w:cs="宋体"/>
          <w:color w:val="auto"/>
          <w:sz w:val="21"/>
          <w:szCs w:val="21"/>
          <w:highlight w:val="none"/>
        </w:rPr>
        <w:t>。</w:t>
      </w:r>
    </w:p>
    <w:p w14:paraId="57057D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2.1.2 提供施工条件</w:t>
      </w:r>
    </w:p>
    <w:p w14:paraId="7DAAC74B">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不提供，本项目施工所需要的条件及手续和工程未完全交付发包人前所有的水电费用均由承包人自行办理且相关费用已包含在合同价款中，由承包人承担，若需从学校搭接水电，需经建设单位同意，据实结算，从工程结算款价中抵扣或电子转账。对无法装表计量的用水、用电，按工程结算价款的3‰、4‰分别收取水、电费。</w:t>
      </w:r>
    </w:p>
    <w:p w14:paraId="738A3720">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资金来源证明及支付担保</w:t>
      </w:r>
    </w:p>
    <w:p w14:paraId="385E92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FE9B6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14CF6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49D89F">
      <w:pPr>
        <w:snapToGrid w:val="0"/>
        <w:spacing w:line="360" w:lineRule="auto"/>
        <w:ind w:firstLine="420" w:firstLineChars="200"/>
        <w:outlineLvl w:val="2"/>
        <w:rPr>
          <w:rFonts w:cs="宋体"/>
          <w:color w:val="auto"/>
          <w:sz w:val="21"/>
          <w:szCs w:val="21"/>
          <w:highlight w:val="none"/>
        </w:rPr>
      </w:pPr>
      <w:bookmarkStart w:id="82" w:name="_Toc351203635"/>
      <w:r>
        <w:rPr>
          <w:rFonts w:hint="eastAsia" w:cs="宋体"/>
          <w:color w:val="auto"/>
          <w:sz w:val="21"/>
          <w:szCs w:val="21"/>
          <w:highlight w:val="none"/>
        </w:rPr>
        <w:t>3</w:t>
      </w:r>
      <w:bookmarkStart w:id="83" w:name="_Toc296346659"/>
      <w:bookmarkStart w:id="84" w:name="_Toc297120458"/>
      <w:bookmarkStart w:id="85" w:name="_Toc296944497"/>
      <w:bookmarkStart w:id="86" w:name="_Toc297048344"/>
      <w:bookmarkStart w:id="87" w:name="_Toc296347157"/>
      <w:bookmarkStart w:id="88" w:name="_Toc296503158"/>
      <w:bookmarkStart w:id="89" w:name="_Toc292559868"/>
      <w:bookmarkStart w:id="90" w:name="_Toc296890986"/>
      <w:bookmarkStart w:id="91" w:name="_Toc296891198"/>
      <w:bookmarkStart w:id="92" w:name="_Toc292559363"/>
      <w:r>
        <w:rPr>
          <w:rFonts w:hint="eastAsia" w:cs="宋体"/>
          <w:color w:val="auto"/>
          <w:sz w:val="21"/>
          <w:szCs w:val="21"/>
          <w:highlight w:val="none"/>
        </w:rPr>
        <w:t>. 承包人</w:t>
      </w:r>
      <w:bookmarkEnd w:id="82"/>
    </w:p>
    <w:bookmarkEnd w:id="83"/>
    <w:bookmarkEnd w:id="84"/>
    <w:bookmarkEnd w:id="85"/>
    <w:bookmarkEnd w:id="86"/>
    <w:bookmarkEnd w:id="87"/>
    <w:bookmarkEnd w:id="88"/>
    <w:bookmarkEnd w:id="89"/>
    <w:bookmarkEnd w:id="90"/>
    <w:bookmarkEnd w:id="91"/>
    <w:bookmarkEnd w:id="92"/>
    <w:p w14:paraId="18FEDC28">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0607FA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b/>
          <w:bCs/>
          <w:color w:val="auto"/>
          <w:sz w:val="21"/>
          <w:szCs w:val="21"/>
          <w:highlight w:val="none"/>
        </w:rPr>
        <w:t>：</w:t>
      </w:r>
      <w:r>
        <w:rPr>
          <w:rFonts w:hint="eastAsia" w:cs="宋体"/>
          <w:b/>
          <w:bCs/>
          <w:color w:val="auto"/>
          <w:sz w:val="21"/>
          <w:szCs w:val="21"/>
          <w:highlight w:val="none"/>
          <w:u w:val="single"/>
        </w:rPr>
        <w:t>承包人提供全套竣工图，所有竣工图应为新图纸</w:t>
      </w:r>
      <w:r>
        <w:rPr>
          <w:rFonts w:hint="eastAsia" w:cs="宋体"/>
          <w:color w:val="auto"/>
          <w:sz w:val="21"/>
          <w:szCs w:val="21"/>
          <w:highlight w:val="none"/>
        </w:rPr>
        <w:t>。</w:t>
      </w:r>
    </w:p>
    <w:p w14:paraId="2B940F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纸质材料2套、电子资料1套     </w:t>
      </w:r>
      <w:r>
        <w:rPr>
          <w:rFonts w:hint="eastAsia" w:cs="宋体"/>
          <w:color w:val="auto"/>
          <w:sz w:val="21"/>
          <w:szCs w:val="21"/>
          <w:highlight w:val="none"/>
        </w:rPr>
        <w:t>。</w:t>
      </w:r>
    </w:p>
    <w:p w14:paraId="69F05AA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57C215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工程竣工验收合格后10个工作日内 </w:t>
      </w:r>
      <w:r>
        <w:rPr>
          <w:rFonts w:hint="eastAsia" w:cs="宋体"/>
          <w:color w:val="auto"/>
          <w:sz w:val="21"/>
          <w:szCs w:val="21"/>
          <w:highlight w:val="none"/>
        </w:rPr>
        <w:t>。</w:t>
      </w:r>
    </w:p>
    <w:p w14:paraId="7F0796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纸质材料和电子资料       </w:t>
      </w:r>
      <w:r>
        <w:rPr>
          <w:rFonts w:hint="eastAsia" w:cs="宋体"/>
          <w:color w:val="auto"/>
          <w:sz w:val="21"/>
          <w:szCs w:val="21"/>
          <w:highlight w:val="none"/>
        </w:rPr>
        <w:t>。</w:t>
      </w:r>
    </w:p>
    <w:p w14:paraId="28D8AE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接受发包人的要求     </w:t>
      </w:r>
      <w:r>
        <w:rPr>
          <w:rFonts w:hint="eastAsia" w:cs="宋体"/>
          <w:color w:val="auto"/>
          <w:sz w:val="21"/>
          <w:szCs w:val="21"/>
          <w:highlight w:val="none"/>
        </w:rPr>
        <w:t>。</w:t>
      </w:r>
    </w:p>
    <w:p w14:paraId="123FD2EB">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2D645C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2F32F5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3776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C9BF9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9E43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C9E91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F8A49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1DC9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3ABC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7D31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F233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按承包人书面授权书约定</w:t>
      </w:r>
      <w:r>
        <w:rPr>
          <w:rFonts w:hint="eastAsia" w:cs="宋体"/>
          <w:color w:val="auto"/>
          <w:sz w:val="21"/>
          <w:szCs w:val="21"/>
          <w:highlight w:val="none"/>
        </w:rPr>
        <w:t>。</w:t>
      </w:r>
    </w:p>
    <w:p w14:paraId="34659625">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项目经理驻场累计时间不得低于实际工期的80%，不得无故脱离施工现场，缺勤一天按5000元/天从工程结算价抵扣，</w:t>
      </w:r>
      <w:r>
        <w:rPr>
          <w:rFonts w:hint="eastAsia" w:cs="宋体"/>
          <w:color w:val="auto"/>
          <w:sz w:val="21"/>
          <w:szCs w:val="21"/>
          <w:highlight w:val="none"/>
          <w:u w:val="single"/>
        </w:rPr>
        <w:t>无故不参加采购人召开的例会、连续缺勤3天、累计缺勤5天或在施工关键技术环节缺勤的，采购人终止合同并对已完工程不予以计量计价，视为成交人违约并承担一切损失和赔偿。</w:t>
      </w:r>
      <w:r>
        <w:rPr>
          <w:rFonts w:hint="eastAsia" w:cs="宋体"/>
          <w:color w:val="auto"/>
          <w:sz w:val="21"/>
          <w:szCs w:val="21"/>
          <w:highlight w:val="none"/>
          <w:u w:val="single"/>
        </w:rPr>
        <w:t>项目经理必须自行解决好与发包人项目现有施工单位的沟通、协调问题。承包人必须配备专职质量员，不得由项目经理、现场负责人、技术负责人等兼任。</w:t>
      </w:r>
    </w:p>
    <w:p w14:paraId="1BC39B2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承包人未按要求递交项目经理劳动合同及提供社保证明，视同为允许他人以承包人名义承揽工程。发包人将依法上报有关部门追究承包人法律责任，发包人有权处以承包人违约金5万元。承包人需一次性向发包人现金转账支付违约金，否则发包人有权在进度款支付中扣除。</w:t>
      </w:r>
    </w:p>
    <w:p w14:paraId="56BC97C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5ACCC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08658B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同时承包人应向发包人支付人民币5万元整的违约金。</w:t>
      </w:r>
    </w:p>
    <w:p w14:paraId="66B1353B">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当发包人认为项目经理不能满足工程要求时，书面告知承包人后，承包人应当在7个工作日内更换项目经理，并支付5万元的违约金。若未按要求及时更换项目经理，发包人有权处以承包人违约金10万元。承包人需一次性向发包人现金转账支付违约金，否则发包人有权在结算款中扣除。如承包人拒不更换项目经理，发包人有权要求承包人退场并解除合同。更换后的项目经理资质、业绩经验不得低于变更前项目经理资质、业绩经验。且由此增加的费用和（或）延误的工期由承包人承担。</w:t>
      </w:r>
    </w:p>
    <w:p w14:paraId="360FACBA">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6CE60353">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rPr>
        <w:t>承包人应在合同签订后7日内，向</w:t>
      </w:r>
      <w:r>
        <w:rPr>
          <w:rFonts w:hint="eastAsia" w:cs="宋体"/>
          <w:color w:val="auto"/>
          <w:sz w:val="21"/>
          <w:szCs w:val="21"/>
          <w:highlight w:val="none"/>
          <w:u w:val="single"/>
        </w:rPr>
        <w:t>发包人</w:t>
      </w:r>
      <w:r>
        <w:rPr>
          <w:rFonts w:hint="eastAsia" w:cs="宋体"/>
          <w:color w:val="auto"/>
          <w:sz w:val="21"/>
          <w:szCs w:val="21"/>
          <w:highlight w:val="none"/>
          <w:u w:val="single"/>
        </w:rPr>
        <w:t>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A5D5F9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发包人可以要求承包人更换其认为不称职或不符合要求的项目主要施工管理人员，承包人应予以执行。承包人必须在收到发包人更换项目施工管理人员书面通知的7天内负责更换，更换的项目施工管理人员应得到发包人的书面确认。承包人无正当理由拒绝更换项目施工管理人员的，自承包人接到发包人更换项目施工管理人员通知之第8日起，承包人向发包人支付违约金2000元/天，直至更换符合发包人要求的项目施工管理人员为止，由此增加的费用和（或）延误的工期及其它责任由承包人承担</w:t>
      </w:r>
      <w:r>
        <w:rPr>
          <w:rFonts w:hint="eastAsia" w:cs="宋体"/>
          <w:color w:val="auto"/>
          <w:sz w:val="21"/>
          <w:szCs w:val="21"/>
          <w:highlight w:val="none"/>
        </w:rPr>
        <w:t>。</w:t>
      </w:r>
    </w:p>
    <w:p w14:paraId="3AEA5EE5">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需离开时必须事先征得</w:t>
      </w:r>
      <w:r>
        <w:rPr>
          <w:rFonts w:hint="eastAsia" w:cs="宋体"/>
          <w:color w:val="auto"/>
          <w:sz w:val="21"/>
          <w:szCs w:val="21"/>
          <w:highlight w:val="none"/>
          <w:u w:val="single"/>
        </w:rPr>
        <w:t>发包人</w:t>
      </w:r>
      <w:r>
        <w:rPr>
          <w:rFonts w:hint="eastAsia" w:cs="宋体"/>
          <w:color w:val="auto"/>
          <w:sz w:val="21"/>
          <w:szCs w:val="21"/>
          <w:highlight w:val="none"/>
          <w:u w:val="single"/>
        </w:rPr>
        <w:t>同意后方可离开。</w:t>
      </w:r>
    </w:p>
    <w:p w14:paraId="666A7208">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3.3.5承包人擅自更换主要施工管理人员的违约责任：</w:t>
      </w:r>
      <w:r>
        <w:rPr>
          <w:rFonts w:hint="eastAsia" w:cs="宋体"/>
          <w:color w:val="auto"/>
          <w:sz w:val="21"/>
          <w:szCs w:val="21"/>
          <w:highlight w:val="none"/>
          <w:u w:val="single"/>
        </w:rPr>
        <w:t>如果没有得到</w:t>
      </w:r>
      <w:r>
        <w:rPr>
          <w:rFonts w:hint="eastAsia" w:cs="宋体"/>
          <w:color w:val="auto"/>
          <w:sz w:val="21"/>
          <w:szCs w:val="21"/>
          <w:highlight w:val="none"/>
          <w:u w:val="single"/>
        </w:rPr>
        <w:t>发包人</w:t>
      </w:r>
      <w:r>
        <w:rPr>
          <w:rFonts w:hint="eastAsia" w:cs="宋体"/>
          <w:color w:val="auto"/>
          <w:sz w:val="21"/>
          <w:szCs w:val="21"/>
          <w:highlight w:val="none"/>
          <w:u w:val="single"/>
        </w:rPr>
        <w:t>的事先同意，承包人不得更改项目施工管理人员（不含项目经理），否则将视为承包人违约，承包人应向发包人支付人民币1万元/人·次的违约金。</w:t>
      </w:r>
    </w:p>
    <w:p w14:paraId="5C0EBCA2">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93" w:name="_Toc304295523"/>
      <w:bookmarkStart w:id="94" w:name="_Toc296503159"/>
      <w:bookmarkStart w:id="95" w:name="_Toc292559869"/>
      <w:bookmarkStart w:id="96" w:name="_Toc297048345"/>
      <w:bookmarkStart w:id="97" w:name="_Toc292559364"/>
      <w:bookmarkStart w:id="98" w:name="_Toc297123492"/>
      <w:bookmarkStart w:id="99" w:name="_Toc296346660"/>
      <w:bookmarkStart w:id="100" w:name="_Toc296347158"/>
      <w:bookmarkStart w:id="101" w:name="_Toc296944498"/>
      <w:bookmarkStart w:id="102" w:name="_Toc297120459"/>
      <w:bookmarkStart w:id="103" w:name="_Toc300934945"/>
      <w:bookmarkStart w:id="104" w:name="_Toc296890987"/>
      <w:bookmarkStart w:id="105" w:name="_Toc297216151"/>
      <w:bookmarkStart w:id="106" w:name="_Toc312677988"/>
      <w:bookmarkStart w:id="107" w:name="_Toc303539102"/>
      <w:bookmarkStart w:id="108" w:name="_Toc296891199"/>
      <w:r>
        <w:rPr>
          <w:rFonts w:hint="eastAsia" w:cs="宋体"/>
          <w:bCs/>
          <w:color w:val="auto"/>
          <w:sz w:val="21"/>
          <w:szCs w:val="21"/>
          <w:highlight w:val="none"/>
        </w:rPr>
        <w:t>.5 分包</w:t>
      </w: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723E52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09" w:name="_Toc296347159"/>
      <w:bookmarkStart w:id="110" w:name="_Toc292559365"/>
      <w:bookmarkStart w:id="111" w:name="_Toc296346661"/>
      <w:bookmarkStart w:id="112" w:name="_Toc297048346"/>
      <w:bookmarkStart w:id="113" w:name="_Toc303539103"/>
      <w:bookmarkStart w:id="114" w:name="_Toc297120460"/>
      <w:bookmarkStart w:id="115" w:name="_Toc300934946"/>
      <w:bookmarkStart w:id="116" w:name="_Toc296503160"/>
      <w:bookmarkStart w:id="117" w:name="_Toc296891200"/>
      <w:bookmarkStart w:id="118" w:name="_Toc292559870"/>
      <w:bookmarkStart w:id="119" w:name="_Toc297123493"/>
      <w:bookmarkStart w:id="120" w:name="_Toc296944499"/>
      <w:bookmarkStart w:id="121" w:name="_Toc296890988"/>
      <w:bookmarkStart w:id="122" w:name="_Toc304295524"/>
      <w:bookmarkStart w:id="123" w:name="_Toc297216152"/>
      <w:bookmarkStart w:id="124" w:name="_Toc318581158"/>
      <w:bookmarkStart w:id="125" w:name="_Toc312677989"/>
      <w:r>
        <w:rPr>
          <w:rFonts w:hint="eastAsia" w:cs="宋体"/>
          <w:color w:val="auto"/>
          <w:sz w:val="21"/>
          <w:szCs w:val="21"/>
          <w:highlight w:val="none"/>
        </w:rPr>
        <w:t>.5.1 分包的一般约定</w:t>
      </w:r>
    </w:p>
    <w:p w14:paraId="769118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禁止分包 </w:t>
      </w:r>
      <w:r>
        <w:rPr>
          <w:rFonts w:hint="eastAsia" w:cs="宋体"/>
          <w:color w:val="auto"/>
          <w:sz w:val="21"/>
          <w:szCs w:val="21"/>
          <w:highlight w:val="none"/>
        </w:rPr>
        <w:t>。</w:t>
      </w:r>
    </w:p>
    <w:p w14:paraId="328FC74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Start w:id="126" w:name="_Toc296503161"/>
      <w:bookmarkStart w:id="127" w:name="_Toc297216153"/>
      <w:bookmarkStart w:id="128" w:name="_Toc296347160"/>
      <w:bookmarkStart w:id="129" w:name="_Toc296346662"/>
      <w:bookmarkStart w:id="130" w:name="_Toc304295525"/>
      <w:bookmarkStart w:id="131" w:name="_Toc296944500"/>
      <w:bookmarkStart w:id="132" w:name="_Toc303539104"/>
      <w:bookmarkStart w:id="133" w:name="_Toc296891201"/>
      <w:bookmarkStart w:id="134" w:name="_Toc297048347"/>
      <w:bookmarkStart w:id="135" w:name="_Toc300934947"/>
      <w:bookmarkStart w:id="136" w:name="_Toc296890989"/>
      <w:bookmarkStart w:id="137" w:name="_Toc297123494"/>
      <w:bookmarkStart w:id="138" w:name="_Toc297120461"/>
      <w:r>
        <w:rPr>
          <w:rFonts w:hint="eastAsia" w:cs="宋体"/>
          <w:color w:val="auto"/>
          <w:sz w:val="21"/>
          <w:szCs w:val="21"/>
          <w:highlight w:val="none"/>
          <w:u w:val="single"/>
        </w:rPr>
        <w:t xml:space="preserve">    /      </w:t>
      </w:r>
      <w:r>
        <w:rPr>
          <w:rFonts w:hint="eastAsia" w:cs="宋体"/>
          <w:color w:val="auto"/>
          <w:sz w:val="21"/>
          <w:szCs w:val="21"/>
          <w:highlight w:val="none"/>
        </w:rPr>
        <w:t>。</w:t>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6F3ADC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39" w:name="_Toc318581159"/>
      <w:bookmarkStart w:id="140" w:name="_Toc312677990"/>
      <w:r>
        <w:rPr>
          <w:rFonts w:hint="eastAsia" w:cs="宋体"/>
          <w:color w:val="auto"/>
          <w:sz w:val="21"/>
          <w:szCs w:val="21"/>
          <w:highlight w:val="none"/>
        </w:rPr>
        <w:t>.5.2 分包的确定</w:t>
      </w:r>
    </w:p>
    <w:p w14:paraId="16CCD38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584061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A07BF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24A02B61">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执行通用条款 </w:t>
      </w:r>
      <w:r>
        <w:rPr>
          <w:rFonts w:hint="eastAsia" w:cs="宋体"/>
          <w:color w:val="auto"/>
          <w:sz w:val="21"/>
          <w:szCs w:val="21"/>
          <w:highlight w:val="none"/>
        </w:rPr>
        <w:t>。</w:t>
      </w:r>
    </w:p>
    <w:bookmarkEnd w:id="139"/>
    <w:bookmarkEnd w:id="140"/>
    <w:p w14:paraId="0ECDF987">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1ED43E3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664E153E">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639FE9F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提供</w:t>
      </w:r>
      <w:r>
        <w:rPr>
          <w:rFonts w:hint="eastAsia" w:cs="宋体"/>
          <w:color w:val="auto"/>
          <w:sz w:val="21"/>
          <w:szCs w:val="21"/>
          <w:highlight w:val="none"/>
        </w:rPr>
        <w:t>。</w:t>
      </w:r>
    </w:p>
    <w:p w14:paraId="056D27A1">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支持转账/电汇 、支票 、汇票 、本票 、保险 、保函</w:t>
      </w:r>
      <w:r>
        <w:rPr>
          <w:rFonts w:hint="eastAsia" w:cs="宋体"/>
          <w:color w:val="auto"/>
          <w:sz w:val="21"/>
          <w:szCs w:val="21"/>
          <w:highlight w:val="none"/>
        </w:rPr>
        <w:t>。</w:t>
      </w:r>
    </w:p>
    <w:p w14:paraId="47338D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中标合同金额×2.5％</w:t>
      </w:r>
      <w:r>
        <w:rPr>
          <w:rFonts w:hint="eastAsia" w:cs="宋体"/>
          <w:color w:val="auto"/>
          <w:sz w:val="21"/>
          <w:szCs w:val="21"/>
          <w:highlight w:val="none"/>
        </w:rPr>
        <w:t>。</w:t>
      </w:r>
    </w:p>
    <w:p w14:paraId="1E81B03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4AA0A184">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4F0D6085">
      <w:pPr>
        <w:snapToGrid w:val="0"/>
        <w:spacing w:line="360" w:lineRule="auto"/>
        <w:ind w:firstLine="420" w:firstLineChars="200"/>
        <w:outlineLvl w:val="2"/>
        <w:rPr>
          <w:rFonts w:cs="宋体"/>
          <w:color w:val="auto"/>
          <w:sz w:val="21"/>
          <w:szCs w:val="21"/>
          <w:highlight w:val="none"/>
        </w:rPr>
      </w:pPr>
      <w:bookmarkStart w:id="141" w:name="_Toc351203636"/>
      <w:r>
        <w:rPr>
          <w:rFonts w:hint="eastAsia" w:cs="宋体"/>
          <w:color w:val="auto"/>
          <w:sz w:val="21"/>
          <w:szCs w:val="21"/>
          <w:highlight w:val="none"/>
        </w:rPr>
        <w:t>4</w:t>
      </w:r>
      <w:bookmarkStart w:id="142" w:name="_Toc296503162"/>
      <w:bookmarkStart w:id="143" w:name="_Toc296346663"/>
      <w:bookmarkStart w:id="144" w:name="_Toc297048348"/>
      <w:bookmarkStart w:id="145" w:name="_Toc296347161"/>
      <w:bookmarkStart w:id="146" w:name="_Toc296891202"/>
      <w:bookmarkStart w:id="147" w:name="_Toc296944501"/>
      <w:bookmarkStart w:id="148" w:name="_Toc296890990"/>
      <w:bookmarkStart w:id="149" w:name="_Toc292559871"/>
      <w:bookmarkStart w:id="150" w:name="_Toc297120462"/>
      <w:bookmarkStart w:id="151" w:name="_Toc292559366"/>
      <w:bookmarkStart w:id="152" w:name="_Toc267251413"/>
      <w:r>
        <w:rPr>
          <w:rFonts w:hint="eastAsia" w:cs="宋体"/>
          <w:color w:val="auto"/>
          <w:sz w:val="21"/>
          <w:szCs w:val="21"/>
          <w:highlight w:val="none"/>
        </w:rPr>
        <w:t>. 监</w:t>
      </w:r>
      <w:bookmarkEnd w:id="142"/>
      <w:bookmarkEnd w:id="143"/>
      <w:bookmarkEnd w:id="144"/>
      <w:bookmarkEnd w:id="145"/>
      <w:bookmarkEnd w:id="146"/>
      <w:bookmarkEnd w:id="147"/>
      <w:bookmarkEnd w:id="148"/>
      <w:bookmarkEnd w:id="149"/>
      <w:bookmarkEnd w:id="150"/>
      <w:bookmarkEnd w:id="151"/>
      <w:bookmarkEnd w:id="152"/>
      <w:r>
        <w:rPr>
          <w:rFonts w:hint="eastAsia" w:cs="宋体"/>
          <w:color w:val="auto"/>
          <w:sz w:val="21"/>
          <w:szCs w:val="21"/>
          <w:highlight w:val="none"/>
        </w:rPr>
        <w:t>理人</w:t>
      </w:r>
      <w:bookmarkEnd w:id="141"/>
    </w:p>
    <w:p w14:paraId="41AE9177">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3E9385C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详见监理合同</w:t>
      </w:r>
      <w:r>
        <w:rPr>
          <w:rFonts w:hint="eastAsia" w:cs="宋体"/>
          <w:color w:val="auto"/>
          <w:sz w:val="21"/>
          <w:szCs w:val="21"/>
          <w:highlight w:val="none"/>
        </w:rPr>
        <w:t>。</w:t>
      </w:r>
    </w:p>
    <w:p w14:paraId="3071F76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工程质量的监督权；工程上使用的材料和施工质量检验权、确认权；工程施工进度、安全的检查、监督权；工程款支付的审核权；向承包人提出施工组织设计和技术方案的建议权；发包人和承包人间的组织协调的主持权；撤换不合格的工程建设分包单位和注册建造师及有关人员的建议权；分包单位资质及能力的审查权及《建设工程监理规范》规定的法定职权等。</w:t>
      </w:r>
    </w:p>
    <w:p w14:paraId="0D93BD5C">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sz w:val="21"/>
          <w:szCs w:val="21"/>
          <w:highlight w:val="none"/>
          <w:u w:val="single"/>
        </w:rPr>
        <w:t>承包人提供和承担，含在签约合同价之内，同时为跟踪审计人员在施工现场提供必要的办公场所、办公家具、办公设备等。</w:t>
      </w:r>
    </w:p>
    <w:p w14:paraId="4BF6C04B">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19FFA8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31E541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9CDD3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97EE4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19545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7B4AE9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D716C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E9DFA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26FF6B0">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1F40D019">
      <w:pPr>
        <w:adjustRightInd w:val="0"/>
        <w:snapToGrid w:val="0"/>
        <w:spacing w:line="360" w:lineRule="auto"/>
        <w:ind w:firstLine="420" w:firstLineChars="200"/>
        <w:rPr>
          <w:rFonts w:cs="宋体"/>
          <w:color w:val="auto"/>
          <w:sz w:val="21"/>
          <w:szCs w:val="21"/>
          <w:highlight w:val="none"/>
        </w:rPr>
      </w:pPr>
      <w:bookmarkStart w:id="153" w:name="_Toc267251418"/>
      <w:r>
        <w:rPr>
          <w:rFonts w:hint="eastAsia" w:cs="宋体"/>
          <w:color w:val="auto"/>
          <w:sz w:val="21"/>
          <w:szCs w:val="21"/>
          <w:highlight w:val="none"/>
        </w:rPr>
        <w:t>在发包人和承包人不能通过协商达成一致意见时，发包人授权监理人对以下事项进行确定：</w:t>
      </w:r>
    </w:p>
    <w:p w14:paraId="5F5437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施工方案     </w:t>
      </w:r>
      <w:r>
        <w:rPr>
          <w:rFonts w:hint="eastAsia" w:cs="宋体"/>
          <w:color w:val="auto"/>
          <w:sz w:val="21"/>
          <w:szCs w:val="21"/>
          <w:highlight w:val="none"/>
        </w:rPr>
        <w:t>；</w:t>
      </w:r>
    </w:p>
    <w:p w14:paraId="4D0904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索赔事项等   </w:t>
      </w:r>
      <w:r>
        <w:rPr>
          <w:rFonts w:hint="eastAsia" w:cs="宋体"/>
          <w:color w:val="auto"/>
          <w:sz w:val="21"/>
          <w:szCs w:val="21"/>
          <w:highlight w:val="none"/>
        </w:rPr>
        <w:t>；</w:t>
      </w:r>
    </w:p>
    <w:p w14:paraId="44528429">
      <w:pPr>
        <w:snapToGrid w:val="0"/>
        <w:spacing w:line="360" w:lineRule="auto"/>
        <w:ind w:firstLine="420" w:firstLineChars="200"/>
        <w:outlineLvl w:val="2"/>
        <w:rPr>
          <w:rFonts w:cs="宋体"/>
          <w:color w:val="auto"/>
          <w:sz w:val="21"/>
          <w:szCs w:val="21"/>
          <w:highlight w:val="none"/>
        </w:rPr>
      </w:pPr>
      <w:bookmarkStart w:id="154" w:name="_Toc351203637"/>
      <w:r>
        <w:rPr>
          <w:rFonts w:hint="eastAsia" w:cs="宋体"/>
          <w:color w:val="auto"/>
          <w:sz w:val="21"/>
          <w:szCs w:val="21"/>
          <w:highlight w:val="none"/>
        </w:rPr>
        <w:t>5</w:t>
      </w:r>
      <w:bookmarkEnd w:id="153"/>
      <w:bookmarkStart w:id="155" w:name="_Toc296347162"/>
      <w:bookmarkStart w:id="156" w:name="_Toc296891203"/>
      <w:bookmarkStart w:id="157" w:name="_Toc292559367"/>
      <w:bookmarkStart w:id="158" w:name="_Toc296346664"/>
      <w:bookmarkStart w:id="159" w:name="_Toc296944502"/>
      <w:bookmarkStart w:id="160" w:name="_Toc296503163"/>
      <w:bookmarkStart w:id="161" w:name="_Toc297120463"/>
      <w:bookmarkStart w:id="162" w:name="_Toc296890991"/>
      <w:bookmarkStart w:id="163" w:name="_Toc297048349"/>
      <w:bookmarkStart w:id="164" w:name="_Toc292559872"/>
      <w:r>
        <w:rPr>
          <w:rFonts w:hint="eastAsia" w:cs="宋体"/>
          <w:color w:val="auto"/>
          <w:sz w:val="21"/>
          <w:szCs w:val="21"/>
          <w:highlight w:val="none"/>
        </w:rPr>
        <w:t>. 工程质量</w:t>
      </w:r>
      <w:bookmarkEnd w:id="154"/>
    </w:p>
    <w:p w14:paraId="0AD56F3B">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2F2D06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65" w:name="_Toc304295527"/>
      <w:bookmarkStart w:id="166" w:name="_Toc318581164"/>
      <w:bookmarkStart w:id="167" w:name="_Toc312677997"/>
      <w:bookmarkStart w:id="168" w:name="_Toc297216155"/>
      <w:bookmarkStart w:id="169" w:name="_Toc303539106"/>
      <w:bookmarkStart w:id="170" w:name="_Toc300934949"/>
      <w:bookmarkStart w:id="171" w:name="_Toc297123496"/>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A55DA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1A2954D">
      <w:pPr>
        <w:snapToGrid w:val="0"/>
        <w:spacing w:line="360" w:lineRule="auto"/>
        <w:ind w:firstLine="420" w:firstLineChars="200"/>
        <w:jc w:val="left"/>
        <w:rPr>
          <w:rFonts w:cs="宋体"/>
          <w:color w:val="auto"/>
          <w:sz w:val="21"/>
          <w:szCs w:val="21"/>
          <w:highlight w:val="none"/>
        </w:rPr>
      </w:pPr>
      <w:bookmarkStart w:id="172" w:name="_Toc351203638"/>
      <w:r>
        <w:rPr>
          <w:rFonts w:hint="eastAsia" w:cs="宋体"/>
          <w:color w:val="auto"/>
          <w:sz w:val="21"/>
          <w:szCs w:val="21"/>
          <w:highlight w:val="none"/>
        </w:rPr>
        <w:t>关于建造要求：</w:t>
      </w:r>
    </w:p>
    <w:p w14:paraId="63A3A183">
      <w:pPr>
        <w:pStyle w:val="13"/>
        <w:snapToGrid w:val="0"/>
        <w:spacing w:line="360" w:lineRule="auto"/>
        <w:ind w:firstLineChars="20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7DF2BF99">
      <w:pPr>
        <w:pStyle w:val="13"/>
        <w:snapToGrid w:val="0"/>
        <w:spacing w:line="360" w:lineRule="auto"/>
        <w:ind w:firstLineChars="20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454F3020">
      <w:pPr>
        <w:pStyle w:val="13"/>
        <w:snapToGrid w:val="0"/>
        <w:spacing w:line="360" w:lineRule="auto"/>
        <w:ind w:firstLineChars="20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513FF22">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CDE93D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68EDE2">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0A4731F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5.3.1隐蔽工程隐蔽前，承包人需自行自检，自检合格后通知发包人和监理单位验收，发包人及监理单位按设计图、规范、标准和施工组织设计或施工方案到现场进行验收，确认验收合格并办理签证后方可隐蔽。验收不合格，承包人在限定时间内整改后重新验收。</w:t>
      </w:r>
    </w:p>
    <w:p w14:paraId="7C4E8CB6">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w:t>
      </w:r>
      <w:r>
        <w:rPr>
          <w:rFonts w:hint="eastAsia" w:cs="宋体"/>
          <w:color w:val="auto"/>
          <w:sz w:val="21"/>
          <w:szCs w:val="21"/>
          <w:highlight w:val="none"/>
        </w:rPr>
        <w:t>发包人</w:t>
      </w:r>
      <w:r>
        <w:rPr>
          <w:rFonts w:hint="eastAsia" w:cs="宋体"/>
          <w:color w:val="auto"/>
          <w:sz w:val="21"/>
          <w:szCs w:val="21"/>
          <w:highlight w:val="none"/>
        </w:rPr>
        <w:t>隐蔽工程检查的期限的约定：</w:t>
      </w:r>
      <w:r>
        <w:rPr>
          <w:rFonts w:hint="eastAsia" w:cs="宋体"/>
          <w:color w:val="auto"/>
          <w:sz w:val="21"/>
          <w:szCs w:val="21"/>
          <w:highlight w:val="none"/>
          <w:u w:val="single"/>
        </w:rPr>
        <w:t>工程具备隐蔽条件或达到中间验收部位时，承包人自检合格后，在隐蔽和中间验收48小时前书面通知甲方代表参加。通知应包含承包人自检记录、隐蔽和中间验收的内容、时间和地点。承包人准备验收记录，验收合格，</w:t>
      </w:r>
      <w:r>
        <w:rPr>
          <w:rFonts w:hint="eastAsia" w:cs="宋体"/>
          <w:color w:val="auto"/>
          <w:sz w:val="21"/>
          <w:szCs w:val="21"/>
          <w:highlight w:val="none"/>
          <w:u w:val="single"/>
        </w:rPr>
        <w:t>甲方代表</w:t>
      </w:r>
      <w:r>
        <w:rPr>
          <w:rFonts w:hint="eastAsia" w:cs="宋体"/>
          <w:color w:val="auto"/>
          <w:sz w:val="21"/>
          <w:szCs w:val="21"/>
          <w:highlight w:val="none"/>
          <w:u w:val="single"/>
        </w:rPr>
        <w:t>在验收记录上签字后，方可进行隐蔽和继续施工。验收不合格，承包人在限定时间内重新验收。承包人不服从质量管理的，发包人有权解除本合同并责令承包人清退其出场，承包人给发包人造成损失的，还应并赔偿因此而造成的一切损失。</w:t>
      </w:r>
    </w:p>
    <w:p w14:paraId="1A813C6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24 </w:t>
      </w:r>
      <w:r>
        <w:rPr>
          <w:rFonts w:hint="eastAsia" w:cs="宋体"/>
          <w:color w:val="auto"/>
          <w:sz w:val="21"/>
          <w:szCs w:val="21"/>
          <w:highlight w:val="none"/>
        </w:rPr>
        <w:t>小时提交书面延期要求。</w:t>
      </w:r>
    </w:p>
    <w:p w14:paraId="7A7FED02">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48 </w:t>
      </w:r>
      <w:r>
        <w:rPr>
          <w:rFonts w:hint="eastAsia" w:cs="宋体"/>
          <w:color w:val="auto"/>
          <w:sz w:val="21"/>
          <w:szCs w:val="21"/>
          <w:highlight w:val="none"/>
        </w:rPr>
        <w:t>小时。</w:t>
      </w:r>
    </w:p>
    <w:p w14:paraId="78A1AF01">
      <w:pPr>
        <w:snapToGrid w:val="0"/>
        <w:spacing w:line="360" w:lineRule="auto"/>
        <w:ind w:firstLine="420" w:firstLineChars="200"/>
        <w:outlineLvl w:val="2"/>
        <w:rPr>
          <w:rFonts w:cs="宋体"/>
          <w:color w:val="auto"/>
          <w:sz w:val="21"/>
          <w:szCs w:val="21"/>
          <w:highlight w:val="none"/>
        </w:rPr>
      </w:pPr>
      <w:r>
        <w:rPr>
          <w:rFonts w:hint="eastAsia" w:cs="宋体"/>
          <w:color w:val="auto"/>
          <w:sz w:val="21"/>
          <w:szCs w:val="21"/>
          <w:highlight w:val="none"/>
        </w:rPr>
        <w:t>6. 安全文明施工与环境保护</w:t>
      </w:r>
      <w:bookmarkEnd w:id="172"/>
    </w:p>
    <w:bookmarkEnd w:id="165"/>
    <w:bookmarkEnd w:id="166"/>
    <w:bookmarkEnd w:id="167"/>
    <w:bookmarkEnd w:id="168"/>
    <w:bookmarkEnd w:id="169"/>
    <w:bookmarkEnd w:id="170"/>
    <w:bookmarkEnd w:id="171"/>
    <w:p w14:paraId="5A46765B">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6.1安全文明施工</w:t>
      </w:r>
    </w:p>
    <w:p w14:paraId="5715BA5E">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承包人应按《建筑施工企业安全生产管理机构设置及专职安全生产管理人员配备办法》（建质【2008】91 号）设置专职安全生产管理人员，并按照工程建设安全生产有关管理规定及技术标准和要求采取有效的安全措施，确保自身和第三人及周边环境的安全。达到安全生产无事故的目标。由于承包人安全措施不力造成事故的责任和因此发生的费用，由承包人承担 。 </w:t>
      </w:r>
    </w:p>
    <w:p w14:paraId="18F5A7AD">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 xml:space="preserve">承包人在履行合同前应制订安全稳定事故应急处理预案并报发包人备案，在合同履行过程中如发生安全稳定事故（指造成人身伤害、财产损失或影响生产经营活动正常进行的一切意外事件或群体事件等），承包人应立即通知发包人并按事先制订的预案进行处理。 </w:t>
      </w:r>
    </w:p>
    <w:p w14:paraId="29BE3011">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承包人应遵守工程建设安全生产有关管理规定，严格按安全标准组织施工，并随时接受行业安全检查人员依法实施的监督检查，采取必要的安全防护措施，消除事故隐患。一旦发生任何事故，承包人应尽快向监理工程师和发包人报告事故的详情。此外，在发生任何死亡或重大事故时，承包人应立即用最快的可行方法通知监理工程师、发包人。承包人处理安全事故方案应事先征求发包人的意见。除非法律另有规定，未经发包人书面同意，承包人不得就所发生的安全事故向任何第三方予以披露。如安全生产事故系因承包人（包含其员工、代理人及其他一切关联方）的原因所引起的，则承包人应承担由此引起的一切法律责任及经济损失，发包人有权在承包人工程款中直接等额扣除相应损失金额，同时承包人还应按每个事故向发包人支付人民币3-50万元的违约金（具体金额由发包人按以下标准在相应幅度内确定后一并在工程款中予以扣除，事故被公司层面通报的为3－10万；事故被发包人职能部门通报的为10－20万；事故被市级职能部门通报的为20－30万；事故被市级以上职能部门通报的为40－50万）以作为给发包人带来不便和增加工作的补偿，这不包括有关当局由于上述事故而规定的任何罚金或采取措施的费用。如发包人因此产生对第三方赔偿、补偿等负担义务的，由承包人最终承担。</w:t>
      </w:r>
    </w:p>
    <w:p w14:paraId="56F9C83B">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 xml:space="preserve">如发生的安全生产事故导致人员伤亡或经济损失在10万元以上的，则发包人有权解除与承包人的合同，承包人应承担由此引起的一切法律责任及经济损失。 </w:t>
      </w:r>
    </w:p>
    <w:p w14:paraId="08D391D5">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安全防护文明施工措施费已包含在合同价款中，承包人应自行承担该费用。</w:t>
      </w:r>
    </w:p>
    <w:p w14:paraId="6738CBC2">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承包人应与当地公安部门协商，在现场建立治安管理机构或联防组织，统一管理施工场地的治安保卫事项，履行合同工程的治安保卫职责。承包人除应协助现场治安管理机构或联防组织维护施工场地的社会治安外，还应做好包括生活区在内的承包人管辖区的治安保卫工作。</w:t>
      </w:r>
    </w:p>
    <w:p w14:paraId="5676D462">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承包人编制，监理人审核，其它按照通用合同条款约定执行。 </w:t>
      </w:r>
    </w:p>
    <w:p w14:paraId="20ACA699">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6.1.5 文明施工</w:t>
      </w:r>
    </w:p>
    <w:p w14:paraId="6D6AAA8F">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合同当事人对文明施工的要求：（1）符合项目建设地文明施工要求</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）发生安全事</w:t>
      </w:r>
      <w:r>
        <w:rPr>
          <w:rFonts w:hint="eastAsia" w:cs="宋体"/>
          <w:color w:val="auto"/>
          <w:sz w:val="21"/>
          <w:szCs w:val="21"/>
          <w:highlight w:val="none"/>
          <w:u w:val="single"/>
        </w:rPr>
        <w:t>故，承包人应按照有关规定立即上报有关部门并通知工程师，同时按照政府有关要求处理，由事故责任方承担发生的费用。发包人根据事故的分类对承包人进行处以违约，事故分类：《生产安全事故报告和调查处理条例》（国务院令第493号）中第三条指出根据生产安全事故（以下简称事故）造成的人员伤亡或者直接经济损失，事故一般分为以下等级：</w:t>
      </w:r>
    </w:p>
    <w:p w14:paraId="67BBEE1B">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（一）特别重大事故，是指造成30人以上死亡，或者100人以上重伤（包括急性工业中毒，下同），或者1亿元以上直接经济损失的事故；</w:t>
      </w:r>
    </w:p>
    <w:p w14:paraId="584C50C6">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（二）重大事故，是指造成10人以上30人以下死亡，或者50人以上100人以下重伤，或者5000万元以上1亿元以下直接经济损失的事故；</w:t>
      </w:r>
    </w:p>
    <w:p w14:paraId="062B9D02">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（三）较大事故，是指造成3人以上10人以下死亡，或者10人以上50人以下重伤，或者1000万元以上5000万元以下直接经济损失的事故；</w:t>
      </w:r>
    </w:p>
    <w:p w14:paraId="344692F7">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（四）一般事故，是指造成3人以下死亡，或者10人以下重伤，或者1000万元以下直接经济损失的事故。</w:t>
      </w:r>
    </w:p>
    <w:p w14:paraId="43A60852">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（以上包括本数，以下不包括本数。）</w:t>
      </w:r>
    </w:p>
    <w:p w14:paraId="5320613C">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如国家颁布新标准规定，以新划分标准执行。</w:t>
      </w:r>
    </w:p>
    <w:p w14:paraId="22005242">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 xml:space="preserve">6.1.6 发生质量事故，承包人应按照有关规定立即上报有关部门并通知工程师，同时按照政府有关要求处理，由事故责任方承担发生的费用。发包人根据事故的分类对承包人进行处以违约： </w:t>
      </w:r>
    </w:p>
    <w:p w14:paraId="3FC9C46A">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 xml:space="preserve">1）特别重大质量事故，发包人对承包人处以 50 万元的人民币违约金； </w:t>
      </w:r>
    </w:p>
    <w:p w14:paraId="33A7B738">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 xml:space="preserve">2）重大质量事故，发包人对承包人处以 30 万元的人民币违约金； </w:t>
      </w:r>
    </w:p>
    <w:p w14:paraId="5D93BB5B">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 xml:space="preserve">3）严重质量事故，发包人对承包人处以 20 万元的人民币违约金； </w:t>
      </w:r>
    </w:p>
    <w:p w14:paraId="36AEB76C">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 xml:space="preserve">4）一般质量事故，发包人对承包人处以 10 万元的人民币违约金；并承担因施工质量事故给本工程建设单位、项目管理单位和监理人带来的经济损失。 </w:t>
      </w:r>
    </w:p>
    <w:p w14:paraId="25408468">
      <w:pPr>
        <w:pStyle w:val="54"/>
        <w:spacing w:after="0"/>
        <w:ind w:left="400"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质量事故等级标准划分，按国家相关规范执行。</w:t>
      </w:r>
    </w:p>
    <w:p w14:paraId="23325A13">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6.1.7发生安全事故，承包人应按照有关规定立即上报有关部门并通知工程师，同时按照政府有关要求处理，由事故责任方承担发生的费用。发包人根据事故的分类对承包人进行处以违约：</w:t>
      </w:r>
    </w:p>
    <w:p w14:paraId="33E7CC3D">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1）特别重大事故，发包人对承包人处以50万元的人民币违约金；</w:t>
      </w:r>
    </w:p>
    <w:p w14:paraId="6826B765">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2）重大事故，发包人对承包人处以30万元的人民币违约金；</w:t>
      </w:r>
    </w:p>
    <w:p w14:paraId="2B4712B6">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3）较大事故，发包人对承包人处以20万元的人民币违约金；</w:t>
      </w:r>
    </w:p>
    <w:p w14:paraId="037CF255">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4）一般事故，发包人对承包人处以10万元的人民币违约金；并承担因施工安全事故给本工程建设单位、项目管理单位和监理人带来的经济损失。</w:t>
      </w:r>
    </w:p>
    <w:p w14:paraId="2E8F9D9C">
      <w:pPr>
        <w:snapToGrid w:val="0"/>
        <w:spacing w:line="360" w:lineRule="auto"/>
        <w:ind w:firstLine="420" w:firstLineChars="200"/>
        <w:jc w:val="left"/>
        <w:rPr>
          <w:rFonts w:cs="宋体"/>
          <w:bCs/>
          <w:color w:val="auto"/>
          <w:sz w:val="21"/>
          <w:szCs w:val="21"/>
          <w:highlight w:val="none"/>
          <w:u w:val="single"/>
        </w:rPr>
      </w:pPr>
      <w:r>
        <w:rPr>
          <w:rFonts w:hint="eastAsia" w:cs="宋体"/>
          <w:bCs/>
          <w:color w:val="auto"/>
          <w:sz w:val="21"/>
          <w:szCs w:val="21"/>
          <w:highlight w:val="none"/>
        </w:rPr>
        <w:t>6.1.8关于安全文明施工费支付比例和支付期限的约定：</w:t>
      </w:r>
      <w:r>
        <w:rPr>
          <w:rFonts w:hint="eastAsia" w:cs="宋体"/>
          <w:color w:val="auto"/>
          <w:sz w:val="21"/>
          <w:szCs w:val="21"/>
          <w:highlight w:val="none"/>
          <w:u w:val="single"/>
        </w:rPr>
        <w:t>与工程款同期同比例支付。施工单位须按滁州市相关规定及监理单位、建设单位、安监站要求做好现场安全文明措施</w:t>
      </w:r>
      <w:r>
        <w:rPr>
          <w:rFonts w:hint="eastAsia" w:cs="宋体"/>
          <w:color w:val="auto"/>
          <w:sz w:val="21"/>
          <w:szCs w:val="21"/>
          <w:highlight w:val="none"/>
        </w:rPr>
        <w:t>。</w:t>
      </w:r>
    </w:p>
    <w:p w14:paraId="428E2FCC">
      <w:pPr>
        <w:pStyle w:val="5"/>
        <w:snapToGrid w:val="0"/>
        <w:spacing w:before="0" w:after="0" w:line="360" w:lineRule="auto"/>
        <w:ind w:firstLine="420" w:firstLineChars="200"/>
        <w:rPr>
          <w:rFonts w:cs="宋体"/>
          <w:b w:val="0"/>
          <w:color w:val="auto"/>
          <w:sz w:val="21"/>
          <w:szCs w:val="21"/>
          <w:highlight w:val="none"/>
        </w:rPr>
      </w:pPr>
      <w:bookmarkStart w:id="173" w:name="_Toc1377"/>
      <w:bookmarkStart w:id="174" w:name="_Toc417623620"/>
      <w:r>
        <w:rPr>
          <w:rFonts w:hint="eastAsia" w:cs="宋体"/>
          <w:b w:val="0"/>
          <w:color w:val="auto"/>
          <w:sz w:val="21"/>
          <w:szCs w:val="21"/>
          <w:highlight w:val="none"/>
        </w:rPr>
        <w:t>7. 工期和进度</w:t>
      </w:r>
      <w:bookmarkEnd w:id="173"/>
      <w:bookmarkEnd w:id="174"/>
    </w:p>
    <w:p w14:paraId="084E3D1A">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36031B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0F21BB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73D5AB9A">
      <w:pPr>
        <w:autoSpaceDE w:val="0"/>
        <w:autoSpaceDN w:val="0"/>
        <w:adjustRightInd w:val="0"/>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图纸会审及设计交底后一周内提供标后施工组织设计和进度计划、机械设备进场计划、物资计划、劳动力计划。</w:t>
      </w:r>
    </w:p>
    <w:p w14:paraId="0AC47935">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监理工程师应于收到承包人资料一周内予以确认，逾期不批复，可视为该施工组织设计（施工方案）已经批准。乙方必须按照批准的进度计划组织施工，接受甲方和监理对进度的检查、监督。工程实际进展与进度计划不符时，承包人应立即修改进度计划和采取赶工措施，调整后的进度计划及相应的措施报告上报监理、甲方批准后执行。 </w:t>
      </w:r>
    </w:p>
    <w:p w14:paraId="762BFC90">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75" w:name="_Toc303539123"/>
      <w:bookmarkStart w:id="176" w:name="_Toc312678005"/>
      <w:bookmarkStart w:id="177" w:name="_Toc300934966"/>
      <w:bookmarkStart w:id="178" w:name="_Toc297216173"/>
      <w:bookmarkStart w:id="179" w:name="_Toc297123514"/>
      <w:bookmarkStart w:id="180" w:name="_Toc312677479"/>
      <w:bookmarkStart w:id="181" w:name="_Toc304295541"/>
      <w:r>
        <w:rPr>
          <w:rFonts w:hint="eastAsia" w:cs="宋体"/>
          <w:bCs/>
          <w:color w:val="auto"/>
          <w:sz w:val="21"/>
          <w:szCs w:val="21"/>
          <w:highlight w:val="none"/>
        </w:rPr>
        <w:t>.2 施工进度计划</w:t>
      </w:r>
    </w:p>
    <w:p w14:paraId="60F137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6D1D2D5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监理工程师应于收到承包人资料一周内予以确认，逾期不批复，可视为该施工组织设计（施工方案）已经批准。乙方必须按照批准的进度计划组织施工，接受甲方和监理对进度的检查、监督。工程实际进展与进度计划不符时，承包人应立即修改进度计划和采取赶工措施，调整后的进度计划及相应的措施报告上报监理、甲方批准后执行。</w:t>
      </w:r>
    </w:p>
    <w:p w14:paraId="0D6DBCA6">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176FA6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486855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CFC101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363EC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477E4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3EAC40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w:t>
      </w:r>
      <w:r>
        <w:rPr>
          <w:rFonts w:hint="eastAsia" w:cs="宋体"/>
          <w:color w:val="auto"/>
          <w:sz w:val="21"/>
          <w:szCs w:val="21"/>
          <w:highlight w:val="none"/>
        </w:rPr>
        <w:t>天内发出开工通知的，承包人有权提出价格调整要求，或者解除合同。</w:t>
      </w:r>
    </w:p>
    <w:bookmarkEnd w:id="175"/>
    <w:bookmarkEnd w:id="176"/>
    <w:bookmarkEnd w:id="177"/>
    <w:bookmarkEnd w:id="178"/>
    <w:bookmarkEnd w:id="179"/>
    <w:bookmarkEnd w:id="180"/>
    <w:bookmarkEnd w:id="181"/>
    <w:p w14:paraId="7E917E6C">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34D6CC5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77F228E">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2" w:name="_Toc312677484"/>
      <w:bookmarkStart w:id="183" w:name="_Toc297216175"/>
      <w:bookmarkStart w:id="184" w:name="_Toc303539125"/>
      <w:bookmarkStart w:id="185" w:name="_Toc297123516"/>
      <w:bookmarkStart w:id="186" w:name="_Toc312678010"/>
      <w:bookmarkStart w:id="187" w:name="_Toc300934968"/>
      <w:bookmarkStart w:id="188" w:name="_Toc304295546"/>
      <w:r>
        <w:rPr>
          <w:rFonts w:hint="eastAsia" w:cs="宋体"/>
          <w:bCs/>
          <w:color w:val="auto"/>
          <w:sz w:val="21"/>
          <w:szCs w:val="21"/>
          <w:highlight w:val="none"/>
        </w:rPr>
        <w:t>.5 工期延误</w:t>
      </w:r>
    </w:p>
    <w:bookmarkEnd w:id="182"/>
    <w:bookmarkEnd w:id="183"/>
    <w:bookmarkEnd w:id="184"/>
    <w:bookmarkEnd w:id="185"/>
    <w:bookmarkEnd w:id="186"/>
    <w:bookmarkEnd w:id="187"/>
    <w:bookmarkEnd w:id="188"/>
    <w:p w14:paraId="0C0C840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0196E8BB">
      <w:pPr>
        <w:pStyle w:val="54"/>
        <w:spacing w:after="0"/>
        <w:ind w:left="400" w:firstLine="420" w:firstLineChars="200"/>
        <w:rPr>
          <w:rFonts w:ascii="宋体" w:hAnsi="宋体" w:cs="宋体"/>
          <w:color w:val="auto"/>
          <w:szCs w:val="21"/>
          <w:highlight w:val="non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具体开工时间以</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通知时间为准。成交单位按合同工期要求，每延迟一天，按5000元/天处以违约金，从工程结算款中扣除。如延误工期超出合同工期50%的，不予支付工程款，</w:t>
      </w:r>
      <w:r>
        <w:rPr>
          <w:rFonts w:hint="eastAsia" w:ascii="宋体" w:hAnsi="宋体" w:cs="宋体"/>
          <w:bCs/>
          <w:color w:val="auto"/>
          <w:szCs w:val="21"/>
          <w:highlight w:val="none"/>
          <w:u w:val="single"/>
        </w:rPr>
        <w:t>发包人有权解除合同</w:t>
      </w:r>
      <w:r>
        <w:rPr>
          <w:rFonts w:hint="eastAsia" w:ascii="宋体" w:hAnsi="宋体" w:cs="宋体"/>
          <w:color w:val="auto"/>
          <w:szCs w:val="21"/>
          <w:highlight w:val="none"/>
          <w:u w:val="single"/>
        </w:rPr>
        <w:t>。如因发包人要求增加工程量、教育教学、重大活动、极端天气等不可抗拒因素造成，经发包人和承包人书面确认后，工期予以顺延，具体以实际发生时间为依据。</w:t>
      </w:r>
    </w:p>
    <w:p w14:paraId="5A735E5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189" w:name="_Toc312677486"/>
      <w:bookmarkStart w:id="190" w:name="_Toc318581169"/>
      <w:bookmarkStart w:id="191" w:name="_Toc312678012"/>
      <w:bookmarkStart w:id="192" w:name="_Toc303539127"/>
      <w:bookmarkStart w:id="193" w:name="_Toc304295548"/>
      <w:bookmarkStart w:id="194" w:name="_Toc297216177"/>
      <w:bookmarkStart w:id="195" w:name="_Toc297123518"/>
      <w:bookmarkStart w:id="196" w:name="_Toc300934970"/>
      <w:r>
        <w:rPr>
          <w:rFonts w:hint="eastAsia" w:cs="宋体"/>
          <w:color w:val="auto"/>
          <w:sz w:val="21"/>
          <w:szCs w:val="21"/>
          <w:highlight w:val="none"/>
        </w:rPr>
        <w:t>.5.2 因承包人原因导致工期延误</w:t>
      </w:r>
    </w:p>
    <w:bookmarkEnd w:id="189"/>
    <w:bookmarkEnd w:id="190"/>
    <w:bookmarkEnd w:id="191"/>
    <w:p w14:paraId="1798FE6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197" w:name="_Toc312677487"/>
      <w:bookmarkStart w:id="198" w:name="_Toc312678013"/>
      <w:bookmarkStart w:id="199"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192"/>
      <w:bookmarkEnd w:id="193"/>
      <w:bookmarkEnd w:id="194"/>
      <w:bookmarkEnd w:id="195"/>
      <w:bookmarkEnd w:id="196"/>
      <w:bookmarkEnd w:id="197"/>
      <w:bookmarkEnd w:id="198"/>
    </w:p>
    <w:bookmarkEnd w:id="199"/>
    <w:p w14:paraId="75CC8707">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00" w:name="_Toc312678014"/>
      <w:bookmarkStart w:id="201" w:name="_Toc318581171"/>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00"/>
    <w:bookmarkEnd w:id="201"/>
    <w:p w14:paraId="31E83EE7">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02" w:name="_Toc303539128"/>
      <w:bookmarkStart w:id="203" w:name="_Toc297123519"/>
      <w:bookmarkStart w:id="204" w:name="_Toc297216178"/>
      <w:bookmarkStart w:id="205" w:name="_Toc304295549"/>
      <w:bookmarkStart w:id="206" w:name="_Toc300934971"/>
      <w:bookmarkStart w:id="207" w:name="_Toc312678015"/>
      <w:r>
        <w:rPr>
          <w:rFonts w:hint="eastAsia" w:cs="宋体"/>
          <w:bCs/>
          <w:color w:val="auto"/>
          <w:sz w:val="21"/>
          <w:szCs w:val="21"/>
          <w:highlight w:val="none"/>
        </w:rPr>
        <w:t>.6 不</w:t>
      </w:r>
      <w:bookmarkEnd w:id="202"/>
      <w:bookmarkEnd w:id="203"/>
      <w:bookmarkEnd w:id="204"/>
      <w:bookmarkEnd w:id="205"/>
      <w:bookmarkEnd w:id="206"/>
      <w:bookmarkEnd w:id="207"/>
      <w:r>
        <w:rPr>
          <w:rFonts w:hint="eastAsia" w:cs="宋体"/>
          <w:bCs/>
          <w:color w:val="auto"/>
          <w:sz w:val="21"/>
          <w:szCs w:val="21"/>
          <w:highlight w:val="none"/>
        </w:rPr>
        <w:t>利物质条件</w:t>
      </w:r>
    </w:p>
    <w:p w14:paraId="017825E9">
      <w:pPr>
        <w:adjustRightInd w:val="0"/>
        <w:snapToGrid w:val="0"/>
        <w:spacing w:line="360" w:lineRule="auto"/>
        <w:ind w:firstLine="420" w:firstLineChars="200"/>
        <w:rPr>
          <w:rFonts w:cs="宋体"/>
          <w:b/>
          <w:color w:val="auto"/>
          <w:sz w:val="21"/>
          <w:szCs w:val="21"/>
          <w:highlight w:val="none"/>
          <w:u w:val="single"/>
        </w:rPr>
      </w:pPr>
      <w:bookmarkStart w:id="208" w:name="_Toc300934972"/>
      <w:bookmarkStart w:id="209" w:name="_Toc303539129"/>
      <w:bookmarkStart w:id="210" w:name="_Toc304295550"/>
      <w:bookmarkStart w:id="211" w:name="_Toc318581172"/>
      <w:bookmarkStart w:id="212" w:name="_Toc312678016"/>
      <w:bookmarkStart w:id="213" w:name="_Toc297123520"/>
      <w:bookmarkStart w:id="214" w:name="_Toc297216179"/>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承包人应了解本工程所有内容，中标后不得以不利物质条件为由提出索赔。</w:t>
      </w:r>
    </w:p>
    <w:bookmarkEnd w:id="208"/>
    <w:bookmarkEnd w:id="209"/>
    <w:bookmarkEnd w:id="210"/>
    <w:bookmarkEnd w:id="211"/>
    <w:bookmarkEnd w:id="212"/>
    <w:bookmarkEnd w:id="213"/>
    <w:bookmarkEnd w:id="214"/>
    <w:p w14:paraId="28C887A5">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5" w:name="_Toc303539130"/>
      <w:bookmarkStart w:id="216" w:name="_Toc297123521"/>
      <w:bookmarkStart w:id="217" w:name="_Toc312678017"/>
      <w:bookmarkStart w:id="218" w:name="_Toc300934973"/>
      <w:bookmarkStart w:id="219" w:name="_Toc297216180"/>
      <w:bookmarkStart w:id="220" w:name="_Toc304295551"/>
      <w:r>
        <w:rPr>
          <w:rFonts w:hint="eastAsia" w:cs="宋体"/>
          <w:bCs/>
          <w:color w:val="auto"/>
          <w:sz w:val="21"/>
          <w:szCs w:val="21"/>
          <w:highlight w:val="none"/>
        </w:rPr>
        <w:t>.7 异常恶劣的气候条件</w:t>
      </w:r>
    </w:p>
    <w:bookmarkEnd w:id="215"/>
    <w:bookmarkEnd w:id="216"/>
    <w:bookmarkEnd w:id="217"/>
    <w:bookmarkEnd w:id="218"/>
    <w:bookmarkEnd w:id="219"/>
    <w:bookmarkEnd w:id="220"/>
    <w:p w14:paraId="415B63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479928EB">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 xml:space="preserve">（1） 七级以上（含七级）大风连续 8 小时 ； </w:t>
      </w:r>
    </w:p>
    <w:p w14:paraId="157F0866">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u w:val="single"/>
        </w:rPr>
        <w:t xml:space="preserve">（2） 日最高温度大于 40 摄氏度，日最低温度小于-4 摄氏度 ； </w:t>
      </w:r>
    </w:p>
    <w:p w14:paraId="37718EE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u w:val="single"/>
        </w:rPr>
        <w:t xml:space="preserve">（3） 日（昼夜）平均积雪量超过 200mm 的恶劣天气影响 。 </w:t>
      </w:r>
    </w:p>
    <w:p w14:paraId="12178559">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4E3AE2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EEF7B33">
      <w:pPr>
        <w:snapToGrid w:val="0"/>
        <w:spacing w:line="360" w:lineRule="auto"/>
        <w:ind w:firstLine="420" w:firstLineChars="200"/>
        <w:outlineLvl w:val="2"/>
        <w:rPr>
          <w:rFonts w:cs="宋体"/>
          <w:color w:val="auto"/>
          <w:sz w:val="21"/>
          <w:szCs w:val="21"/>
          <w:highlight w:val="none"/>
        </w:rPr>
      </w:pPr>
      <w:bookmarkStart w:id="221" w:name="_Toc351203640"/>
      <w:r>
        <w:rPr>
          <w:rFonts w:hint="eastAsia" w:cs="宋体"/>
          <w:color w:val="auto"/>
          <w:sz w:val="21"/>
          <w:szCs w:val="21"/>
          <w:highlight w:val="none"/>
        </w:rPr>
        <w:t>8. 材料与设备</w:t>
      </w:r>
      <w:bookmarkEnd w:id="221"/>
    </w:p>
    <w:bookmarkEnd w:id="155"/>
    <w:bookmarkEnd w:id="156"/>
    <w:bookmarkEnd w:id="157"/>
    <w:bookmarkEnd w:id="158"/>
    <w:bookmarkEnd w:id="159"/>
    <w:bookmarkEnd w:id="160"/>
    <w:bookmarkEnd w:id="161"/>
    <w:bookmarkEnd w:id="162"/>
    <w:bookmarkEnd w:id="163"/>
    <w:bookmarkEnd w:id="164"/>
    <w:p w14:paraId="0112B7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22" w:name="_Toc292559372"/>
      <w:bookmarkStart w:id="223" w:name="_Toc304295556"/>
      <w:bookmarkStart w:id="224" w:name="_Toc297120467"/>
      <w:bookmarkStart w:id="225" w:name="_Toc303539136"/>
      <w:bookmarkStart w:id="226" w:name="_Toc280868654"/>
      <w:bookmarkStart w:id="227" w:name="_Toc297216186"/>
      <w:bookmarkStart w:id="228" w:name="_Toc296347166"/>
      <w:bookmarkStart w:id="229" w:name="_Toc312677493"/>
      <w:bookmarkStart w:id="230" w:name="_Toc292559877"/>
      <w:bookmarkStart w:id="231" w:name="_Toc312678019"/>
      <w:bookmarkStart w:id="232" w:name="_Toc296346668"/>
      <w:bookmarkStart w:id="233" w:name="_Toc296503167"/>
      <w:bookmarkStart w:id="234" w:name="_Toc296890995"/>
      <w:bookmarkStart w:id="235" w:name="_Toc296944506"/>
      <w:bookmarkStart w:id="236" w:name="_Toc297123527"/>
      <w:bookmarkStart w:id="237" w:name="_Toc297048353"/>
      <w:bookmarkStart w:id="238" w:name="_Toc300934979"/>
      <w:bookmarkStart w:id="239" w:name="_Toc296891207"/>
      <w:bookmarkStart w:id="240" w:name="_Toc280868656"/>
      <w:bookmarkStart w:id="241" w:name="_Toc267251424"/>
      <w:bookmarkStart w:id="242" w:name="_Toc280868655"/>
      <w:r>
        <w:rPr>
          <w:rFonts w:hint="eastAsia" w:cs="宋体"/>
          <w:color w:val="auto"/>
          <w:sz w:val="21"/>
          <w:szCs w:val="21"/>
          <w:highlight w:val="none"/>
        </w:rPr>
        <w:t>.4 材料与工程设备的保管与使用</w:t>
      </w:r>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14:paraId="47BDE56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43" w:name="_Toc292559373"/>
      <w:bookmarkStart w:id="244" w:name="_Toc292559878"/>
      <w:bookmarkStart w:id="245" w:name="_Toc297048354"/>
      <w:bookmarkStart w:id="246" w:name="_Toc296890996"/>
      <w:bookmarkStart w:id="247" w:name="_Toc300934980"/>
      <w:bookmarkStart w:id="248" w:name="_Toc312678020"/>
      <w:bookmarkStart w:id="249" w:name="_Toc318581173"/>
      <w:bookmarkStart w:id="250" w:name="_Toc296346669"/>
      <w:bookmarkStart w:id="251" w:name="_Toc303539137"/>
      <w:bookmarkStart w:id="252" w:name="_Toc297216187"/>
      <w:bookmarkStart w:id="253" w:name="_Toc304295557"/>
      <w:bookmarkStart w:id="254" w:name="_Toc296891208"/>
      <w:bookmarkStart w:id="255" w:name="_Toc296503168"/>
      <w:bookmarkStart w:id="256" w:name="_Toc312677494"/>
      <w:bookmarkStart w:id="257" w:name="_Toc297123528"/>
      <w:bookmarkStart w:id="258" w:name="_Toc296347167"/>
      <w:bookmarkStart w:id="259" w:name="_Toc297120468"/>
      <w:bookmarkStart w:id="260" w:name="_Toc296944507"/>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承包人承担，含在工程费用内</w:t>
      </w:r>
      <w:r>
        <w:rPr>
          <w:rFonts w:hint="eastAsia" w:cs="宋体"/>
          <w:color w:val="auto"/>
          <w:sz w:val="21"/>
          <w:szCs w:val="21"/>
          <w:highlight w:val="none"/>
        </w:rPr>
        <w:t>。</w:t>
      </w:r>
      <w:bookmarkEnd w:id="243"/>
      <w:bookmarkEnd w:id="244"/>
    </w:p>
    <w:p w14:paraId="5204A858">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4E1129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3A423B5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根据投标人投标时提供的主材品牌及其他辅材要求，使用前须经发包人认可。</w:t>
      </w:r>
    </w:p>
    <w:p w14:paraId="53D9679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56256B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5FC3415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由承包人自行承担费用 ，费用含在工程款内 </w:t>
      </w:r>
      <w:r>
        <w:rPr>
          <w:rFonts w:hint="eastAsia" w:cs="宋体"/>
          <w:color w:val="auto"/>
          <w:sz w:val="21"/>
          <w:szCs w:val="21"/>
          <w:highlight w:val="none"/>
        </w:rPr>
        <w:t>。</w:t>
      </w:r>
    </w:p>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14:paraId="418CA54E">
      <w:pPr>
        <w:snapToGrid w:val="0"/>
        <w:spacing w:line="360" w:lineRule="auto"/>
        <w:ind w:firstLine="420" w:firstLineChars="200"/>
        <w:outlineLvl w:val="2"/>
        <w:rPr>
          <w:rFonts w:cs="宋体"/>
          <w:color w:val="auto"/>
          <w:sz w:val="21"/>
          <w:szCs w:val="21"/>
          <w:highlight w:val="none"/>
        </w:rPr>
      </w:pPr>
      <w:bookmarkStart w:id="261" w:name="_Toc351203641"/>
      <w:r>
        <w:rPr>
          <w:rFonts w:hint="eastAsia" w:cs="宋体"/>
          <w:color w:val="auto"/>
          <w:sz w:val="21"/>
          <w:szCs w:val="21"/>
          <w:highlight w:val="none"/>
        </w:rPr>
        <w:t>9</w:t>
      </w:r>
      <w:bookmarkEnd w:id="240"/>
      <w:bookmarkEnd w:id="241"/>
      <w:bookmarkEnd w:id="242"/>
      <w:bookmarkStart w:id="262" w:name="_Toc304295559"/>
      <w:bookmarkStart w:id="263" w:name="_Toc303539139"/>
      <w:bookmarkStart w:id="264" w:name="_Toc300934982"/>
      <w:bookmarkStart w:id="265" w:name="_Toc297123533"/>
      <w:bookmarkStart w:id="266" w:name="_Toc312678021"/>
      <w:bookmarkStart w:id="267" w:name="_Toc312677495"/>
      <w:bookmarkStart w:id="268" w:name="_Toc297216192"/>
      <w:bookmarkStart w:id="269" w:name="_Toc296346674"/>
      <w:bookmarkStart w:id="270" w:name="_Toc297120473"/>
      <w:bookmarkStart w:id="271" w:name="_Toc292559378"/>
      <w:bookmarkStart w:id="272" w:name="_Toc297048359"/>
      <w:bookmarkStart w:id="273" w:name="_Toc267251428"/>
      <w:bookmarkStart w:id="274" w:name="_Toc296944512"/>
      <w:bookmarkStart w:id="275" w:name="_Toc267251427"/>
      <w:bookmarkStart w:id="276" w:name="_Toc296891213"/>
      <w:bookmarkStart w:id="277" w:name="_Toc296347172"/>
      <w:bookmarkStart w:id="278" w:name="_Toc296503173"/>
      <w:bookmarkStart w:id="279" w:name="_Toc292559883"/>
      <w:bookmarkStart w:id="280" w:name="_Toc296891001"/>
      <w:r>
        <w:rPr>
          <w:rFonts w:hint="eastAsia" w:cs="宋体"/>
          <w:color w:val="auto"/>
          <w:sz w:val="21"/>
          <w:szCs w:val="21"/>
          <w:highlight w:val="none"/>
        </w:rPr>
        <w:t>. 试验与检验</w:t>
      </w:r>
      <w:bookmarkEnd w:id="261"/>
    </w:p>
    <w:bookmarkEnd w:id="262"/>
    <w:bookmarkEnd w:id="263"/>
    <w:bookmarkEnd w:id="264"/>
    <w:bookmarkEnd w:id="265"/>
    <w:bookmarkEnd w:id="266"/>
    <w:bookmarkEnd w:id="267"/>
    <w:bookmarkEnd w:id="268"/>
    <w:p w14:paraId="76FBBAF7">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81" w:name="_Toc312678022"/>
      <w:bookmarkStart w:id="282" w:name="_Toc297216193"/>
      <w:bookmarkStart w:id="283" w:name="_Toc300934983"/>
      <w:bookmarkStart w:id="284" w:name="_Toc312677496"/>
      <w:bookmarkStart w:id="285" w:name="_Toc297123534"/>
      <w:bookmarkStart w:id="286" w:name="_Toc304295560"/>
      <w:bookmarkStart w:id="287" w:name="_Toc303539140"/>
      <w:r>
        <w:rPr>
          <w:rFonts w:hint="eastAsia" w:cs="宋体"/>
          <w:bCs/>
          <w:color w:val="auto"/>
          <w:sz w:val="21"/>
          <w:szCs w:val="21"/>
          <w:highlight w:val="none"/>
        </w:rPr>
        <w:t>.1 试验设备与试验人员</w:t>
      </w:r>
    </w:p>
    <w:bookmarkEnd w:id="281"/>
    <w:bookmarkEnd w:id="282"/>
    <w:bookmarkEnd w:id="283"/>
    <w:bookmarkEnd w:id="284"/>
    <w:bookmarkEnd w:id="285"/>
    <w:bookmarkEnd w:id="286"/>
    <w:bookmarkEnd w:id="287"/>
    <w:p w14:paraId="24CDDA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288" w:name="_Toc297216194"/>
      <w:bookmarkStart w:id="289" w:name="_Toc312677497"/>
      <w:bookmarkStart w:id="290" w:name="_Toc304295561"/>
      <w:bookmarkStart w:id="291" w:name="_Toc300934984"/>
      <w:bookmarkStart w:id="292" w:name="_Toc303539141"/>
      <w:bookmarkStart w:id="293" w:name="_Toc312678023"/>
      <w:bookmarkStart w:id="294" w:name="_Toc297123535"/>
      <w:bookmarkStart w:id="295" w:name="_Toc318581174"/>
      <w:r>
        <w:rPr>
          <w:rFonts w:hint="eastAsia" w:cs="宋体"/>
          <w:color w:val="auto"/>
          <w:sz w:val="21"/>
          <w:szCs w:val="21"/>
          <w:highlight w:val="none"/>
        </w:rPr>
        <w:t>.1.2 试验设备</w:t>
      </w:r>
    </w:p>
    <w:p w14:paraId="6B64B0E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288"/>
      <w:bookmarkEnd w:id="289"/>
      <w:bookmarkEnd w:id="290"/>
      <w:bookmarkEnd w:id="291"/>
      <w:bookmarkEnd w:id="292"/>
      <w:bookmarkEnd w:id="293"/>
      <w:bookmarkEnd w:id="294"/>
      <w:bookmarkStart w:id="296" w:name="_Toc312678024"/>
      <w:bookmarkStart w:id="297" w:name="_Toc303539142"/>
      <w:bookmarkStart w:id="298" w:name="_Toc312677498"/>
      <w:bookmarkStart w:id="299" w:name="_Toc297216195"/>
      <w:bookmarkStart w:id="300" w:name="_Toc300934985"/>
      <w:bookmarkStart w:id="301" w:name="_Toc304295562"/>
      <w:bookmarkStart w:id="302" w:name="_Toc297123536"/>
      <w:r>
        <w:rPr>
          <w:rFonts w:hint="eastAsia" w:cs="宋体"/>
          <w:color w:val="auto"/>
          <w:sz w:val="21"/>
          <w:szCs w:val="21"/>
          <w:highlight w:val="none"/>
        </w:rPr>
        <w:t xml:space="preserve">：  </w:t>
      </w:r>
      <w:r>
        <w:rPr>
          <w:rFonts w:hint="eastAsia" w:cs="宋体"/>
          <w:color w:val="auto"/>
          <w:sz w:val="21"/>
          <w:szCs w:val="21"/>
          <w:highlight w:val="none"/>
          <w:u w:val="single"/>
        </w:rPr>
        <w:t>按有关规定执行，承包人自行承担费用</w:t>
      </w:r>
      <w:r>
        <w:rPr>
          <w:rFonts w:hint="eastAsia" w:cs="宋体"/>
          <w:color w:val="auto"/>
          <w:sz w:val="21"/>
          <w:szCs w:val="21"/>
          <w:highlight w:val="none"/>
        </w:rPr>
        <w:t>。</w:t>
      </w:r>
    </w:p>
    <w:p w14:paraId="614D9C6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按有关规定执行，承包人自行承担费用</w:t>
      </w:r>
      <w:r>
        <w:rPr>
          <w:rFonts w:hint="eastAsia" w:cs="宋体"/>
          <w:color w:val="auto"/>
          <w:sz w:val="21"/>
          <w:szCs w:val="21"/>
          <w:highlight w:val="none"/>
        </w:rPr>
        <w:t>。</w:t>
      </w:r>
    </w:p>
    <w:p w14:paraId="25FE62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按有关规定执行，承包人自行承担费用 </w:t>
      </w:r>
      <w:r>
        <w:rPr>
          <w:rFonts w:hint="eastAsia" w:cs="宋体"/>
          <w:color w:val="auto"/>
          <w:sz w:val="21"/>
          <w:szCs w:val="21"/>
          <w:highlight w:val="none"/>
        </w:rPr>
        <w:t>。</w:t>
      </w:r>
    </w:p>
    <w:p w14:paraId="1F697488">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2195D4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按有关规定执行，承包人自行承担费用 </w:t>
      </w:r>
      <w:r>
        <w:rPr>
          <w:rFonts w:hint="eastAsia" w:cs="宋体"/>
          <w:color w:val="auto"/>
          <w:sz w:val="21"/>
          <w:szCs w:val="21"/>
          <w:highlight w:val="none"/>
        </w:rPr>
        <w:t>。</w:t>
      </w:r>
    </w:p>
    <w:bookmarkEnd w:id="295"/>
    <w:bookmarkEnd w:id="296"/>
    <w:bookmarkEnd w:id="297"/>
    <w:bookmarkEnd w:id="298"/>
    <w:bookmarkEnd w:id="299"/>
    <w:bookmarkEnd w:id="300"/>
    <w:bookmarkEnd w:id="301"/>
    <w:bookmarkEnd w:id="302"/>
    <w:p w14:paraId="72D608CA">
      <w:pPr>
        <w:snapToGrid w:val="0"/>
        <w:spacing w:line="360" w:lineRule="auto"/>
        <w:ind w:firstLine="420" w:firstLineChars="200"/>
        <w:outlineLvl w:val="2"/>
        <w:rPr>
          <w:rFonts w:cs="宋体"/>
          <w:color w:val="auto"/>
          <w:sz w:val="21"/>
          <w:szCs w:val="21"/>
          <w:highlight w:val="none"/>
        </w:rPr>
      </w:pPr>
      <w:bookmarkStart w:id="303" w:name="_Toc351203642"/>
      <w:r>
        <w:rPr>
          <w:rFonts w:hint="eastAsia" w:cs="宋体"/>
          <w:color w:val="auto"/>
          <w:sz w:val="21"/>
          <w:szCs w:val="21"/>
          <w:highlight w:val="none"/>
        </w:rPr>
        <w:t>1</w:t>
      </w:r>
      <w:bookmarkEnd w:id="269"/>
      <w:bookmarkEnd w:id="270"/>
      <w:bookmarkEnd w:id="271"/>
      <w:bookmarkEnd w:id="272"/>
      <w:bookmarkEnd w:id="273"/>
      <w:bookmarkEnd w:id="274"/>
      <w:bookmarkEnd w:id="275"/>
      <w:bookmarkEnd w:id="276"/>
      <w:bookmarkEnd w:id="277"/>
      <w:bookmarkEnd w:id="278"/>
      <w:bookmarkEnd w:id="279"/>
      <w:bookmarkEnd w:id="280"/>
      <w:bookmarkStart w:id="304" w:name="_Toc300934989"/>
      <w:bookmarkStart w:id="305" w:name="_Toc296346694"/>
      <w:bookmarkStart w:id="306" w:name="_Toc297120493"/>
      <w:bookmarkStart w:id="307" w:name="_Toc292559398"/>
      <w:bookmarkStart w:id="308" w:name="_Toc296891021"/>
      <w:bookmarkStart w:id="309" w:name="_Toc304295566"/>
      <w:bookmarkStart w:id="310" w:name="_Toc303539146"/>
      <w:bookmarkStart w:id="311" w:name="_Toc296944532"/>
      <w:bookmarkStart w:id="312" w:name="_Toc292559903"/>
      <w:bookmarkStart w:id="313" w:name="_Toc297216199"/>
      <w:bookmarkStart w:id="314" w:name="_Toc297048379"/>
      <w:bookmarkStart w:id="315" w:name="_Toc296891233"/>
      <w:bookmarkStart w:id="316" w:name="_Toc297123540"/>
      <w:bookmarkStart w:id="317" w:name="_Toc296347192"/>
      <w:bookmarkStart w:id="318" w:name="_Toc296503193"/>
      <w:bookmarkStart w:id="319" w:name="_Toc312677499"/>
      <w:bookmarkStart w:id="320" w:name="_Toc312678025"/>
      <w:bookmarkStart w:id="321" w:name="_Toc267251435"/>
      <w:bookmarkStart w:id="322" w:name="_Toc267251441"/>
      <w:bookmarkStart w:id="323" w:name="_Toc267251437"/>
      <w:bookmarkStart w:id="324" w:name="_Toc267251439"/>
      <w:bookmarkStart w:id="325" w:name="_Toc267251440"/>
      <w:bookmarkStart w:id="326" w:name="_Toc267251433"/>
      <w:bookmarkStart w:id="327" w:name="_Toc267251442"/>
      <w:r>
        <w:rPr>
          <w:rFonts w:hint="eastAsia" w:cs="宋体"/>
          <w:color w:val="auto"/>
          <w:sz w:val="21"/>
          <w:szCs w:val="21"/>
          <w:highlight w:val="none"/>
        </w:rPr>
        <w:t>0. 变更</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bookmarkEnd w:id="319"/>
    <w:bookmarkEnd w:id="320"/>
    <w:p w14:paraId="630C201B">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28" w:name="_Toc296503194"/>
      <w:bookmarkStart w:id="329" w:name="_Toc312678026"/>
      <w:bookmarkStart w:id="330" w:name="_Toc296346695"/>
      <w:bookmarkStart w:id="331" w:name="_Toc297120494"/>
      <w:bookmarkStart w:id="332" w:name="_Toc296891022"/>
      <w:bookmarkStart w:id="333" w:name="_Toc297048380"/>
      <w:bookmarkStart w:id="334" w:name="_Toc304295567"/>
      <w:bookmarkStart w:id="335" w:name="_Toc297123541"/>
      <w:bookmarkStart w:id="336" w:name="_Toc296347193"/>
      <w:bookmarkStart w:id="337" w:name="_Toc303539147"/>
      <w:bookmarkStart w:id="338" w:name="_Toc300934990"/>
      <w:bookmarkStart w:id="339" w:name="_Toc292559399"/>
      <w:bookmarkStart w:id="340" w:name="_Toc296891234"/>
      <w:bookmarkStart w:id="341" w:name="_Toc312677500"/>
      <w:bookmarkStart w:id="342" w:name="_Toc296944533"/>
      <w:bookmarkStart w:id="343" w:name="_Toc297216200"/>
      <w:bookmarkStart w:id="344" w:name="_Toc292559904"/>
      <w:r>
        <w:rPr>
          <w:rFonts w:hint="eastAsia" w:cs="宋体"/>
          <w:bCs/>
          <w:color w:val="auto"/>
          <w:sz w:val="21"/>
          <w:szCs w:val="21"/>
          <w:highlight w:val="none"/>
        </w:rPr>
        <w:t>0.1 变更的范围</w:t>
      </w:r>
    </w:p>
    <w:p w14:paraId="4CBB93F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按有关规定执行，承包人自行承担费用</w:t>
      </w:r>
      <w:r>
        <w:rPr>
          <w:rFonts w:hint="eastAsia" w:cs="宋体"/>
          <w:color w:val="auto"/>
          <w:sz w:val="21"/>
          <w:szCs w:val="21"/>
          <w:highlight w:val="none"/>
        </w:rPr>
        <w:t>。</w:t>
      </w:r>
    </w:p>
    <w:p w14:paraId="3A2EB230">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4AF39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244411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7BF60F3A">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 xml:space="preserve">变更导致结算工程量减少 0-100%或增加 15%以内（含 15%）部分的，执行中标单价；超出15%以外部分，投标综合单价高于（控制价×投标让利幅度）时，按（控制价×投标让利幅度）计算，投标综合单价低于（控制价×投标让利幅度）时，执行中标单价。组价明显错误或人材机含量及单价明显异常的（明显异常指承包人单价超出清单控制价中相应单价20%及以上的）应予纠正；新增项目单价按照控制价的编制原则重新组价×投标让利幅度（投标让利幅度为中标价/控制价，其中中标价和控制价均扣除暂定金额、暂估价），重新组价价格最终以竣工结算审计核定为准。 </w:t>
      </w:r>
    </w:p>
    <w:p w14:paraId="03CFDE31">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技术措施费调整：</w:t>
      </w:r>
      <w:r>
        <w:rPr>
          <w:rFonts w:hint="eastAsia" w:cs="宋体"/>
          <w:b/>
          <w:color w:val="auto"/>
          <w:sz w:val="21"/>
          <w:szCs w:val="21"/>
          <w:highlight w:val="none"/>
          <w:u w:val="single"/>
        </w:rPr>
        <w:t>因承包人擅自改变施工技术措施，造成的价格变动，措施费不予调整。因工程量清单错误必须改变原来施工技术措施，履行变更手续，按照工程变更条款执行。</w:t>
      </w:r>
    </w:p>
    <w:p w14:paraId="512D80B8">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组织措施费调整：</w:t>
      </w:r>
      <w:r>
        <w:rPr>
          <w:rFonts w:hint="eastAsia" w:cs="宋体"/>
          <w:color w:val="auto"/>
          <w:sz w:val="21"/>
          <w:szCs w:val="21"/>
          <w:highlight w:val="none"/>
          <w:u w:val="single"/>
        </w:rPr>
        <w:t xml:space="preserve"> 按实调整。</w:t>
      </w:r>
    </w:p>
    <w:p w14:paraId="0623ED98">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Start w:id="345" w:name="_Toc303539150"/>
      <w:bookmarkStart w:id="346" w:name="_Toc297120497"/>
      <w:bookmarkStart w:id="347" w:name="_Toc297216203"/>
      <w:bookmarkStart w:id="348" w:name="_Toc292559402"/>
      <w:bookmarkStart w:id="349" w:name="_Toc297048383"/>
      <w:bookmarkStart w:id="350" w:name="_Toc296347196"/>
      <w:bookmarkStart w:id="351" w:name="_Toc296891025"/>
      <w:bookmarkStart w:id="352" w:name="_Toc296944536"/>
      <w:bookmarkStart w:id="353" w:name="_Toc296503197"/>
      <w:bookmarkStart w:id="354" w:name="_Toc292559907"/>
      <w:bookmarkStart w:id="355" w:name="_Toc296891237"/>
      <w:bookmarkStart w:id="356" w:name="_Toc297123544"/>
      <w:bookmarkStart w:id="357" w:name="_Toc296346698"/>
      <w:bookmarkStart w:id="358" w:name="_Toc300934993"/>
      <w:bookmarkStart w:id="359" w:name="_Toc312678029"/>
      <w:bookmarkStart w:id="360" w:name="_Toc304295570"/>
      <w:bookmarkStart w:id="361" w:name="_Toc312677503"/>
      <w:r>
        <w:rPr>
          <w:rFonts w:hint="eastAsia" w:cs="宋体"/>
          <w:bCs/>
          <w:color w:val="auto"/>
          <w:sz w:val="21"/>
          <w:szCs w:val="21"/>
          <w:highlight w:val="none"/>
        </w:rPr>
        <w:t>0.5 承</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Start w:id="362" w:name="_Toc292559913"/>
      <w:bookmarkStart w:id="363" w:name="_Toc297048389"/>
      <w:bookmarkStart w:id="364" w:name="_Toc296891031"/>
      <w:bookmarkStart w:id="365" w:name="_Toc297216204"/>
      <w:bookmarkStart w:id="366" w:name="_Toc296944542"/>
      <w:bookmarkStart w:id="367" w:name="_Toc292559408"/>
      <w:bookmarkStart w:id="368" w:name="_Toc297123545"/>
      <w:bookmarkStart w:id="369" w:name="_Toc296347202"/>
      <w:bookmarkStart w:id="370" w:name="_Toc296891243"/>
      <w:bookmarkStart w:id="371" w:name="_Toc300934994"/>
      <w:bookmarkStart w:id="372" w:name="_Toc303539151"/>
      <w:bookmarkStart w:id="373" w:name="_Toc296346704"/>
      <w:bookmarkStart w:id="374" w:name="_Toc296503203"/>
      <w:bookmarkStart w:id="375" w:name="_Toc297120503"/>
      <w:r>
        <w:rPr>
          <w:rFonts w:hint="eastAsia" w:cs="宋体"/>
          <w:bCs/>
          <w:color w:val="auto"/>
          <w:sz w:val="21"/>
          <w:szCs w:val="21"/>
          <w:highlight w:val="none"/>
        </w:rPr>
        <w:t>包人的合理化建议</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14:paraId="57686D01">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监理人应在收到承包人提交的合理化建议后7天内审查完毕并报送发包人，发现其中存在技术上的缺陷，应通知承包人修改。</w:t>
      </w:r>
    </w:p>
    <w:p w14:paraId="425F36C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0D9679B">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承包人提出的合理化建议降低了合同价格或者提高了工程经济效益的奖励的方法和金额为：</w:t>
      </w:r>
      <w:r>
        <w:rPr>
          <w:rFonts w:hint="eastAsia" w:cs="宋体"/>
          <w:color w:val="auto"/>
          <w:sz w:val="21"/>
          <w:szCs w:val="21"/>
          <w:highlight w:val="none"/>
          <w:u w:val="single"/>
        </w:rPr>
        <w:t>/</w:t>
      </w:r>
      <w:r>
        <w:rPr>
          <w:rFonts w:hint="eastAsia" w:cs="宋体"/>
          <w:color w:val="auto"/>
          <w:sz w:val="21"/>
          <w:szCs w:val="21"/>
          <w:highlight w:val="none"/>
        </w:rPr>
        <w:t>。</w:t>
      </w:r>
    </w:p>
    <w:p w14:paraId="58B4585F">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76" w:name="_Toc300934997"/>
      <w:bookmarkStart w:id="377" w:name="_Toc292559909"/>
      <w:bookmarkStart w:id="378" w:name="_Toc303539154"/>
      <w:bookmarkStart w:id="379" w:name="_Toc297123548"/>
      <w:bookmarkStart w:id="380" w:name="_Toc312677507"/>
      <w:bookmarkStart w:id="381" w:name="_Toc296503199"/>
      <w:bookmarkStart w:id="382" w:name="_Toc296346700"/>
      <w:bookmarkStart w:id="383" w:name="_Toc296891027"/>
      <w:bookmarkStart w:id="384" w:name="_Toc292559404"/>
      <w:bookmarkStart w:id="385" w:name="_Toc296944538"/>
      <w:bookmarkStart w:id="386" w:name="_Toc297048385"/>
      <w:bookmarkStart w:id="387" w:name="_Toc312678033"/>
      <w:bookmarkStart w:id="388" w:name="_Toc297216207"/>
      <w:bookmarkStart w:id="389" w:name="_Toc297120499"/>
      <w:bookmarkStart w:id="390" w:name="_Toc296347198"/>
      <w:bookmarkStart w:id="391" w:name="_Toc296891239"/>
      <w:bookmarkStart w:id="392" w:name="_Toc304295574"/>
      <w:r>
        <w:rPr>
          <w:rFonts w:hint="eastAsia" w:cs="宋体"/>
          <w:bCs/>
          <w:color w:val="auto"/>
          <w:sz w:val="21"/>
          <w:szCs w:val="21"/>
          <w:highlight w:val="none"/>
        </w:rPr>
        <w:t>0.7 暂估价</w:t>
      </w:r>
    </w:p>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19A9AFA1">
      <w:pPr>
        <w:snapToGrid w:val="0"/>
        <w:spacing w:line="360" w:lineRule="auto"/>
        <w:ind w:firstLine="420" w:firstLineChars="200"/>
        <w:jc w:val="left"/>
        <w:rPr>
          <w:rFonts w:cs="宋体"/>
          <w:color w:val="auto"/>
          <w:sz w:val="21"/>
          <w:szCs w:val="21"/>
          <w:highlight w:val="none"/>
        </w:rPr>
      </w:pPr>
      <w:bookmarkStart w:id="393" w:name="_Toc351203643"/>
      <w:r>
        <w:rPr>
          <w:rFonts w:hint="eastAsia" w:cs="宋体"/>
          <w:color w:val="auto"/>
          <w:sz w:val="21"/>
          <w:szCs w:val="21"/>
          <w:highlight w:val="none"/>
        </w:rPr>
        <w:t>暂估价材料和工程设备的明细</w:t>
      </w:r>
      <w:r>
        <w:rPr>
          <w:rFonts w:hint="eastAsia" w:cs="宋体"/>
          <w:color w:val="auto"/>
          <w:sz w:val="21"/>
          <w:szCs w:val="21"/>
          <w:highlight w:val="none"/>
          <w:u w:val="single"/>
        </w:rPr>
        <w:t>详见本项目最高投标限价。</w:t>
      </w:r>
    </w:p>
    <w:p w14:paraId="29D8D6A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10.7.1 依法必须招标的暂估价项目</w:t>
      </w:r>
    </w:p>
    <w:p w14:paraId="43566919">
      <w:pPr>
        <w:pStyle w:val="31"/>
        <w:ind w:firstLine="468" w:firstLineChars="200"/>
        <w:rPr>
          <w:rFonts w:hAnsi="宋体" w:cs="宋体"/>
          <w:color w:val="auto"/>
          <w:sz w:val="21"/>
          <w:szCs w:val="21"/>
          <w:highlight w:val="none"/>
          <w:u w:val="single"/>
        </w:rPr>
      </w:pPr>
      <w:r>
        <w:rPr>
          <w:rFonts w:hint="eastAsia" w:hAnsi="宋体" w:cs="宋体"/>
          <w:color w:val="auto"/>
          <w:sz w:val="21"/>
          <w:szCs w:val="21"/>
          <w:highlight w:val="none"/>
          <w:u w:val="single"/>
        </w:rPr>
        <w:t>对于依法必须招标的暂估价项目的确认和批准由发包人通过招标方式确定。</w:t>
      </w:r>
    </w:p>
    <w:p w14:paraId="405AB0CB">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10.7.2 不属于依法必须招标的暂估价项目</w:t>
      </w:r>
    </w:p>
    <w:p w14:paraId="625F91B5">
      <w:pPr>
        <w:pStyle w:val="31"/>
        <w:ind w:firstLine="468" w:firstLineChars="200"/>
        <w:rPr>
          <w:rFonts w:hAnsi="宋体" w:cs="宋体"/>
          <w:color w:val="auto"/>
          <w:sz w:val="21"/>
          <w:szCs w:val="21"/>
          <w:highlight w:val="none"/>
          <w:u w:val="single"/>
        </w:rPr>
      </w:pPr>
      <w:r>
        <w:rPr>
          <w:rFonts w:hint="eastAsia" w:hAnsi="宋体" w:cs="宋体"/>
          <w:color w:val="auto"/>
          <w:sz w:val="21"/>
          <w:szCs w:val="21"/>
          <w:highlight w:val="none"/>
          <w:u w:val="single"/>
        </w:rPr>
        <w:t>对于不属于依法必须招标的暂估价项目的确认和批准由发包人采用询价或招标方式确定。</w:t>
      </w:r>
    </w:p>
    <w:p w14:paraId="4298921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第3种方式：承包人直接实施的暂估价项目</w:t>
      </w:r>
    </w:p>
    <w:p w14:paraId="0E3F5DFE">
      <w:pPr>
        <w:pStyle w:val="54"/>
        <w:spacing w:after="0"/>
        <w:ind w:left="400" w:firstLine="420" w:firstLineChars="200"/>
        <w:rPr>
          <w:rFonts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执行通用条款 。</w:t>
      </w:r>
    </w:p>
    <w:p w14:paraId="58F64CD3">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10.8 暂列金额</w:t>
      </w:r>
    </w:p>
    <w:p w14:paraId="6838E9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暂列金是发包人为可能发生工程变更而暂列的金额，是发包人自行确定设立的，承包商无权使用此笔费用。此费用按实际发生经发包人签证后确定全部使用、部分使用或不使用。暂列金不计入工程款付款的基数</w:t>
      </w:r>
      <w:r>
        <w:rPr>
          <w:rFonts w:hint="eastAsia" w:cs="宋体"/>
          <w:color w:val="auto"/>
          <w:sz w:val="21"/>
          <w:szCs w:val="21"/>
          <w:highlight w:val="none"/>
        </w:rPr>
        <w:t>。</w:t>
      </w:r>
    </w:p>
    <w:p w14:paraId="7F519B32">
      <w:pPr>
        <w:snapToGrid w:val="0"/>
        <w:spacing w:line="360" w:lineRule="auto"/>
        <w:ind w:firstLine="420" w:firstLineChars="200"/>
        <w:outlineLvl w:val="2"/>
        <w:rPr>
          <w:rFonts w:cs="宋体"/>
          <w:color w:val="auto"/>
          <w:sz w:val="21"/>
          <w:szCs w:val="21"/>
          <w:highlight w:val="none"/>
        </w:rPr>
      </w:pPr>
      <w:r>
        <w:rPr>
          <w:rFonts w:hint="eastAsia" w:cs="宋体"/>
          <w:color w:val="auto"/>
          <w:sz w:val="21"/>
          <w:szCs w:val="21"/>
          <w:highlight w:val="none"/>
        </w:rPr>
        <w:t>11. 价格调整</w:t>
      </w:r>
      <w:bookmarkEnd w:id="393"/>
    </w:p>
    <w:bookmarkEnd w:id="321"/>
    <w:bookmarkEnd w:id="322"/>
    <w:bookmarkEnd w:id="323"/>
    <w:bookmarkEnd w:id="324"/>
    <w:bookmarkEnd w:id="325"/>
    <w:bookmarkEnd w:id="326"/>
    <w:p w14:paraId="7339394F">
      <w:pPr>
        <w:keepNext/>
        <w:keepLines/>
        <w:adjustRightInd w:val="0"/>
        <w:snapToGrid w:val="0"/>
        <w:spacing w:line="360" w:lineRule="auto"/>
        <w:ind w:firstLine="420" w:firstLineChars="200"/>
        <w:outlineLvl w:val="3"/>
        <w:rPr>
          <w:rFonts w:cs="宋体"/>
          <w:bCs/>
          <w:color w:val="auto"/>
          <w:sz w:val="21"/>
          <w:szCs w:val="21"/>
          <w:highlight w:val="none"/>
        </w:rPr>
      </w:pPr>
      <w:bookmarkStart w:id="394" w:name="_Toc296944544"/>
      <w:bookmarkStart w:id="395" w:name="_Toc296503205"/>
      <w:bookmarkStart w:id="396" w:name="_Toc297216211"/>
      <w:bookmarkStart w:id="397" w:name="_Toc292559410"/>
      <w:bookmarkStart w:id="398" w:name="_Toc303539159"/>
      <w:bookmarkStart w:id="399" w:name="_Toc296346706"/>
      <w:bookmarkStart w:id="400" w:name="_Toc292559915"/>
      <w:bookmarkStart w:id="401" w:name="_Toc297120505"/>
      <w:bookmarkStart w:id="402" w:name="_Toc312678040"/>
      <w:bookmarkStart w:id="403" w:name="_Toc296891033"/>
      <w:bookmarkStart w:id="404" w:name="_Toc296891245"/>
      <w:bookmarkStart w:id="405" w:name="_Toc297123552"/>
      <w:bookmarkStart w:id="406" w:name="_Toc296347204"/>
      <w:bookmarkStart w:id="407" w:name="_Toc351203644"/>
      <w:bookmarkStart w:id="408" w:name="_Toc304295579"/>
      <w:bookmarkStart w:id="409" w:name="_Toc297048391"/>
      <w:bookmarkStart w:id="410" w:name="_Toc300935002"/>
      <w:r>
        <w:rPr>
          <w:rFonts w:hint="eastAsia" w:cs="宋体"/>
          <w:bCs/>
          <w:color w:val="auto"/>
          <w:sz w:val="21"/>
          <w:szCs w:val="21"/>
          <w:highlight w:val="none"/>
        </w:rPr>
        <w:t>11.1 市场价格波动引起的调整</w:t>
      </w:r>
    </w:p>
    <w:p w14:paraId="3278FC91">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市场价格波动是否调整合同价格的约定：</w:t>
      </w:r>
      <w:r>
        <w:rPr>
          <w:rFonts w:hint="eastAsia" w:cs="宋体"/>
          <w:b/>
          <w:color w:val="auto"/>
          <w:sz w:val="21"/>
          <w:szCs w:val="21"/>
          <w:highlight w:val="none"/>
          <w:u w:val="single"/>
        </w:rPr>
        <w:t xml:space="preserve"> 不调整 </w:t>
      </w:r>
      <w:r>
        <w:rPr>
          <w:rFonts w:hint="eastAsia" w:cs="宋体"/>
          <w:color w:val="auto"/>
          <w:sz w:val="21"/>
          <w:szCs w:val="21"/>
          <w:highlight w:val="none"/>
        </w:rPr>
        <w:t>。</w:t>
      </w:r>
    </w:p>
    <w:p w14:paraId="675142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11.2人工费调整按省建设行政主管部门或其授权的工程造价管理机构发布的调整文件规定执行。 </w:t>
      </w:r>
    </w:p>
    <w:p w14:paraId="772858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施工机械台班使用费的风险范围：施工机械台班使用费中燃料、水电费及其他要素价格风险由承包人承担。</w:t>
      </w:r>
    </w:p>
    <w:p w14:paraId="63B585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其他价格调整方式：</w:t>
      </w:r>
      <w:r>
        <w:rPr>
          <w:rFonts w:hint="eastAsia" w:cs="宋体"/>
          <w:color w:val="auto"/>
          <w:sz w:val="21"/>
          <w:szCs w:val="21"/>
          <w:highlight w:val="none"/>
          <w:u w:val="single"/>
        </w:rPr>
        <w:t xml:space="preserve"> 不采用</w:t>
      </w:r>
      <w:r>
        <w:rPr>
          <w:rFonts w:hint="eastAsia" w:cs="宋体"/>
          <w:color w:val="auto"/>
          <w:sz w:val="21"/>
          <w:szCs w:val="21"/>
          <w:highlight w:val="none"/>
        </w:rPr>
        <w:t xml:space="preserve"> 。</w:t>
      </w:r>
    </w:p>
    <w:p w14:paraId="1E84C4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11.3暂估价材料价格调整</w:t>
      </w:r>
    </w:p>
    <w:p w14:paraId="617A7C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材料价格：除上述专用条款中第11.1条中约定的可调价格材料和实行暂估价的材料（详见最高投标限价）外，其他材料由承包人按市场合格产品价格及采购文件的规定自行报价一次性包干，投标人在确定响应报价时应充分考虑材料价格上涨等市场风险因素，这部分材料价格今后将不作任何调整。</w:t>
      </w:r>
    </w:p>
    <w:p w14:paraId="0CFF2E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（2）实行暂估价的主要材料(半成品)，在投标报价中按采购文件和答疑及工程量清单总说明给定的价格计算，不得减少报价，工程竣工结算时按二次招标价或甲乙双方认质认价的签证调整。</w:t>
      </w:r>
    </w:p>
    <w:p w14:paraId="3253A87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（3）主要材料（半成品）的价差调整价款决算时仅计取税金，不再计取其他任何费用。</w:t>
      </w:r>
    </w:p>
    <w:p w14:paraId="26D5E89D">
      <w:pPr>
        <w:pStyle w:val="5"/>
        <w:snapToGrid w:val="0"/>
        <w:spacing w:before="0" w:after="0" w:line="360" w:lineRule="auto"/>
        <w:ind w:firstLine="420" w:firstLineChars="200"/>
        <w:rPr>
          <w:rFonts w:cs="宋体"/>
          <w:b w:val="0"/>
          <w:color w:val="auto"/>
          <w:sz w:val="21"/>
          <w:szCs w:val="21"/>
          <w:highlight w:val="none"/>
        </w:rPr>
      </w:pPr>
      <w:bookmarkStart w:id="411" w:name="_Toc19616"/>
      <w:bookmarkStart w:id="412" w:name="_Toc417623625"/>
      <w:r>
        <w:rPr>
          <w:rFonts w:hint="eastAsia" w:cs="宋体"/>
          <w:b w:val="0"/>
          <w:color w:val="auto"/>
          <w:sz w:val="21"/>
          <w:szCs w:val="21"/>
          <w:highlight w:val="none"/>
        </w:rPr>
        <w:t>12. 合同价格、计量与支付</w:t>
      </w:r>
      <w:bookmarkEnd w:id="411"/>
      <w:bookmarkEnd w:id="412"/>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14:paraId="4CC114C6">
      <w:pPr>
        <w:keepNext/>
        <w:keepLines/>
        <w:snapToGrid w:val="0"/>
        <w:spacing w:line="360" w:lineRule="auto"/>
        <w:ind w:firstLine="420" w:firstLineChars="200"/>
        <w:outlineLvl w:val="3"/>
        <w:rPr>
          <w:rFonts w:cs="宋体"/>
          <w:color w:val="auto"/>
          <w:sz w:val="21"/>
          <w:szCs w:val="21"/>
          <w:highlight w:val="none"/>
        </w:rPr>
      </w:pPr>
      <w:bookmarkStart w:id="413" w:name="_Toc267251461"/>
      <w:bookmarkStart w:id="414" w:name="_Toc292559916"/>
      <w:bookmarkStart w:id="415" w:name="_Toc292559411"/>
      <w:bookmarkStart w:id="416" w:name="_Toc297120506"/>
      <w:bookmarkStart w:id="417" w:name="_Toc296891034"/>
      <w:bookmarkStart w:id="418" w:name="_Toc296347205"/>
      <w:bookmarkStart w:id="419" w:name="_Toc296503206"/>
      <w:bookmarkStart w:id="420" w:name="_Toc296891246"/>
      <w:bookmarkStart w:id="421" w:name="_Toc296346707"/>
      <w:bookmarkStart w:id="422" w:name="_Toc296944545"/>
      <w:bookmarkStart w:id="423" w:name="_Toc297048392"/>
      <w:bookmarkStart w:id="424" w:name="_Toc304295580"/>
      <w:bookmarkStart w:id="425" w:name="_Toc297216212"/>
      <w:bookmarkStart w:id="426" w:name="_Toc312678041"/>
      <w:bookmarkStart w:id="427" w:name="_Toc297123553"/>
      <w:bookmarkStart w:id="428" w:name="_Toc300935003"/>
      <w:bookmarkStart w:id="429" w:name="_Toc303539160"/>
      <w:r>
        <w:rPr>
          <w:rFonts w:hint="eastAsia" w:cs="宋体"/>
          <w:bCs/>
          <w:color w:val="auto"/>
          <w:sz w:val="21"/>
          <w:szCs w:val="21"/>
          <w:highlight w:val="none"/>
        </w:rPr>
        <w:t>12.1 合</w:t>
      </w:r>
      <w:bookmarkEnd w:id="413"/>
      <w:bookmarkEnd w:id="414"/>
      <w:bookmarkEnd w:id="415"/>
      <w:r>
        <w:rPr>
          <w:rFonts w:hint="eastAsia" w:cs="宋体"/>
          <w:bCs/>
          <w:color w:val="auto"/>
          <w:sz w:val="21"/>
          <w:szCs w:val="21"/>
          <w:highlight w:val="none"/>
        </w:rPr>
        <w:t>同价</w:t>
      </w:r>
      <w:bookmarkEnd w:id="416"/>
      <w:bookmarkEnd w:id="417"/>
      <w:bookmarkEnd w:id="418"/>
      <w:bookmarkEnd w:id="419"/>
      <w:bookmarkEnd w:id="420"/>
      <w:bookmarkEnd w:id="421"/>
      <w:bookmarkEnd w:id="422"/>
      <w:bookmarkEnd w:id="423"/>
      <w:r>
        <w:rPr>
          <w:rFonts w:hint="eastAsia" w:cs="宋体"/>
          <w:bCs/>
          <w:color w:val="auto"/>
          <w:sz w:val="21"/>
          <w:szCs w:val="21"/>
          <w:highlight w:val="none"/>
        </w:rPr>
        <w:t>格形式</w:t>
      </w:r>
      <w:bookmarkEnd w:id="424"/>
      <w:bookmarkEnd w:id="425"/>
      <w:bookmarkEnd w:id="426"/>
      <w:bookmarkEnd w:id="427"/>
      <w:bookmarkEnd w:id="428"/>
      <w:bookmarkEnd w:id="429"/>
      <w:bookmarkStart w:id="430" w:name="_Toc304295581"/>
      <w:bookmarkStart w:id="431" w:name="_Toc312678042"/>
      <w:bookmarkStart w:id="432" w:name="_Toc297216213"/>
      <w:bookmarkStart w:id="433" w:name="_Toc303539161"/>
      <w:bookmarkStart w:id="434" w:name="_Toc300935004"/>
      <w:bookmarkStart w:id="435" w:name="_Toc297123554"/>
      <w:bookmarkStart w:id="436" w:name="_Toc296503207"/>
      <w:bookmarkStart w:id="437" w:name="_Toc296347206"/>
      <w:bookmarkStart w:id="438" w:name="_Toc296944546"/>
      <w:bookmarkStart w:id="439" w:name="_Toc296346708"/>
      <w:bookmarkStart w:id="440" w:name="_Toc296891247"/>
      <w:bookmarkStart w:id="441" w:name="_Toc296891035"/>
      <w:bookmarkStart w:id="442" w:name="_Toc297120507"/>
      <w:bookmarkStart w:id="443" w:name="_Toc292559412"/>
      <w:bookmarkStart w:id="444" w:name="_Toc292559917"/>
      <w:bookmarkStart w:id="445" w:name="_Toc297048393"/>
      <w:r>
        <w:rPr>
          <w:rFonts w:hint="eastAsia" w:cs="宋体"/>
          <w:bCs/>
          <w:color w:val="auto"/>
          <w:sz w:val="21"/>
          <w:szCs w:val="21"/>
          <w:highlight w:val="none"/>
        </w:rPr>
        <w:t>：</w:t>
      </w:r>
      <w:r>
        <w:rPr>
          <w:rFonts w:hint="eastAsia" w:cs="宋体"/>
          <w:color w:val="auto"/>
          <w:sz w:val="21"/>
          <w:szCs w:val="21"/>
          <w:highlight w:val="none"/>
        </w:rPr>
        <w:t>单价合同。</w:t>
      </w:r>
    </w:p>
    <w:p w14:paraId="51FDC303">
      <w:pPr>
        <w:adjustRightInd w:val="0"/>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隐含于已标价工程量清单综合单价中，用于化解发承包双方在工程合同中约定内容和范围内的市场价格波动风险的费用。综合单价包括为完成本项目所需要的一切费用,包括但不限于人工费、材料费、施工机械费、管理费、利润、风险费用、总包管理费、赶工措施费、相关交易费及完成本工程</w:t>
      </w:r>
      <w:r>
        <w:rPr>
          <w:rFonts w:hint="eastAsia" w:cs="宋体"/>
          <w:color w:val="auto"/>
          <w:sz w:val="21"/>
          <w:szCs w:val="21"/>
          <w:highlight w:val="none"/>
          <w:u w:val="single"/>
          <w:lang w:val="en-US" w:eastAsia="zh-CN"/>
        </w:rPr>
        <w:t>招标</w:t>
      </w:r>
      <w:r>
        <w:rPr>
          <w:rFonts w:hint="eastAsia" w:cs="宋体"/>
          <w:color w:val="auto"/>
          <w:sz w:val="21"/>
          <w:szCs w:val="21"/>
          <w:highlight w:val="none"/>
          <w:u w:val="single"/>
        </w:rPr>
        <w:t>文件及合同条款内容等所有费用。</w:t>
      </w:r>
    </w:p>
    <w:p w14:paraId="4C5902F2">
      <w:pPr>
        <w:adjustRightInd w:val="0"/>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 xml:space="preserve"> 承包人自行考虑，包含在报价中 。</w:t>
      </w:r>
    </w:p>
    <w:p w14:paraId="197F11B6">
      <w:pPr>
        <w:adjustRightInd w:val="0"/>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 xml:space="preserve">按照国家级省市政策要求。 </w:t>
      </w:r>
    </w:p>
    <w:p w14:paraId="4C8F6F5C">
      <w:pPr>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国家法律、法规、规章和政策发生变化及由政府定价或政府指导价管理的原材料等价格风险由发包人承担。</w:t>
      </w:r>
    </w:p>
    <w:p w14:paraId="287762B8">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12.2 预付款</w:t>
      </w:r>
    </w:p>
    <w:bookmarkEnd w:id="430"/>
    <w:bookmarkEnd w:id="431"/>
    <w:bookmarkEnd w:id="432"/>
    <w:bookmarkEnd w:id="433"/>
    <w:bookmarkEnd w:id="434"/>
    <w:bookmarkEnd w:id="435"/>
    <w:p w14:paraId="1A2C87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3DD9A5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58DE0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C02909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A2BD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67CAE0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98F54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36"/>
    <w:bookmarkEnd w:id="437"/>
    <w:bookmarkEnd w:id="438"/>
    <w:bookmarkEnd w:id="439"/>
    <w:bookmarkEnd w:id="440"/>
    <w:bookmarkEnd w:id="441"/>
    <w:bookmarkEnd w:id="442"/>
    <w:bookmarkEnd w:id="443"/>
    <w:bookmarkEnd w:id="444"/>
    <w:bookmarkEnd w:id="445"/>
    <w:p w14:paraId="3DA995B5">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18EC98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751F812D">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2BF71C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0BEC31E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见《专用合同条款数据表》 </w:t>
      </w:r>
      <w:r>
        <w:rPr>
          <w:rFonts w:hint="eastAsia" w:cs="宋体"/>
          <w:b/>
          <w:color w:val="auto"/>
          <w:sz w:val="21"/>
          <w:szCs w:val="21"/>
          <w:highlight w:val="none"/>
        </w:rPr>
        <w:t>。</w:t>
      </w:r>
    </w:p>
    <w:p w14:paraId="657809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65ADEC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w:t>
      </w:r>
      <w:r>
        <w:rPr>
          <w:rFonts w:hint="eastAsia" w:cs="宋体"/>
          <w:color w:val="auto"/>
          <w:spacing w:val="8"/>
          <w:sz w:val="21"/>
          <w:szCs w:val="21"/>
          <w:highlight w:val="none"/>
          <w:u w:val="single"/>
        </w:rPr>
        <w:t>固定综合单价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F3D4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4FDD70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不执行    </w:t>
      </w:r>
      <w:r>
        <w:rPr>
          <w:rFonts w:hint="eastAsia" w:cs="宋体"/>
          <w:color w:val="auto"/>
          <w:sz w:val="21"/>
          <w:szCs w:val="21"/>
          <w:highlight w:val="none"/>
        </w:rPr>
        <w:t>。</w:t>
      </w:r>
    </w:p>
    <w:p w14:paraId="44DC2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不执行  </w:t>
      </w:r>
      <w:r>
        <w:rPr>
          <w:rFonts w:hint="eastAsia" w:cs="宋体"/>
          <w:b/>
          <w:color w:val="auto"/>
          <w:sz w:val="21"/>
          <w:szCs w:val="21"/>
          <w:highlight w:val="none"/>
        </w:rPr>
        <w:t>。</w:t>
      </w:r>
    </w:p>
    <w:p w14:paraId="104D34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7E12E9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不执行   </w:t>
      </w:r>
      <w:r>
        <w:rPr>
          <w:rFonts w:hint="eastAsia" w:cs="宋体"/>
          <w:color w:val="auto"/>
          <w:sz w:val="21"/>
          <w:szCs w:val="21"/>
          <w:highlight w:val="none"/>
        </w:rPr>
        <w:t>。</w:t>
      </w:r>
    </w:p>
    <w:p w14:paraId="78EA6546">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B94AD51">
      <w:pPr>
        <w:adjustRightInd w:val="0"/>
        <w:snapToGrid w:val="0"/>
        <w:spacing w:line="360" w:lineRule="auto"/>
        <w:ind w:firstLine="420" w:firstLineChars="200"/>
        <w:rPr>
          <w:rFonts w:cs="宋体"/>
          <w:color w:val="auto"/>
          <w:sz w:val="21"/>
          <w:szCs w:val="21"/>
          <w:highlight w:val="none"/>
        </w:rPr>
      </w:pPr>
      <w:bookmarkStart w:id="446" w:name="_Toc292559921"/>
      <w:bookmarkStart w:id="447" w:name="_Toc297120511"/>
      <w:bookmarkStart w:id="448" w:name="_Toc297216215"/>
      <w:bookmarkStart w:id="449" w:name="_Toc296944550"/>
      <w:bookmarkStart w:id="450" w:name="_Toc296347210"/>
      <w:bookmarkStart w:id="451" w:name="_Toc296346712"/>
      <w:bookmarkStart w:id="452" w:name="_Toc296891251"/>
      <w:bookmarkStart w:id="453" w:name="_Toc296503211"/>
      <w:bookmarkStart w:id="454" w:name="_Toc297048397"/>
      <w:bookmarkStart w:id="455" w:name="_Toc292559416"/>
      <w:bookmarkStart w:id="456" w:name="_Toc300935006"/>
      <w:bookmarkStart w:id="457" w:name="_Toc303539163"/>
      <w:bookmarkStart w:id="458" w:name="_Toc297123556"/>
      <w:bookmarkStart w:id="459" w:name="_Toc296891039"/>
      <w:r>
        <w:rPr>
          <w:rFonts w:hint="eastAsia" w:cs="宋体"/>
          <w:color w:val="auto"/>
          <w:sz w:val="21"/>
          <w:szCs w:val="21"/>
          <w:highlight w:val="none"/>
        </w:rPr>
        <w:t>12.4.1 付款周期</w:t>
      </w:r>
    </w:p>
    <w:p w14:paraId="094B0A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5A6D1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25C9706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不执行 </w:t>
      </w:r>
      <w:r>
        <w:rPr>
          <w:rFonts w:hint="eastAsia" w:cs="宋体"/>
          <w:color w:val="auto"/>
          <w:sz w:val="21"/>
          <w:szCs w:val="21"/>
          <w:highlight w:val="none"/>
        </w:rPr>
        <w:t>。</w:t>
      </w:r>
    </w:p>
    <w:p w14:paraId="41F3403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cs="宋体"/>
          <w:color w:val="auto"/>
          <w:sz w:val="21"/>
          <w:szCs w:val="21"/>
          <w:highlight w:val="none"/>
        </w:rPr>
        <w:t>2.4.3 进度付款申请单的提交</w:t>
      </w:r>
    </w:p>
    <w:p w14:paraId="30F979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不执行  </w:t>
      </w:r>
      <w:r>
        <w:rPr>
          <w:rFonts w:hint="eastAsia" w:cs="宋体"/>
          <w:color w:val="auto"/>
          <w:sz w:val="21"/>
          <w:szCs w:val="21"/>
          <w:highlight w:val="none"/>
        </w:rPr>
        <w:t>。</w:t>
      </w:r>
    </w:p>
    <w:p w14:paraId="29DED6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不执行  </w:t>
      </w:r>
      <w:r>
        <w:rPr>
          <w:rFonts w:hint="eastAsia" w:cs="宋体"/>
          <w:color w:val="auto"/>
          <w:sz w:val="21"/>
          <w:szCs w:val="21"/>
          <w:highlight w:val="none"/>
        </w:rPr>
        <w:t>。</w:t>
      </w:r>
    </w:p>
    <w:p w14:paraId="1CA0853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不执行 </w:t>
      </w:r>
      <w:r>
        <w:rPr>
          <w:rFonts w:hint="eastAsia" w:cs="宋体"/>
          <w:color w:val="auto"/>
          <w:sz w:val="21"/>
          <w:szCs w:val="21"/>
          <w:highlight w:val="none"/>
        </w:rPr>
        <w:t>。</w:t>
      </w:r>
    </w:p>
    <w:p w14:paraId="265793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E5336D4">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EF5B100">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704EC8D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签订合同并具备实施条件后支付合同总价的40%预付款（预付款支付前，承包人须提供同等金额的见索即付保函），项目完工并验收合格后，经过竣工结算审计，付至工程结算审计价款的100%（结算税率按开票税率结算），同时承包人须提交审计价的2%作为工程质量保证金（取整到个位）至发包人处。</w:t>
      </w:r>
      <w:r>
        <w:rPr>
          <w:rFonts w:hint="eastAsia" w:cs="宋体"/>
          <w:color w:val="auto"/>
          <w:sz w:val="21"/>
          <w:szCs w:val="21"/>
          <w:highlight w:val="none"/>
          <w:u w:val="single"/>
        </w:rPr>
        <w:t>质量保证金支持保函(银行保函、担保机构担保、保证保险)使用，保函有效期须与工程缺陷责任期截止时间保持一致。缺陷责任期(2年)满后，办理缺陷责任期验收手续和质保金退还手续，符合要求后，一个月内退还。</w:t>
      </w:r>
    </w:p>
    <w:p w14:paraId="08E095C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不采用  </w:t>
      </w:r>
      <w:r>
        <w:rPr>
          <w:rFonts w:hint="eastAsia" w:cs="宋体"/>
          <w:color w:val="auto"/>
          <w:sz w:val="21"/>
          <w:szCs w:val="21"/>
          <w:highlight w:val="none"/>
        </w:rPr>
        <w:t>。</w:t>
      </w:r>
    </w:p>
    <w:p w14:paraId="69D110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2B9F829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不执行  </w:t>
      </w:r>
      <w:r>
        <w:rPr>
          <w:rFonts w:hint="eastAsia" w:cs="宋体"/>
          <w:color w:val="auto"/>
          <w:sz w:val="21"/>
          <w:szCs w:val="21"/>
          <w:highlight w:val="none"/>
        </w:rPr>
        <w:t>。</w:t>
      </w:r>
    </w:p>
    <w:p w14:paraId="01AC7BD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7A84E67A">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p>
    <w:p w14:paraId="375D56EA">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   </w:t>
      </w:r>
      <w:r>
        <w:rPr>
          <w:rFonts w:hint="eastAsia" w:cs="宋体"/>
          <w:bCs/>
          <w:color w:val="auto"/>
          <w:sz w:val="21"/>
          <w:szCs w:val="21"/>
          <w:highlight w:val="none"/>
        </w:rPr>
        <w:t>，账号：</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05DD7639">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     </w:t>
      </w:r>
      <w:r>
        <w:rPr>
          <w:rFonts w:hint="eastAsia" w:cs="宋体"/>
          <w:bCs/>
          <w:color w:val="auto"/>
          <w:sz w:val="21"/>
          <w:szCs w:val="21"/>
          <w:highlight w:val="none"/>
        </w:rPr>
        <w:t>元。</w:t>
      </w:r>
    </w:p>
    <w:p w14:paraId="0D2C4F27">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w:t>
      </w:r>
      <w:r>
        <w:rPr>
          <w:rFonts w:hint="eastAsia" w:cs="宋体"/>
          <w:bCs/>
          <w:color w:val="auto"/>
          <w:sz w:val="21"/>
          <w:szCs w:val="21"/>
          <w:highlight w:val="none"/>
          <w:u w:val="single"/>
        </w:rPr>
        <w:t>/</w:t>
      </w:r>
      <w:r>
        <w:rPr>
          <w:rFonts w:hint="eastAsia" w:cs="宋体"/>
          <w:bCs/>
          <w:color w:val="auto"/>
          <w:sz w:val="21"/>
          <w:szCs w:val="21"/>
          <w:highlight w:val="none"/>
        </w:rPr>
        <w:t>日前将工资性工程进度款转入农民工工资专用账户。</w:t>
      </w:r>
    </w:p>
    <w:p w14:paraId="7F8F3BC8">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w:t>
      </w:r>
      <w:r>
        <w:rPr>
          <w:rFonts w:hint="eastAsia" w:cs="宋体"/>
          <w:bCs/>
          <w:color w:val="auto"/>
          <w:sz w:val="21"/>
          <w:szCs w:val="21"/>
          <w:highlight w:val="none"/>
          <w:u w:val="single"/>
        </w:rPr>
        <w:t>/</w:t>
      </w:r>
      <w:r>
        <w:rPr>
          <w:rFonts w:hint="eastAsia" w:cs="宋体"/>
          <w:bCs/>
          <w:color w:val="auto"/>
          <w:sz w:val="21"/>
          <w:szCs w:val="21"/>
          <w:highlight w:val="none"/>
        </w:rPr>
        <w:t>日前上报本工程农民工工资清单，每月</w:t>
      </w:r>
      <w:r>
        <w:rPr>
          <w:rFonts w:hint="eastAsia" w:cs="宋体"/>
          <w:bCs/>
          <w:color w:val="auto"/>
          <w:sz w:val="21"/>
          <w:szCs w:val="21"/>
          <w:highlight w:val="none"/>
          <w:u w:val="single"/>
        </w:rPr>
        <w:t>/</w:t>
      </w:r>
      <w:r>
        <w:rPr>
          <w:rFonts w:hint="eastAsia" w:cs="宋体"/>
          <w:bCs/>
          <w:color w:val="auto"/>
          <w:sz w:val="21"/>
          <w:szCs w:val="21"/>
          <w:highlight w:val="none"/>
        </w:rPr>
        <w:t>日前委托开设农民工工资专用账户的银行支付农民工工资。</w:t>
      </w:r>
    </w:p>
    <w:p w14:paraId="7B4C8502">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27"/>
    <w:p w14:paraId="03022075">
      <w:pPr>
        <w:snapToGrid w:val="0"/>
        <w:spacing w:line="360" w:lineRule="auto"/>
        <w:ind w:firstLine="420" w:firstLineChars="200"/>
        <w:outlineLvl w:val="2"/>
        <w:rPr>
          <w:rFonts w:cs="宋体"/>
          <w:color w:val="auto"/>
          <w:sz w:val="21"/>
          <w:szCs w:val="21"/>
          <w:highlight w:val="none"/>
        </w:rPr>
      </w:pPr>
      <w:bookmarkStart w:id="460" w:name="_Toc351203645"/>
      <w:bookmarkStart w:id="461" w:name="_Toc297048405"/>
      <w:bookmarkStart w:id="462" w:name="_Toc296891047"/>
      <w:bookmarkStart w:id="463" w:name="_Toc304295593"/>
      <w:bookmarkStart w:id="464" w:name="_Toc297120519"/>
      <w:bookmarkStart w:id="465" w:name="_Toc300935015"/>
      <w:bookmarkStart w:id="466" w:name="_Toc312678053"/>
      <w:bookmarkStart w:id="467" w:name="_Toc292559929"/>
      <w:bookmarkStart w:id="468" w:name="_Toc292559424"/>
      <w:bookmarkStart w:id="469" w:name="_Toc297123564"/>
      <w:bookmarkStart w:id="470" w:name="_Toc303539172"/>
      <w:bookmarkStart w:id="471" w:name="_Toc296347218"/>
      <w:bookmarkStart w:id="472" w:name="_Toc296944558"/>
      <w:bookmarkStart w:id="473" w:name="_Toc297216223"/>
      <w:bookmarkStart w:id="474" w:name="_Toc296346720"/>
      <w:bookmarkStart w:id="475" w:name="_Toc296891259"/>
      <w:bookmarkStart w:id="476" w:name="_Toc296503219"/>
      <w:r>
        <w:rPr>
          <w:rFonts w:hint="eastAsia" w:cs="宋体"/>
          <w:color w:val="auto"/>
          <w:sz w:val="21"/>
          <w:szCs w:val="21"/>
          <w:highlight w:val="none"/>
        </w:rPr>
        <w:t>13. 验收和工程试车</w:t>
      </w:r>
      <w:bookmarkEnd w:id="460"/>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0A40978F">
      <w:pPr>
        <w:keepNext/>
        <w:keepLines/>
        <w:snapToGrid w:val="0"/>
        <w:spacing w:line="360" w:lineRule="auto"/>
        <w:ind w:firstLine="420" w:firstLineChars="200"/>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0B78B2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50F90F6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1BB7C411">
      <w:pPr>
        <w:keepNext/>
        <w:keepLines/>
        <w:snapToGrid w:val="0"/>
        <w:spacing w:line="360" w:lineRule="auto"/>
        <w:ind w:firstLine="420" w:firstLineChars="200"/>
        <w:outlineLvl w:val="3"/>
        <w:rPr>
          <w:rFonts w:cs="宋体"/>
          <w:bCs/>
          <w:color w:val="auto"/>
          <w:sz w:val="21"/>
          <w:szCs w:val="21"/>
          <w:highlight w:val="none"/>
        </w:rPr>
      </w:pPr>
      <w:bookmarkStart w:id="477" w:name="_Toc300935016"/>
      <w:bookmarkStart w:id="478" w:name="_Toc296944562"/>
      <w:bookmarkStart w:id="479" w:name="_Toc296347222"/>
      <w:bookmarkStart w:id="480" w:name="_Toc312678056"/>
      <w:bookmarkStart w:id="481" w:name="_Toc304295596"/>
      <w:bookmarkStart w:id="482" w:name="_Toc292559933"/>
      <w:bookmarkStart w:id="483" w:name="_Toc296891263"/>
      <w:bookmarkStart w:id="484" w:name="_Toc292559428"/>
      <w:bookmarkStart w:id="485" w:name="_Toc303539173"/>
      <w:bookmarkStart w:id="486" w:name="_Toc296891051"/>
      <w:bookmarkStart w:id="487" w:name="_Toc297123565"/>
      <w:bookmarkStart w:id="488" w:name="_Toc296503223"/>
      <w:bookmarkStart w:id="489" w:name="_Toc297048409"/>
      <w:bookmarkStart w:id="490" w:name="_Toc297120523"/>
      <w:bookmarkStart w:id="491" w:name="_Toc297216224"/>
      <w:bookmarkStart w:id="492" w:name="_Toc296346724"/>
      <w:bookmarkStart w:id="493" w:name="_Toc267251474"/>
      <w:bookmarkStart w:id="494" w:name="_Toc267251471"/>
      <w:bookmarkStart w:id="495" w:name="_Toc267251475"/>
      <w:bookmarkStart w:id="496" w:name="_Toc267251476"/>
      <w:bookmarkStart w:id="497" w:name="_Toc267251473"/>
      <w:bookmarkStart w:id="498" w:name="_Toc267251470"/>
      <w:bookmarkStart w:id="499" w:name="_Toc267251472"/>
      <w:r>
        <w:rPr>
          <w:rFonts w:hint="eastAsia" w:cs="宋体"/>
          <w:bCs/>
          <w:color w:val="auto"/>
          <w:sz w:val="21"/>
          <w:szCs w:val="21"/>
          <w:highlight w:val="none"/>
        </w:rPr>
        <w:t>13.2 竣工验收</w:t>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14:paraId="29D018BF">
      <w:pPr>
        <w:adjustRightInd w:val="0"/>
        <w:snapToGrid w:val="0"/>
        <w:spacing w:line="360" w:lineRule="auto"/>
        <w:ind w:firstLine="420" w:firstLineChars="200"/>
        <w:rPr>
          <w:rFonts w:cs="宋体"/>
          <w:color w:val="auto"/>
          <w:sz w:val="21"/>
          <w:szCs w:val="21"/>
          <w:highlight w:val="none"/>
        </w:rPr>
      </w:pPr>
      <w:bookmarkStart w:id="500" w:name="_Toc280868704"/>
      <w:bookmarkStart w:id="501" w:name="_Toc280868705"/>
      <w:bookmarkStart w:id="502" w:name="_Toc280868706"/>
      <w:bookmarkStart w:id="503" w:name="_Toc280868707"/>
      <w:bookmarkStart w:id="504" w:name="_Toc280868708"/>
      <w:bookmarkStart w:id="505" w:name="_Toc280868709"/>
      <w:r>
        <w:rPr>
          <w:rFonts w:hint="eastAsia" w:cs="宋体"/>
          <w:color w:val="auto"/>
          <w:sz w:val="21"/>
          <w:szCs w:val="21"/>
          <w:highlight w:val="none"/>
        </w:rPr>
        <w:t>13.2.2 竣工验收程序</w:t>
      </w:r>
    </w:p>
    <w:bookmarkEnd w:id="500"/>
    <w:p w14:paraId="45346B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承包人应提交完整的各类工程资料、结算文件、竣工验收报告、环境检测报告等，经发包人审核合格后，按相关规章制度组织竣工验收。</w:t>
      </w:r>
    </w:p>
    <w:p w14:paraId="319A979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01"/>
    <w:p w14:paraId="6263E2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02"/>
    <w:p w14:paraId="7A6F65A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竣工验收合格后7天内完成工程的移交</w:t>
      </w:r>
      <w:r>
        <w:rPr>
          <w:rFonts w:hint="eastAsia" w:cs="宋体"/>
          <w:color w:val="auto"/>
          <w:sz w:val="21"/>
          <w:szCs w:val="21"/>
          <w:highlight w:val="none"/>
        </w:rPr>
        <w:t>。</w:t>
      </w:r>
    </w:p>
    <w:p w14:paraId="7495517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不考虑</w:t>
      </w:r>
      <w:r>
        <w:rPr>
          <w:rFonts w:hint="eastAsia" w:cs="宋体"/>
          <w:color w:val="auto"/>
          <w:sz w:val="21"/>
          <w:szCs w:val="21"/>
          <w:highlight w:val="none"/>
        </w:rPr>
        <w:t>。</w:t>
      </w:r>
    </w:p>
    <w:bookmarkEnd w:id="503"/>
    <w:p w14:paraId="2A8D8369">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 xml:space="preserve">暂停工程款支付；承包人承担工程照管、成品保护、保管等与工程有关的各项费用 </w:t>
      </w:r>
      <w:r>
        <w:rPr>
          <w:rFonts w:hint="eastAsia" w:cs="宋体"/>
          <w:color w:val="auto"/>
          <w:sz w:val="21"/>
          <w:szCs w:val="21"/>
          <w:highlight w:val="none"/>
        </w:rPr>
        <w:t>。</w:t>
      </w:r>
    </w:p>
    <w:p w14:paraId="73E96B01">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04"/>
    <w:p w14:paraId="251148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CF534F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配电线路带符合运转，无条件配合空调安装项目的调试，并由此承担自身过失责任</w:t>
      </w:r>
      <w:r>
        <w:rPr>
          <w:rFonts w:hint="eastAsia" w:cs="宋体"/>
          <w:color w:val="auto"/>
          <w:sz w:val="21"/>
          <w:szCs w:val="21"/>
          <w:highlight w:val="none"/>
        </w:rPr>
        <w:t>。</w:t>
      </w:r>
    </w:p>
    <w:p w14:paraId="41C0D7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承包人</w:t>
      </w:r>
      <w:r>
        <w:rPr>
          <w:rFonts w:hint="eastAsia" w:cs="宋体"/>
          <w:color w:val="auto"/>
          <w:sz w:val="21"/>
          <w:szCs w:val="21"/>
          <w:highlight w:val="none"/>
        </w:rPr>
        <w:t>承担；</w:t>
      </w:r>
    </w:p>
    <w:p w14:paraId="626C11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承包人</w:t>
      </w:r>
      <w:r>
        <w:rPr>
          <w:rFonts w:hint="eastAsia" w:cs="宋体"/>
          <w:color w:val="auto"/>
          <w:sz w:val="21"/>
          <w:szCs w:val="21"/>
          <w:highlight w:val="none"/>
        </w:rPr>
        <w:t>承担。</w:t>
      </w:r>
    </w:p>
    <w:p w14:paraId="111C9B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66F1C8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8C1697E">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7B8632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289AB70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竣工之日起15日内</w:t>
      </w:r>
      <w:r>
        <w:rPr>
          <w:rFonts w:hint="eastAsia" w:cs="宋体"/>
          <w:color w:val="auto"/>
          <w:sz w:val="21"/>
          <w:szCs w:val="21"/>
          <w:highlight w:val="none"/>
        </w:rPr>
        <w:t>。</w:t>
      </w:r>
    </w:p>
    <w:p w14:paraId="6D245982">
      <w:pPr>
        <w:snapToGrid w:val="0"/>
        <w:spacing w:line="360" w:lineRule="auto"/>
        <w:ind w:firstLine="420" w:firstLineChars="200"/>
        <w:outlineLvl w:val="2"/>
        <w:rPr>
          <w:rFonts w:cs="宋体"/>
          <w:color w:val="auto"/>
          <w:sz w:val="21"/>
          <w:szCs w:val="21"/>
          <w:highlight w:val="none"/>
        </w:rPr>
      </w:pPr>
      <w:bookmarkStart w:id="506" w:name="_Toc351203646"/>
      <w:r>
        <w:rPr>
          <w:rFonts w:hint="eastAsia" w:cs="宋体"/>
          <w:color w:val="auto"/>
          <w:sz w:val="21"/>
          <w:szCs w:val="21"/>
          <w:highlight w:val="none"/>
        </w:rPr>
        <w:t>14. 竣工结算</w:t>
      </w:r>
      <w:bookmarkEnd w:id="506"/>
    </w:p>
    <w:p w14:paraId="2BF83A55">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7118DC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承包人应在工程竣工验收合格后10天内</w:t>
      </w:r>
      <w:r>
        <w:rPr>
          <w:rFonts w:hint="eastAsia" w:cs="宋体"/>
          <w:color w:val="auto"/>
          <w:sz w:val="21"/>
          <w:szCs w:val="21"/>
          <w:highlight w:val="none"/>
        </w:rPr>
        <w:t>。</w:t>
      </w:r>
    </w:p>
    <w:p w14:paraId="2C8F92F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51C30AC1">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55DE6D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0CD608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358FDA4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334EB4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4F6E1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3EFB90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纸质材料2份，电子稿1份    </w:t>
      </w:r>
      <w:r>
        <w:rPr>
          <w:rFonts w:hint="eastAsia" w:cs="宋体"/>
          <w:color w:val="auto"/>
          <w:sz w:val="21"/>
          <w:szCs w:val="21"/>
          <w:highlight w:val="none"/>
        </w:rPr>
        <w:t>。</w:t>
      </w:r>
    </w:p>
    <w:p w14:paraId="683328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599897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bookmarkEnd w:id="493"/>
    <w:bookmarkEnd w:id="494"/>
    <w:bookmarkEnd w:id="495"/>
    <w:bookmarkEnd w:id="496"/>
    <w:bookmarkEnd w:id="497"/>
    <w:bookmarkEnd w:id="498"/>
    <w:bookmarkEnd w:id="499"/>
    <w:bookmarkEnd w:id="505"/>
    <w:p w14:paraId="08A7FCE1">
      <w:pPr>
        <w:snapToGrid w:val="0"/>
        <w:spacing w:line="360" w:lineRule="auto"/>
        <w:ind w:firstLine="420" w:firstLineChars="200"/>
        <w:rPr>
          <w:rFonts w:cs="宋体"/>
          <w:color w:val="auto"/>
          <w:sz w:val="21"/>
          <w:szCs w:val="21"/>
          <w:highlight w:val="none"/>
        </w:rPr>
      </w:pPr>
      <w:bookmarkStart w:id="507" w:name="_Toc351203647"/>
      <w:bookmarkStart w:id="508" w:name="_Toc267251483"/>
      <w:bookmarkStart w:id="509" w:name="_Toc267251484"/>
      <w:bookmarkStart w:id="510" w:name="_Toc267251482"/>
      <w:bookmarkStart w:id="511" w:name="_Toc267251485"/>
      <w:bookmarkStart w:id="512" w:name="_Toc267251486"/>
      <w:bookmarkStart w:id="513" w:name="_Toc267251490"/>
      <w:bookmarkStart w:id="514" w:name="_Toc267251489"/>
      <w:bookmarkStart w:id="515" w:name="_Toc267251488"/>
      <w:bookmarkStart w:id="516" w:name="_Toc267251491"/>
      <w:bookmarkStart w:id="517" w:name="_Toc267251499"/>
      <w:bookmarkStart w:id="518" w:name="_Toc267251502"/>
      <w:bookmarkStart w:id="519" w:name="_Toc267251495"/>
      <w:bookmarkStart w:id="520" w:name="_Toc267251492"/>
      <w:bookmarkStart w:id="521" w:name="_Toc267251493"/>
      <w:bookmarkStart w:id="522" w:name="_Toc267251501"/>
      <w:bookmarkStart w:id="523" w:name="_Toc267251498"/>
      <w:bookmarkStart w:id="524" w:name="_Toc267251494"/>
      <w:bookmarkStart w:id="525" w:name="_Toc267251497"/>
      <w:bookmarkStart w:id="526" w:name="_Toc267251496"/>
      <w:bookmarkStart w:id="527" w:name="_Toc267251503"/>
      <w:bookmarkStart w:id="528" w:name="_Toc267251506"/>
      <w:bookmarkStart w:id="529" w:name="_Toc267251504"/>
      <w:bookmarkStart w:id="530" w:name="_Toc267251507"/>
      <w:bookmarkStart w:id="531" w:name="_Toc267251508"/>
      <w:bookmarkStart w:id="532" w:name="_Toc267251510"/>
      <w:bookmarkStart w:id="533" w:name="_Toc267251511"/>
      <w:bookmarkStart w:id="534" w:name="_Toc267251515"/>
      <w:bookmarkStart w:id="535" w:name="_Toc267251509"/>
      <w:bookmarkStart w:id="536" w:name="_Toc267251514"/>
      <w:bookmarkStart w:id="537" w:name="_Toc267251513"/>
      <w:r>
        <w:rPr>
          <w:rFonts w:hint="eastAsia" w:cs="宋体"/>
          <w:color w:val="auto"/>
          <w:sz w:val="21"/>
          <w:szCs w:val="21"/>
          <w:highlight w:val="none"/>
        </w:rPr>
        <w:t xml:space="preserve">14.4.1 按照发包人工程审计相关管理办法规定执行。 </w:t>
      </w:r>
    </w:p>
    <w:p w14:paraId="7FDF0940">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发包人审批竣工付款申请单的期限：</w:t>
      </w:r>
      <w:r>
        <w:rPr>
          <w:rFonts w:hint="eastAsia" w:cs="宋体"/>
          <w:color w:val="auto"/>
          <w:sz w:val="21"/>
          <w:szCs w:val="21"/>
          <w:highlight w:val="none"/>
          <w:u w:val="single"/>
        </w:rPr>
        <w:t>审核备案后</w:t>
      </w:r>
      <w:r>
        <w:rPr>
          <w:rFonts w:hint="eastAsia" w:cs="宋体"/>
          <w:color w:val="auto"/>
          <w:sz w:val="21"/>
          <w:szCs w:val="21"/>
          <w:highlight w:val="none"/>
        </w:rPr>
        <w:t xml:space="preserve">。 </w:t>
      </w:r>
    </w:p>
    <w:p w14:paraId="5B3518D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14.4.3 发包人完成竣工付款的期限：</w:t>
      </w:r>
      <w:r>
        <w:rPr>
          <w:rFonts w:hint="eastAsia" w:cs="宋体"/>
          <w:color w:val="auto"/>
          <w:sz w:val="21"/>
          <w:szCs w:val="21"/>
          <w:highlight w:val="none"/>
          <w:u w:val="single"/>
        </w:rPr>
        <w:t xml:space="preserve"> /</w:t>
      </w:r>
      <w:r>
        <w:rPr>
          <w:rFonts w:hint="eastAsia" w:cs="宋体"/>
          <w:color w:val="auto"/>
          <w:sz w:val="21"/>
          <w:szCs w:val="21"/>
          <w:highlight w:val="none"/>
        </w:rPr>
        <w:t xml:space="preserve"> 。 </w:t>
      </w:r>
    </w:p>
    <w:p w14:paraId="33AD39A6">
      <w:pPr>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14.4.4 关于竣工付款证书异议部分复核的方式和程序：</w:t>
      </w:r>
      <w:r>
        <w:rPr>
          <w:rFonts w:hint="eastAsia" w:cs="宋体"/>
          <w:color w:val="auto"/>
          <w:sz w:val="21"/>
          <w:szCs w:val="21"/>
          <w:highlight w:val="none"/>
          <w:u w:val="single"/>
        </w:rPr>
        <w:t>查阅竣工图纸、施工合同、本项目招标控制价电子版和书面文本、签证资料、结算书、材料价格证明资料以及与竣工造价有关的相关资料</w:t>
      </w:r>
      <w:r>
        <w:rPr>
          <w:rFonts w:hint="eastAsia" w:cs="宋体"/>
          <w:color w:val="auto"/>
          <w:sz w:val="21"/>
          <w:szCs w:val="21"/>
          <w:highlight w:val="none"/>
        </w:rPr>
        <w:t xml:space="preserve">。 </w:t>
      </w:r>
    </w:p>
    <w:p w14:paraId="680A94B3">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关于竣工结算超额审计费用：</w:t>
      </w:r>
      <w:r>
        <w:rPr>
          <w:rFonts w:hint="eastAsia" w:cs="宋体"/>
          <w:b/>
          <w:bCs/>
          <w:color w:val="auto"/>
          <w:sz w:val="21"/>
          <w:szCs w:val="21"/>
          <w:highlight w:val="none"/>
          <w:u w:val="single"/>
        </w:rPr>
        <w:t>根据《滁州市人民政府办公室关于印发市政府投资建设项目审计监督颁发的通知》第二十三条规定，对审减率超过10%的工程项目，超过部分应支付的审计费用，由施工单位承担，项目结算付款单位根据审计结果从工程待结价款中扣除。</w:t>
      </w:r>
    </w:p>
    <w:p w14:paraId="0CB52D76">
      <w:pPr>
        <w:snapToGrid w:val="0"/>
        <w:spacing w:line="360" w:lineRule="auto"/>
        <w:ind w:left="400" w:leftChars="200" w:firstLine="420" w:firstLineChars="200"/>
        <w:jc w:val="left"/>
        <w:rPr>
          <w:rFonts w:cs="宋体"/>
          <w:color w:val="auto"/>
          <w:sz w:val="21"/>
          <w:szCs w:val="21"/>
          <w:highlight w:val="none"/>
        </w:rPr>
      </w:pPr>
      <w:r>
        <w:rPr>
          <w:rFonts w:hint="eastAsia" w:cs="宋体"/>
          <w:color w:val="auto"/>
          <w:sz w:val="21"/>
          <w:szCs w:val="21"/>
          <w:highlight w:val="none"/>
        </w:rPr>
        <w:t>14.4.5送审要求：</w:t>
      </w:r>
    </w:p>
    <w:p w14:paraId="3863F5E0">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承包人竣工结算审核资料应该一次性申报，发包人只接受一次申报结算，若承包人申报结算有遗漏（工程量少报、漏报、掉项）不得追加；承包人申报资料若有缺陷，只有发包人要求补充、完善时方可补充。结算结束标志，发承包人双方签署结算单（工程定案表）。    （2）此工程采取跟踪审计制度，工程竣工审计结算时，对工程结算审减额10%以上（不含10%）的部分,由承包人承担审计咨询费用；对审减额在10％以下（含10%）的部分，由发包人承担审计咨询费。承包人承担的审计咨询费用由发包人从工程款中代扣。</w:t>
      </w:r>
    </w:p>
    <w:p w14:paraId="5F941D03">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（3）承包人委派</w:t>
      </w:r>
      <w:r>
        <w:rPr>
          <w:rFonts w:hint="eastAsia" w:cs="宋体"/>
          <w:color w:val="auto"/>
          <w:sz w:val="21"/>
          <w:szCs w:val="21"/>
          <w:highlight w:val="none"/>
          <w:u w:val="single"/>
        </w:rPr>
        <w:t>（姓名：  ） （电话：      ）（邮箱：    </w:t>
      </w:r>
      <w:r>
        <w:rPr>
          <w:rFonts w:hint="eastAsia" w:cs="宋体"/>
          <w:color w:val="auto"/>
          <w:sz w:val="21"/>
          <w:szCs w:val="21"/>
          <w:highlight w:val="none"/>
        </w:rPr>
        <w:t>）代表承包人全权办理与结算审计相关的一切事宜。</w:t>
      </w:r>
    </w:p>
    <w:p w14:paraId="0079FDD1">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（4）承包人须积极配合发包人审计费开票工作,承包人纳税人识别号</w:t>
      </w:r>
      <w:r>
        <w:rPr>
          <w:rFonts w:hint="eastAsia" w:cs="宋体"/>
          <w:color w:val="auto"/>
          <w:sz w:val="21"/>
          <w:szCs w:val="21"/>
          <w:highlight w:val="none"/>
          <w:u w:val="single"/>
        </w:rPr>
        <w:t>：     ，</w:t>
      </w:r>
      <w:r>
        <w:rPr>
          <w:rFonts w:hint="eastAsia" w:cs="宋体"/>
          <w:color w:val="auto"/>
          <w:sz w:val="21"/>
          <w:szCs w:val="21"/>
          <w:highlight w:val="none"/>
        </w:rPr>
        <w:t>开户行及账号：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16688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（5）承包人承诺此工程开票税率：</w:t>
      </w:r>
      <w:r>
        <w:rPr>
          <w:rFonts w:hint="eastAsia" w:cs="宋体"/>
          <w:color w:val="auto"/>
          <w:sz w:val="21"/>
          <w:szCs w:val="21"/>
          <w:highlight w:val="none"/>
          <w:u w:val="single"/>
        </w:rPr>
        <w:t xml:space="preserve">         </w:t>
      </w:r>
      <w:r>
        <w:rPr>
          <w:rFonts w:hint="eastAsia" w:cs="宋体"/>
          <w:color w:val="auto"/>
          <w:sz w:val="21"/>
          <w:szCs w:val="21"/>
          <w:highlight w:val="none"/>
        </w:rPr>
        <w:t>%。（结算税率按开票税率结算）</w:t>
      </w:r>
    </w:p>
    <w:p w14:paraId="339DF224">
      <w:pPr>
        <w:snapToGrid w:val="0"/>
        <w:spacing w:line="360" w:lineRule="auto"/>
        <w:ind w:firstLine="420" w:firstLineChars="200"/>
        <w:outlineLvl w:val="2"/>
        <w:rPr>
          <w:rFonts w:cs="宋体"/>
          <w:color w:val="auto"/>
          <w:sz w:val="21"/>
          <w:szCs w:val="21"/>
          <w:highlight w:val="none"/>
        </w:rPr>
      </w:pPr>
      <w:r>
        <w:rPr>
          <w:rFonts w:hint="eastAsia" w:cs="宋体"/>
          <w:color w:val="auto"/>
          <w:sz w:val="21"/>
          <w:szCs w:val="21"/>
          <w:highlight w:val="none"/>
        </w:rPr>
        <w:t>15. 缺陷责任期与保修</w:t>
      </w:r>
      <w:bookmarkEnd w:id="507"/>
    </w:p>
    <w:p w14:paraId="48032FC9">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08"/>
    </w:p>
    <w:p w14:paraId="5494785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3E5AE47">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1544F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见《专用合同条款数据表》</w:t>
      </w:r>
      <w:r>
        <w:rPr>
          <w:rFonts w:hint="eastAsia" w:cs="宋体"/>
          <w:color w:val="auto"/>
          <w:sz w:val="21"/>
          <w:szCs w:val="21"/>
          <w:highlight w:val="none"/>
        </w:rPr>
        <w:t>。在工程项目竣工前，承包人按专用合同条款第3.7款提供履约保证金的，发包人不得同时预留工程质量保证金。</w:t>
      </w:r>
    </w:p>
    <w:p w14:paraId="35C0B07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22B41E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516A99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EA7D9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6BD48B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487C4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6F4476B0">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质量保证金的扣留采取以下方式：</w:t>
      </w:r>
    </w:p>
    <w:p w14:paraId="5E208C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ED099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75D18F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29FF0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bookmarkEnd w:id="509"/>
    <w:bookmarkEnd w:id="510"/>
    <w:p w14:paraId="472C42A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关于质量保证金的补充约定：</w:t>
      </w:r>
      <w:r>
        <w:rPr>
          <w:rFonts w:hint="eastAsia" w:cs="宋体"/>
          <w:color w:val="auto"/>
          <w:sz w:val="21"/>
          <w:szCs w:val="21"/>
          <w:highlight w:val="none"/>
          <w:u w:val="single"/>
        </w:rPr>
        <w:t>质量保证金支持保函（银行保函、担保机构担保、保证保险）使用。采用保函的，保函有效期须与缺陷责任期截止时间保持一致</w:t>
      </w:r>
      <w:r>
        <w:rPr>
          <w:rFonts w:hint="eastAsia" w:cs="宋体"/>
          <w:color w:val="auto"/>
          <w:sz w:val="21"/>
          <w:szCs w:val="21"/>
          <w:highlight w:val="none"/>
        </w:rPr>
        <w:t>。</w:t>
      </w:r>
    </w:p>
    <w:p w14:paraId="0E9D36FF">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11"/>
    <w:p w14:paraId="0622AA1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1F3C9FE5">
      <w:pPr>
        <w:snapToGrid w:val="0"/>
        <w:spacing w:line="360" w:lineRule="auto"/>
        <w:ind w:firstLine="420" w:firstLineChars="200"/>
        <w:jc w:val="left"/>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本项目免费质量保证期自验收合格之日起，防水不低于5年,其他内容不低于2年，具体以承包人承诺时间为准。</w:t>
      </w:r>
    </w:p>
    <w:p w14:paraId="77FDA0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647CA0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质保期内发生非人为质量问题，中标人收到采购人通知时，应及时响应及时处置，符合维修条件时，3天内完成维修，如遇紧急情况，按采购人要求执行。不能按采购人要求及时到达及时维修的，由采购人组织第三方维修，费用由中标人支付，其发生的费用无需征得中标人同意。中标人拒绝支付的，采购人有权通过法律途径解决。质保期内，同一位置的大便器、小便器、冲洗水箱发生故障、失灵两次及以上的，中标人须无条件更换新品。给采购人造成损失或社会不良影响的，视为违约行为，采购人有权依法依规追究其法律责任。</w:t>
      </w:r>
    </w:p>
    <w:bookmarkEnd w:id="512"/>
    <w:bookmarkEnd w:id="513"/>
    <w:bookmarkEnd w:id="514"/>
    <w:bookmarkEnd w:id="515"/>
    <w:p w14:paraId="1F67379D">
      <w:pPr>
        <w:snapToGrid w:val="0"/>
        <w:spacing w:line="360" w:lineRule="auto"/>
        <w:ind w:firstLine="420" w:firstLineChars="200"/>
        <w:outlineLvl w:val="2"/>
        <w:rPr>
          <w:rFonts w:cs="宋体"/>
          <w:color w:val="auto"/>
          <w:sz w:val="21"/>
          <w:szCs w:val="21"/>
          <w:highlight w:val="none"/>
        </w:rPr>
      </w:pPr>
      <w:bookmarkStart w:id="538" w:name="_Toc351203648"/>
      <w:bookmarkStart w:id="539" w:name="_Toc280868717"/>
      <w:bookmarkStart w:id="540" w:name="_Toc280868718"/>
      <w:r>
        <w:rPr>
          <w:rFonts w:hint="eastAsia" w:cs="宋体"/>
          <w:color w:val="auto"/>
          <w:sz w:val="21"/>
          <w:szCs w:val="21"/>
          <w:highlight w:val="none"/>
        </w:rPr>
        <w:t>16. 违约</w:t>
      </w:r>
      <w:bookmarkEnd w:id="538"/>
    </w:p>
    <w:p w14:paraId="3B04B853">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05C286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34642CB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1ADB26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7B1DFC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62714E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58D2A66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1E9E0B66">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5CDA28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4210C2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2BBE5E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78A6787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642B6B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1C4DD4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441FA963">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72450B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111D985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6A727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47E6F8E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由承包人承担全部费用并承担相关法律责任。</w:t>
      </w:r>
    </w:p>
    <w:p w14:paraId="51C133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3E6DE89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除专用条款约定情形外，其余执行通用条款 </w:t>
      </w:r>
      <w:r>
        <w:rPr>
          <w:rFonts w:hint="eastAsia" w:cs="宋体"/>
          <w:color w:val="auto"/>
          <w:sz w:val="21"/>
          <w:szCs w:val="21"/>
          <w:highlight w:val="none"/>
        </w:rPr>
        <w:t>。</w:t>
      </w:r>
    </w:p>
    <w:p w14:paraId="096AB79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承包人承担费用 </w:t>
      </w:r>
      <w:r>
        <w:rPr>
          <w:rFonts w:hint="eastAsia" w:cs="宋体"/>
          <w:color w:val="auto"/>
          <w:sz w:val="21"/>
          <w:szCs w:val="21"/>
          <w:highlight w:val="none"/>
        </w:rPr>
        <w:t>。</w:t>
      </w:r>
    </w:p>
    <w:p w14:paraId="48982969">
      <w:pPr>
        <w:snapToGrid w:val="0"/>
        <w:spacing w:line="360" w:lineRule="auto"/>
        <w:ind w:firstLine="420" w:firstLineChars="200"/>
        <w:outlineLvl w:val="2"/>
        <w:rPr>
          <w:rFonts w:cs="宋体"/>
          <w:color w:val="auto"/>
          <w:sz w:val="21"/>
          <w:szCs w:val="21"/>
          <w:highlight w:val="none"/>
        </w:rPr>
      </w:pPr>
      <w:bookmarkStart w:id="541" w:name="_Toc351203649"/>
      <w:r>
        <w:rPr>
          <w:rFonts w:hint="eastAsia" w:cs="宋体"/>
          <w:color w:val="auto"/>
          <w:sz w:val="21"/>
          <w:szCs w:val="21"/>
          <w:highlight w:val="none"/>
        </w:rPr>
        <w:t>17. 不可抗力</w:t>
      </w:r>
      <w:bookmarkEnd w:id="541"/>
      <w:r>
        <w:rPr>
          <w:rFonts w:hint="eastAsia" w:cs="宋体"/>
          <w:color w:val="auto"/>
          <w:sz w:val="21"/>
          <w:szCs w:val="21"/>
          <w:highlight w:val="none"/>
        </w:rPr>
        <w:t xml:space="preserve"> </w:t>
      </w:r>
      <w:bookmarkEnd w:id="539"/>
    </w:p>
    <w:p w14:paraId="4BB7B19D">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00C16E2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另行商定</w:t>
      </w:r>
      <w:r>
        <w:rPr>
          <w:rFonts w:hint="eastAsia" w:cs="宋体"/>
          <w:color w:val="auto"/>
          <w:sz w:val="21"/>
          <w:szCs w:val="21"/>
          <w:highlight w:val="none"/>
        </w:rPr>
        <w:t>。</w:t>
      </w:r>
    </w:p>
    <w:p w14:paraId="78C68993">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6EE7420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6AF43440">
      <w:pPr>
        <w:snapToGrid w:val="0"/>
        <w:spacing w:line="360" w:lineRule="auto"/>
        <w:ind w:firstLine="420" w:firstLineChars="200"/>
        <w:outlineLvl w:val="2"/>
        <w:rPr>
          <w:rFonts w:cs="宋体"/>
          <w:color w:val="auto"/>
          <w:sz w:val="21"/>
          <w:szCs w:val="21"/>
          <w:highlight w:val="none"/>
        </w:rPr>
      </w:pPr>
      <w:bookmarkStart w:id="542" w:name="_Toc351203650"/>
      <w:r>
        <w:rPr>
          <w:rFonts w:hint="eastAsia" w:cs="宋体"/>
          <w:color w:val="auto"/>
          <w:sz w:val="21"/>
          <w:szCs w:val="21"/>
          <w:highlight w:val="none"/>
        </w:rPr>
        <w:t>18. 保险</w:t>
      </w:r>
      <w:bookmarkEnd w:id="542"/>
    </w:p>
    <w:bookmarkEnd w:id="540"/>
    <w:p w14:paraId="344CD1CE">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1ABAB607">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color w:val="auto"/>
          <w:sz w:val="21"/>
          <w:szCs w:val="21"/>
          <w:highlight w:val="none"/>
          <w:u w:val="single"/>
        </w:rPr>
        <w:t xml:space="preserve"> 承包人自行考虑 </w:t>
      </w:r>
      <w:r>
        <w:rPr>
          <w:rFonts w:hint="eastAsia" w:cs="宋体"/>
          <w:b/>
          <w:color w:val="auto"/>
          <w:sz w:val="21"/>
          <w:szCs w:val="21"/>
          <w:highlight w:val="none"/>
        </w:rPr>
        <w:t>。</w:t>
      </w:r>
    </w:p>
    <w:p w14:paraId="5778223C">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46E5BDD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2A0470E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3F6DAAE">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4457D491">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16"/>
    <w:bookmarkEnd w:id="517"/>
    <w:bookmarkEnd w:id="518"/>
    <w:bookmarkEnd w:id="519"/>
    <w:bookmarkEnd w:id="520"/>
    <w:bookmarkEnd w:id="521"/>
    <w:bookmarkEnd w:id="522"/>
    <w:bookmarkEnd w:id="523"/>
    <w:bookmarkEnd w:id="524"/>
    <w:bookmarkEnd w:id="525"/>
    <w:bookmarkEnd w:id="526"/>
    <w:bookmarkEnd w:id="527"/>
    <w:p w14:paraId="571A6A9F">
      <w:pPr>
        <w:snapToGrid w:val="0"/>
        <w:spacing w:line="360" w:lineRule="auto"/>
        <w:ind w:firstLine="420" w:firstLineChars="200"/>
        <w:outlineLvl w:val="2"/>
        <w:rPr>
          <w:rFonts w:cs="宋体"/>
          <w:color w:val="auto"/>
          <w:sz w:val="21"/>
          <w:szCs w:val="21"/>
          <w:highlight w:val="none"/>
        </w:rPr>
      </w:pPr>
      <w:bookmarkStart w:id="543" w:name="_Toc351203651"/>
      <w:r>
        <w:rPr>
          <w:rFonts w:hint="eastAsia" w:cs="宋体"/>
          <w:color w:val="auto"/>
          <w:sz w:val="21"/>
          <w:szCs w:val="21"/>
          <w:highlight w:val="none"/>
        </w:rPr>
        <w:t>20. 争议解决</w:t>
      </w:r>
      <w:bookmarkEnd w:id="543"/>
    </w:p>
    <w:bookmarkEnd w:id="528"/>
    <w:bookmarkEnd w:id="529"/>
    <w:p w14:paraId="1F24500F">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30"/>
      <w:r>
        <w:rPr>
          <w:rFonts w:hint="eastAsia" w:cs="宋体"/>
          <w:bCs/>
          <w:color w:val="auto"/>
          <w:sz w:val="21"/>
          <w:szCs w:val="21"/>
          <w:highlight w:val="none"/>
        </w:rPr>
        <w:t>议评审</w:t>
      </w:r>
    </w:p>
    <w:p w14:paraId="4B93B90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不同意   </w:t>
      </w:r>
      <w:r>
        <w:rPr>
          <w:rFonts w:hint="eastAsia" w:cs="宋体"/>
          <w:color w:val="auto"/>
          <w:sz w:val="21"/>
          <w:szCs w:val="21"/>
          <w:highlight w:val="none"/>
        </w:rPr>
        <w:t>。</w:t>
      </w:r>
    </w:p>
    <w:p w14:paraId="77AB06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3D7FB36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75A020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3A2D21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3BA6F4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70B3D5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68DFA9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无                </w:t>
      </w:r>
      <w:r>
        <w:rPr>
          <w:rFonts w:hint="eastAsia" w:cs="宋体"/>
          <w:color w:val="auto"/>
          <w:sz w:val="21"/>
          <w:szCs w:val="21"/>
          <w:highlight w:val="none"/>
        </w:rPr>
        <w:t>。</w:t>
      </w:r>
    </w:p>
    <w:p w14:paraId="41D20584">
      <w:pPr>
        <w:keepNext/>
        <w:keepLines/>
        <w:snapToGrid w:val="0"/>
        <w:spacing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31"/>
    </w:p>
    <w:bookmarkEnd w:id="532"/>
    <w:bookmarkEnd w:id="533"/>
    <w:bookmarkEnd w:id="534"/>
    <w:bookmarkEnd w:id="535"/>
    <w:bookmarkEnd w:id="536"/>
    <w:bookmarkEnd w:id="537"/>
    <w:p w14:paraId="012D25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2345B8A2">
      <w:pPr>
        <w:numPr>
          <w:ilvl w:val="0"/>
          <w:numId w:val="3"/>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滁州 </w:t>
      </w:r>
      <w:r>
        <w:rPr>
          <w:rFonts w:hint="eastAsia" w:cs="宋体"/>
          <w:color w:val="auto"/>
          <w:sz w:val="21"/>
          <w:szCs w:val="21"/>
          <w:highlight w:val="none"/>
        </w:rPr>
        <w:t>仲裁委员会申请仲裁；</w:t>
      </w:r>
    </w:p>
    <w:p w14:paraId="361177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滁州市琅琊区</w:t>
      </w:r>
      <w:r>
        <w:rPr>
          <w:rFonts w:hint="eastAsia" w:cs="宋体"/>
          <w:color w:val="auto"/>
          <w:sz w:val="21"/>
          <w:szCs w:val="21"/>
          <w:highlight w:val="none"/>
        </w:rPr>
        <w:t>人民法院起诉。</w:t>
      </w:r>
    </w:p>
    <w:p w14:paraId="2EB232BB">
      <w:pPr>
        <w:snapToGrid w:val="0"/>
        <w:spacing w:line="360" w:lineRule="auto"/>
        <w:ind w:firstLine="420" w:firstLineChars="200"/>
        <w:outlineLvl w:val="2"/>
        <w:rPr>
          <w:rFonts w:cs="宋体"/>
          <w:color w:val="auto"/>
          <w:sz w:val="21"/>
          <w:szCs w:val="21"/>
          <w:highlight w:val="none"/>
        </w:rPr>
      </w:pPr>
      <w:r>
        <w:rPr>
          <w:rFonts w:hint="eastAsia" w:cs="宋体"/>
          <w:color w:val="auto"/>
          <w:sz w:val="21"/>
          <w:szCs w:val="21"/>
          <w:highlight w:val="none"/>
        </w:rPr>
        <w:t>21.补充条款：</w:t>
      </w:r>
    </w:p>
    <w:p w14:paraId="215E46A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21.1</w:t>
      </w:r>
      <w:r>
        <w:rPr>
          <w:rFonts w:hint="eastAsia" w:cs="宋体"/>
          <w:color w:val="auto"/>
          <w:sz w:val="21"/>
          <w:szCs w:val="21"/>
          <w:highlight w:val="none"/>
          <w:lang w:val="en-US" w:eastAsia="zh-CN"/>
        </w:rPr>
        <w:t>承包人</w:t>
      </w:r>
      <w:r>
        <w:rPr>
          <w:rFonts w:hint="eastAsia" w:cs="宋体"/>
          <w:color w:val="auto"/>
          <w:sz w:val="21"/>
          <w:szCs w:val="21"/>
          <w:highlight w:val="none"/>
        </w:rPr>
        <w:t>施工期间，做好</w:t>
      </w:r>
      <w:r>
        <w:rPr>
          <w:rFonts w:hint="eastAsia" w:cs="宋体"/>
          <w:color w:val="auto"/>
          <w:sz w:val="21"/>
          <w:szCs w:val="21"/>
          <w:highlight w:val="none"/>
          <w:lang w:val="en-US" w:eastAsia="zh-CN"/>
        </w:rPr>
        <w:t>发包人</w:t>
      </w:r>
      <w:r>
        <w:rPr>
          <w:rFonts w:hint="eastAsia" w:cs="宋体"/>
          <w:color w:val="auto"/>
          <w:sz w:val="21"/>
          <w:szCs w:val="21"/>
          <w:highlight w:val="none"/>
        </w:rPr>
        <w:t>既有设施设备的保护和管理，因施工给</w:t>
      </w:r>
      <w:r>
        <w:rPr>
          <w:rFonts w:hint="eastAsia" w:cs="宋体"/>
          <w:color w:val="auto"/>
          <w:sz w:val="21"/>
          <w:szCs w:val="21"/>
          <w:highlight w:val="none"/>
          <w:lang w:val="en-US" w:eastAsia="zh-CN"/>
        </w:rPr>
        <w:t>发包人</w:t>
      </w:r>
      <w:r>
        <w:rPr>
          <w:rFonts w:hint="eastAsia" w:cs="宋体"/>
          <w:color w:val="auto"/>
          <w:sz w:val="21"/>
          <w:szCs w:val="21"/>
          <w:highlight w:val="none"/>
        </w:rPr>
        <w:t>来损失的，应予以修复和赔偿，赔偿款从工程结算款价中抵扣。工程完工后提交验收前应做好现场保洁，确保整洁干净。</w:t>
      </w:r>
    </w:p>
    <w:p w14:paraId="48ADED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21.</w:t>
      </w:r>
      <w:r>
        <w:rPr>
          <w:rFonts w:hint="eastAsia" w:cs="宋体"/>
          <w:color w:val="auto"/>
          <w:sz w:val="21"/>
          <w:szCs w:val="21"/>
          <w:highlight w:val="none"/>
          <w:lang w:val="en-US" w:eastAsia="zh-CN"/>
        </w:rPr>
        <w:t>2承包人</w:t>
      </w:r>
      <w:r>
        <w:rPr>
          <w:rFonts w:hint="eastAsia" w:cs="宋体"/>
          <w:color w:val="auto"/>
          <w:sz w:val="21"/>
          <w:szCs w:val="21"/>
          <w:highlight w:val="none"/>
        </w:rPr>
        <w:t>在施工中所使用的水电费，据实结算，从工程结算款价中抵扣或对公转账。对无法装表计量的用水、用电，按工程结算价款的3‰、4‰分别收取水、电费。</w:t>
      </w:r>
    </w:p>
    <w:p w14:paraId="2A308E28">
      <w:pPr>
        <w:rPr>
          <w:rFonts w:cs="宋体"/>
          <w:b/>
          <w:color w:val="auto"/>
          <w:sz w:val="21"/>
          <w:szCs w:val="21"/>
          <w:highlight w:val="none"/>
        </w:rPr>
      </w:pPr>
      <w:r>
        <w:rPr>
          <w:rFonts w:hint="eastAsia" w:cs="宋体"/>
          <w:b/>
          <w:color w:val="auto"/>
          <w:sz w:val="21"/>
          <w:szCs w:val="21"/>
          <w:highlight w:val="none"/>
        </w:rPr>
        <w:br w:type="page"/>
      </w:r>
    </w:p>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02825514">
      <w:pPr>
        <w:snapToGrid w:val="0"/>
        <w:spacing w:line="360" w:lineRule="auto"/>
        <w:rPr>
          <w:rFonts w:cs="宋体"/>
          <w:color w:val="auto"/>
          <w:sz w:val="21"/>
          <w:szCs w:val="21"/>
          <w:highlight w:val="none"/>
        </w:rPr>
      </w:pPr>
      <w:r>
        <w:rPr>
          <w:rFonts w:hint="eastAsia" w:cs="宋体"/>
          <w:color w:val="auto"/>
          <w:sz w:val="21"/>
          <w:szCs w:val="21"/>
          <w:highlight w:val="none"/>
        </w:rPr>
        <w:t>协议书附件</w:t>
      </w:r>
      <w:r>
        <w:rPr>
          <w:rFonts w:hint="eastAsia" w:cs="宋体"/>
          <w:b/>
          <w:bCs/>
          <w:color w:val="auto"/>
          <w:sz w:val="21"/>
          <w:szCs w:val="21"/>
          <w:highlight w:val="none"/>
        </w:rPr>
        <w:t>（签订合同时根据实际需求提供）</w:t>
      </w:r>
      <w:r>
        <w:rPr>
          <w:rFonts w:hint="eastAsia" w:cs="宋体"/>
          <w:color w:val="auto"/>
          <w:sz w:val="21"/>
          <w:szCs w:val="21"/>
          <w:highlight w:val="none"/>
        </w:rPr>
        <w:t>：</w:t>
      </w:r>
    </w:p>
    <w:p w14:paraId="245AE4FE">
      <w:pPr>
        <w:snapToGrid w:val="0"/>
        <w:spacing w:line="360" w:lineRule="auto"/>
        <w:rPr>
          <w:rFonts w:cs="宋体"/>
          <w:color w:val="auto"/>
          <w:sz w:val="21"/>
          <w:szCs w:val="21"/>
          <w:highlight w:val="none"/>
        </w:rPr>
      </w:pPr>
      <w:bookmarkStart w:id="544" w:name="_Toc128950221"/>
      <w:r>
        <w:rPr>
          <w:rFonts w:hint="eastAsia" w:cs="宋体"/>
          <w:color w:val="auto"/>
          <w:sz w:val="21"/>
          <w:szCs w:val="21"/>
          <w:highlight w:val="none"/>
        </w:rPr>
        <w:t>附件1：承包人承揽工程项目一览表</w:t>
      </w:r>
      <w:bookmarkEnd w:id="544"/>
    </w:p>
    <w:p w14:paraId="57DDF528">
      <w:pPr>
        <w:snapToGrid w:val="0"/>
        <w:spacing w:line="360" w:lineRule="auto"/>
        <w:rPr>
          <w:rFonts w:cs="宋体"/>
          <w:color w:val="auto"/>
          <w:sz w:val="21"/>
          <w:szCs w:val="21"/>
          <w:highlight w:val="none"/>
        </w:rPr>
      </w:pPr>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5425724D">
      <w:pPr>
        <w:snapToGrid w:val="0"/>
        <w:spacing w:line="360" w:lineRule="auto"/>
        <w:rPr>
          <w:rFonts w:cs="宋体"/>
          <w:color w:val="auto"/>
          <w:sz w:val="21"/>
          <w:szCs w:val="21"/>
          <w:highlight w:val="none"/>
        </w:rPr>
      </w:pPr>
      <w:bookmarkStart w:id="545" w:name="_Toc128950222"/>
      <w:r>
        <w:rPr>
          <w:rFonts w:hint="eastAsia" w:cs="宋体"/>
          <w:color w:val="auto"/>
          <w:sz w:val="21"/>
          <w:szCs w:val="21"/>
          <w:highlight w:val="none"/>
        </w:rPr>
        <w:t>附件2：发包人供应材料设备一览表</w:t>
      </w:r>
      <w:bookmarkEnd w:id="545"/>
    </w:p>
    <w:p w14:paraId="45AC2A4C">
      <w:pPr>
        <w:snapToGrid w:val="0"/>
        <w:spacing w:line="360" w:lineRule="auto"/>
        <w:rPr>
          <w:rFonts w:cs="宋体"/>
          <w:color w:val="auto"/>
          <w:sz w:val="21"/>
          <w:szCs w:val="21"/>
          <w:highlight w:val="none"/>
        </w:rPr>
      </w:pPr>
      <w:bookmarkStart w:id="546" w:name="_Toc128950223"/>
      <w:r>
        <w:rPr>
          <w:rFonts w:hint="eastAsia" w:cs="宋体"/>
          <w:color w:val="auto"/>
          <w:sz w:val="21"/>
          <w:szCs w:val="21"/>
          <w:highlight w:val="none"/>
        </w:rPr>
        <w:t>附件3：工程质量保修书</w:t>
      </w:r>
      <w:bookmarkEnd w:id="546"/>
    </w:p>
    <w:p w14:paraId="533EE064">
      <w:pPr>
        <w:snapToGrid w:val="0"/>
        <w:spacing w:line="360" w:lineRule="auto"/>
        <w:rPr>
          <w:rFonts w:cs="宋体"/>
          <w:color w:val="auto"/>
          <w:sz w:val="21"/>
          <w:szCs w:val="21"/>
          <w:highlight w:val="none"/>
        </w:rPr>
      </w:pPr>
      <w:bookmarkStart w:id="547" w:name="_Toc128950224"/>
      <w:r>
        <w:rPr>
          <w:rFonts w:hint="eastAsia" w:cs="宋体"/>
          <w:color w:val="auto"/>
          <w:sz w:val="21"/>
          <w:szCs w:val="21"/>
          <w:highlight w:val="none"/>
        </w:rPr>
        <w:t>附件4：主要建设工程文件目录</w:t>
      </w:r>
      <w:bookmarkEnd w:id="547"/>
    </w:p>
    <w:p w14:paraId="3E14C298">
      <w:pPr>
        <w:snapToGrid w:val="0"/>
        <w:spacing w:line="360" w:lineRule="auto"/>
        <w:rPr>
          <w:rFonts w:cs="宋体"/>
          <w:color w:val="auto"/>
          <w:sz w:val="21"/>
          <w:szCs w:val="21"/>
          <w:highlight w:val="none"/>
        </w:rPr>
      </w:pPr>
      <w:bookmarkStart w:id="548" w:name="_Toc128950225"/>
      <w:r>
        <w:rPr>
          <w:rFonts w:hint="eastAsia" w:cs="宋体"/>
          <w:color w:val="auto"/>
          <w:sz w:val="21"/>
          <w:szCs w:val="21"/>
          <w:highlight w:val="none"/>
        </w:rPr>
        <w:t>附件5：承包人用于本工程施工的机械设备表</w:t>
      </w:r>
      <w:bookmarkEnd w:id="548"/>
    </w:p>
    <w:p w14:paraId="4EF1AAEA">
      <w:pPr>
        <w:snapToGrid w:val="0"/>
        <w:spacing w:line="360" w:lineRule="auto"/>
        <w:rPr>
          <w:rFonts w:cs="宋体"/>
          <w:color w:val="auto"/>
          <w:sz w:val="21"/>
          <w:szCs w:val="21"/>
          <w:highlight w:val="none"/>
        </w:rPr>
      </w:pPr>
      <w:bookmarkStart w:id="549" w:name="_Toc128950226"/>
      <w:r>
        <w:rPr>
          <w:rFonts w:hint="eastAsia" w:cs="宋体"/>
          <w:color w:val="auto"/>
          <w:sz w:val="21"/>
          <w:szCs w:val="21"/>
          <w:highlight w:val="none"/>
        </w:rPr>
        <w:t>附件6：承包人主要施工管理人员表</w:t>
      </w:r>
      <w:bookmarkEnd w:id="549"/>
    </w:p>
    <w:p w14:paraId="31E7B20F">
      <w:pPr>
        <w:snapToGrid w:val="0"/>
        <w:spacing w:line="360" w:lineRule="auto"/>
        <w:rPr>
          <w:rFonts w:cs="宋体"/>
          <w:color w:val="auto"/>
          <w:sz w:val="21"/>
          <w:szCs w:val="21"/>
          <w:highlight w:val="none"/>
        </w:rPr>
      </w:pPr>
      <w:bookmarkStart w:id="550" w:name="_Toc128950227"/>
      <w:r>
        <w:rPr>
          <w:rFonts w:hint="eastAsia" w:cs="宋体"/>
          <w:color w:val="auto"/>
          <w:sz w:val="21"/>
          <w:szCs w:val="21"/>
          <w:highlight w:val="none"/>
        </w:rPr>
        <w:t>附件7：分包人主要施工管理人员表</w:t>
      </w:r>
      <w:bookmarkEnd w:id="550"/>
    </w:p>
    <w:p w14:paraId="60707DDB">
      <w:pPr>
        <w:snapToGrid w:val="0"/>
        <w:spacing w:line="360" w:lineRule="auto"/>
        <w:rPr>
          <w:rFonts w:cs="宋体"/>
          <w:color w:val="auto"/>
          <w:sz w:val="21"/>
          <w:szCs w:val="21"/>
          <w:highlight w:val="none"/>
        </w:rPr>
      </w:pPr>
      <w:bookmarkStart w:id="551" w:name="_Toc128950228"/>
      <w:r>
        <w:rPr>
          <w:rFonts w:hint="eastAsia" w:cs="宋体"/>
          <w:color w:val="auto"/>
          <w:sz w:val="21"/>
          <w:szCs w:val="21"/>
          <w:highlight w:val="none"/>
        </w:rPr>
        <w:t>附件8：廉政协议</w:t>
      </w:r>
      <w:bookmarkEnd w:id="551"/>
    </w:p>
    <w:p w14:paraId="74EB8D12">
      <w:pPr>
        <w:snapToGrid w:val="0"/>
        <w:spacing w:line="360" w:lineRule="auto"/>
        <w:rPr>
          <w:rFonts w:cs="宋体"/>
          <w:color w:val="auto"/>
          <w:sz w:val="21"/>
          <w:szCs w:val="21"/>
          <w:highlight w:val="none"/>
        </w:rPr>
      </w:pPr>
      <w:bookmarkStart w:id="552" w:name="_Toc128950229"/>
      <w:r>
        <w:rPr>
          <w:rFonts w:hint="eastAsia" w:cs="宋体"/>
          <w:color w:val="auto"/>
          <w:sz w:val="21"/>
          <w:szCs w:val="21"/>
          <w:highlight w:val="none"/>
        </w:rPr>
        <w:t>附件9：履约保证金格式</w:t>
      </w:r>
      <w:bookmarkEnd w:id="552"/>
    </w:p>
    <w:p w14:paraId="3415BA02">
      <w:pPr>
        <w:snapToGrid w:val="0"/>
        <w:spacing w:line="360" w:lineRule="auto"/>
        <w:rPr>
          <w:rFonts w:cs="宋体"/>
          <w:color w:val="auto"/>
          <w:sz w:val="21"/>
          <w:szCs w:val="21"/>
          <w:highlight w:val="none"/>
        </w:rPr>
      </w:pPr>
      <w:bookmarkStart w:id="553" w:name="_Toc128950230"/>
      <w:r>
        <w:rPr>
          <w:rFonts w:hint="eastAsia" w:cs="宋体"/>
          <w:color w:val="auto"/>
          <w:sz w:val="21"/>
          <w:szCs w:val="21"/>
          <w:highlight w:val="none"/>
        </w:rPr>
        <w:t>附件10：预付款担保格式</w:t>
      </w:r>
      <w:bookmarkEnd w:id="553"/>
    </w:p>
    <w:p w14:paraId="2126F53C">
      <w:pPr>
        <w:snapToGrid w:val="0"/>
        <w:spacing w:line="360" w:lineRule="auto"/>
        <w:rPr>
          <w:rFonts w:cs="宋体"/>
          <w:color w:val="auto"/>
          <w:sz w:val="21"/>
          <w:szCs w:val="21"/>
          <w:highlight w:val="none"/>
        </w:rPr>
      </w:pPr>
      <w:bookmarkStart w:id="554" w:name="_Toc128950231"/>
      <w:r>
        <w:rPr>
          <w:rFonts w:hint="eastAsia" w:cs="宋体"/>
          <w:color w:val="auto"/>
          <w:sz w:val="21"/>
          <w:szCs w:val="21"/>
          <w:highlight w:val="none"/>
        </w:rPr>
        <w:t>附件11：支付担保格式</w:t>
      </w:r>
      <w:bookmarkEnd w:id="554"/>
    </w:p>
    <w:p w14:paraId="1DD2AA4B">
      <w:pPr>
        <w:snapToGrid w:val="0"/>
        <w:spacing w:line="360" w:lineRule="auto"/>
        <w:rPr>
          <w:rFonts w:cs="宋体"/>
          <w:color w:val="auto"/>
          <w:sz w:val="21"/>
          <w:szCs w:val="21"/>
          <w:highlight w:val="none"/>
        </w:rPr>
      </w:pPr>
      <w:bookmarkStart w:id="555" w:name="_Toc128950232"/>
      <w:r>
        <w:rPr>
          <w:rFonts w:hint="eastAsia" w:cs="宋体"/>
          <w:color w:val="auto"/>
          <w:sz w:val="21"/>
          <w:szCs w:val="21"/>
          <w:highlight w:val="none"/>
        </w:rPr>
        <w:t>附件12：暂估价一览表</w:t>
      </w:r>
      <w:bookmarkEnd w:id="555"/>
    </w:p>
    <w:p w14:paraId="233FFD24">
      <w:pPr>
        <w:snapToGrid w:val="0"/>
        <w:spacing w:line="360" w:lineRule="auto"/>
        <w:rPr>
          <w:rFonts w:cs="宋体"/>
          <w:color w:val="auto"/>
          <w:sz w:val="21"/>
          <w:szCs w:val="21"/>
          <w:highlight w:val="none"/>
        </w:rPr>
      </w:pPr>
      <w:bookmarkStart w:id="556" w:name="_Toc128950233"/>
      <w:r>
        <w:rPr>
          <w:rFonts w:hint="eastAsia" w:cs="宋体"/>
          <w:color w:val="auto"/>
          <w:sz w:val="21"/>
          <w:szCs w:val="21"/>
          <w:highlight w:val="none"/>
        </w:rPr>
        <w:t>附件13：安全生产合同</w:t>
      </w:r>
      <w:bookmarkEnd w:id="556"/>
    </w:p>
    <w:p w14:paraId="3E3A633A">
      <w:pPr>
        <w:snapToGrid w:val="0"/>
        <w:spacing w:line="360" w:lineRule="auto"/>
        <w:rPr>
          <w:rFonts w:cs="宋体"/>
          <w:color w:val="auto"/>
          <w:sz w:val="21"/>
          <w:szCs w:val="21"/>
          <w:highlight w:val="none"/>
        </w:rPr>
      </w:pPr>
      <w:bookmarkStart w:id="557" w:name="_Toc128950234"/>
      <w:r>
        <w:rPr>
          <w:rFonts w:hint="eastAsia" w:cs="宋体"/>
          <w:color w:val="auto"/>
          <w:sz w:val="21"/>
          <w:szCs w:val="21"/>
          <w:highlight w:val="none"/>
        </w:rPr>
        <w:t>附件14：项目经理质量终身责任制承诺</w:t>
      </w:r>
      <w:bookmarkEnd w:id="557"/>
    </w:p>
    <w:p w14:paraId="47AE1FD2">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558"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558"/>
    </w:p>
    <w:p w14:paraId="7F36DEB7">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C72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1266467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26F03AF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182F89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04D15E6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5E2D0E8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20B69E0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6ED9B0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45147EC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34FF596C">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600D7B0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66120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54E12B97">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5C56A7B">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22DFA87B">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B534016">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0FF2411A">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DBCCAFA">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172AF527">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77E7F616">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2042DED">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06D32A6">
            <w:pPr>
              <w:keepNext/>
              <w:snapToGrid w:val="0"/>
              <w:spacing w:line="360" w:lineRule="auto"/>
              <w:jc w:val="center"/>
              <w:rPr>
                <w:rFonts w:cs="宋体"/>
                <w:color w:val="auto"/>
                <w:sz w:val="22"/>
                <w:szCs w:val="21"/>
                <w:highlight w:val="none"/>
              </w:rPr>
            </w:pPr>
          </w:p>
        </w:tc>
      </w:tr>
      <w:tr w14:paraId="720F0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979B0">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BCEAFE7">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67BE03D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178F167">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9043DB8">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8199885">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6F5F14DF">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F770F4D">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79D49E1">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241D642">
            <w:pPr>
              <w:keepNext/>
              <w:snapToGrid w:val="0"/>
              <w:spacing w:line="360" w:lineRule="auto"/>
              <w:jc w:val="center"/>
              <w:rPr>
                <w:rFonts w:cs="宋体"/>
                <w:color w:val="auto"/>
                <w:sz w:val="22"/>
                <w:szCs w:val="21"/>
                <w:highlight w:val="none"/>
              </w:rPr>
            </w:pPr>
          </w:p>
        </w:tc>
      </w:tr>
      <w:tr w14:paraId="60B9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779E79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E13234F">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0084F675">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3A14A44">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6AB19A97">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CE40B7F">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25DB89B4">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3D6043B">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0E1AFFE">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FB074E4">
            <w:pPr>
              <w:keepNext/>
              <w:snapToGrid w:val="0"/>
              <w:spacing w:line="360" w:lineRule="auto"/>
              <w:jc w:val="center"/>
              <w:rPr>
                <w:rFonts w:cs="宋体"/>
                <w:color w:val="auto"/>
                <w:sz w:val="22"/>
                <w:szCs w:val="21"/>
                <w:highlight w:val="none"/>
              </w:rPr>
            </w:pPr>
          </w:p>
        </w:tc>
      </w:tr>
      <w:tr w14:paraId="4785E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5BA471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259CCC39">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08F2C0A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41A54AD">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78F37455">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215CE45">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51369A98">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0E66A57B">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25AEB60">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FF5A942">
            <w:pPr>
              <w:keepNext/>
              <w:snapToGrid w:val="0"/>
              <w:spacing w:line="360" w:lineRule="auto"/>
              <w:jc w:val="center"/>
              <w:rPr>
                <w:rFonts w:cs="宋体"/>
                <w:color w:val="auto"/>
                <w:sz w:val="22"/>
                <w:szCs w:val="21"/>
                <w:highlight w:val="none"/>
              </w:rPr>
            </w:pPr>
          </w:p>
        </w:tc>
      </w:tr>
    </w:tbl>
    <w:p w14:paraId="5AE8092B">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559" w:name="_Toc128950236"/>
      <w:r>
        <w:rPr>
          <w:rFonts w:hint="eastAsia" w:ascii="Times New Roman" w:eastAsia="黑体"/>
          <w:color w:val="auto"/>
          <w:szCs w:val="24"/>
          <w:highlight w:val="none"/>
        </w:rPr>
        <w:t>附</w:t>
      </w:r>
      <w:bookmarkStart w:id="560" w:name="_Toc296891053"/>
      <w:bookmarkStart w:id="561" w:name="_Toc267261692"/>
      <w:bookmarkStart w:id="562" w:name="_Toc296891265"/>
      <w:bookmarkStart w:id="563" w:name="_Toc296944564"/>
      <w:bookmarkStart w:id="564" w:name="_Toc296503225"/>
      <w:bookmarkStart w:id="565" w:name="_Toc296346726"/>
      <w:bookmarkStart w:id="566" w:name="_Toc296347224"/>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559"/>
    </w:p>
    <w:bookmarkEnd w:id="560"/>
    <w:bookmarkEnd w:id="561"/>
    <w:bookmarkEnd w:id="562"/>
    <w:bookmarkEnd w:id="563"/>
    <w:bookmarkEnd w:id="564"/>
    <w:bookmarkEnd w:id="565"/>
    <w:bookmarkEnd w:id="566"/>
    <w:p w14:paraId="0022B17A">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0C1C0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7D20114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3DDAE7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C1B0C4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5094DB1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3F42643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58BB0E94">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137FC9C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2A14BBA9">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35E2CA2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787BDC9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29F0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5C457E7A">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77E3FD66">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B176BA7">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22B4A756">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1938CFF7">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7D12FB4D">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5EFE3454">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924986E">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23B6D5B3">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343EB6B6">
            <w:pPr>
              <w:keepNext/>
              <w:snapToGrid w:val="0"/>
              <w:spacing w:line="360" w:lineRule="auto"/>
              <w:jc w:val="center"/>
              <w:rPr>
                <w:rFonts w:cs="宋体"/>
                <w:color w:val="auto"/>
                <w:sz w:val="22"/>
                <w:szCs w:val="21"/>
                <w:highlight w:val="none"/>
              </w:rPr>
            </w:pPr>
          </w:p>
        </w:tc>
      </w:tr>
      <w:tr w14:paraId="42883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F8E23DB">
            <w:pPr>
              <w:snapToGrid w:val="0"/>
              <w:spacing w:line="360" w:lineRule="auto"/>
              <w:jc w:val="center"/>
              <w:rPr>
                <w:rFonts w:cs="宋体"/>
                <w:color w:val="auto"/>
                <w:sz w:val="22"/>
                <w:szCs w:val="21"/>
                <w:highlight w:val="none"/>
              </w:rPr>
            </w:pPr>
          </w:p>
        </w:tc>
        <w:tc>
          <w:tcPr>
            <w:tcW w:w="941" w:type="pct"/>
            <w:vAlign w:val="center"/>
          </w:tcPr>
          <w:p w14:paraId="231ACD7E">
            <w:pPr>
              <w:snapToGrid w:val="0"/>
              <w:spacing w:line="360" w:lineRule="auto"/>
              <w:jc w:val="center"/>
              <w:rPr>
                <w:rFonts w:cs="宋体"/>
                <w:color w:val="auto"/>
                <w:sz w:val="22"/>
                <w:szCs w:val="21"/>
                <w:highlight w:val="none"/>
              </w:rPr>
            </w:pPr>
          </w:p>
        </w:tc>
        <w:tc>
          <w:tcPr>
            <w:tcW w:w="552" w:type="pct"/>
            <w:vAlign w:val="center"/>
          </w:tcPr>
          <w:p w14:paraId="781DD300">
            <w:pPr>
              <w:snapToGrid w:val="0"/>
              <w:spacing w:line="360" w:lineRule="auto"/>
              <w:jc w:val="center"/>
              <w:rPr>
                <w:rFonts w:cs="宋体"/>
                <w:color w:val="auto"/>
                <w:sz w:val="22"/>
                <w:szCs w:val="21"/>
                <w:highlight w:val="none"/>
              </w:rPr>
            </w:pPr>
          </w:p>
        </w:tc>
        <w:tc>
          <w:tcPr>
            <w:tcW w:w="292" w:type="pct"/>
            <w:vAlign w:val="center"/>
          </w:tcPr>
          <w:p w14:paraId="1F8424A5">
            <w:pPr>
              <w:snapToGrid w:val="0"/>
              <w:spacing w:line="360" w:lineRule="auto"/>
              <w:jc w:val="center"/>
              <w:rPr>
                <w:rFonts w:cs="宋体"/>
                <w:color w:val="auto"/>
                <w:sz w:val="22"/>
                <w:szCs w:val="21"/>
                <w:highlight w:val="none"/>
              </w:rPr>
            </w:pPr>
          </w:p>
        </w:tc>
        <w:tc>
          <w:tcPr>
            <w:tcW w:w="292" w:type="pct"/>
            <w:vAlign w:val="center"/>
          </w:tcPr>
          <w:p w14:paraId="717DB30D">
            <w:pPr>
              <w:snapToGrid w:val="0"/>
              <w:spacing w:line="360" w:lineRule="auto"/>
              <w:jc w:val="center"/>
              <w:rPr>
                <w:rFonts w:cs="宋体"/>
                <w:color w:val="auto"/>
                <w:sz w:val="22"/>
                <w:szCs w:val="21"/>
                <w:highlight w:val="none"/>
              </w:rPr>
            </w:pPr>
          </w:p>
        </w:tc>
        <w:tc>
          <w:tcPr>
            <w:tcW w:w="682" w:type="pct"/>
            <w:vAlign w:val="center"/>
          </w:tcPr>
          <w:p w14:paraId="247A49BF">
            <w:pPr>
              <w:snapToGrid w:val="0"/>
              <w:spacing w:line="360" w:lineRule="auto"/>
              <w:jc w:val="center"/>
              <w:rPr>
                <w:rFonts w:cs="宋体"/>
                <w:color w:val="auto"/>
                <w:sz w:val="22"/>
                <w:szCs w:val="21"/>
                <w:highlight w:val="none"/>
              </w:rPr>
            </w:pPr>
          </w:p>
        </w:tc>
        <w:tc>
          <w:tcPr>
            <w:tcW w:w="552" w:type="pct"/>
            <w:vAlign w:val="center"/>
          </w:tcPr>
          <w:p w14:paraId="5CBA5F39">
            <w:pPr>
              <w:snapToGrid w:val="0"/>
              <w:spacing w:line="360" w:lineRule="auto"/>
              <w:jc w:val="center"/>
              <w:rPr>
                <w:rFonts w:cs="宋体"/>
                <w:color w:val="auto"/>
                <w:sz w:val="22"/>
                <w:szCs w:val="21"/>
                <w:highlight w:val="none"/>
              </w:rPr>
            </w:pPr>
          </w:p>
        </w:tc>
        <w:tc>
          <w:tcPr>
            <w:tcW w:w="552" w:type="pct"/>
            <w:vAlign w:val="center"/>
          </w:tcPr>
          <w:p w14:paraId="34C8B68B">
            <w:pPr>
              <w:snapToGrid w:val="0"/>
              <w:spacing w:line="360" w:lineRule="auto"/>
              <w:jc w:val="center"/>
              <w:rPr>
                <w:rFonts w:cs="宋体"/>
                <w:color w:val="auto"/>
                <w:sz w:val="22"/>
                <w:szCs w:val="21"/>
                <w:highlight w:val="none"/>
              </w:rPr>
            </w:pPr>
          </w:p>
        </w:tc>
        <w:tc>
          <w:tcPr>
            <w:tcW w:w="552" w:type="pct"/>
            <w:vAlign w:val="center"/>
          </w:tcPr>
          <w:p w14:paraId="2CAE7F66">
            <w:pPr>
              <w:snapToGrid w:val="0"/>
              <w:spacing w:line="360" w:lineRule="auto"/>
              <w:jc w:val="center"/>
              <w:rPr>
                <w:rFonts w:cs="宋体"/>
                <w:color w:val="auto"/>
                <w:sz w:val="22"/>
                <w:szCs w:val="21"/>
                <w:highlight w:val="none"/>
              </w:rPr>
            </w:pPr>
          </w:p>
        </w:tc>
        <w:tc>
          <w:tcPr>
            <w:tcW w:w="292" w:type="pct"/>
            <w:vAlign w:val="center"/>
          </w:tcPr>
          <w:p w14:paraId="1A1A3DB1">
            <w:pPr>
              <w:snapToGrid w:val="0"/>
              <w:spacing w:line="360" w:lineRule="auto"/>
              <w:jc w:val="center"/>
              <w:rPr>
                <w:rFonts w:cs="宋体"/>
                <w:color w:val="auto"/>
                <w:sz w:val="22"/>
                <w:szCs w:val="21"/>
                <w:highlight w:val="none"/>
              </w:rPr>
            </w:pPr>
          </w:p>
        </w:tc>
      </w:tr>
      <w:tr w14:paraId="4437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072DD76D">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61102550">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3C1ED585">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27AF209">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471A0A7F">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459BD77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9E46F8E">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1730C0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53608F7">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5708C111">
            <w:pPr>
              <w:snapToGrid w:val="0"/>
              <w:spacing w:line="360" w:lineRule="auto"/>
              <w:jc w:val="center"/>
              <w:rPr>
                <w:rFonts w:cs="宋体"/>
                <w:color w:val="auto"/>
                <w:sz w:val="22"/>
                <w:szCs w:val="21"/>
                <w:highlight w:val="none"/>
              </w:rPr>
            </w:pPr>
          </w:p>
        </w:tc>
      </w:tr>
    </w:tbl>
    <w:p w14:paraId="330737A8">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567" w:name="_Toc128950237"/>
      <w:r>
        <w:rPr>
          <w:rFonts w:hint="eastAsia" w:ascii="Times New Roman" w:eastAsia="黑体"/>
          <w:color w:val="auto"/>
          <w:szCs w:val="24"/>
          <w:highlight w:val="none"/>
        </w:rPr>
        <w:t>附件3：工程质量保修书（房屋建筑工程）</w:t>
      </w:r>
      <w:bookmarkEnd w:id="567"/>
    </w:p>
    <w:p w14:paraId="7E7CC9D9">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29AB7D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8EE5A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68616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62E375C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416B94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03CE9F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E22D92">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1E5C5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47B5DA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37BA40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25E7CF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2528D9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2F4B64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2E6ED4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5BED005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2534BF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2FF498C9">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467EC0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两年</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39B820E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490609E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544457C">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05057A68">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7C9EBF5D">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960549">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38C6C1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3F9A8E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2706259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BDFEBFF">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4BE105BE">
      <w:pPr>
        <w:adjustRightInd w:val="0"/>
        <w:snapToGrid w:val="0"/>
        <w:spacing w:line="360" w:lineRule="auto"/>
        <w:ind w:firstLine="420"/>
        <w:rPr>
          <w:rFonts w:cs="宋体"/>
          <w:color w:val="auto"/>
          <w:sz w:val="21"/>
          <w:szCs w:val="21"/>
          <w:highlight w:val="none"/>
        </w:rPr>
      </w:pPr>
    </w:p>
    <w:p w14:paraId="423E3061">
      <w:pPr>
        <w:adjustRightInd w:val="0"/>
        <w:snapToGrid w:val="0"/>
        <w:spacing w:line="360" w:lineRule="auto"/>
        <w:ind w:firstLine="420"/>
        <w:rPr>
          <w:rFonts w:cs="宋体"/>
          <w:color w:val="auto"/>
          <w:sz w:val="21"/>
          <w:szCs w:val="21"/>
          <w:highlight w:val="none"/>
        </w:rPr>
      </w:pPr>
    </w:p>
    <w:p w14:paraId="1C05E814">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69810EE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208C4CC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0D562DB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A8D614D">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CE4F1A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D2F20B8">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68E143F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0440850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08E7B987">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568" w:name="_Toc128950238"/>
      <w:r>
        <w:rPr>
          <w:rFonts w:hint="eastAsia" w:ascii="Times New Roman" w:eastAsia="黑体"/>
          <w:color w:val="auto"/>
          <w:szCs w:val="24"/>
          <w:highlight w:val="none"/>
        </w:rPr>
        <w:t>附</w:t>
      </w:r>
      <w:bookmarkStart w:id="569" w:name="_Toc296503226"/>
      <w:bookmarkStart w:id="570" w:name="_Toc296891266"/>
      <w:bookmarkStart w:id="571" w:name="_Toc296891054"/>
      <w:bookmarkStart w:id="572" w:name="_Toc296346727"/>
      <w:bookmarkStart w:id="573" w:name="_Toc296347225"/>
      <w:bookmarkStart w:id="574" w:name="_Toc267261693"/>
      <w:bookmarkStart w:id="575" w:name="_Toc296944565"/>
      <w:r>
        <w:rPr>
          <w:rFonts w:hint="eastAsia" w:ascii="Times New Roman" w:eastAsia="黑体"/>
          <w:color w:val="auto"/>
          <w:szCs w:val="24"/>
          <w:highlight w:val="none"/>
        </w:rPr>
        <w:t>件</w:t>
      </w:r>
      <w:r>
        <w:rPr>
          <w:rFonts w:ascii="Times New Roman" w:eastAsia="黑体"/>
          <w:color w:val="auto"/>
          <w:szCs w:val="24"/>
          <w:highlight w:val="none"/>
        </w:rPr>
        <w:t>3</w:t>
      </w:r>
      <w:r>
        <w:rPr>
          <w:rFonts w:hint="eastAsia" w:ascii="Times New Roman" w:eastAsia="黑体"/>
          <w:color w:val="auto"/>
          <w:szCs w:val="24"/>
          <w:highlight w:val="none"/>
        </w:rPr>
        <w:t>：</w:t>
      </w:r>
      <w:bookmarkEnd w:id="569"/>
      <w:bookmarkEnd w:id="570"/>
      <w:bookmarkEnd w:id="571"/>
      <w:bookmarkEnd w:id="572"/>
      <w:bookmarkEnd w:id="573"/>
      <w:bookmarkEnd w:id="574"/>
      <w:bookmarkEnd w:id="575"/>
      <w:r>
        <w:rPr>
          <w:rFonts w:hint="eastAsia" w:ascii="Times New Roman" w:eastAsia="黑体"/>
          <w:color w:val="auto"/>
          <w:szCs w:val="24"/>
          <w:highlight w:val="none"/>
        </w:rPr>
        <w:t>工程质量保修书（市政公用工程）</w:t>
      </w:r>
      <w:bookmarkEnd w:id="568"/>
    </w:p>
    <w:p w14:paraId="0F899D44">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52889C01">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44251118">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0165B44D">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324833E3">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72C0D7A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3C26BF39">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62320BB9">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7B4270B">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3341D4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146AA35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615F3676">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2849353">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DA18AAF">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54C96707">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B3489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34E2B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1594760C">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14BE304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45970965">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80BDE33">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D38DFB9">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07419FE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3943EC7">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678A451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2CF23B51">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17ED0D01">
      <w:pPr>
        <w:adjustRightInd w:val="0"/>
        <w:snapToGrid w:val="0"/>
        <w:spacing w:line="360" w:lineRule="auto"/>
        <w:ind w:firstLine="420"/>
        <w:rPr>
          <w:rFonts w:cs="宋体"/>
          <w:color w:val="auto"/>
          <w:sz w:val="21"/>
          <w:szCs w:val="21"/>
          <w:highlight w:val="none"/>
        </w:rPr>
      </w:pPr>
    </w:p>
    <w:p w14:paraId="471147A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684C5F6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5B7BE99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63236AA5">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32436784">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13BCD3D">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2C84295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78A4D13A">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7FA954B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009A9760">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576"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576"/>
    </w:p>
    <w:p w14:paraId="5E9D6445">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52EB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6B5F6158">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2CC2FB76">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39C8166A">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505C8AD6">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790E1F3A">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76EDECAB">
            <w:pPr>
              <w:jc w:val="center"/>
              <w:rPr>
                <w:rFonts w:cs="宋体"/>
                <w:color w:val="auto"/>
                <w:szCs w:val="21"/>
                <w:highlight w:val="none"/>
              </w:rPr>
            </w:pPr>
            <w:r>
              <w:rPr>
                <w:rFonts w:hint="eastAsia" w:cs="宋体"/>
                <w:color w:val="auto"/>
                <w:szCs w:val="21"/>
                <w:highlight w:val="none"/>
              </w:rPr>
              <w:t>责任人</w:t>
            </w:r>
          </w:p>
        </w:tc>
      </w:tr>
      <w:tr w14:paraId="7FE0C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C94D5F3">
            <w:pPr>
              <w:keepNext/>
              <w:jc w:val="center"/>
              <w:rPr>
                <w:rFonts w:cs="宋体"/>
                <w:color w:val="auto"/>
                <w:szCs w:val="21"/>
                <w:highlight w:val="none"/>
              </w:rPr>
            </w:pPr>
          </w:p>
        </w:tc>
        <w:tc>
          <w:tcPr>
            <w:tcW w:w="706" w:type="pct"/>
            <w:tcBorders>
              <w:top w:val="double" w:color="auto" w:sz="6" w:space="0"/>
            </w:tcBorders>
            <w:vAlign w:val="center"/>
          </w:tcPr>
          <w:p w14:paraId="70DAECCE">
            <w:pPr>
              <w:keepNext/>
              <w:jc w:val="center"/>
              <w:rPr>
                <w:rFonts w:cs="宋体"/>
                <w:color w:val="auto"/>
                <w:szCs w:val="21"/>
                <w:highlight w:val="none"/>
              </w:rPr>
            </w:pPr>
          </w:p>
        </w:tc>
        <w:tc>
          <w:tcPr>
            <w:tcW w:w="802" w:type="pct"/>
            <w:tcBorders>
              <w:top w:val="double" w:color="auto" w:sz="6" w:space="0"/>
            </w:tcBorders>
            <w:vAlign w:val="center"/>
          </w:tcPr>
          <w:p w14:paraId="1110A42D">
            <w:pPr>
              <w:keepNext/>
              <w:jc w:val="center"/>
              <w:rPr>
                <w:rFonts w:cs="宋体"/>
                <w:color w:val="auto"/>
                <w:szCs w:val="21"/>
                <w:highlight w:val="none"/>
              </w:rPr>
            </w:pPr>
          </w:p>
        </w:tc>
        <w:tc>
          <w:tcPr>
            <w:tcW w:w="687" w:type="pct"/>
            <w:tcBorders>
              <w:top w:val="double" w:color="auto" w:sz="6" w:space="0"/>
            </w:tcBorders>
            <w:vAlign w:val="center"/>
          </w:tcPr>
          <w:p w14:paraId="39797874">
            <w:pPr>
              <w:keepNext/>
              <w:jc w:val="center"/>
              <w:rPr>
                <w:rFonts w:cs="宋体"/>
                <w:color w:val="auto"/>
                <w:szCs w:val="21"/>
                <w:highlight w:val="none"/>
              </w:rPr>
            </w:pPr>
          </w:p>
        </w:tc>
        <w:tc>
          <w:tcPr>
            <w:tcW w:w="802" w:type="pct"/>
            <w:tcBorders>
              <w:top w:val="double" w:color="auto" w:sz="6" w:space="0"/>
            </w:tcBorders>
            <w:vAlign w:val="center"/>
          </w:tcPr>
          <w:p w14:paraId="6633BE27">
            <w:pPr>
              <w:keepNext/>
              <w:jc w:val="center"/>
              <w:rPr>
                <w:rFonts w:cs="宋体"/>
                <w:color w:val="auto"/>
                <w:szCs w:val="21"/>
                <w:highlight w:val="none"/>
              </w:rPr>
            </w:pPr>
          </w:p>
        </w:tc>
        <w:tc>
          <w:tcPr>
            <w:tcW w:w="922" w:type="pct"/>
            <w:tcBorders>
              <w:top w:val="double" w:color="auto" w:sz="6" w:space="0"/>
            </w:tcBorders>
            <w:vAlign w:val="center"/>
          </w:tcPr>
          <w:p w14:paraId="5FAA7B66">
            <w:pPr>
              <w:keepNext/>
              <w:jc w:val="center"/>
              <w:rPr>
                <w:rFonts w:cs="宋体"/>
                <w:color w:val="auto"/>
                <w:szCs w:val="21"/>
                <w:highlight w:val="none"/>
              </w:rPr>
            </w:pPr>
          </w:p>
        </w:tc>
      </w:tr>
      <w:tr w14:paraId="61102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379CA249">
            <w:pPr>
              <w:keepNext/>
              <w:jc w:val="center"/>
              <w:rPr>
                <w:rFonts w:cs="宋体"/>
                <w:color w:val="auto"/>
                <w:szCs w:val="21"/>
                <w:highlight w:val="none"/>
              </w:rPr>
            </w:pPr>
          </w:p>
        </w:tc>
        <w:tc>
          <w:tcPr>
            <w:tcW w:w="706" w:type="pct"/>
            <w:tcBorders>
              <w:top w:val="nil"/>
            </w:tcBorders>
            <w:vAlign w:val="center"/>
          </w:tcPr>
          <w:p w14:paraId="60EB2E7D">
            <w:pPr>
              <w:keepNext/>
              <w:jc w:val="center"/>
              <w:rPr>
                <w:rFonts w:cs="宋体"/>
                <w:color w:val="auto"/>
                <w:szCs w:val="21"/>
                <w:highlight w:val="none"/>
              </w:rPr>
            </w:pPr>
          </w:p>
        </w:tc>
        <w:tc>
          <w:tcPr>
            <w:tcW w:w="802" w:type="pct"/>
            <w:tcBorders>
              <w:top w:val="nil"/>
            </w:tcBorders>
            <w:vAlign w:val="center"/>
          </w:tcPr>
          <w:p w14:paraId="1B38062F">
            <w:pPr>
              <w:keepNext/>
              <w:jc w:val="center"/>
              <w:rPr>
                <w:rFonts w:cs="宋体"/>
                <w:color w:val="auto"/>
                <w:szCs w:val="21"/>
                <w:highlight w:val="none"/>
              </w:rPr>
            </w:pPr>
          </w:p>
        </w:tc>
        <w:tc>
          <w:tcPr>
            <w:tcW w:w="687" w:type="pct"/>
            <w:tcBorders>
              <w:top w:val="nil"/>
            </w:tcBorders>
            <w:vAlign w:val="center"/>
          </w:tcPr>
          <w:p w14:paraId="0940D773">
            <w:pPr>
              <w:keepNext/>
              <w:jc w:val="center"/>
              <w:rPr>
                <w:rFonts w:cs="宋体"/>
                <w:color w:val="auto"/>
                <w:szCs w:val="21"/>
                <w:highlight w:val="none"/>
              </w:rPr>
            </w:pPr>
          </w:p>
        </w:tc>
        <w:tc>
          <w:tcPr>
            <w:tcW w:w="802" w:type="pct"/>
            <w:tcBorders>
              <w:top w:val="nil"/>
            </w:tcBorders>
            <w:vAlign w:val="center"/>
          </w:tcPr>
          <w:p w14:paraId="77FE344D">
            <w:pPr>
              <w:keepNext/>
              <w:jc w:val="center"/>
              <w:rPr>
                <w:rFonts w:cs="宋体"/>
                <w:color w:val="auto"/>
                <w:szCs w:val="21"/>
                <w:highlight w:val="none"/>
              </w:rPr>
            </w:pPr>
          </w:p>
        </w:tc>
        <w:tc>
          <w:tcPr>
            <w:tcW w:w="922" w:type="pct"/>
            <w:tcBorders>
              <w:top w:val="nil"/>
            </w:tcBorders>
            <w:vAlign w:val="center"/>
          </w:tcPr>
          <w:p w14:paraId="41879AFA">
            <w:pPr>
              <w:keepNext/>
              <w:jc w:val="center"/>
              <w:rPr>
                <w:rFonts w:cs="宋体"/>
                <w:color w:val="auto"/>
                <w:szCs w:val="21"/>
                <w:highlight w:val="none"/>
              </w:rPr>
            </w:pPr>
          </w:p>
        </w:tc>
      </w:tr>
      <w:tr w14:paraId="042D1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3DCBAA1">
            <w:pPr>
              <w:jc w:val="center"/>
              <w:rPr>
                <w:rFonts w:cs="宋体"/>
                <w:color w:val="auto"/>
                <w:szCs w:val="21"/>
                <w:highlight w:val="none"/>
              </w:rPr>
            </w:pPr>
          </w:p>
        </w:tc>
        <w:tc>
          <w:tcPr>
            <w:tcW w:w="706" w:type="pct"/>
            <w:vAlign w:val="center"/>
          </w:tcPr>
          <w:p w14:paraId="2D66CBFC">
            <w:pPr>
              <w:jc w:val="center"/>
              <w:rPr>
                <w:rFonts w:cs="宋体"/>
                <w:color w:val="auto"/>
                <w:szCs w:val="21"/>
                <w:highlight w:val="none"/>
              </w:rPr>
            </w:pPr>
          </w:p>
        </w:tc>
        <w:tc>
          <w:tcPr>
            <w:tcW w:w="802" w:type="pct"/>
            <w:vAlign w:val="center"/>
          </w:tcPr>
          <w:p w14:paraId="55751855">
            <w:pPr>
              <w:jc w:val="center"/>
              <w:rPr>
                <w:rFonts w:cs="宋体"/>
                <w:color w:val="auto"/>
                <w:szCs w:val="21"/>
                <w:highlight w:val="none"/>
              </w:rPr>
            </w:pPr>
          </w:p>
        </w:tc>
        <w:tc>
          <w:tcPr>
            <w:tcW w:w="687" w:type="pct"/>
            <w:vAlign w:val="center"/>
          </w:tcPr>
          <w:p w14:paraId="076DC997">
            <w:pPr>
              <w:jc w:val="center"/>
              <w:rPr>
                <w:rFonts w:cs="宋体"/>
                <w:color w:val="auto"/>
                <w:szCs w:val="21"/>
                <w:highlight w:val="none"/>
              </w:rPr>
            </w:pPr>
          </w:p>
        </w:tc>
        <w:tc>
          <w:tcPr>
            <w:tcW w:w="802" w:type="pct"/>
            <w:vAlign w:val="center"/>
          </w:tcPr>
          <w:p w14:paraId="4FD28897">
            <w:pPr>
              <w:jc w:val="center"/>
              <w:rPr>
                <w:rFonts w:cs="宋体"/>
                <w:color w:val="auto"/>
                <w:szCs w:val="21"/>
                <w:highlight w:val="none"/>
              </w:rPr>
            </w:pPr>
          </w:p>
        </w:tc>
        <w:tc>
          <w:tcPr>
            <w:tcW w:w="922" w:type="pct"/>
            <w:vAlign w:val="center"/>
          </w:tcPr>
          <w:p w14:paraId="64E89AD6">
            <w:pPr>
              <w:jc w:val="center"/>
              <w:rPr>
                <w:rFonts w:cs="宋体"/>
                <w:color w:val="auto"/>
                <w:szCs w:val="21"/>
                <w:highlight w:val="none"/>
              </w:rPr>
            </w:pPr>
          </w:p>
        </w:tc>
      </w:tr>
      <w:tr w14:paraId="2E1EB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B611FE9">
            <w:pPr>
              <w:jc w:val="center"/>
              <w:rPr>
                <w:rFonts w:cs="宋体"/>
                <w:color w:val="auto"/>
                <w:szCs w:val="21"/>
                <w:highlight w:val="none"/>
              </w:rPr>
            </w:pPr>
          </w:p>
        </w:tc>
        <w:tc>
          <w:tcPr>
            <w:tcW w:w="706" w:type="pct"/>
            <w:vAlign w:val="center"/>
          </w:tcPr>
          <w:p w14:paraId="2443CB80">
            <w:pPr>
              <w:jc w:val="center"/>
              <w:rPr>
                <w:rFonts w:cs="宋体"/>
                <w:color w:val="auto"/>
                <w:szCs w:val="21"/>
                <w:highlight w:val="none"/>
              </w:rPr>
            </w:pPr>
          </w:p>
        </w:tc>
        <w:tc>
          <w:tcPr>
            <w:tcW w:w="802" w:type="pct"/>
            <w:vAlign w:val="center"/>
          </w:tcPr>
          <w:p w14:paraId="0F10973F">
            <w:pPr>
              <w:jc w:val="center"/>
              <w:rPr>
                <w:rFonts w:cs="宋体"/>
                <w:color w:val="auto"/>
                <w:szCs w:val="21"/>
                <w:highlight w:val="none"/>
              </w:rPr>
            </w:pPr>
          </w:p>
        </w:tc>
        <w:tc>
          <w:tcPr>
            <w:tcW w:w="687" w:type="pct"/>
            <w:vAlign w:val="center"/>
          </w:tcPr>
          <w:p w14:paraId="00DD9983">
            <w:pPr>
              <w:jc w:val="center"/>
              <w:rPr>
                <w:rFonts w:cs="宋体"/>
                <w:color w:val="auto"/>
                <w:szCs w:val="21"/>
                <w:highlight w:val="none"/>
              </w:rPr>
            </w:pPr>
          </w:p>
        </w:tc>
        <w:tc>
          <w:tcPr>
            <w:tcW w:w="802" w:type="pct"/>
            <w:vAlign w:val="center"/>
          </w:tcPr>
          <w:p w14:paraId="1AEC2475">
            <w:pPr>
              <w:jc w:val="center"/>
              <w:rPr>
                <w:rFonts w:cs="宋体"/>
                <w:color w:val="auto"/>
                <w:szCs w:val="21"/>
                <w:highlight w:val="none"/>
              </w:rPr>
            </w:pPr>
          </w:p>
        </w:tc>
        <w:tc>
          <w:tcPr>
            <w:tcW w:w="922" w:type="pct"/>
            <w:vAlign w:val="center"/>
          </w:tcPr>
          <w:p w14:paraId="2D03D46C">
            <w:pPr>
              <w:jc w:val="center"/>
              <w:rPr>
                <w:rFonts w:cs="宋体"/>
                <w:color w:val="auto"/>
                <w:szCs w:val="21"/>
                <w:highlight w:val="none"/>
              </w:rPr>
            </w:pPr>
          </w:p>
        </w:tc>
      </w:tr>
      <w:tr w14:paraId="66BB8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37BBE12E">
            <w:pPr>
              <w:jc w:val="center"/>
              <w:rPr>
                <w:rFonts w:cs="宋体"/>
                <w:color w:val="auto"/>
                <w:szCs w:val="21"/>
                <w:highlight w:val="none"/>
              </w:rPr>
            </w:pPr>
          </w:p>
        </w:tc>
        <w:tc>
          <w:tcPr>
            <w:tcW w:w="706" w:type="pct"/>
            <w:tcBorders>
              <w:bottom w:val="single" w:color="auto" w:sz="12" w:space="0"/>
            </w:tcBorders>
            <w:vAlign w:val="center"/>
          </w:tcPr>
          <w:p w14:paraId="3C364044">
            <w:pPr>
              <w:jc w:val="center"/>
              <w:rPr>
                <w:rFonts w:cs="宋体"/>
                <w:color w:val="auto"/>
                <w:szCs w:val="21"/>
                <w:highlight w:val="none"/>
              </w:rPr>
            </w:pPr>
          </w:p>
        </w:tc>
        <w:tc>
          <w:tcPr>
            <w:tcW w:w="802" w:type="pct"/>
            <w:tcBorders>
              <w:bottom w:val="single" w:color="auto" w:sz="12" w:space="0"/>
            </w:tcBorders>
            <w:vAlign w:val="center"/>
          </w:tcPr>
          <w:p w14:paraId="1905B4FA">
            <w:pPr>
              <w:jc w:val="center"/>
              <w:rPr>
                <w:rFonts w:cs="宋体"/>
                <w:color w:val="auto"/>
                <w:szCs w:val="21"/>
                <w:highlight w:val="none"/>
              </w:rPr>
            </w:pPr>
          </w:p>
        </w:tc>
        <w:tc>
          <w:tcPr>
            <w:tcW w:w="687" w:type="pct"/>
            <w:tcBorders>
              <w:bottom w:val="single" w:color="auto" w:sz="12" w:space="0"/>
            </w:tcBorders>
            <w:vAlign w:val="center"/>
          </w:tcPr>
          <w:p w14:paraId="1D7B8D1E">
            <w:pPr>
              <w:jc w:val="center"/>
              <w:rPr>
                <w:rFonts w:cs="宋体"/>
                <w:color w:val="auto"/>
                <w:szCs w:val="21"/>
                <w:highlight w:val="none"/>
              </w:rPr>
            </w:pPr>
          </w:p>
        </w:tc>
        <w:tc>
          <w:tcPr>
            <w:tcW w:w="802" w:type="pct"/>
            <w:tcBorders>
              <w:bottom w:val="single" w:color="auto" w:sz="12" w:space="0"/>
            </w:tcBorders>
            <w:vAlign w:val="center"/>
          </w:tcPr>
          <w:p w14:paraId="66319A94">
            <w:pPr>
              <w:jc w:val="center"/>
              <w:rPr>
                <w:rFonts w:cs="宋体"/>
                <w:color w:val="auto"/>
                <w:szCs w:val="21"/>
                <w:highlight w:val="none"/>
              </w:rPr>
            </w:pPr>
          </w:p>
        </w:tc>
        <w:tc>
          <w:tcPr>
            <w:tcW w:w="922" w:type="pct"/>
            <w:tcBorders>
              <w:bottom w:val="single" w:color="auto" w:sz="12" w:space="0"/>
            </w:tcBorders>
            <w:vAlign w:val="center"/>
          </w:tcPr>
          <w:p w14:paraId="5821108C">
            <w:pPr>
              <w:jc w:val="center"/>
              <w:rPr>
                <w:rFonts w:cs="宋体"/>
                <w:color w:val="auto"/>
                <w:szCs w:val="21"/>
                <w:highlight w:val="none"/>
              </w:rPr>
            </w:pPr>
          </w:p>
        </w:tc>
      </w:tr>
    </w:tbl>
    <w:p w14:paraId="46902590">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577" w:name="_Toc128950240"/>
      <w:r>
        <w:rPr>
          <w:rFonts w:hint="eastAsia" w:ascii="Times New Roman" w:eastAsia="黑体"/>
          <w:color w:val="auto"/>
          <w:szCs w:val="24"/>
          <w:highlight w:val="none"/>
        </w:rPr>
        <w:t>附</w:t>
      </w:r>
      <w:bookmarkStart w:id="578" w:name="_Toc296891055"/>
      <w:bookmarkStart w:id="579" w:name="_Toc296347226"/>
      <w:bookmarkStart w:id="580" w:name="_Toc296944566"/>
      <w:bookmarkStart w:id="581" w:name="_Toc267261698"/>
      <w:bookmarkStart w:id="582" w:name="_Toc296891267"/>
      <w:bookmarkStart w:id="583" w:name="_Toc296346728"/>
      <w:bookmarkStart w:id="584" w:name="_Toc296503227"/>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577"/>
    </w:p>
    <w:bookmarkEnd w:id="578"/>
    <w:bookmarkEnd w:id="579"/>
    <w:bookmarkEnd w:id="580"/>
    <w:bookmarkEnd w:id="581"/>
    <w:bookmarkEnd w:id="582"/>
    <w:bookmarkEnd w:id="583"/>
    <w:bookmarkEnd w:id="584"/>
    <w:p w14:paraId="281EF0FB">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422679EA">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cs="宋体"/>
                <w:color w:val="auto"/>
                <w:szCs w:val="21"/>
                <w:highlight w:val="none"/>
              </w:rPr>
            </w:pPr>
            <w:r>
              <w:rPr>
                <w:rFonts w:hint="eastAsia"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cs="宋体"/>
                <w:color w:val="auto"/>
                <w:szCs w:val="21"/>
                <w:highlight w:val="none"/>
              </w:rPr>
            </w:pPr>
          </w:p>
        </w:tc>
        <w:tc>
          <w:tcPr>
            <w:tcW w:w="792" w:type="pct"/>
            <w:tcBorders>
              <w:top w:val="double" w:color="auto" w:sz="6" w:space="0"/>
            </w:tcBorders>
            <w:vAlign w:val="center"/>
          </w:tcPr>
          <w:p w14:paraId="20481A73">
            <w:pPr>
              <w:keepNext/>
              <w:jc w:val="center"/>
              <w:rPr>
                <w:rFonts w:cs="宋体"/>
                <w:color w:val="auto"/>
                <w:szCs w:val="21"/>
                <w:highlight w:val="none"/>
              </w:rPr>
            </w:pPr>
          </w:p>
        </w:tc>
        <w:tc>
          <w:tcPr>
            <w:tcW w:w="474" w:type="pct"/>
            <w:tcBorders>
              <w:top w:val="double" w:color="auto" w:sz="6" w:space="0"/>
            </w:tcBorders>
            <w:vAlign w:val="center"/>
          </w:tcPr>
          <w:p w14:paraId="3AF930B0">
            <w:pPr>
              <w:keepNext/>
              <w:jc w:val="center"/>
              <w:rPr>
                <w:rFonts w:cs="宋体"/>
                <w:color w:val="auto"/>
                <w:szCs w:val="21"/>
                <w:highlight w:val="none"/>
              </w:rPr>
            </w:pPr>
          </w:p>
        </w:tc>
        <w:tc>
          <w:tcPr>
            <w:tcW w:w="396" w:type="pct"/>
            <w:tcBorders>
              <w:top w:val="double" w:color="auto" w:sz="6" w:space="0"/>
            </w:tcBorders>
            <w:vAlign w:val="center"/>
          </w:tcPr>
          <w:p w14:paraId="3A058FBA">
            <w:pPr>
              <w:keepNext/>
              <w:jc w:val="center"/>
              <w:rPr>
                <w:rFonts w:cs="宋体"/>
                <w:color w:val="auto"/>
                <w:szCs w:val="21"/>
                <w:highlight w:val="none"/>
              </w:rPr>
            </w:pPr>
          </w:p>
        </w:tc>
        <w:tc>
          <w:tcPr>
            <w:tcW w:w="474" w:type="pct"/>
            <w:tcBorders>
              <w:top w:val="double" w:color="auto" w:sz="6" w:space="0"/>
            </w:tcBorders>
            <w:vAlign w:val="center"/>
          </w:tcPr>
          <w:p w14:paraId="5E14D776">
            <w:pPr>
              <w:keepNext/>
              <w:jc w:val="center"/>
              <w:rPr>
                <w:rFonts w:cs="宋体"/>
                <w:color w:val="auto"/>
                <w:szCs w:val="21"/>
                <w:highlight w:val="none"/>
              </w:rPr>
            </w:pPr>
          </w:p>
        </w:tc>
        <w:tc>
          <w:tcPr>
            <w:tcW w:w="537" w:type="pct"/>
            <w:tcBorders>
              <w:top w:val="double" w:color="auto" w:sz="6" w:space="0"/>
            </w:tcBorders>
            <w:vAlign w:val="center"/>
          </w:tcPr>
          <w:p w14:paraId="207DA7A4">
            <w:pPr>
              <w:keepNext/>
              <w:jc w:val="center"/>
              <w:rPr>
                <w:rFonts w:cs="宋体"/>
                <w:color w:val="auto"/>
                <w:szCs w:val="21"/>
                <w:highlight w:val="none"/>
              </w:rPr>
            </w:pPr>
          </w:p>
        </w:tc>
        <w:tc>
          <w:tcPr>
            <w:tcW w:w="827" w:type="pct"/>
            <w:tcBorders>
              <w:top w:val="double" w:color="auto" w:sz="6" w:space="0"/>
            </w:tcBorders>
            <w:vAlign w:val="center"/>
          </w:tcPr>
          <w:p w14:paraId="688741F5">
            <w:pPr>
              <w:keepNext/>
              <w:jc w:val="center"/>
              <w:rPr>
                <w:rFonts w:cs="宋体"/>
                <w:color w:val="auto"/>
                <w:szCs w:val="21"/>
                <w:highlight w:val="none"/>
              </w:rPr>
            </w:pPr>
          </w:p>
        </w:tc>
        <w:tc>
          <w:tcPr>
            <w:tcW w:w="569" w:type="pct"/>
            <w:tcBorders>
              <w:top w:val="double" w:color="auto" w:sz="6" w:space="0"/>
            </w:tcBorders>
            <w:vAlign w:val="center"/>
          </w:tcPr>
          <w:p w14:paraId="11B840E4">
            <w:pPr>
              <w:keepNext/>
              <w:jc w:val="center"/>
              <w:rPr>
                <w:rFonts w:cs="宋体"/>
                <w:color w:val="auto"/>
                <w:szCs w:val="21"/>
                <w:highlight w:val="none"/>
              </w:rPr>
            </w:pPr>
          </w:p>
        </w:tc>
        <w:tc>
          <w:tcPr>
            <w:tcW w:w="519" w:type="pct"/>
            <w:tcBorders>
              <w:top w:val="double" w:color="auto" w:sz="6" w:space="0"/>
            </w:tcBorders>
            <w:vAlign w:val="center"/>
          </w:tcPr>
          <w:p w14:paraId="1F6D7D24">
            <w:pPr>
              <w:keepNext/>
              <w:jc w:val="center"/>
              <w:rPr>
                <w:rFonts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cs="宋体"/>
                <w:color w:val="auto"/>
                <w:szCs w:val="21"/>
                <w:highlight w:val="none"/>
              </w:rPr>
            </w:pPr>
          </w:p>
        </w:tc>
        <w:tc>
          <w:tcPr>
            <w:tcW w:w="792" w:type="pct"/>
            <w:tcBorders>
              <w:top w:val="nil"/>
            </w:tcBorders>
            <w:vAlign w:val="center"/>
          </w:tcPr>
          <w:p w14:paraId="042C2E82">
            <w:pPr>
              <w:keepNext/>
              <w:jc w:val="center"/>
              <w:rPr>
                <w:rFonts w:cs="宋体"/>
                <w:color w:val="auto"/>
                <w:szCs w:val="21"/>
                <w:highlight w:val="none"/>
              </w:rPr>
            </w:pPr>
          </w:p>
        </w:tc>
        <w:tc>
          <w:tcPr>
            <w:tcW w:w="474" w:type="pct"/>
            <w:tcBorders>
              <w:top w:val="nil"/>
            </w:tcBorders>
            <w:vAlign w:val="center"/>
          </w:tcPr>
          <w:p w14:paraId="0EF1B0D4">
            <w:pPr>
              <w:keepNext/>
              <w:jc w:val="center"/>
              <w:rPr>
                <w:rFonts w:cs="宋体"/>
                <w:color w:val="auto"/>
                <w:szCs w:val="21"/>
                <w:highlight w:val="none"/>
              </w:rPr>
            </w:pPr>
          </w:p>
        </w:tc>
        <w:tc>
          <w:tcPr>
            <w:tcW w:w="396" w:type="pct"/>
            <w:tcBorders>
              <w:top w:val="nil"/>
            </w:tcBorders>
            <w:vAlign w:val="center"/>
          </w:tcPr>
          <w:p w14:paraId="10826426">
            <w:pPr>
              <w:keepNext/>
              <w:jc w:val="center"/>
              <w:rPr>
                <w:rFonts w:cs="宋体"/>
                <w:color w:val="auto"/>
                <w:szCs w:val="21"/>
                <w:highlight w:val="none"/>
              </w:rPr>
            </w:pPr>
          </w:p>
        </w:tc>
        <w:tc>
          <w:tcPr>
            <w:tcW w:w="474" w:type="pct"/>
            <w:tcBorders>
              <w:top w:val="nil"/>
            </w:tcBorders>
            <w:vAlign w:val="center"/>
          </w:tcPr>
          <w:p w14:paraId="190FDDE3">
            <w:pPr>
              <w:keepNext/>
              <w:jc w:val="center"/>
              <w:rPr>
                <w:rFonts w:cs="宋体"/>
                <w:color w:val="auto"/>
                <w:szCs w:val="21"/>
                <w:highlight w:val="none"/>
              </w:rPr>
            </w:pPr>
          </w:p>
        </w:tc>
        <w:tc>
          <w:tcPr>
            <w:tcW w:w="537" w:type="pct"/>
            <w:tcBorders>
              <w:top w:val="nil"/>
            </w:tcBorders>
            <w:vAlign w:val="center"/>
          </w:tcPr>
          <w:p w14:paraId="1C35110C">
            <w:pPr>
              <w:keepNext/>
              <w:jc w:val="center"/>
              <w:rPr>
                <w:rFonts w:cs="宋体"/>
                <w:color w:val="auto"/>
                <w:szCs w:val="21"/>
                <w:highlight w:val="none"/>
              </w:rPr>
            </w:pPr>
          </w:p>
        </w:tc>
        <w:tc>
          <w:tcPr>
            <w:tcW w:w="827" w:type="pct"/>
            <w:tcBorders>
              <w:top w:val="nil"/>
            </w:tcBorders>
            <w:vAlign w:val="center"/>
          </w:tcPr>
          <w:p w14:paraId="7CC923D5">
            <w:pPr>
              <w:keepNext/>
              <w:jc w:val="center"/>
              <w:rPr>
                <w:rFonts w:cs="宋体"/>
                <w:color w:val="auto"/>
                <w:szCs w:val="21"/>
                <w:highlight w:val="none"/>
              </w:rPr>
            </w:pPr>
          </w:p>
        </w:tc>
        <w:tc>
          <w:tcPr>
            <w:tcW w:w="569" w:type="pct"/>
            <w:tcBorders>
              <w:top w:val="nil"/>
            </w:tcBorders>
            <w:vAlign w:val="center"/>
          </w:tcPr>
          <w:p w14:paraId="613B9BE5">
            <w:pPr>
              <w:keepNext/>
              <w:jc w:val="center"/>
              <w:rPr>
                <w:rFonts w:cs="宋体"/>
                <w:color w:val="auto"/>
                <w:szCs w:val="21"/>
                <w:highlight w:val="none"/>
              </w:rPr>
            </w:pPr>
          </w:p>
        </w:tc>
        <w:tc>
          <w:tcPr>
            <w:tcW w:w="519" w:type="pct"/>
            <w:tcBorders>
              <w:top w:val="nil"/>
            </w:tcBorders>
            <w:vAlign w:val="center"/>
          </w:tcPr>
          <w:p w14:paraId="767EC3BF">
            <w:pPr>
              <w:keepNext/>
              <w:jc w:val="center"/>
              <w:rPr>
                <w:rFonts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cs="宋体"/>
                <w:color w:val="auto"/>
                <w:szCs w:val="21"/>
                <w:highlight w:val="none"/>
              </w:rPr>
            </w:pPr>
          </w:p>
        </w:tc>
        <w:tc>
          <w:tcPr>
            <w:tcW w:w="792" w:type="pct"/>
            <w:vAlign w:val="center"/>
          </w:tcPr>
          <w:p w14:paraId="54BBB7B4">
            <w:pPr>
              <w:jc w:val="center"/>
              <w:rPr>
                <w:rFonts w:cs="宋体"/>
                <w:color w:val="auto"/>
                <w:szCs w:val="21"/>
                <w:highlight w:val="none"/>
              </w:rPr>
            </w:pPr>
          </w:p>
        </w:tc>
        <w:tc>
          <w:tcPr>
            <w:tcW w:w="474" w:type="pct"/>
            <w:vAlign w:val="center"/>
          </w:tcPr>
          <w:p w14:paraId="5C134097">
            <w:pPr>
              <w:jc w:val="center"/>
              <w:rPr>
                <w:rFonts w:cs="宋体"/>
                <w:color w:val="auto"/>
                <w:szCs w:val="21"/>
                <w:highlight w:val="none"/>
              </w:rPr>
            </w:pPr>
          </w:p>
        </w:tc>
        <w:tc>
          <w:tcPr>
            <w:tcW w:w="396" w:type="pct"/>
            <w:vAlign w:val="center"/>
          </w:tcPr>
          <w:p w14:paraId="66929AB2">
            <w:pPr>
              <w:jc w:val="center"/>
              <w:rPr>
                <w:rFonts w:cs="宋体"/>
                <w:color w:val="auto"/>
                <w:szCs w:val="21"/>
                <w:highlight w:val="none"/>
              </w:rPr>
            </w:pPr>
          </w:p>
        </w:tc>
        <w:tc>
          <w:tcPr>
            <w:tcW w:w="474" w:type="pct"/>
            <w:vAlign w:val="center"/>
          </w:tcPr>
          <w:p w14:paraId="1BF8E46C">
            <w:pPr>
              <w:jc w:val="center"/>
              <w:rPr>
                <w:rFonts w:cs="宋体"/>
                <w:color w:val="auto"/>
                <w:szCs w:val="21"/>
                <w:highlight w:val="none"/>
              </w:rPr>
            </w:pPr>
          </w:p>
        </w:tc>
        <w:tc>
          <w:tcPr>
            <w:tcW w:w="537" w:type="pct"/>
            <w:vAlign w:val="center"/>
          </w:tcPr>
          <w:p w14:paraId="4988D191">
            <w:pPr>
              <w:jc w:val="center"/>
              <w:rPr>
                <w:rFonts w:cs="宋体"/>
                <w:color w:val="auto"/>
                <w:szCs w:val="21"/>
                <w:highlight w:val="none"/>
              </w:rPr>
            </w:pPr>
          </w:p>
        </w:tc>
        <w:tc>
          <w:tcPr>
            <w:tcW w:w="827" w:type="pct"/>
            <w:vAlign w:val="center"/>
          </w:tcPr>
          <w:p w14:paraId="6FC15C35">
            <w:pPr>
              <w:jc w:val="center"/>
              <w:rPr>
                <w:rFonts w:cs="宋体"/>
                <w:color w:val="auto"/>
                <w:szCs w:val="21"/>
                <w:highlight w:val="none"/>
              </w:rPr>
            </w:pPr>
          </w:p>
        </w:tc>
        <w:tc>
          <w:tcPr>
            <w:tcW w:w="569" w:type="pct"/>
            <w:vAlign w:val="center"/>
          </w:tcPr>
          <w:p w14:paraId="661E7AFC">
            <w:pPr>
              <w:jc w:val="center"/>
              <w:rPr>
                <w:rFonts w:cs="宋体"/>
                <w:color w:val="auto"/>
                <w:szCs w:val="21"/>
                <w:highlight w:val="none"/>
              </w:rPr>
            </w:pPr>
          </w:p>
        </w:tc>
        <w:tc>
          <w:tcPr>
            <w:tcW w:w="519" w:type="pct"/>
            <w:vAlign w:val="center"/>
          </w:tcPr>
          <w:p w14:paraId="2EF96365">
            <w:pPr>
              <w:jc w:val="center"/>
              <w:rPr>
                <w:rFonts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cs="宋体"/>
                <w:color w:val="auto"/>
                <w:szCs w:val="21"/>
                <w:highlight w:val="none"/>
              </w:rPr>
            </w:pPr>
          </w:p>
        </w:tc>
        <w:tc>
          <w:tcPr>
            <w:tcW w:w="792" w:type="pct"/>
            <w:vAlign w:val="center"/>
          </w:tcPr>
          <w:p w14:paraId="4B95D18D">
            <w:pPr>
              <w:jc w:val="center"/>
              <w:rPr>
                <w:rFonts w:cs="宋体"/>
                <w:color w:val="auto"/>
                <w:szCs w:val="21"/>
                <w:highlight w:val="none"/>
              </w:rPr>
            </w:pPr>
          </w:p>
        </w:tc>
        <w:tc>
          <w:tcPr>
            <w:tcW w:w="474" w:type="pct"/>
            <w:vAlign w:val="center"/>
          </w:tcPr>
          <w:p w14:paraId="20965875">
            <w:pPr>
              <w:jc w:val="center"/>
              <w:rPr>
                <w:rFonts w:cs="宋体"/>
                <w:color w:val="auto"/>
                <w:szCs w:val="21"/>
                <w:highlight w:val="none"/>
              </w:rPr>
            </w:pPr>
          </w:p>
        </w:tc>
        <w:tc>
          <w:tcPr>
            <w:tcW w:w="396" w:type="pct"/>
            <w:vAlign w:val="center"/>
          </w:tcPr>
          <w:p w14:paraId="0C1EAA2A">
            <w:pPr>
              <w:jc w:val="center"/>
              <w:rPr>
                <w:rFonts w:cs="宋体"/>
                <w:color w:val="auto"/>
                <w:szCs w:val="21"/>
                <w:highlight w:val="none"/>
              </w:rPr>
            </w:pPr>
          </w:p>
        </w:tc>
        <w:tc>
          <w:tcPr>
            <w:tcW w:w="474" w:type="pct"/>
            <w:vAlign w:val="center"/>
          </w:tcPr>
          <w:p w14:paraId="1FD1BBF0">
            <w:pPr>
              <w:jc w:val="center"/>
              <w:rPr>
                <w:rFonts w:cs="宋体"/>
                <w:color w:val="auto"/>
                <w:szCs w:val="21"/>
                <w:highlight w:val="none"/>
              </w:rPr>
            </w:pPr>
          </w:p>
        </w:tc>
        <w:tc>
          <w:tcPr>
            <w:tcW w:w="537" w:type="pct"/>
            <w:vAlign w:val="center"/>
          </w:tcPr>
          <w:p w14:paraId="1DF5CB66">
            <w:pPr>
              <w:jc w:val="center"/>
              <w:rPr>
                <w:rFonts w:cs="宋体"/>
                <w:color w:val="auto"/>
                <w:szCs w:val="21"/>
                <w:highlight w:val="none"/>
              </w:rPr>
            </w:pPr>
          </w:p>
        </w:tc>
        <w:tc>
          <w:tcPr>
            <w:tcW w:w="827" w:type="pct"/>
            <w:vAlign w:val="center"/>
          </w:tcPr>
          <w:p w14:paraId="6492CE62">
            <w:pPr>
              <w:jc w:val="center"/>
              <w:rPr>
                <w:rFonts w:cs="宋体"/>
                <w:color w:val="auto"/>
                <w:szCs w:val="21"/>
                <w:highlight w:val="none"/>
              </w:rPr>
            </w:pPr>
          </w:p>
        </w:tc>
        <w:tc>
          <w:tcPr>
            <w:tcW w:w="569" w:type="pct"/>
            <w:vAlign w:val="center"/>
          </w:tcPr>
          <w:p w14:paraId="09805F93">
            <w:pPr>
              <w:jc w:val="center"/>
              <w:rPr>
                <w:rFonts w:cs="宋体"/>
                <w:color w:val="auto"/>
                <w:szCs w:val="21"/>
                <w:highlight w:val="none"/>
              </w:rPr>
            </w:pPr>
          </w:p>
        </w:tc>
        <w:tc>
          <w:tcPr>
            <w:tcW w:w="519" w:type="pct"/>
            <w:vAlign w:val="center"/>
          </w:tcPr>
          <w:p w14:paraId="42378160">
            <w:pPr>
              <w:jc w:val="center"/>
              <w:rPr>
                <w:rFonts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cs="宋体"/>
                <w:color w:val="auto"/>
                <w:szCs w:val="21"/>
                <w:highlight w:val="none"/>
              </w:rPr>
            </w:pPr>
          </w:p>
        </w:tc>
        <w:tc>
          <w:tcPr>
            <w:tcW w:w="792" w:type="pct"/>
            <w:tcBorders>
              <w:bottom w:val="single" w:color="auto" w:sz="12" w:space="0"/>
            </w:tcBorders>
            <w:vAlign w:val="center"/>
          </w:tcPr>
          <w:p w14:paraId="464EC5AB">
            <w:pPr>
              <w:jc w:val="center"/>
              <w:rPr>
                <w:rFonts w:cs="宋体"/>
                <w:color w:val="auto"/>
                <w:szCs w:val="21"/>
                <w:highlight w:val="none"/>
              </w:rPr>
            </w:pPr>
          </w:p>
        </w:tc>
        <w:tc>
          <w:tcPr>
            <w:tcW w:w="474" w:type="pct"/>
            <w:tcBorders>
              <w:bottom w:val="single" w:color="auto" w:sz="12" w:space="0"/>
            </w:tcBorders>
            <w:vAlign w:val="center"/>
          </w:tcPr>
          <w:p w14:paraId="4D2B0DC0">
            <w:pPr>
              <w:jc w:val="center"/>
              <w:rPr>
                <w:rFonts w:cs="宋体"/>
                <w:color w:val="auto"/>
                <w:szCs w:val="21"/>
                <w:highlight w:val="none"/>
              </w:rPr>
            </w:pPr>
          </w:p>
        </w:tc>
        <w:tc>
          <w:tcPr>
            <w:tcW w:w="396" w:type="pct"/>
            <w:tcBorders>
              <w:bottom w:val="single" w:color="auto" w:sz="12" w:space="0"/>
            </w:tcBorders>
            <w:vAlign w:val="center"/>
          </w:tcPr>
          <w:p w14:paraId="7A37BE94">
            <w:pPr>
              <w:jc w:val="center"/>
              <w:rPr>
                <w:rFonts w:cs="宋体"/>
                <w:color w:val="auto"/>
                <w:szCs w:val="21"/>
                <w:highlight w:val="none"/>
              </w:rPr>
            </w:pPr>
          </w:p>
        </w:tc>
        <w:tc>
          <w:tcPr>
            <w:tcW w:w="474" w:type="pct"/>
            <w:tcBorders>
              <w:bottom w:val="single" w:color="auto" w:sz="12" w:space="0"/>
            </w:tcBorders>
            <w:vAlign w:val="center"/>
          </w:tcPr>
          <w:p w14:paraId="4F732BF1">
            <w:pPr>
              <w:jc w:val="center"/>
              <w:rPr>
                <w:rFonts w:cs="宋体"/>
                <w:color w:val="auto"/>
                <w:szCs w:val="21"/>
                <w:highlight w:val="none"/>
              </w:rPr>
            </w:pPr>
          </w:p>
        </w:tc>
        <w:tc>
          <w:tcPr>
            <w:tcW w:w="537" w:type="pct"/>
            <w:tcBorders>
              <w:bottom w:val="single" w:color="auto" w:sz="12" w:space="0"/>
            </w:tcBorders>
            <w:vAlign w:val="center"/>
          </w:tcPr>
          <w:p w14:paraId="32B2184A">
            <w:pPr>
              <w:jc w:val="center"/>
              <w:rPr>
                <w:rFonts w:cs="宋体"/>
                <w:color w:val="auto"/>
                <w:szCs w:val="21"/>
                <w:highlight w:val="none"/>
              </w:rPr>
            </w:pPr>
          </w:p>
        </w:tc>
        <w:tc>
          <w:tcPr>
            <w:tcW w:w="827" w:type="pct"/>
            <w:tcBorders>
              <w:bottom w:val="single" w:color="auto" w:sz="12" w:space="0"/>
            </w:tcBorders>
            <w:vAlign w:val="center"/>
          </w:tcPr>
          <w:p w14:paraId="3954AD06">
            <w:pPr>
              <w:jc w:val="center"/>
              <w:rPr>
                <w:rFonts w:cs="宋体"/>
                <w:color w:val="auto"/>
                <w:szCs w:val="21"/>
                <w:highlight w:val="none"/>
              </w:rPr>
            </w:pPr>
          </w:p>
        </w:tc>
        <w:tc>
          <w:tcPr>
            <w:tcW w:w="569" w:type="pct"/>
            <w:tcBorders>
              <w:bottom w:val="single" w:color="auto" w:sz="12" w:space="0"/>
            </w:tcBorders>
            <w:vAlign w:val="center"/>
          </w:tcPr>
          <w:p w14:paraId="161D320A">
            <w:pPr>
              <w:jc w:val="center"/>
              <w:rPr>
                <w:rFonts w:cs="宋体"/>
                <w:color w:val="auto"/>
                <w:szCs w:val="21"/>
                <w:highlight w:val="none"/>
              </w:rPr>
            </w:pPr>
          </w:p>
        </w:tc>
        <w:tc>
          <w:tcPr>
            <w:tcW w:w="519" w:type="pct"/>
            <w:tcBorders>
              <w:bottom w:val="single" w:color="auto" w:sz="12" w:space="0"/>
            </w:tcBorders>
            <w:vAlign w:val="center"/>
          </w:tcPr>
          <w:p w14:paraId="4FE28A99">
            <w:pPr>
              <w:jc w:val="center"/>
              <w:rPr>
                <w:rFonts w:cs="宋体"/>
                <w:color w:val="auto"/>
                <w:szCs w:val="21"/>
                <w:highlight w:val="none"/>
              </w:rPr>
            </w:pPr>
          </w:p>
        </w:tc>
      </w:tr>
    </w:tbl>
    <w:p w14:paraId="2C376A9C">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585" w:name="_Toc128950241"/>
      <w:r>
        <w:rPr>
          <w:rFonts w:hint="eastAsia" w:ascii="Times New Roman" w:eastAsia="黑体"/>
          <w:color w:val="auto"/>
          <w:szCs w:val="24"/>
          <w:highlight w:val="none"/>
        </w:rPr>
        <w:t>附</w:t>
      </w:r>
      <w:bookmarkStart w:id="586" w:name="_Toc296346729"/>
      <w:bookmarkStart w:id="587" w:name="_Toc296347227"/>
      <w:bookmarkStart w:id="588" w:name="_Toc296891056"/>
      <w:bookmarkStart w:id="589" w:name="_Toc267261699"/>
      <w:bookmarkStart w:id="590" w:name="_Toc296944567"/>
      <w:bookmarkStart w:id="591" w:name="_Toc296503228"/>
      <w:bookmarkStart w:id="592" w:name="_Toc296891268"/>
      <w:r>
        <w:rPr>
          <w:rFonts w:hint="eastAsia" w:ascii="Times New Roman" w:eastAsia="黑体"/>
          <w:color w:val="auto"/>
          <w:szCs w:val="24"/>
          <w:highlight w:val="none"/>
        </w:rPr>
        <w:t>件</w:t>
      </w:r>
      <w:bookmarkEnd w:id="586"/>
      <w:bookmarkEnd w:id="587"/>
      <w:bookmarkEnd w:id="588"/>
      <w:bookmarkEnd w:id="589"/>
      <w:bookmarkEnd w:id="590"/>
      <w:bookmarkEnd w:id="591"/>
      <w:bookmarkEnd w:id="592"/>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585"/>
    </w:p>
    <w:p w14:paraId="79AB893E">
      <w:pPr>
        <w:spacing w:line="360" w:lineRule="auto"/>
        <w:jc w:val="center"/>
        <w:rPr>
          <w:rFonts w:cs="宋体"/>
          <w:color w:val="auto"/>
          <w:highlight w:val="none"/>
        </w:rPr>
      </w:pPr>
      <w:r>
        <w:rPr>
          <w:rFonts w:hint="eastAsia" w:cs="宋体"/>
          <w:color w:val="auto"/>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415FDBEC">
            <w:pPr>
              <w:keepNext/>
              <w:spacing w:line="360" w:lineRule="auto"/>
              <w:jc w:val="center"/>
              <w:rPr>
                <w:rFonts w:cs="宋体"/>
                <w:color w:val="auto"/>
                <w:szCs w:val="21"/>
                <w:highlight w:val="none"/>
              </w:rPr>
            </w:pPr>
          </w:p>
        </w:tc>
        <w:tc>
          <w:tcPr>
            <w:tcW w:w="502" w:type="pct"/>
            <w:tcBorders>
              <w:top w:val="nil"/>
            </w:tcBorders>
            <w:vAlign w:val="center"/>
          </w:tcPr>
          <w:p w14:paraId="24FD7573">
            <w:pPr>
              <w:keepNext/>
              <w:spacing w:line="360" w:lineRule="auto"/>
              <w:jc w:val="center"/>
              <w:rPr>
                <w:rFonts w:cs="宋体"/>
                <w:color w:val="auto"/>
                <w:szCs w:val="21"/>
                <w:highlight w:val="none"/>
              </w:rPr>
            </w:pPr>
          </w:p>
        </w:tc>
        <w:tc>
          <w:tcPr>
            <w:tcW w:w="502" w:type="pct"/>
            <w:tcBorders>
              <w:top w:val="nil"/>
            </w:tcBorders>
            <w:vAlign w:val="center"/>
          </w:tcPr>
          <w:p w14:paraId="3DC25A3E">
            <w:pPr>
              <w:keepNext/>
              <w:spacing w:line="360" w:lineRule="auto"/>
              <w:jc w:val="center"/>
              <w:rPr>
                <w:rFonts w:cs="宋体"/>
                <w:color w:val="auto"/>
                <w:szCs w:val="21"/>
                <w:highlight w:val="none"/>
              </w:rPr>
            </w:pPr>
          </w:p>
        </w:tc>
        <w:tc>
          <w:tcPr>
            <w:tcW w:w="1281" w:type="pct"/>
            <w:tcBorders>
              <w:top w:val="nil"/>
            </w:tcBorders>
            <w:vAlign w:val="center"/>
          </w:tcPr>
          <w:p w14:paraId="632C365A">
            <w:pPr>
              <w:keepNext/>
              <w:spacing w:line="360" w:lineRule="auto"/>
              <w:jc w:val="center"/>
              <w:rPr>
                <w:rFonts w:cs="宋体"/>
                <w:color w:val="auto"/>
                <w:szCs w:val="21"/>
                <w:highlight w:val="none"/>
              </w:rPr>
            </w:pPr>
          </w:p>
        </w:tc>
        <w:tc>
          <w:tcPr>
            <w:tcW w:w="1151" w:type="pct"/>
            <w:tcBorders>
              <w:top w:val="nil"/>
            </w:tcBorders>
            <w:vAlign w:val="center"/>
          </w:tcPr>
          <w:p w14:paraId="286545CD">
            <w:pPr>
              <w:keepNext/>
              <w:spacing w:line="360" w:lineRule="auto"/>
              <w:jc w:val="center"/>
              <w:rPr>
                <w:rFonts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6D89E3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07C5BAA5">
            <w:pPr>
              <w:keepNext/>
              <w:spacing w:line="360" w:lineRule="auto"/>
              <w:jc w:val="center"/>
              <w:rPr>
                <w:rFonts w:cs="宋体"/>
                <w:color w:val="auto"/>
                <w:szCs w:val="21"/>
                <w:highlight w:val="none"/>
              </w:rPr>
            </w:pPr>
          </w:p>
        </w:tc>
        <w:tc>
          <w:tcPr>
            <w:tcW w:w="502" w:type="pct"/>
            <w:vAlign w:val="center"/>
          </w:tcPr>
          <w:p w14:paraId="262D8C9C">
            <w:pPr>
              <w:keepNext/>
              <w:spacing w:line="360" w:lineRule="auto"/>
              <w:jc w:val="center"/>
              <w:rPr>
                <w:rFonts w:cs="宋体"/>
                <w:color w:val="auto"/>
                <w:szCs w:val="21"/>
                <w:highlight w:val="none"/>
              </w:rPr>
            </w:pPr>
          </w:p>
        </w:tc>
        <w:tc>
          <w:tcPr>
            <w:tcW w:w="502" w:type="pct"/>
            <w:vAlign w:val="center"/>
          </w:tcPr>
          <w:p w14:paraId="4DAA18D0">
            <w:pPr>
              <w:keepNext/>
              <w:spacing w:line="360" w:lineRule="auto"/>
              <w:jc w:val="center"/>
              <w:rPr>
                <w:rFonts w:cs="宋体"/>
                <w:color w:val="auto"/>
                <w:szCs w:val="21"/>
                <w:highlight w:val="none"/>
              </w:rPr>
            </w:pPr>
          </w:p>
        </w:tc>
        <w:tc>
          <w:tcPr>
            <w:tcW w:w="1281" w:type="pct"/>
            <w:vAlign w:val="center"/>
          </w:tcPr>
          <w:p w14:paraId="2EC2FE8C">
            <w:pPr>
              <w:keepNext/>
              <w:spacing w:line="360" w:lineRule="auto"/>
              <w:jc w:val="center"/>
              <w:rPr>
                <w:rFonts w:cs="宋体"/>
                <w:color w:val="auto"/>
                <w:szCs w:val="21"/>
                <w:highlight w:val="none"/>
              </w:rPr>
            </w:pPr>
          </w:p>
        </w:tc>
        <w:tc>
          <w:tcPr>
            <w:tcW w:w="1151" w:type="pct"/>
            <w:vAlign w:val="center"/>
          </w:tcPr>
          <w:p w14:paraId="5CD64D0C">
            <w:pPr>
              <w:keepNext/>
              <w:spacing w:line="360" w:lineRule="auto"/>
              <w:jc w:val="center"/>
              <w:rPr>
                <w:rFonts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cs="宋体"/>
                <w:color w:val="auto"/>
                <w:szCs w:val="21"/>
                <w:highlight w:val="none"/>
              </w:rPr>
            </w:pPr>
          </w:p>
        </w:tc>
        <w:tc>
          <w:tcPr>
            <w:tcW w:w="627" w:type="pct"/>
            <w:vAlign w:val="center"/>
          </w:tcPr>
          <w:p w14:paraId="06A27F2F">
            <w:pPr>
              <w:keepNext/>
              <w:spacing w:line="360" w:lineRule="auto"/>
              <w:jc w:val="center"/>
              <w:rPr>
                <w:rFonts w:cs="宋体"/>
                <w:color w:val="auto"/>
                <w:szCs w:val="21"/>
                <w:highlight w:val="none"/>
              </w:rPr>
            </w:pPr>
          </w:p>
        </w:tc>
        <w:tc>
          <w:tcPr>
            <w:tcW w:w="502" w:type="pct"/>
            <w:vAlign w:val="center"/>
          </w:tcPr>
          <w:p w14:paraId="41605F13">
            <w:pPr>
              <w:keepNext/>
              <w:spacing w:line="360" w:lineRule="auto"/>
              <w:jc w:val="center"/>
              <w:rPr>
                <w:rFonts w:cs="宋体"/>
                <w:color w:val="auto"/>
                <w:szCs w:val="21"/>
                <w:highlight w:val="none"/>
              </w:rPr>
            </w:pPr>
          </w:p>
        </w:tc>
        <w:tc>
          <w:tcPr>
            <w:tcW w:w="502" w:type="pct"/>
            <w:vAlign w:val="center"/>
          </w:tcPr>
          <w:p w14:paraId="7D389C02">
            <w:pPr>
              <w:keepNext/>
              <w:spacing w:line="360" w:lineRule="auto"/>
              <w:jc w:val="center"/>
              <w:rPr>
                <w:rFonts w:cs="宋体"/>
                <w:color w:val="auto"/>
                <w:szCs w:val="21"/>
                <w:highlight w:val="none"/>
              </w:rPr>
            </w:pPr>
          </w:p>
        </w:tc>
        <w:tc>
          <w:tcPr>
            <w:tcW w:w="1281" w:type="pct"/>
            <w:vAlign w:val="center"/>
          </w:tcPr>
          <w:p w14:paraId="4C85C54E">
            <w:pPr>
              <w:keepNext/>
              <w:spacing w:line="360" w:lineRule="auto"/>
              <w:jc w:val="center"/>
              <w:rPr>
                <w:rFonts w:cs="宋体"/>
                <w:color w:val="auto"/>
                <w:szCs w:val="21"/>
                <w:highlight w:val="none"/>
              </w:rPr>
            </w:pPr>
          </w:p>
        </w:tc>
        <w:tc>
          <w:tcPr>
            <w:tcW w:w="1151" w:type="pct"/>
            <w:vAlign w:val="center"/>
          </w:tcPr>
          <w:p w14:paraId="53824455">
            <w:pPr>
              <w:keepNext/>
              <w:spacing w:line="360" w:lineRule="auto"/>
              <w:jc w:val="center"/>
              <w:rPr>
                <w:rFonts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9A11480">
            <w:pPr>
              <w:spacing w:line="360" w:lineRule="auto"/>
              <w:jc w:val="center"/>
              <w:rPr>
                <w:rFonts w:cs="宋体"/>
                <w:color w:val="auto"/>
                <w:szCs w:val="21"/>
                <w:highlight w:val="none"/>
              </w:rPr>
            </w:pPr>
          </w:p>
        </w:tc>
        <w:tc>
          <w:tcPr>
            <w:tcW w:w="627" w:type="pct"/>
            <w:vAlign w:val="center"/>
          </w:tcPr>
          <w:p w14:paraId="0E212A0B">
            <w:pPr>
              <w:keepNext/>
              <w:spacing w:line="360" w:lineRule="auto"/>
              <w:jc w:val="center"/>
              <w:rPr>
                <w:rFonts w:cs="宋体"/>
                <w:color w:val="auto"/>
                <w:szCs w:val="21"/>
                <w:highlight w:val="none"/>
              </w:rPr>
            </w:pPr>
          </w:p>
        </w:tc>
        <w:tc>
          <w:tcPr>
            <w:tcW w:w="502" w:type="pct"/>
            <w:vAlign w:val="center"/>
          </w:tcPr>
          <w:p w14:paraId="0F7451B6">
            <w:pPr>
              <w:keepNext/>
              <w:spacing w:line="360" w:lineRule="auto"/>
              <w:jc w:val="center"/>
              <w:rPr>
                <w:rFonts w:cs="宋体"/>
                <w:color w:val="auto"/>
                <w:szCs w:val="21"/>
                <w:highlight w:val="none"/>
              </w:rPr>
            </w:pPr>
          </w:p>
        </w:tc>
        <w:tc>
          <w:tcPr>
            <w:tcW w:w="502" w:type="pct"/>
            <w:vAlign w:val="center"/>
          </w:tcPr>
          <w:p w14:paraId="1392C4E7">
            <w:pPr>
              <w:keepNext/>
              <w:spacing w:line="360" w:lineRule="auto"/>
              <w:jc w:val="center"/>
              <w:rPr>
                <w:rFonts w:cs="宋体"/>
                <w:color w:val="auto"/>
                <w:szCs w:val="21"/>
                <w:highlight w:val="none"/>
              </w:rPr>
            </w:pPr>
          </w:p>
        </w:tc>
        <w:tc>
          <w:tcPr>
            <w:tcW w:w="1281" w:type="pct"/>
            <w:vAlign w:val="center"/>
          </w:tcPr>
          <w:p w14:paraId="5B4A9073">
            <w:pPr>
              <w:keepNext/>
              <w:spacing w:line="360" w:lineRule="auto"/>
              <w:jc w:val="center"/>
              <w:rPr>
                <w:rFonts w:cs="宋体"/>
                <w:color w:val="auto"/>
                <w:szCs w:val="21"/>
                <w:highlight w:val="none"/>
              </w:rPr>
            </w:pPr>
          </w:p>
        </w:tc>
        <w:tc>
          <w:tcPr>
            <w:tcW w:w="1151" w:type="pct"/>
            <w:vAlign w:val="center"/>
          </w:tcPr>
          <w:p w14:paraId="2E85CDB1">
            <w:pPr>
              <w:keepNext/>
              <w:spacing w:line="360" w:lineRule="auto"/>
              <w:jc w:val="center"/>
              <w:rPr>
                <w:rFonts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5AE934D">
            <w:pPr>
              <w:keepNext/>
              <w:spacing w:line="360" w:lineRule="auto"/>
              <w:jc w:val="center"/>
              <w:rPr>
                <w:rFonts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5D77DC6D">
            <w:pPr>
              <w:keepNext/>
              <w:spacing w:line="360" w:lineRule="auto"/>
              <w:jc w:val="center"/>
              <w:rPr>
                <w:rFonts w:cs="宋体"/>
                <w:color w:val="auto"/>
                <w:szCs w:val="21"/>
                <w:highlight w:val="none"/>
              </w:rPr>
            </w:pPr>
          </w:p>
        </w:tc>
        <w:tc>
          <w:tcPr>
            <w:tcW w:w="502" w:type="pct"/>
            <w:vAlign w:val="center"/>
          </w:tcPr>
          <w:p w14:paraId="4881413C">
            <w:pPr>
              <w:keepNext/>
              <w:spacing w:line="360" w:lineRule="auto"/>
              <w:jc w:val="center"/>
              <w:rPr>
                <w:rFonts w:cs="宋体"/>
                <w:color w:val="auto"/>
                <w:szCs w:val="21"/>
                <w:highlight w:val="none"/>
              </w:rPr>
            </w:pPr>
          </w:p>
        </w:tc>
        <w:tc>
          <w:tcPr>
            <w:tcW w:w="502" w:type="pct"/>
            <w:vAlign w:val="center"/>
          </w:tcPr>
          <w:p w14:paraId="25CA5AAB">
            <w:pPr>
              <w:keepNext/>
              <w:spacing w:line="360" w:lineRule="auto"/>
              <w:jc w:val="center"/>
              <w:rPr>
                <w:rFonts w:cs="宋体"/>
                <w:color w:val="auto"/>
                <w:szCs w:val="21"/>
                <w:highlight w:val="none"/>
              </w:rPr>
            </w:pPr>
          </w:p>
        </w:tc>
        <w:tc>
          <w:tcPr>
            <w:tcW w:w="1281" w:type="pct"/>
            <w:vAlign w:val="center"/>
          </w:tcPr>
          <w:p w14:paraId="07FA62B0">
            <w:pPr>
              <w:keepNext/>
              <w:spacing w:line="360" w:lineRule="auto"/>
              <w:jc w:val="center"/>
              <w:rPr>
                <w:rFonts w:cs="宋体"/>
                <w:color w:val="auto"/>
                <w:szCs w:val="21"/>
                <w:highlight w:val="none"/>
              </w:rPr>
            </w:pPr>
          </w:p>
        </w:tc>
        <w:tc>
          <w:tcPr>
            <w:tcW w:w="1151" w:type="pct"/>
            <w:vAlign w:val="center"/>
          </w:tcPr>
          <w:p w14:paraId="1A7C41CC">
            <w:pPr>
              <w:keepNext/>
              <w:spacing w:line="360" w:lineRule="auto"/>
              <w:jc w:val="center"/>
              <w:rPr>
                <w:rFonts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23C73EB">
            <w:pPr>
              <w:keepNext/>
              <w:spacing w:line="360" w:lineRule="auto"/>
              <w:jc w:val="center"/>
              <w:rPr>
                <w:rFonts w:cs="宋体"/>
                <w:color w:val="auto"/>
                <w:szCs w:val="21"/>
                <w:highlight w:val="none"/>
              </w:rPr>
            </w:pPr>
          </w:p>
        </w:tc>
        <w:tc>
          <w:tcPr>
            <w:tcW w:w="502" w:type="pct"/>
            <w:vAlign w:val="center"/>
          </w:tcPr>
          <w:p w14:paraId="04A6CB2B">
            <w:pPr>
              <w:keepNext/>
              <w:spacing w:line="360" w:lineRule="auto"/>
              <w:jc w:val="center"/>
              <w:rPr>
                <w:rFonts w:cs="宋体"/>
                <w:color w:val="auto"/>
                <w:szCs w:val="21"/>
                <w:highlight w:val="none"/>
              </w:rPr>
            </w:pPr>
          </w:p>
        </w:tc>
        <w:tc>
          <w:tcPr>
            <w:tcW w:w="502" w:type="pct"/>
            <w:vAlign w:val="center"/>
          </w:tcPr>
          <w:p w14:paraId="6F90FD94">
            <w:pPr>
              <w:keepNext/>
              <w:spacing w:line="360" w:lineRule="auto"/>
              <w:jc w:val="center"/>
              <w:rPr>
                <w:rFonts w:cs="宋体"/>
                <w:color w:val="auto"/>
                <w:szCs w:val="21"/>
                <w:highlight w:val="none"/>
              </w:rPr>
            </w:pPr>
          </w:p>
        </w:tc>
        <w:tc>
          <w:tcPr>
            <w:tcW w:w="1281" w:type="pct"/>
            <w:vAlign w:val="center"/>
          </w:tcPr>
          <w:p w14:paraId="6FB8AFA5">
            <w:pPr>
              <w:keepNext/>
              <w:spacing w:line="360" w:lineRule="auto"/>
              <w:jc w:val="center"/>
              <w:rPr>
                <w:rFonts w:cs="宋体"/>
                <w:color w:val="auto"/>
                <w:szCs w:val="21"/>
                <w:highlight w:val="none"/>
              </w:rPr>
            </w:pPr>
          </w:p>
        </w:tc>
        <w:tc>
          <w:tcPr>
            <w:tcW w:w="1151" w:type="pct"/>
            <w:vAlign w:val="center"/>
          </w:tcPr>
          <w:p w14:paraId="65604C77">
            <w:pPr>
              <w:keepNext/>
              <w:spacing w:line="360" w:lineRule="auto"/>
              <w:jc w:val="center"/>
              <w:rPr>
                <w:rFonts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92EF0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322EE4BD">
            <w:pPr>
              <w:keepNext/>
              <w:spacing w:line="360" w:lineRule="auto"/>
              <w:jc w:val="center"/>
              <w:rPr>
                <w:rFonts w:cs="宋体"/>
                <w:color w:val="auto"/>
                <w:szCs w:val="21"/>
                <w:highlight w:val="none"/>
              </w:rPr>
            </w:pPr>
          </w:p>
        </w:tc>
        <w:tc>
          <w:tcPr>
            <w:tcW w:w="502" w:type="pct"/>
            <w:vAlign w:val="center"/>
          </w:tcPr>
          <w:p w14:paraId="3CA4E195">
            <w:pPr>
              <w:keepNext/>
              <w:spacing w:line="360" w:lineRule="auto"/>
              <w:jc w:val="center"/>
              <w:rPr>
                <w:rFonts w:cs="宋体"/>
                <w:color w:val="auto"/>
                <w:szCs w:val="21"/>
                <w:highlight w:val="none"/>
              </w:rPr>
            </w:pPr>
          </w:p>
        </w:tc>
        <w:tc>
          <w:tcPr>
            <w:tcW w:w="502" w:type="pct"/>
            <w:vAlign w:val="center"/>
          </w:tcPr>
          <w:p w14:paraId="5428547F">
            <w:pPr>
              <w:keepNext/>
              <w:spacing w:line="360" w:lineRule="auto"/>
              <w:jc w:val="center"/>
              <w:rPr>
                <w:rFonts w:cs="宋体"/>
                <w:color w:val="auto"/>
                <w:szCs w:val="21"/>
                <w:highlight w:val="none"/>
              </w:rPr>
            </w:pPr>
          </w:p>
        </w:tc>
        <w:tc>
          <w:tcPr>
            <w:tcW w:w="1281" w:type="pct"/>
            <w:vAlign w:val="center"/>
          </w:tcPr>
          <w:p w14:paraId="7524DB89">
            <w:pPr>
              <w:keepNext/>
              <w:spacing w:line="360" w:lineRule="auto"/>
              <w:jc w:val="center"/>
              <w:rPr>
                <w:rFonts w:cs="宋体"/>
                <w:color w:val="auto"/>
                <w:szCs w:val="21"/>
                <w:highlight w:val="none"/>
              </w:rPr>
            </w:pPr>
          </w:p>
        </w:tc>
        <w:tc>
          <w:tcPr>
            <w:tcW w:w="1151" w:type="pct"/>
            <w:vAlign w:val="center"/>
          </w:tcPr>
          <w:p w14:paraId="27C32C92">
            <w:pPr>
              <w:keepNext/>
              <w:spacing w:line="360" w:lineRule="auto"/>
              <w:jc w:val="center"/>
              <w:rPr>
                <w:rFonts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BE6B18">
            <w:pPr>
              <w:keepNext/>
              <w:spacing w:line="360" w:lineRule="auto"/>
              <w:jc w:val="center"/>
              <w:rPr>
                <w:rFonts w:cs="宋体"/>
                <w:color w:val="auto"/>
                <w:szCs w:val="21"/>
                <w:highlight w:val="none"/>
              </w:rPr>
            </w:pPr>
          </w:p>
        </w:tc>
        <w:tc>
          <w:tcPr>
            <w:tcW w:w="502" w:type="pct"/>
            <w:vAlign w:val="center"/>
          </w:tcPr>
          <w:p w14:paraId="0A766F2A">
            <w:pPr>
              <w:keepNext/>
              <w:spacing w:line="360" w:lineRule="auto"/>
              <w:jc w:val="center"/>
              <w:rPr>
                <w:rFonts w:cs="宋体"/>
                <w:color w:val="auto"/>
                <w:szCs w:val="21"/>
                <w:highlight w:val="none"/>
              </w:rPr>
            </w:pPr>
          </w:p>
        </w:tc>
        <w:tc>
          <w:tcPr>
            <w:tcW w:w="502" w:type="pct"/>
            <w:vAlign w:val="center"/>
          </w:tcPr>
          <w:p w14:paraId="0A180FAA">
            <w:pPr>
              <w:keepNext/>
              <w:spacing w:line="360" w:lineRule="auto"/>
              <w:jc w:val="center"/>
              <w:rPr>
                <w:rFonts w:cs="宋体"/>
                <w:color w:val="auto"/>
                <w:szCs w:val="21"/>
                <w:highlight w:val="none"/>
              </w:rPr>
            </w:pPr>
          </w:p>
        </w:tc>
        <w:tc>
          <w:tcPr>
            <w:tcW w:w="1281" w:type="pct"/>
            <w:vAlign w:val="center"/>
          </w:tcPr>
          <w:p w14:paraId="36E1B89F">
            <w:pPr>
              <w:keepNext/>
              <w:spacing w:line="360" w:lineRule="auto"/>
              <w:jc w:val="center"/>
              <w:rPr>
                <w:rFonts w:cs="宋体"/>
                <w:color w:val="auto"/>
                <w:szCs w:val="21"/>
                <w:highlight w:val="none"/>
              </w:rPr>
            </w:pPr>
          </w:p>
        </w:tc>
        <w:tc>
          <w:tcPr>
            <w:tcW w:w="1151" w:type="pct"/>
            <w:vAlign w:val="center"/>
          </w:tcPr>
          <w:p w14:paraId="3B05EF8B">
            <w:pPr>
              <w:keepNext/>
              <w:spacing w:line="360" w:lineRule="auto"/>
              <w:jc w:val="center"/>
              <w:rPr>
                <w:rFonts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7B74755E">
            <w:pPr>
              <w:keepNext/>
              <w:spacing w:line="360" w:lineRule="auto"/>
              <w:jc w:val="center"/>
              <w:rPr>
                <w:rFonts w:cs="宋体"/>
                <w:color w:val="auto"/>
                <w:szCs w:val="21"/>
                <w:highlight w:val="none"/>
              </w:rPr>
            </w:pPr>
          </w:p>
        </w:tc>
        <w:tc>
          <w:tcPr>
            <w:tcW w:w="502" w:type="pct"/>
            <w:vAlign w:val="center"/>
          </w:tcPr>
          <w:p w14:paraId="7D795308">
            <w:pPr>
              <w:keepNext/>
              <w:spacing w:line="360" w:lineRule="auto"/>
              <w:jc w:val="center"/>
              <w:rPr>
                <w:rFonts w:cs="宋体"/>
                <w:color w:val="auto"/>
                <w:szCs w:val="21"/>
                <w:highlight w:val="none"/>
              </w:rPr>
            </w:pPr>
          </w:p>
        </w:tc>
        <w:tc>
          <w:tcPr>
            <w:tcW w:w="502" w:type="pct"/>
            <w:vAlign w:val="center"/>
          </w:tcPr>
          <w:p w14:paraId="7D1303BB">
            <w:pPr>
              <w:keepNext/>
              <w:spacing w:line="360" w:lineRule="auto"/>
              <w:jc w:val="center"/>
              <w:rPr>
                <w:rFonts w:cs="宋体"/>
                <w:color w:val="auto"/>
                <w:szCs w:val="21"/>
                <w:highlight w:val="none"/>
              </w:rPr>
            </w:pPr>
          </w:p>
        </w:tc>
        <w:tc>
          <w:tcPr>
            <w:tcW w:w="1281" w:type="pct"/>
            <w:vAlign w:val="center"/>
          </w:tcPr>
          <w:p w14:paraId="6CCC700D">
            <w:pPr>
              <w:keepNext/>
              <w:spacing w:line="360" w:lineRule="auto"/>
              <w:jc w:val="center"/>
              <w:rPr>
                <w:rFonts w:cs="宋体"/>
                <w:color w:val="auto"/>
                <w:szCs w:val="21"/>
                <w:highlight w:val="none"/>
              </w:rPr>
            </w:pPr>
          </w:p>
        </w:tc>
        <w:tc>
          <w:tcPr>
            <w:tcW w:w="1151" w:type="pct"/>
            <w:vAlign w:val="center"/>
          </w:tcPr>
          <w:p w14:paraId="613EBCFB">
            <w:pPr>
              <w:keepNext/>
              <w:spacing w:line="360" w:lineRule="auto"/>
              <w:jc w:val="center"/>
              <w:rPr>
                <w:rFonts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79AF9251">
            <w:pPr>
              <w:keepNext/>
              <w:spacing w:line="360" w:lineRule="auto"/>
              <w:jc w:val="center"/>
              <w:rPr>
                <w:rFonts w:cs="宋体"/>
                <w:color w:val="auto"/>
                <w:szCs w:val="21"/>
                <w:highlight w:val="none"/>
              </w:rPr>
            </w:pPr>
          </w:p>
        </w:tc>
        <w:tc>
          <w:tcPr>
            <w:tcW w:w="502" w:type="pct"/>
            <w:vAlign w:val="center"/>
          </w:tcPr>
          <w:p w14:paraId="1E2DFFC1">
            <w:pPr>
              <w:keepNext/>
              <w:spacing w:line="360" w:lineRule="auto"/>
              <w:jc w:val="center"/>
              <w:rPr>
                <w:rFonts w:cs="宋体"/>
                <w:color w:val="auto"/>
                <w:szCs w:val="21"/>
                <w:highlight w:val="none"/>
              </w:rPr>
            </w:pPr>
          </w:p>
        </w:tc>
        <w:tc>
          <w:tcPr>
            <w:tcW w:w="502" w:type="pct"/>
            <w:vAlign w:val="center"/>
          </w:tcPr>
          <w:p w14:paraId="6076DD47">
            <w:pPr>
              <w:keepNext/>
              <w:spacing w:line="360" w:lineRule="auto"/>
              <w:jc w:val="center"/>
              <w:rPr>
                <w:rFonts w:cs="宋体"/>
                <w:color w:val="auto"/>
                <w:szCs w:val="21"/>
                <w:highlight w:val="none"/>
              </w:rPr>
            </w:pPr>
          </w:p>
        </w:tc>
        <w:tc>
          <w:tcPr>
            <w:tcW w:w="1281" w:type="pct"/>
            <w:vAlign w:val="center"/>
          </w:tcPr>
          <w:p w14:paraId="1EA5DF51">
            <w:pPr>
              <w:keepNext/>
              <w:spacing w:line="360" w:lineRule="auto"/>
              <w:jc w:val="center"/>
              <w:rPr>
                <w:rFonts w:cs="宋体"/>
                <w:color w:val="auto"/>
                <w:szCs w:val="21"/>
                <w:highlight w:val="none"/>
              </w:rPr>
            </w:pPr>
          </w:p>
        </w:tc>
        <w:tc>
          <w:tcPr>
            <w:tcW w:w="1151" w:type="pct"/>
            <w:vAlign w:val="center"/>
          </w:tcPr>
          <w:p w14:paraId="41ED79A6">
            <w:pPr>
              <w:keepNext/>
              <w:spacing w:line="360" w:lineRule="auto"/>
              <w:jc w:val="center"/>
              <w:rPr>
                <w:rFonts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35574179">
            <w:pPr>
              <w:keepNext/>
              <w:spacing w:line="360" w:lineRule="auto"/>
              <w:jc w:val="center"/>
              <w:rPr>
                <w:rFonts w:cs="宋体"/>
                <w:color w:val="auto"/>
                <w:szCs w:val="21"/>
                <w:highlight w:val="none"/>
              </w:rPr>
            </w:pPr>
          </w:p>
        </w:tc>
        <w:tc>
          <w:tcPr>
            <w:tcW w:w="502" w:type="pct"/>
            <w:vAlign w:val="center"/>
          </w:tcPr>
          <w:p w14:paraId="45AFAE91">
            <w:pPr>
              <w:keepNext/>
              <w:spacing w:line="360" w:lineRule="auto"/>
              <w:jc w:val="center"/>
              <w:rPr>
                <w:rFonts w:cs="宋体"/>
                <w:color w:val="auto"/>
                <w:szCs w:val="21"/>
                <w:highlight w:val="none"/>
              </w:rPr>
            </w:pPr>
          </w:p>
        </w:tc>
        <w:tc>
          <w:tcPr>
            <w:tcW w:w="502" w:type="pct"/>
            <w:vAlign w:val="center"/>
          </w:tcPr>
          <w:p w14:paraId="3604F53E">
            <w:pPr>
              <w:keepNext/>
              <w:spacing w:line="360" w:lineRule="auto"/>
              <w:jc w:val="center"/>
              <w:rPr>
                <w:rFonts w:cs="宋体"/>
                <w:color w:val="auto"/>
                <w:szCs w:val="21"/>
                <w:highlight w:val="none"/>
              </w:rPr>
            </w:pPr>
          </w:p>
        </w:tc>
        <w:tc>
          <w:tcPr>
            <w:tcW w:w="1281" w:type="pct"/>
            <w:vAlign w:val="center"/>
          </w:tcPr>
          <w:p w14:paraId="35955662">
            <w:pPr>
              <w:keepNext/>
              <w:spacing w:line="360" w:lineRule="auto"/>
              <w:jc w:val="center"/>
              <w:rPr>
                <w:rFonts w:cs="宋体"/>
                <w:color w:val="auto"/>
                <w:szCs w:val="21"/>
                <w:highlight w:val="none"/>
              </w:rPr>
            </w:pPr>
          </w:p>
        </w:tc>
        <w:tc>
          <w:tcPr>
            <w:tcW w:w="1151" w:type="pct"/>
            <w:vAlign w:val="center"/>
          </w:tcPr>
          <w:p w14:paraId="6CCD08A8">
            <w:pPr>
              <w:keepNext/>
              <w:spacing w:line="360" w:lineRule="auto"/>
              <w:jc w:val="center"/>
              <w:rPr>
                <w:rFonts w:cs="宋体"/>
                <w:color w:val="auto"/>
                <w:szCs w:val="21"/>
                <w:highlight w:val="none"/>
              </w:rPr>
            </w:pPr>
          </w:p>
        </w:tc>
      </w:tr>
      <w:tr w14:paraId="509D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B98EEB2">
            <w:pPr>
              <w:keepNext/>
              <w:spacing w:line="360" w:lineRule="auto"/>
              <w:jc w:val="center"/>
              <w:rPr>
                <w:rFonts w:cs="宋体"/>
                <w:color w:val="auto"/>
                <w:szCs w:val="21"/>
                <w:highlight w:val="none"/>
              </w:rPr>
            </w:pPr>
          </w:p>
        </w:tc>
        <w:tc>
          <w:tcPr>
            <w:tcW w:w="502" w:type="pct"/>
            <w:vAlign w:val="center"/>
          </w:tcPr>
          <w:p w14:paraId="35E9D66C">
            <w:pPr>
              <w:keepNext/>
              <w:spacing w:line="360" w:lineRule="auto"/>
              <w:jc w:val="center"/>
              <w:rPr>
                <w:rFonts w:cs="宋体"/>
                <w:color w:val="auto"/>
                <w:szCs w:val="21"/>
                <w:highlight w:val="none"/>
              </w:rPr>
            </w:pPr>
          </w:p>
        </w:tc>
        <w:tc>
          <w:tcPr>
            <w:tcW w:w="502" w:type="pct"/>
            <w:vAlign w:val="center"/>
          </w:tcPr>
          <w:p w14:paraId="7312B941">
            <w:pPr>
              <w:keepNext/>
              <w:spacing w:line="360" w:lineRule="auto"/>
              <w:jc w:val="center"/>
              <w:rPr>
                <w:rFonts w:cs="宋体"/>
                <w:color w:val="auto"/>
                <w:szCs w:val="21"/>
                <w:highlight w:val="none"/>
              </w:rPr>
            </w:pPr>
          </w:p>
        </w:tc>
        <w:tc>
          <w:tcPr>
            <w:tcW w:w="1281" w:type="pct"/>
            <w:vAlign w:val="center"/>
          </w:tcPr>
          <w:p w14:paraId="03A8B7F0">
            <w:pPr>
              <w:keepNext/>
              <w:spacing w:line="360" w:lineRule="auto"/>
              <w:jc w:val="center"/>
              <w:rPr>
                <w:rFonts w:cs="宋体"/>
                <w:color w:val="auto"/>
                <w:szCs w:val="21"/>
                <w:highlight w:val="none"/>
              </w:rPr>
            </w:pPr>
          </w:p>
        </w:tc>
        <w:tc>
          <w:tcPr>
            <w:tcW w:w="1151" w:type="pct"/>
            <w:vAlign w:val="center"/>
          </w:tcPr>
          <w:p w14:paraId="6CE5BF49">
            <w:pPr>
              <w:keepNext/>
              <w:spacing w:line="360" w:lineRule="auto"/>
              <w:jc w:val="center"/>
              <w:rPr>
                <w:rFonts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cs="宋体"/>
                <w:color w:val="auto"/>
                <w:szCs w:val="21"/>
                <w:highlight w:val="none"/>
              </w:rPr>
            </w:pPr>
          </w:p>
        </w:tc>
        <w:tc>
          <w:tcPr>
            <w:tcW w:w="627" w:type="pct"/>
            <w:tcBorders>
              <w:bottom w:val="nil"/>
            </w:tcBorders>
            <w:vAlign w:val="center"/>
          </w:tcPr>
          <w:p w14:paraId="629B064A">
            <w:pPr>
              <w:keepNext/>
              <w:spacing w:line="360" w:lineRule="auto"/>
              <w:jc w:val="center"/>
              <w:rPr>
                <w:rFonts w:cs="宋体"/>
                <w:color w:val="auto"/>
                <w:szCs w:val="21"/>
                <w:highlight w:val="none"/>
              </w:rPr>
            </w:pPr>
          </w:p>
        </w:tc>
        <w:tc>
          <w:tcPr>
            <w:tcW w:w="502" w:type="pct"/>
            <w:tcBorders>
              <w:bottom w:val="nil"/>
            </w:tcBorders>
            <w:vAlign w:val="center"/>
          </w:tcPr>
          <w:p w14:paraId="55D3C76B">
            <w:pPr>
              <w:keepNext/>
              <w:spacing w:line="360" w:lineRule="auto"/>
              <w:jc w:val="center"/>
              <w:rPr>
                <w:rFonts w:cs="宋体"/>
                <w:color w:val="auto"/>
                <w:szCs w:val="21"/>
                <w:highlight w:val="none"/>
              </w:rPr>
            </w:pPr>
          </w:p>
        </w:tc>
        <w:tc>
          <w:tcPr>
            <w:tcW w:w="502" w:type="pct"/>
            <w:tcBorders>
              <w:bottom w:val="nil"/>
            </w:tcBorders>
            <w:vAlign w:val="center"/>
          </w:tcPr>
          <w:p w14:paraId="4306AEBD">
            <w:pPr>
              <w:keepNext/>
              <w:spacing w:line="360" w:lineRule="auto"/>
              <w:jc w:val="center"/>
              <w:rPr>
                <w:rFonts w:cs="宋体"/>
                <w:color w:val="auto"/>
                <w:szCs w:val="21"/>
                <w:highlight w:val="none"/>
              </w:rPr>
            </w:pPr>
          </w:p>
        </w:tc>
        <w:tc>
          <w:tcPr>
            <w:tcW w:w="1281" w:type="pct"/>
            <w:tcBorders>
              <w:bottom w:val="nil"/>
            </w:tcBorders>
            <w:vAlign w:val="center"/>
          </w:tcPr>
          <w:p w14:paraId="4A5C92BE">
            <w:pPr>
              <w:keepNext/>
              <w:spacing w:line="360" w:lineRule="auto"/>
              <w:jc w:val="center"/>
              <w:rPr>
                <w:rFonts w:cs="宋体"/>
                <w:color w:val="auto"/>
                <w:szCs w:val="21"/>
                <w:highlight w:val="none"/>
              </w:rPr>
            </w:pPr>
          </w:p>
        </w:tc>
        <w:tc>
          <w:tcPr>
            <w:tcW w:w="1151" w:type="pct"/>
            <w:tcBorders>
              <w:bottom w:val="nil"/>
            </w:tcBorders>
            <w:vAlign w:val="center"/>
          </w:tcPr>
          <w:p w14:paraId="6CFFC2A2">
            <w:pPr>
              <w:keepNext/>
              <w:spacing w:line="360" w:lineRule="auto"/>
              <w:jc w:val="center"/>
              <w:rPr>
                <w:rFonts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cs="宋体"/>
                <w:color w:val="auto"/>
                <w:szCs w:val="21"/>
                <w:highlight w:val="none"/>
              </w:rPr>
            </w:pPr>
          </w:p>
        </w:tc>
        <w:tc>
          <w:tcPr>
            <w:tcW w:w="627" w:type="pct"/>
            <w:vAlign w:val="center"/>
          </w:tcPr>
          <w:p w14:paraId="1A4E3496">
            <w:pPr>
              <w:keepNext/>
              <w:spacing w:line="360" w:lineRule="auto"/>
              <w:jc w:val="center"/>
              <w:rPr>
                <w:rFonts w:cs="宋体"/>
                <w:color w:val="auto"/>
                <w:szCs w:val="21"/>
                <w:highlight w:val="none"/>
              </w:rPr>
            </w:pPr>
          </w:p>
        </w:tc>
        <w:tc>
          <w:tcPr>
            <w:tcW w:w="502" w:type="pct"/>
            <w:vAlign w:val="center"/>
          </w:tcPr>
          <w:p w14:paraId="7C353AD2">
            <w:pPr>
              <w:keepNext/>
              <w:spacing w:line="360" w:lineRule="auto"/>
              <w:jc w:val="center"/>
              <w:rPr>
                <w:rFonts w:cs="宋体"/>
                <w:color w:val="auto"/>
                <w:szCs w:val="21"/>
                <w:highlight w:val="none"/>
              </w:rPr>
            </w:pPr>
          </w:p>
        </w:tc>
        <w:tc>
          <w:tcPr>
            <w:tcW w:w="502" w:type="pct"/>
            <w:vAlign w:val="center"/>
          </w:tcPr>
          <w:p w14:paraId="5E5CFAE9">
            <w:pPr>
              <w:keepNext/>
              <w:spacing w:line="360" w:lineRule="auto"/>
              <w:jc w:val="center"/>
              <w:rPr>
                <w:rFonts w:cs="宋体"/>
                <w:color w:val="auto"/>
                <w:szCs w:val="21"/>
                <w:highlight w:val="none"/>
              </w:rPr>
            </w:pPr>
          </w:p>
        </w:tc>
        <w:tc>
          <w:tcPr>
            <w:tcW w:w="1281" w:type="pct"/>
            <w:vAlign w:val="center"/>
          </w:tcPr>
          <w:p w14:paraId="34416B4B">
            <w:pPr>
              <w:keepNext/>
              <w:spacing w:line="360" w:lineRule="auto"/>
              <w:jc w:val="center"/>
              <w:rPr>
                <w:rFonts w:cs="宋体"/>
                <w:color w:val="auto"/>
                <w:szCs w:val="21"/>
                <w:highlight w:val="none"/>
              </w:rPr>
            </w:pPr>
          </w:p>
        </w:tc>
        <w:tc>
          <w:tcPr>
            <w:tcW w:w="1151" w:type="pct"/>
            <w:vAlign w:val="center"/>
          </w:tcPr>
          <w:p w14:paraId="4733C28E">
            <w:pPr>
              <w:keepNext/>
              <w:spacing w:line="360" w:lineRule="auto"/>
              <w:jc w:val="center"/>
              <w:rPr>
                <w:rFonts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cs="宋体"/>
                <w:color w:val="auto"/>
                <w:szCs w:val="21"/>
                <w:highlight w:val="none"/>
              </w:rPr>
            </w:pPr>
          </w:p>
        </w:tc>
        <w:tc>
          <w:tcPr>
            <w:tcW w:w="627" w:type="pct"/>
            <w:vAlign w:val="center"/>
          </w:tcPr>
          <w:p w14:paraId="3DE0ED1B">
            <w:pPr>
              <w:keepNext/>
              <w:spacing w:line="360" w:lineRule="auto"/>
              <w:jc w:val="center"/>
              <w:rPr>
                <w:rFonts w:cs="宋体"/>
                <w:color w:val="auto"/>
                <w:szCs w:val="21"/>
                <w:highlight w:val="none"/>
              </w:rPr>
            </w:pPr>
          </w:p>
        </w:tc>
        <w:tc>
          <w:tcPr>
            <w:tcW w:w="502" w:type="pct"/>
            <w:vAlign w:val="center"/>
          </w:tcPr>
          <w:p w14:paraId="4A97C194">
            <w:pPr>
              <w:keepNext/>
              <w:spacing w:line="360" w:lineRule="auto"/>
              <w:jc w:val="center"/>
              <w:rPr>
                <w:rFonts w:cs="宋体"/>
                <w:color w:val="auto"/>
                <w:szCs w:val="21"/>
                <w:highlight w:val="none"/>
              </w:rPr>
            </w:pPr>
          </w:p>
        </w:tc>
        <w:tc>
          <w:tcPr>
            <w:tcW w:w="502" w:type="pct"/>
            <w:vAlign w:val="center"/>
          </w:tcPr>
          <w:p w14:paraId="30011F64">
            <w:pPr>
              <w:keepNext/>
              <w:spacing w:line="360" w:lineRule="auto"/>
              <w:jc w:val="center"/>
              <w:rPr>
                <w:rFonts w:cs="宋体"/>
                <w:color w:val="auto"/>
                <w:szCs w:val="21"/>
                <w:highlight w:val="none"/>
              </w:rPr>
            </w:pPr>
          </w:p>
        </w:tc>
        <w:tc>
          <w:tcPr>
            <w:tcW w:w="1281" w:type="pct"/>
            <w:vAlign w:val="center"/>
          </w:tcPr>
          <w:p w14:paraId="7F1D8340">
            <w:pPr>
              <w:keepNext/>
              <w:spacing w:line="360" w:lineRule="auto"/>
              <w:jc w:val="center"/>
              <w:rPr>
                <w:rFonts w:cs="宋体"/>
                <w:color w:val="auto"/>
                <w:szCs w:val="21"/>
                <w:highlight w:val="none"/>
              </w:rPr>
            </w:pPr>
          </w:p>
        </w:tc>
        <w:tc>
          <w:tcPr>
            <w:tcW w:w="1151" w:type="pct"/>
            <w:vAlign w:val="center"/>
          </w:tcPr>
          <w:p w14:paraId="42A9EC97">
            <w:pPr>
              <w:keepNext/>
              <w:spacing w:line="360" w:lineRule="auto"/>
              <w:jc w:val="center"/>
              <w:rPr>
                <w:rFonts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cs="宋体"/>
                <w:color w:val="auto"/>
                <w:szCs w:val="21"/>
                <w:highlight w:val="none"/>
              </w:rPr>
            </w:pPr>
          </w:p>
        </w:tc>
        <w:tc>
          <w:tcPr>
            <w:tcW w:w="627" w:type="pct"/>
            <w:vAlign w:val="center"/>
          </w:tcPr>
          <w:p w14:paraId="02AC5ED5">
            <w:pPr>
              <w:keepNext/>
              <w:spacing w:line="360" w:lineRule="auto"/>
              <w:jc w:val="center"/>
              <w:rPr>
                <w:rFonts w:cs="宋体"/>
                <w:color w:val="auto"/>
                <w:szCs w:val="21"/>
                <w:highlight w:val="none"/>
              </w:rPr>
            </w:pPr>
          </w:p>
        </w:tc>
        <w:tc>
          <w:tcPr>
            <w:tcW w:w="502" w:type="pct"/>
            <w:vAlign w:val="center"/>
          </w:tcPr>
          <w:p w14:paraId="6E430F3A">
            <w:pPr>
              <w:keepNext/>
              <w:spacing w:line="360" w:lineRule="auto"/>
              <w:jc w:val="center"/>
              <w:rPr>
                <w:rFonts w:cs="宋体"/>
                <w:color w:val="auto"/>
                <w:szCs w:val="21"/>
                <w:highlight w:val="none"/>
              </w:rPr>
            </w:pPr>
          </w:p>
        </w:tc>
        <w:tc>
          <w:tcPr>
            <w:tcW w:w="502" w:type="pct"/>
            <w:vAlign w:val="center"/>
          </w:tcPr>
          <w:p w14:paraId="538250C9">
            <w:pPr>
              <w:keepNext/>
              <w:spacing w:line="360" w:lineRule="auto"/>
              <w:jc w:val="center"/>
              <w:rPr>
                <w:rFonts w:cs="宋体"/>
                <w:color w:val="auto"/>
                <w:szCs w:val="21"/>
                <w:highlight w:val="none"/>
              </w:rPr>
            </w:pPr>
          </w:p>
        </w:tc>
        <w:tc>
          <w:tcPr>
            <w:tcW w:w="1281" w:type="pct"/>
            <w:vAlign w:val="center"/>
          </w:tcPr>
          <w:p w14:paraId="6D2AF35A">
            <w:pPr>
              <w:keepNext/>
              <w:spacing w:line="360" w:lineRule="auto"/>
              <w:jc w:val="center"/>
              <w:rPr>
                <w:rFonts w:cs="宋体"/>
                <w:color w:val="auto"/>
                <w:szCs w:val="21"/>
                <w:highlight w:val="none"/>
              </w:rPr>
            </w:pPr>
          </w:p>
        </w:tc>
        <w:tc>
          <w:tcPr>
            <w:tcW w:w="1151" w:type="pct"/>
            <w:vAlign w:val="center"/>
          </w:tcPr>
          <w:p w14:paraId="64D5FD5E">
            <w:pPr>
              <w:keepNext/>
              <w:spacing w:line="360" w:lineRule="auto"/>
              <w:jc w:val="center"/>
              <w:rPr>
                <w:rFonts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cs="宋体"/>
                <w:color w:val="auto"/>
                <w:szCs w:val="21"/>
                <w:highlight w:val="none"/>
              </w:rPr>
            </w:pPr>
          </w:p>
        </w:tc>
      </w:tr>
    </w:tbl>
    <w:p w14:paraId="12FC7F3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593" w:name="_Toc128950242"/>
      <w:r>
        <w:rPr>
          <w:rFonts w:hint="eastAsia" w:ascii="Times New Roman" w:eastAsia="黑体"/>
          <w:color w:val="auto"/>
          <w:szCs w:val="24"/>
          <w:highlight w:val="none"/>
        </w:rPr>
        <w:t>附</w:t>
      </w:r>
      <w:bookmarkStart w:id="594" w:name="_Toc296347228"/>
      <w:bookmarkStart w:id="595" w:name="_Toc296346730"/>
      <w:bookmarkStart w:id="596" w:name="_Toc296891057"/>
      <w:bookmarkStart w:id="597" w:name="_Toc296944568"/>
      <w:bookmarkStart w:id="598" w:name="_Toc296503229"/>
      <w:bookmarkStart w:id="599" w:name="_Toc296891269"/>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593"/>
    </w:p>
    <w:bookmarkEnd w:id="594"/>
    <w:bookmarkEnd w:id="595"/>
    <w:bookmarkEnd w:id="596"/>
    <w:bookmarkEnd w:id="597"/>
    <w:bookmarkEnd w:id="598"/>
    <w:bookmarkEnd w:id="599"/>
    <w:p w14:paraId="71201B7E">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7F8D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41568E47">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626E4894">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656A2419">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6377F946">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1F139FF3">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894A071">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8C3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8463CA0">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750AE7D6">
            <w:pPr>
              <w:keepNext/>
              <w:spacing w:line="360" w:lineRule="auto"/>
              <w:jc w:val="center"/>
              <w:rPr>
                <w:rFonts w:cs="宋体"/>
                <w:color w:val="auto"/>
                <w:szCs w:val="21"/>
                <w:highlight w:val="none"/>
              </w:rPr>
            </w:pPr>
          </w:p>
        </w:tc>
      </w:tr>
      <w:tr w14:paraId="20215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7D50ADBC">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1B8F6B3D">
            <w:pPr>
              <w:keepNext/>
              <w:spacing w:line="360" w:lineRule="auto"/>
              <w:jc w:val="center"/>
              <w:rPr>
                <w:rFonts w:cs="宋体"/>
                <w:color w:val="auto"/>
                <w:szCs w:val="21"/>
                <w:highlight w:val="none"/>
              </w:rPr>
            </w:pPr>
          </w:p>
        </w:tc>
        <w:tc>
          <w:tcPr>
            <w:tcW w:w="513" w:type="pct"/>
            <w:tcBorders>
              <w:top w:val="nil"/>
            </w:tcBorders>
            <w:vAlign w:val="center"/>
          </w:tcPr>
          <w:p w14:paraId="4E080934">
            <w:pPr>
              <w:keepNext/>
              <w:spacing w:line="360" w:lineRule="auto"/>
              <w:jc w:val="center"/>
              <w:rPr>
                <w:rFonts w:cs="宋体"/>
                <w:color w:val="auto"/>
                <w:szCs w:val="21"/>
                <w:highlight w:val="none"/>
              </w:rPr>
            </w:pPr>
          </w:p>
        </w:tc>
        <w:tc>
          <w:tcPr>
            <w:tcW w:w="373" w:type="pct"/>
            <w:tcBorders>
              <w:top w:val="nil"/>
            </w:tcBorders>
            <w:vAlign w:val="center"/>
          </w:tcPr>
          <w:p w14:paraId="27DE80EC">
            <w:pPr>
              <w:keepNext/>
              <w:spacing w:line="360" w:lineRule="auto"/>
              <w:jc w:val="center"/>
              <w:rPr>
                <w:rFonts w:cs="宋体"/>
                <w:color w:val="auto"/>
                <w:szCs w:val="21"/>
                <w:highlight w:val="none"/>
              </w:rPr>
            </w:pPr>
          </w:p>
        </w:tc>
        <w:tc>
          <w:tcPr>
            <w:tcW w:w="1889" w:type="pct"/>
            <w:tcBorders>
              <w:top w:val="nil"/>
            </w:tcBorders>
            <w:vAlign w:val="center"/>
          </w:tcPr>
          <w:p w14:paraId="0FD88E14">
            <w:pPr>
              <w:keepNext/>
              <w:spacing w:line="360" w:lineRule="auto"/>
              <w:jc w:val="center"/>
              <w:rPr>
                <w:rFonts w:cs="宋体"/>
                <w:color w:val="auto"/>
                <w:szCs w:val="21"/>
                <w:highlight w:val="none"/>
              </w:rPr>
            </w:pPr>
          </w:p>
        </w:tc>
        <w:tc>
          <w:tcPr>
            <w:tcW w:w="739" w:type="pct"/>
            <w:tcBorders>
              <w:top w:val="nil"/>
            </w:tcBorders>
            <w:vAlign w:val="center"/>
          </w:tcPr>
          <w:p w14:paraId="4BD8D787">
            <w:pPr>
              <w:keepNext/>
              <w:spacing w:line="360" w:lineRule="auto"/>
              <w:jc w:val="center"/>
              <w:rPr>
                <w:rFonts w:cs="宋体"/>
                <w:color w:val="auto"/>
                <w:szCs w:val="21"/>
                <w:highlight w:val="none"/>
              </w:rPr>
            </w:pPr>
          </w:p>
        </w:tc>
      </w:tr>
      <w:tr w14:paraId="3CF18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F6117DF">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3EC174E4">
            <w:pPr>
              <w:keepNext/>
              <w:spacing w:line="360" w:lineRule="auto"/>
              <w:jc w:val="center"/>
              <w:rPr>
                <w:rFonts w:cs="宋体"/>
                <w:color w:val="auto"/>
                <w:szCs w:val="21"/>
                <w:highlight w:val="none"/>
              </w:rPr>
            </w:pPr>
          </w:p>
        </w:tc>
        <w:tc>
          <w:tcPr>
            <w:tcW w:w="513" w:type="pct"/>
            <w:vAlign w:val="center"/>
          </w:tcPr>
          <w:p w14:paraId="04F23C32">
            <w:pPr>
              <w:keepNext/>
              <w:spacing w:line="360" w:lineRule="auto"/>
              <w:jc w:val="center"/>
              <w:rPr>
                <w:rFonts w:cs="宋体"/>
                <w:color w:val="auto"/>
                <w:szCs w:val="21"/>
                <w:highlight w:val="none"/>
              </w:rPr>
            </w:pPr>
          </w:p>
        </w:tc>
        <w:tc>
          <w:tcPr>
            <w:tcW w:w="373" w:type="pct"/>
            <w:vAlign w:val="center"/>
          </w:tcPr>
          <w:p w14:paraId="57065CD0">
            <w:pPr>
              <w:keepNext/>
              <w:spacing w:line="360" w:lineRule="auto"/>
              <w:jc w:val="center"/>
              <w:rPr>
                <w:rFonts w:cs="宋体"/>
                <w:color w:val="auto"/>
                <w:szCs w:val="21"/>
                <w:highlight w:val="none"/>
              </w:rPr>
            </w:pPr>
          </w:p>
        </w:tc>
        <w:tc>
          <w:tcPr>
            <w:tcW w:w="1889" w:type="pct"/>
            <w:vAlign w:val="center"/>
          </w:tcPr>
          <w:p w14:paraId="50009C7A">
            <w:pPr>
              <w:keepNext/>
              <w:spacing w:line="360" w:lineRule="auto"/>
              <w:jc w:val="center"/>
              <w:rPr>
                <w:rFonts w:cs="宋体"/>
                <w:color w:val="auto"/>
                <w:szCs w:val="21"/>
                <w:highlight w:val="none"/>
              </w:rPr>
            </w:pPr>
          </w:p>
        </w:tc>
        <w:tc>
          <w:tcPr>
            <w:tcW w:w="739" w:type="pct"/>
            <w:vAlign w:val="center"/>
          </w:tcPr>
          <w:p w14:paraId="592F5264">
            <w:pPr>
              <w:keepNext/>
              <w:spacing w:line="360" w:lineRule="auto"/>
              <w:jc w:val="center"/>
              <w:rPr>
                <w:rFonts w:cs="宋体"/>
                <w:color w:val="auto"/>
                <w:szCs w:val="21"/>
                <w:highlight w:val="none"/>
              </w:rPr>
            </w:pPr>
          </w:p>
        </w:tc>
      </w:tr>
      <w:tr w14:paraId="3245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0C78D04">
            <w:pPr>
              <w:keepNext/>
              <w:spacing w:line="360" w:lineRule="auto"/>
              <w:jc w:val="center"/>
              <w:rPr>
                <w:rFonts w:cs="宋体"/>
                <w:color w:val="auto"/>
                <w:szCs w:val="21"/>
                <w:highlight w:val="none"/>
              </w:rPr>
            </w:pPr>
          </w:p>
        </w:tc>
        <w:tc>
          <w:tcPr>
            <w:tcW w:w="641" w:type="pct"/>
            <w:vAlign w:val="center"/>
          </w:tcPr>
          <w:p w14:paraId="7E9827E0">
            <w:pPr>
              <w:keepNext/>
              <w:spacing w:line="360" w:lineRule="auto"/>
              <w:jc w:val="center"/>
              <w:rPr>
                <w:rFonts w:cs="宋体"/>
                <w:color w:val="auto"/>
                <w:szCs w:val="21"/>
                <w:highlight w:val="none"/>
              </w:rPr>
            </w:pPr>
          </w:p>
        </w:tc>
        <w:tc>
          <w:tcPr>
            <w:tcW w:w="513" w:type="pct"/>
            <w:vAlign w:val="center"/>
          </w:tcPr>
          <w:p w14:paraId="49E9B0A7">
            <w:pPr>
              <w:keepNext/>
              <w:spacing w:line="360" w:lineRule="auto"/>
              <w:jc w:val="center"/>
              <w:rPr>
                <w:rFonts w:cs="宋体"/>
                <w:color w:val="auto"/>
                <w:szCs w:val="21"/>
                <w:highlight w:val="none"/>
              </w:rPr>
            </w:pPr>
          </w:p>
        </w:tc>
        <w:tc>
          <w:tcPr>
            <w:tcW w:w="373" w:type="pct"/>
            <w:vAlign w:val="center"/>
          </w:tcPr>
          <w:p w14:paraId="31536D89">
            <w:pPr>
              <w:keepNext/>
              <w:spacing w:line="360" w:lineRule="auto"/>
              <w:jc w:val="center"/>
              <w:rPr>
                <w:rFonts w:cs="宋体"/>
                <w:color w:val="auto"/>
                <w:szCs w:val="21"/>
                <w:highlight w:val="none"/>
              </w:rPr>
            </w:pPr>
          </w:p>
        </w:tc>
        <w:tc>
          <w:tcPr>
            <w:tcW w:w="1889" w:type="pct"/>
            <w:vAlign w:val="center"/>
          </w:tcPr>
          <w:p w14:paraId="35ECBAC3">
            <w:pPr>
              <w:keepNext/>
              <w:spacing w:line="360" w:lineRule="auto"/>
              <w:jc w:val="center"/>
              <w:rPr>
                <w:rFonts w:cs="宋体"/>
                <w:color w:val="auto"/>
                <w:szCs w:val="21"/>
                <w:highlight w:val="none"/>
              </w:rPr>
            </w:pPr>
          </w:p>
        </w:tc>
        <w:tc>
          <w:tcPr>
            <w:tcW w:w="739" w:type="pct"/>
            <w:vAlign w:val="center"/>
          </w:tcPr>
          <w:p w14:paraId="22B1257D">
            <w:pPr>
              <w:keepNext/>
              <w:spacing w:line="360" w:lineRule="auto"/>
              <w:jc w:val="center"/>
              <w:rPr>
                <w:rFonts w:cs="宋体"/>
                <w:color w:val="auto"/>
                <w:szCs w:val="21"/>
                <w:highlight w:val="none"/>
              </w:rPr>
            </w:pPr>
          </w:p>
        </w:tc>
      </w:tr>
      <w:tr w14:paraId="49683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2DA95C75">
            <w:pPr>
              <w:keepNext/>
              <w:spacing w:line="360" w:lineRule="auto"/>
              <w:jc w:val="center"/>
              <w:rPr>
                <w:rFonts w:cs="宋体"/>
                <w:color w:val="auto"/>
                <w:szCs w:val="21"/>
                <w:highlight w:val="none"/>
              </w:rPr>
            </w:pPr>
          </w:p>
        </w:tc>
        <w:tc>
          <w:tcPr>
            <w:tcW w:w="641" w:type="pct"/>
            <w:vAlign w:val="center"/>
          </w:tcPr>
          <w:p w14:paraId="3703C0DF">
            <w:pPr>
              <w:keepNext/>
              <w:spacing w:line="360" w:lineRule="auto"/>
              <w:jc w:val="center"/>
              <w:rPr>
                <w:rFonts w:cs="宋体"/>
                <w:color w:val="auto"/>
                <w:szCs w:val="21"/>
                <w:highlight w:val="none"/>
              </w:rPr>
            </w:pPr>
          </w:p>
        </w:tc>
        <w:tc>
          <w:tcPr>
            <w:tcW w:w="513" w:type="pct"/>
            <w:vAlign w:val="center"/>
          </w:tcPr>
          <w:p w14:paraId="2801A0E4">
            <w:pPr>
              <w:keepNext/>
              <w:spacing w:line="360" w:lineRule="auto"/>
              <w:jc w:val="center"/>
              <w:rPr>
                <w:rFonts w:cs="宋体"/>
                <w:color w:val="auto"/>
                <w:szCs w:val="21"/>
                <w:highlight w:val="none"/>
              </w:rPr>
            </w:pPr>
          </w:p>
        </w:tc>
        <w:tc>
          <w:tcPr>
            <w:tcW w:w="373" w:type="pct"/>
            <w:vAlign w:val="center"/>
          </w:tcPr>
          <w:p w14:paraId="5E8106BD">
            <w:pPr>
              <w:keepNext/>
              <w:spacing w:line="360" w:lineRule="auto"/>
              <w:jc w:val="center"/>
              <w:rPr>
                <w:rFonts w:cs="宋体"/>
                <w:color w:val="auto"/>
                <w:szCs w:val="21"/>
                <w:highlight w:val="none"/>
              </w:rPr>
            </w:pPr>
          </w:p>
        </w:tc>
        <w:tc>
          <w:tcPr>
            <w:tcW w:w="1889" w:type="pct"/>
            <w:vAlign w:val="center"/>
          </w:tcPr>
          <w:p w14:paraId="0B0E4AFE">
            <w:pPr>
              <w:keepNext/>
              <w:spacing w:line="360" w:lineRule="auto"/>
              <w:jc w:val="center"/>
              <w:rPr>
                <w:rFonts w:cs="宋体"/>
                <w:color w:val="auto"/>
                <w:szCs w:val="21"/>
                <w:highlight w:val="none"/>
              </w:rPr>
            </w:pPr>
          </w:p>
        </w:tc>
        <w:tc>
          <w:tcPr>
            <w:tcW w:w="739" w:type="pct"/>
            <w:vAlign w:val="center"/>
          </w:tcPr>
          <w:p w14:paraId="5FCE80B0">
            <w:pPr>
              <w:keepNext/>
              <w:spacing w:line="360" w:lineRule="auto"/>
              <w:jc w:val="center"/>
              <w:rPr>
                <w:rFonts w:cs="宋体"/>
                <w:color w:val="auto"/>
                <w:szCs w:val="21"/>
                <w:highlight w:val="none"/>
              </w:rPr>
            </w:pPr>
          </w:p>
        </w:tc>
      </w:tr>
      <w:tr w14:paraId="6659F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F787451">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6AF3CE64">
            <w:pPr>
              <w:keepNext/>
              <w:spacing w:line="360" w:lineRule="auto"/>
              <w:jc w:val="center"/>
              <w:rPr>
                <w:rFonts w:cs="宋体"/>
                <w:color w:val="auto"/>
                <w:szCs w:val="21"/>
                <w:highlight w:val="none"/>
              </w:rPr>
            </w:pPr>
          </w:p>
        </w:tc>
      </w:tr>
      <w:tr w14:paraId="34B4F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FB1F66F">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4F328485">
            <w:pPr>
              <w:keepNext/>
              <w:spacing w:line="360" w:lineRule="auto"/>
              <w:jc w:val="center"/>
              <w:rPr>
                <w:rFonts w:cs="宋体"/>
                <w:color w:val="auto"/>
                <w:szCs w:val="21"/>
                <w:highlight w:val="none"/>
              </w:rPr>
            </w:pPr>
          </w:p>
        </w:tc>
        <w:tc>
          <w:tcPr>
            <w:tcW w:w="513" w:type="pct"/>
            <w:vAlign w:val="center"/>
          </w:tcPr>
          <w:p w14:paraId="731C474F">
            <w:pPr>
              <w:keepNext/>
              <w:spacing w:line="360" w:lineRule="auto"/>
              <w:jc w:val="center"/>
              <w:rPr>
                <w:rFonts w:cs="宋体"/>
                <w:color w:val="auto"/>
                <w:szCs w:val="21"/>
                <w:highlight w:val="none"/>
              </w:rPr>
            </w:pPr>
          </w:p>
        </w:tc>
        <w:tc>
          <w:tcPr>
            <w:tcW w:w="373" w:type="pct"/>
            <w:vAlign w:val="center"/>
          </w:tcPr>
          <w:p w14:paraId="38739130">
            <w:pPr>
              <w:keepNext/>
              <w:spacing w:line="360" w:lineRule="auto"/>
              <w:jc w:val="center"/>
              <w:rPr>
                <w:rFonts w:cs="宋体"/>
                <w:color w:val="auto"/>
                <w:szCs w:val="21"/>
                <w:highlight w:val="none"/>
              </w:rPr>
            </w:pPr>
          </w:p>
        </w:tc>
        <w:tc>
          <w:tcPr>
            <w:tcW w:w="1889" w:type="pct"/>
            <w:vAlign w:val="center"/>
          </w:tcPr>
          <w:p w14:paraId="55154B0A">
            <w:pPr>
              <w:keepNext/>
              <w:spacing w:line="360" w:lineRule="auto"/>
              <w:jc w:val="center"/>
              <w:rPr>
                <w:rFonts w:cs="宋体"/>
                <w:color w:val="auto"/>
                <w:szCs w:val="21"/>
                <w:highlight w:val="none"/>
              </w:rPr>
            </w:pPr>
          </w:p>
        </w:tc>
        <w:tc>
          <w:tcPr>
            <w:tcW w:w="739" w:type="pct"/>
            <w:vAlign w:val="center"/>
          </w:tcPr>
          <w:p w14:paraId="2E9B37F5">
            <w:pPr>
              <w:keepNext/>
              <w:spacing w:line="360" w:lineRule="auto"/>
              <w:jc w:val="center"/>
              <w:rPr>
                <w:rFonts w:cs="宋体"/>
                <w:color w:val="auto"/>
                <w:szCs w:val="21"/>
                <w:highlight w:val="none"/>
              </w:rPr>
            </w:pPr>
          </w:p>
        </w:tc>
      </w:tr>
      <w:tr w14:paraId="4F3FB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246643">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44401445">
            <w:pPr>
              <w:keepNext/>
              <w:spacing w:line="360" w:lineRule="auto"/>
              <w:jc w:val="center"/>
              <w:rPr>
                <w:rFonts w:cs="宋体"/>
                <w:color w:val="auto"/>
                <w:szCs w:val="21"/>
                <w:highlight w:val="none"/>
              </w:rPr>
            </w:pPr>
          </w:p>
        </w:tc>
        <w:tc>
          <w:tcPr>
            <w:tcW w:w="513" w:type="pct"/>
            <w:vAlign w:val="center"/>
          </w:tcPr>
          <w:p w14:paraId="38631FDB">
            <w:pPr>
              <w:keepNext/>
              <w:spacing w:line="360" w:lineRule="auto"/>
              <w:jc w:val="center"/>
              <w:rPr>
                <w:rFonts w:cs="宋体"/>
                <w:color w:val="auto"/>
                <w:szCs w:val="21"/>
                <w:highlight w:val="none"/>
              </w:rPr>
            </w:pPr>
          </w:p>
        </w:tc>
        <w:tc>
          <w:tcPr>
            <w:tcW w:w="373" w:type="pct"/>
            <w:vAlign w:val="center"/>
          </w:tcPr>
          <w:p w14:paraId="2EFDBFBF">
            <w:pPr>
              <w:keepNext/>
              <w:spacing w:line="360" w:lineRule="auto"/>
              <w:jc w:val="center"/>
              <w:rPr>
                <w:rFonts w:cs="宋体"/>
                <w:color w:val="auto"/>
                <w:szCs w:val="21"/>
                <w:highlight w:val="none"/>
              </w:rPr>
            </w:pPr>
          </w:p>
        </w:tc>
        <w:tc>
          <w:tcPr>
            <w:tcW w:w="1889" w:type="pct"/>
            <w:vAlign w:val="center"/>
          </w:tcPr>
          <w:p w14:paraId="609BEFB2">
            <w:pPr>
              <w:keepNext/>
              <w:spacing w:line="360" w:lineRule="auto"/>
              <w:jc w:val="center"/>
              <w:rPr>
                <w:rFonts w:cs="宋体"/>
                <w:color w:val="auto"/>
                <w:szCs w:val="21"/>
                <w:highlight w:val="none"/>
              </w:rPr>
            </w:pPr>
          </w:p>
        </w:tc>
        <w:tc>
          <w:tcPr>
            <w:tcW w:w="739" w:type="pct"/>
            <w:vAlign w:val="center"/>
          </w:tcPr>
          <w:p w14:paraId="1D4CBAD7">
            <w:pPr>
              <w:keepNext/>
              <w:spacing w:line="360" w:lineRule="auto"/>
              <w:jc w:val="center"/>
              <w:rPr>
                <w:rFonts w:cs="宋体"/>
                <w:color w:val="auto"/>
                <w:szCs w:val="21"/>
                <w:highlight w:val="none"/>
              </w:rPr>
            </w:pPr>
          </w:p>
        </w:tc>
      </w:tr>
      <w:tr w14:paraId="65A5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55B9576">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59D9CE81">
            <w:pPr>
              <w:keepNext/>
              <w:spacing w:line="360" w:lineRule="auto"/>
              <w:jc w:val="center"/>
              <w:rPr>
                <w:rFonts w:cs="宋体"/>
                <w:color w:val="auto"/>
                <w:szCs w:val="21"/>
                <w:highlight w:val="none"/>
              </w:rPr>
            </w:pPr>
          </w:p>
        </w:tc>
        <w:tc>
          <w:tcPr>
            <w:tcW w:w="513" w:type="pct"/>
            <w:vAlign w:val="center"/>
          </w:tcPr>
          <w:p w14:paraId="2024D12E">
            <w:pPr>
              <w:keepNext/>
              <w:spacing w:line="360" w:lineRule="auto"/>
              <w:jc w:val="center"/>
              <w:rPr>
                <w:rFonts w:cs="宋体"/>
                <w:color w:val="auto"/>
                <w:szCs w:val="21"/>
                <w:highlight w:val="none"/>
              </w:rPr>
            </w:pPr>
          </w:p>
        </w:tc>
        <w:tc>
          <w:tcPr>
            <w:tcW w:w="373" w:type="pct"/>
            <w:vAlign w:val="center"/>
          </w:tcPr>
          <w:p w14:paraId="5E55A1AF">
            <w:pPr>
              <w:keepNext/>
              <w:spacing w:line="360" w:lineRule="auto"/>
              <w:jc w:val="center"/>
              <w:rPr>
                <w:rFonts w:cs="宋体"/>
                <w:color w:val="auto"/>
                <w:szCs w:val="21"/>
                <w:highlight w:val="none"/>
              </w:rPr>
            </w:pPr>
          </w:p>
        </w:tc>
        <w:tc>
          <w:tcPr>
            <w:tcW w:w="1889" w:type="pct"/>
            <w:vAlign w:val="center"/>
          </w:tcPr>
          <w:p w14:paraId="316083D3">
            <w:pPr>
              <w:keepNext/>
              <w:spacing w:line="360" w:lineRule="auto"/>
              <w:jc w:val="center"/>
              <w:rPr>
                <w:rFonts w:cs="宋体"/>
                <w:color w:val="auto"/>
                <w:szCs w:val="21"/>
                <w:highlight w:val="none"/>
              </w:rPr>
            </w:pPr>
          </w:p>
        </w:tc>
        <w:tc>
          <w:tcPr>
            <w:tcW w:w="739" w:type="pct"/>
            <w:vAlign w:val="center"/>
          </w:tcPr>
          <w:p w14:paraId="15101DC5">
            <w:pPr>
              <w:keepNext/>
              <w:spacing w:line="360" w:lineRule="auto"/>
              <w:jc w:val="center"/>
              <w:rPr>
                <w:rFonts w:cs="宋体"/>
                <w:color w:val="auto"/>
                <w:szCs w:val="21"/>
                <w:highlight w:val="none"/>
              </w:rPr>
            </w:pPr>
          </w:p>
        </w:tc>
      </w:tr>
      <w:tr w14:paraId="2EF8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214FE00">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1DC4E1D">
            <w:pPr>
              <w:keepNext/>
              <w:spacing w:line="360" w:lineRule="auto"/>
              <w:jc w:val="center"/>
              <w:rPr>
                <w:rFonts w:cs="宋体"/>
                <w:color w:val="auto"/>
                <w:szCs w:val="21"/>
                <w:highlight w:val="none"/>
              </w:rPr>
            </w:pPr>
          </w:p>
        </w:tc>
        <w:tc>
          <w:tcPr>
            <w:tcW w:w="513" w:type="pct"/>
            <w:vAlign w:val="center"/>
          </w:tcPr>
          <w:p w14:paraId="1275983A">
            <w:pPr>
              <w:keepNext/>
              <w:spacing w:line="360" w:lineRule="auto"/>
              <w:jc w:val="center"/>
              <w:rPr>
                <w:rFonts w:cs="宋体"/>
                <w:color w:val="auto"/>
                <w:szCs w:val="21"/>
                <w:highlight w:val="none"/>
              </w:rPr>
            </w:pPr>
          </w:p>
        </w:tc>
        <w:tc>
          <w:tcPr>
            <w:tcW w:w="373" w:type="pct"/>
            <w:vAlign w:val="center"/>
          </w:tcPr>
          <w:p w14:paraId="3456FEBC">
            <w:pPr>
              <w:keepNext/>
              <w:spacing w:line="360" w:lineRule="auto"/>
              <w:jc w:val="center"/>
              <w:rPr>
                <w:rFonts w:cs="宋体"/>
                <w:color w:val="auto"/>
                <w:szCs w:val="21"/>
                <w:highlight w:val="none"/>
              </w:rPr>
            </w:pPr>
          </w:p>
        </w:tc>
        <w:tc>
          <w:tcPr>
            <w:tcW w:w="1889" w:type="pct"/>
            <w:vAlign w:val="center"/>
          </w:tcPr>
          <w:p w14:paraId="0E0236B2">
            <w:pPr>
              <w:keepNext/>
              <w:spacing w:line="360" w:lineRule="auto"/>
              <w:jc w:val="center"/>
              <w:rPr>
                <w:rFonts w:cs="宋体"/>
                <w:color w:val="auto"/>
                <w:szCs w:val="21"/>
                <w:highlight w:val="none"/>
              </w:rPr>
            </w:pPr>
          </w:p>
        </w:tc>
        <w:tc>
          <w:tcPr>
            <w:tcW w:w="739" w:type="pct"/>
            <w:vAlign w:val="center"/>
          </w:tcPr>
          <w:p w14:paraId="5A5BD009">
            <w:pPr>
              <w:keepNext/>
              <w:spacing w:line="360" w:lineRule="auto"/>
              <w:jc w:val="center"/>
              <w:rPr>
                <w:rFonts w:cs="宋体"/>
                <w:color w:val="auto"/>
                <w:szCs w:val="21"/>
                <w:highlight w:val="none"/>
              </w:rPr>
            </w:pPr>
          </w:p>
        </w:tc>
      </w:tr>
      <w:tr w14:paraId="3643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7E193B1">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74988033">
            <w:pPr>
              <w:keepNext/>
              <w:spacing w:line="360" w:lineRule="auto"/>
              <w:jc w:val="center"/>
              <w:rPr>
                <w:rFonts w:cs="宋体"/>
                <w:color w:val="auto"/>
                <w:szCs w:val="21"/>
                <w:highlight w:val="none"/>
              </w:rPr>
            </w:pPr>
          </w:p>
        </w:tc>
        <w:tc>
          <w:tcPr>
            <w:tcW w:w="513" w:type="pct"/>
            <w:vAlign w:val="center"/>
          </w:tcPr>
          <w:p w14:paraId="49A94CD4">
            <w:pPr>
              <w:keepNext/>
              <w:spacing w:line="360" w:lineRule="auto"/>
              <w:jc w:val="center"/>
              <w:rPr>
                <w:rFonts w:cs="宋体"/>
                <w:color w:val="auto"/>
                <w:szCs w:val="21"/>
                <w:highlight w:val="none"/>
              </w:rPr>
            </w:pPr>
          </w:p>
        </w:tc>
        <w:tc>
          <w:tcPr>
            <w:tcW w:w="373" w:type="pct"/>
            <w:vAlign w:val="center"/>
          </w:tcPr>
          <w:p w14:paraId="3DE6C624">
            <w:pPr>
              <w:keepNext/>
              <w:spacing w:line="360" w:lineRule="auto"/>
              <w:jc w:val="center"/>
              <w:rPr>
                <w:rFonts w:cs="宋体"/>
                <w:color w:val="auto"/>
                <w:szCs w:val="21"/>
                <w:highlight w:val="none"/>
              </w:rPr>
            </w:pPr>
          </w:p>
        </w:tc>
        <w:tc>
          <w:tcPr>
            <w:tcW w:w="1889" w:type="pct"/>
            <w:vAlign w:val="center"/>
          </w:tcPr>
          <w:p w14:paraId="39607259">
            <w:pPr>
              <w:keepNext/>
              <w:spacing w:line="360" w:lineRule="auto"/>
              <w:jc w:val="center"/>
              <w:rPr>
                <w:rFonts w:cs="宋体"/>
                <w:color w:val="auto"/>
                <w:szCs w:val="21"/>
                <w:highlight w:val="none"/>
              </w:rPr>
            </w:pPr>
          </w:p>
        </w:tc>
        <w:tc>
          <w:tcPr>
            <w:tcW w:w="739" w:type="pct"/>
            <w:vAlign w:val="center"/>
          </w:tcPr>
          <w:p w14:paraId="34944FBF">
            <w:pPr>
              <w:keepNext/>
              <w:spacing w:line="360" w:lineRule="auto"/>
              <w:jc w:val="center"/>
              <w:rPr>
                <w:rFonts w:cs="宋体"/>
                <w:color w:val="auto"/>
                <w:szCs w:val="21"/>
                <w:highlight w:val="none"/>
              </w:rPr>
            </w:pPr>
          </w:p>
        </w:tc>
      </w:tr>
      <w:tr w14:paraId="5ABF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57226AD">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183B5CFB">
            <w:pPr>
              <w:keepNext/>
              <w:spacing w:line="360" w:lineRule="auto"/>
              <w:jc w:val="center"/>
              <w:rPr>
                <w:rFonts w:cs="宋体"/>
                <w:color w:val="auto"/>
                <w:szCs w:val="21"/>
                <w:highlight w:val="none"/>
              </w:rPr>
            </w:pPr>
          </w:p>
        </w:tc>
        <w:tc>
          <w:tcPr>
            <w:tcW w:w="513" w:type="pct"/>
            <w:vAlign w:val="center"/>
          </w:tcPr>
          <w:p w14:paraId="330B4C07">
            <w:pPr>
              <w:keepNext/>
              <w:spacing w:line="360" w:lineRule="auto"/>
              <w:jc w:val="center"/>
              <w:rPr>
                <w:rFonts w:cs="宋体"/>
                <w:color w:val="auto"/>
                <w:szCs w:val="21"/>
                <w:highlight w:val="none"/>
              </w:rPr>
            </w:pPr>
          </w:p>
        </w:tc>
        <w:tc>
          <w:tcPr>
            <w:tcW w:w="373" w:type="pct"/>
            <w:vAlign w:val="center"/>
          </w:tcPr>
          <w:p w14:paraId="7D35A5AA">
            <w:pPr>
              <w:keepNext/>
              <w:spacing w:line="360" w:lineRule="auto"/>
              <w:jc w:val="center"/>
              <w:rPr>
                <w:rFonts w:cs="宋体"/>
                <w:color w:val="auto"/>
                <w:szCs w:val="21"/>
                <w:highlight w:val="none"/>
              </w:rPr>
            </w:pPr>
          </w:p>
        </w:tc>
        <w:tc>
          <w:tcPr>
            <w:tcW w:w="1889" w:type="pct"/>
            <w:vAlign w:val="center"/>
          </w:tcPr>
          <w:p w14:paraId="3DFD2F6B">
            <w:pPr>
              <w:keepNext/>
              <w:spacing w:line="360" w:lineRule="auto"/>
              <w:jc w:val="center"/>
              <w:rPr>
                <w:rFonts w:cs="宋体"/>
                <w:color w:val="auto"/>
                <w:szCs w:val="21"/>
                <w:highlight w:val="none"/>
              </w:rPr>
            </w:pPr>
          </w:p>
        </w:tc>
        <w:tc>
          <w:tcPr>
            <w:tcW w:w="739" w:type="pct"/>
            <w:vAlign w:val="center"/>
          </w:tcPr>
          <w:p w14:paraId="3100F6D2">
            <w:pPr>
              <w:keepNext/>
              <w:spacing w:line="360" w:lineRule="auto"/>
              <w:jc w:val="center"/>
              <w:rPr>
                <w:rFonts w:cs="宋体"/>
                <w:color w:val="auto"/>
                <w:szCs w:val="21"/>
                <w:highlight w:val="none"/>
              </w:rPr>
            </w:pPr>
          </w:p>
        </w:tc>
      </w:tr>
      <w:tr w14:paraId="4916A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852CB3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0D127A58">
            <w:pPr>
              <w:keepNext/>
              <w:spacing w:line="360" w:lineRule="auto"/>
              <w:jc w:val="center"/>
              <w:rPr>
                <w:rFonts w:cs="宋体"/>
                <w:color w:val="auto"/>
                <w:szCs w:val="21"/>
                <w:highlight w:val="none"/>
              </w:rPr>
            </w:pPr>
          </w:p>
        </w:tc>
        <w:tc>
          <w:tcPr>
            <w:tcW w:w="513" w:type="pct"/>
            <w:vAlign w:val="center"/>
          </w:tcPr>
          <w:p w14:paraId="7B6D62D5">
            <w:pPr>
              <w:keepNext/>
              <w:spacing w:line="360" w:lineRule="auto"/>
              <w:jc w:val="center"/>
              <w:rPr>
                <w:rFonts w:cs="宋体"/>
                <w:color w:val="auto"/>
                <w:szCs w:val="21"/>
                <w:highlight w:val="none"/>
              </w:rPr>
            </w:pPr>
          </w:p>
        </w:tc>
        <w:tc>
          <w:tcPr>
            <w:tcW w:w="373" w:type="pct"/>
            <w:vAlign w:val="center"/>
          </w:tcPr>
          <w:p w14:paraId="03CFEAFF">
            <w:pPr>
              <w:keepNext/>
              <w:spacing w:line="360" w:lineRule="auto"/>
              <w:jc w:val="center"/>
              <w:rPr>
                <w:rFonts w:cs="宋体"/>
                <w:color w:val="auto"/>
                <w:szCs w:val="21"/>
                <w:highlight w:val="none"/>
              </w:rPr>
            </w:pPr>
          </w:p>
        </w:tc>
        <w:tc>
          <w:tcPr>
            <w:tcW w:w="1889" w:type="pct"/>
            <w:vAlign w:val="center"/>
          </w:tcPr>
          <w:p w14:paraId="581DC5EF">
            <w:pPr>
              <w:keepNext/>
              <w:spacing w:line="360" w:lineRule="auto"/>
              <w:jc w:val="center"/>
              <w:rPr>
                <w:rFonts w:cs="宋体"/>
                <w:color w:val="auto"/>
                <w:szCs w:val="21"/>
                <w:highlight w:val="none"/>
              </w:rPr>
            </w:pPr>
          </w:p>
        </w:tc>
        <w:tc>
          <w:tcPr>
            <w:tcW w:w="739" w:type="pct"/>
            <w:vAlign w:val="center"/>
          </w:tcPr>
          <w:p w14:paraId="085F7C8C">
            <w:pPr>
              <w:keepNext/>
              <w:spacing w:line="360" w:lineRule="auto"/>
              <w:jc w:val="center"/>
              <w:rPr>
                <w:rFonts w:cs="宋体"/>
                <w:color w:val="auto"/>
                <w:szCs w:val="21"/>
                <w:highlight w:val="none"/>
              </w:rPr>
            </w:pPr>
          </w:p>
        </w:tc>
      </w:tr>
      <w:tr w14:paraId="34634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43631E6">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02D6E9F">
            <w:pPr>
              <w:keepNext/>
              <w:spacing w:line="360" w:lineRule="auto"/>
              <w:jc w:val="center"/>
              <w:rPr>
                <w:rFonts w:cs="宋体"/>
                <w:color w:val="auto"/>
                <w:szCs w:val="21"/>
                <w:highlight w:val="none"/>
              </w:rPr>
            </w:pPr>
          </w:p>
        </w:tc>
        <w:tc>
          <w:tcPr>
            <w:tcW w:w="513" w:type="pct"/>
            <w:vAlign w:val="center"/>
          </w:tcPr>
          <w:p w14:paraId="45FE1674">
            <w:pPr>
              <w:keepNext/>
              <w:spacing w:line="360" w:lineRule="auto"/>
              <w:jc w:val="center"/>
              <w:rPr>
                <w:rFonts w:cs="宋体"/>
                <w:color w:val="auto"/>
                <w:szCs w:val="21"/>
                <w:highlight w:val="none"/>
              </w:rPr>
            </w:pPr>
          </w:p>
        </w:tc>
        <w:tc>
          <w:tcPr>
            <w:tcW w:w="373" w:type="pct"/>
            <w:vAlign w:val="center"/>
          </w:tcPr>
          <w:p w14:paraId="251E5E0E">
            <w:pPr>
              <w:keepNext/>
              <w:spacing w:line="360" w:lineRule="auto"/>
              <w:jc w:val="center"/>
              <w:rPr>
                <w:rFonts w:cs="宋体"/>
                <w:color w:val="auto"/>
                <w:szCs w:val="21"/>
                <w:highlight w:val="none"/>
              </w:rPr>
            </w:pPr>
          </w:p>
        </w:tc>
        <w:tc>
          <w:tcPr>
            <w:tcW w:w="1889" w:type="pct"/>
            <w:vAlign w:val="center"/>
          </w:tcPr>
          <w:p w14:paraId="35AFD87B">
            <w:pPr>
              <w:keepNext/>
              <w:spacing w:line="360" w:lineRule="auto"/>
              <w:jc w:val="center"/>
              <w:rPr>
                <w:rFonts w:cs="宋体"/>
                <w:color w:val="auto"/>
                <w:szCs w:val="21"/>
                <w:highlight w:val="none"/>
              </w:rPr>
            </w:pPr>
          </w:p>
        </w:tc>
        <w:tc>
          <w:tcPr>
            <w:tcW w:w="739" w:type="pct"/>
            <w:vAlign w:val="center"/>
          </w:tcPr>
          <w:p w14:paraId="458B64F5">
            <w:pPr>
              <w:keepNext/>
              <w:spacing w:line="360" w:lineRule="auto"/>
              <w:jc w:val="center"/>
              <w:rPr>
                <w:rFonts w:cs="宋体"/>
                <w:color w:val="auto"/>
                <w:szCs w:val="21"/>
                <w:highlight w:val="none"/>
              </w:rPr>
            </w:pPr>
          </w:p>
        </w:tc>
      </w:tr>
      <w:tr w14:paraId="33F53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31EFD1E">
            <w:pPr>
              <w:keepNext/>
              <w:spacing w:line="360" w:lineRule="auto"/>
              <w:jc w:val="center"/>
              <w:rPr>
                <w:rFonts w:cs="宋体"/>
                <w:color w:val="auto"/>
                <w:szCs w:val="21"/>
                <w:highlight w:val="none"/>
              </w:rPr>
            </w:pPr>
          </w:p>
        </w:tc>
        <w:tc>
          <w:tcPr>
            <w:tcW w:w="641" w:type="pct"/>
            <w:tcBorders>
              <w:bottom w:val="nil"/>
            </w:tcBorders>
            <w:vAlign w:val="center"/>
          </w:tcPr>
          <w:p w14:paraId="5E0EEA30">
            <w:pPr>
              <w:keepNext/>
              <w:spacing w:line="360" w:lineRule="auto"/>
              <w:jc w:val="center"/>
              <w:rPr>
                <w:rFonts w:cs="宋体"/>
                <w:color w:val="auto"/>
                <w:szCs w:val="21"/>
                <w:highlight w:val="none"/>
              </w:rPr>
            </w:pPr>
          </w:p>
        </w:tc>
        <w:tc>
          <w:tcPr>
            <w:tcW w:w="513" w:type="pct"/>
            <w:tcBorders>
              <w:bottom w:val="nil"/>
            </w:tcBorders>
            <w:vAlign w:val="center"/>
          </w:tcPr>
          <w:p w14:paraId="662E68E1">
            <w:pPr>
              <w:keepNext/>
              <w:spacing w:line="360" w:lineRule="auto"/>
              <w:jc w:val="center"/>
              <w:rPr>
                <w:rFonts w:cs="宋体"/>
                <w:color w:val="auto"/>
                <w:szCs w:val="21"/>
                <w:highlight w:val="none"/>
              </w:rPr>
            </w:pPr>
          </w:p>
        </w:tc>
        <w:tc>
          <w:tcPr>
            <w:tcW w:w="373" w:type="pct"/>
            <w:tcBorders>
              <w:bottom w:val="nil"/>
            </w:tcBorders>
            <w:vAlign w:val="center"/>
          </w:tcPr>
          <w:p w14:paraId="42762C53">
            <w:pPr>
              <w:keepNext/>
              <w:spacing w:line="360" w:lineRule="auto"/>
              <w:jc w:val="center"/>
              <w:rPr>
                <w:rFonts w:cs="宋体"/>
                <w:color w:val="auto"/>
                <w:szCs w:val="21"/>
                <w:highlight w:val="none"/>
              </w:rPr>
            </w:pPr>
          </w:p>
        </w:tc>
        <w:tc>
          <w:tcPr>
            <w:tcW w:w="1889" w:type="pct"/>
            <w:tcBorders>
              <w:bottom w:val="nil"/>
            </w:tcBorders>
            <w:vAlign w:val="center"/>
          </w:tcPr>
          <w:p w14:paraId="08947B53">
            <w:pPr>
              <w:keepNext/>
              <w:spacing w:line="360" w:lineRule="auto"/>
              <w:jc w:val="center"/>
              <w:rPr>
                <w:rFonts w:cs="宋体"/>
                <w:color w:val="auto"/>
                <w:szCs w:val="21"/>
                <w:highlight w:val="none"/>
              </w:rPr>
            </w:pPr>
          </w:p>
        </w:tc>
        <w:tc>
          <w:tcPr>
            <w:tcW w:w="739" w:type="pct"/>
            <w:tcBorders>
              <w:bottom w:val="nil"/>
            </w:tcBorders>
            <w:vAlign w:val="center"/>
          </w:tcPr>
          <w:p w14:paraId="69E7A108">
            <w:pPr>
              <w:keepNext/>
              <w:spacing w:line="360" w:lineRule="auto"/>
              <w:jc w:val="center"/>
              <w:rPr>
                <w:rFonts w:cs="宋体"/>
                <w:color w:val="auto"/>
                <w:szCs w:val="21"/>
                <w:highlight w:val="none"/>
              </w:rPr>
            </w:pPr>
          </w:p>
        </w:tc>
      </w:tr>
      <w:tr w14:paraId="1040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64C0161">
            <w:pPr>
              <w:keepNext/>
              <w:spacing w:line="360" w:lineRule="auto"/>
              <w:jc w:val="center"/>
              <w:rPr>
                <w:rFonts w:cs="宋体"/>
                <w:color w:val="auto"/>
                <w:szCs w:val="21"/>
                <w:highlight w:val="none"/>
              </w:rPr>
            </w:pPr>
          </w:p>
        </w:tc>
        <w:tc>
          <w:tcPr>
            <w:tcW w:w="641" w:type="pct"/>
            <w:vAlign w:val="center"/>
          </w:tcPr>
          <w:p w14:paraId="31515A8D">
            <w:pPr>
              <w:keepNext/>
              <w:spacing w:line="360" w:lineRule="auto"/>
              <w:jc w:val="center"/>
              <w:rPr>
                <w:rFonts w:cs="宋体"/>
                <w:color w:val="auto"/>
                <w:szCs w:val="21"/>
                <w:highlight w:val="none"/>
              </w:rPr>
            </w:pPr>
          </w:p>
        </w:tc>
        <w:tc>
          <w:tcPr>
            <w:tcW w:w="513" w:type="pct"/>
            <w:vAlign w:val="center"/>
          </w:tcPr>
          <w:p w14:paraId="3046A645">
            <w:pPr>
              <w:keepNext/>
              <w:spacing w:line="360" w:lineRule="auto"/>
              <w:jc w:val="center"/>
              <w:rPr>
                <w:rFonts w:cs="宋体"/>
                <w:color w:val="auto"/>
                <w:szCs w:val="21"/>
                <w:highlight w:val="none"/>
              </w:rPr>
            </w:pPr>
          </w:p>
        </w:tc>
        <w:tc>
          <w:tcPr>
            <w:tcW w:w="373" w:type="pct"/>
            <w:vAlign w:val="center"/>
          </w:tcPr>
          <w:p w14:paraId="741725B2">
            <w:pPr>
              <w:keepNext/>
              <w:spacing w:line="360" w:lineRule="auto"/>
              <w:jc w:val="center"/>
              <w:rPr>
                <w:rFonts w:cs="宋体"/>
                <w:color w:val="auto"/>
                <w:szCs w:val="21"/>
                <w:highlight w:val="none"/>
              </w:rPr>
            </w:pPr>
          </w:p>
        </w:tc>
        <w:tc>
          <w:tcPr>
            <w:tcW w:w="1889" w:type="pct"/>
            <w:vAlign w:val="center"/>
          </w:tcPr>
          <w:p w14:paraId="578CD5E7">
            <w:pPr>
              <w:keepNext/>
              <w:spacing w:line="360" w:lineRule="auto"/>
              <w:jc w:val="center"/>
              <w:rPr>
                <w:rFonts w:cs="宋体"/>
                <w:color w:val="auto"/>
                <w:szCs w:val="21"/>
                <w:highlight w:val="none"/>
              </w:rPr>
            </w:pPr>
          </w:p>
        </w:tc>
        <w:tc>
          <w:tcPr>
            <w:tcW w:w="739" w:type="pct"/>
            <w:vAlign w:val="center"/>
          </w:tcPr>
          <w:p w14:paraId="0B6383E8">
            <w:pPr>
              <w:keepNext/>
              <w:spacing w:line="360" w:lineRule="auto"/>
              <w:jc w:val="center"/>
              <w:rPr>
                <w:rFonts w:cs="宋体"/>
                <w:color w:val="auto"/>
                <w:szCs w:val="21"/>
                <w:highlight w:val="none"/>
              </w:rPr>
            </w:pPr>
          </w:p>
        </w:tc>
      </w:tr>
      <w:tr w14:paraId="0B21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BB38795">
            <w:pPr>
              <w:keepNext/>
              <w:spacing w:line="360" w:lineRule="auto"/>
              <w:jc w:val="center"/>
              <w:rPr>
                <w:rFonts w:cs="宋体"/>
                <w:color w:val="auto"/>
                <w:szCs w:val="21"/>
                <w:highlight w:val="none"/>
              </w:rPr>
            </w:pPr>
          </w:p>
        </w:tc>
        <w:tc>
          <w:tcPr>
            <w:tcW w:w="641" w:type="pct"/>
            <w:vAlign w:val="center"/>
          </w:tcPr>
          <w:p w14:paraId="598DF039">
            <w:pPr>
              <w:keepNext/>
              <w:spacing w:line="360" w:lineRule="auto"/>
              <w:jc w:val="center"/>
              <w:rPr>
                <w:rFonts w:cs="宋体"/>
                <w:color w:val="auto"/>
                <w:szCs w:val="21"/>
                <w:highlight w:val="none"/>
              </w:rPr>
            </w:pPr>
          </w:p>
        </w:tc>
        <w:tc>
          <w:tcPr>
            <w:tcW w:w="513" w:type="pct"/>
            <w:vAlign w:val="center"/>
          </w:tcPr>
          <w:p w14:paraId="0ECAA262">
            <w:pPr>
              <w:keepNext/>
              <w:spacing w:line="360" w:lineRule="auto"/>
              <w:jc w:val="center"/>
              <w:rPr>
                <w:rFonts w:cs="宋体"/>
                <w:color w:val="auto"/>
                <w:szCs w:val="21"/>
                <w:highlight w:val="none"/>
              </w:rPr>
            </w:pPr>
          </w:p>
        </w:tc>
        <w:tc>
          <w:tcPr>
            <w:tcW w:w="373" w:type="pct"/>
            <w:vAlign w:val="center"/>
          </w:tcPr>
          <w:p w14:paraId="200D1998">
            <w:pPr>
              <w:keepNext/>
              <w:spacing w:line="360" w:lineRule="auto"/>
              <w:jc w:val="center"/>
              <w:rPr>
                <w:rFonts w:cs="宋体"/>
                <w:color w:val="auto"/>
                <w:szCs w:val="21"/>
                <w:highlight w:val="none"/>
              </w:rPr>
            </w:pPr>
          </w:p>
        </w:tc>
        <w:tc>
          <w:tcPr>
            <w:tcW w:w="1889" w:type="pct"/>
            <w:vAlign w:val="center"/>
          </w:tcPr>
          <w:p w14:paraId="490AC313">
            <w:pPr>
              <w:keepNext/>
              <w:spacing w:line="360" w:lineRule="auto"/>
              <w:jc w:val="center"/>
              <w:rPr>
                <w:rFonts w:cs="宋体"/>
                <w:color w:val="auto"/>
                <w:szCs w:val="21"/>
                <w:highlight w:val="none"/>
              </w:rPr>
            </w:pPr>
          </w:p>
        </w:tc>
        <w:tc>
          <w:tcPr>
            <w:tcW w:w="739" w:type="pct"/>
            <w:vAlign w:val="center"/>
          </w:tcPr>
          <w:p w14:paraId="533ED897">
            <w:pPr>
              <w:keepNext/>
              <w:spacing w:line="360" w:lineRule="auto"/>
              <w:jc w:val="center"/>
              <w:rPr>
                <w:rFonts w:cs="宋体"/>
                <w:color w:val="auto"/>
                <w:szCs w:val="21"/>
                <w:highlight w:val="none"/>
              </w:rPr>
            </w:pPr>
          </w:p>
        </w:tc>
      </w:tr>
      <w:tr w14:paraId="7711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D25024E">
            <w:pPr>
              <w:keepNext/>
              <w:spacing w:line="360" w:lineRule="auto"/>
              <w:jc w:val="center"/>
              <w:rPr>
                <w:rFonts w:cs="宋体"/>
                <w:color w:val="auto"/>
                <w:szCs w:val="21"/>
                <w:highlight w:val="none"/>
              </w:rPr>
            </w:pPr>
          </w:p>
        </w:tc>
        <w:tc>
          <w:tcPr>
            <w:tcW w:w="641" w:type="pct"/>
            <w:vAlign w:val="center"/>
          </w:tcPr>
          <w:p w14:paraId="7049610C">
            <w:pPr>
              <w:keepNext/>
              <w:spacing w:line="360" w:lineRule="auto"/>
              <w:jc w:val="center"/>
              <w:rPr>
                <w:rFonts w:cs="宋体"/>
                <w:color w:val="auto"/>
                <w:szCs w:val="21"/>
                <w:highlight w:val="none"/>
              </w:rPr>
            </w:pPr>
          </w:p>
        </w:tc>
        <w:tc>
          <w:tcPr>
            <w:tcW w:w="513" w:type="pct"/>
            <w:vAlign w:val="center"/>
          </w:tcPr>
          <w:p w14:paraId="679D8971">
            <w:pPr>
              <w:keepNext/>
              <w:spacing w:line="360" w:lineRule="auto"/>
              <w:jc w:val="center"/>
              <w:rPr>
                <w:rFonts w:cs="宋体"/>
                <w:color w:val="auto"/>
                <w:szCs w:val="21"/>
                <w:highlight w:val="none"/>
              </w:rPr>
            </w:pPr>
          </w:p>
        </w:tc>
        <w:tc>
          <w:tcPr>
            <w:tcW w:w="373" w:type="pct"/>
            <w:vAlign w:val="center"/>
          </w:tcPr>
          <w:p w14:paraId="0582EE5E">
            <w:pPr>
              <w:keepNext/>
              <w:spacing w:line="360" w:lineRule="auto"/>
              <w:jc w:val="center"/>
              <w:rPr>
                <w:rFonts w:cs="宋体"/>
                <w:color w:val="auto"/>
                <w:szCs w:val="21"/>
                <w:highlight w:val="none"/>
              </w:rPr>
            </w:pPr>
          </w:p>
        </w:tc>
        <w:tc>
          <w:tcPr>
            <w:tcW w:w="1889" w:type="pct"/>
            <w:vAlign w:val="center"/>
          </w:tcPr>
          <w:p w14:paraId="40F4E839">
            <w:pPr>
              <w:keepNext/>
              <w:spacing w:line="360" w:lineRule="auto"/>
              <w:jc w:val="center"/>
              <w:rPr>
                <w:rFonts w:cs="宋体"/>
                <w:color w:val="auto"/>
                <w:szCs w:val="21"/>
                <w:highlight w:val="none"/>
              </w:rPr>
            </w:pPr>
          </w:p>
        </w:tc>
        <w:tc>
          <w:tcPr>
            <w:tcW w:w="739" w:type="pct"/>
            <w:vAlign w:val="center"/>
          </w:tcPr>
          <w:p w14:paraId="5B36EEA5">
            <w:pPr>
              <w:keepNext/>
              <w:spacing w:line="360" w:lineRule="auto"/>
              <w:jc w:val="center"/>
              <w:rPr>
                <w:rFonts w:cs="宋体"/>
                <w:color w:val="auto"/>
                <w:szCs w:val="21"/>
                <w:highlight w:val="none"/>
              </w:rPr>
            </w:pPr>
          </w:p>
        </w:tc>
      </w:tr>
      <w:tr w14:paraId="2C32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6D188CFD">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74E41795">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BB9F4C8">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21F86BCF">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6AD0AA6F">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36657CC9">
            <w:pPr>
              <w:keepNext/>
              <w:spacing w:line="360" w:lineRule="auto"/>
              <w:jc w:val="center"/>
              <w:rPr>
                <w:rFonts w:cs="宋体"/>
                <w:color w:val="auto"/>
                <w:szCs w:val="21"/>
                <w:highlight w:val="none"/>
              </w:rPr>
            </w:pPr>
          </w:p>
        </w:tc>
      </w:tr>
    </w:tbl>
    <w:p w14:paraId="3373EC6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00" w:name="_Toc128950243"/>
      <w:r>
        <w:rPr>
          <w:rFonts w:hint="eastAsia" w:ascii="Times New Roman" w:eastAsia="黑体"/>
          <w:color w:val="auto"/>
          <w:szCs w:val="24"/>
          <w:highlight w:val="none"/>
        </w:rPr>
        <w:t>附</w:t>
      </w:r>
      <w:bookmarkStart w:id="601" w:name="_Toc296891059"/>
      <w:bookmarkStart w:id="602" w:name="_Toc296503231"/>
      <w:bookmarkStart w:id="603" w:name="_Toc296346732"/>
      <w:bookmarkStart w:id="604" w:name="_Toc296347230"/>
      <w:bookmarkStart w:id="605" w:name="_Toc296891271"/>
      <w:bookmarkStart w:id="606" w:name="_Toc296944570"/>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00"/>
    </w:p>
    <w:bookmarkEnd w:id="601"/>
    <w:bookmarkEnd w:id="602"/>
    <w:bookmarkEnd w:id="603"/>
    <w:bookmarkEnd w:id="604"/>
    <w:bookmarkEnd w:id="605"/>
    <w:bookmarkEnd w:id="606"/>
    <w:p w14:paraId="14F1F0BC">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1366F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1B3C436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5EB2F4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523E626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6664E19">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1C507E48">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53FA98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0EF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6E8BAC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33BB319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4729E6F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4E4F957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0D3D5B3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62C742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3B80AF7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6005C95">
      <w:pPr>
        <w:widowControl/>
        <w:spacing w:line="360" w:lineRule="auto"/>
        <w:ind w:firstLine="420" w:firstLineChars="200"/>
        <w:jc w:val="left"/>
        <w:rPr>
          <w:rFonts w:cs="宋体"/>
          <w:color w:val="auto"/>
          <w:sz w:val="21"/>
          <w:szCs w:val="21"/>
          <w:highlight w:val="none"/>
        </w:rPr>
      </w:pPr>
    </w:p>
    <w:p w14:paraId="64615C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224F1B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A10C8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A51FF2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744279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52A3CB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4FA8F9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07" w:name="_Toc128950244"/>
      <w:r>
        <w:rPr>
          <w:rFonts w:hint="eastAsia" w:ascii="Times New Roman" w:eastAsia="黑体"/>
          <w:color w:val="auto"/>
          <w:szCs w:val="24"/>
          <w:highlight w:val="none"/>
        </w:rPr>
        <w:t>附件9：履约保证金</w:t>
      </w:r>
      <w:bookmarkEnd w:id="607"/>
    </w:p>
    <w:p w14:paraId="2F363983">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0F420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69CBCCA">
      <w:pPr>
        <w:spacing w:line="360" w:lineRule="auto"/>
        <w:rPr>
          <w:rFonts w:ascii="Times New Roman"/>
          <w:color w:val="auto"/>
          <w:szCs w:val="21"/>
          <w:highlight w:val="none"/>
        </w:rPr>
      </w:pPr>
    </w:p>
    <w:p w14:paraId="4748E68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5CAAD5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58B985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cs="宋体"/>
          <w:color w:val="auto"/>
          <w:sz w:val="21"/>
          <w:szCs w:val="21"/>
          <w:highlight w:val="none"/>
        </w:rPr>
      </w:pPr>
      <w:bookmarkStart w:id="608"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08"/>
    <w:p w14:paraId="627F35C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5FD0B1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F9C371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F03BA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CEB33">
      <w:pPr>
        <w:spacing w:line="360" w:lineRule="auto"/>
        <w:ind w:firstLine="420" w:firstLineChars="200"/>
        <w:rPr>
          <w:rFonts w:cs="宋体"/>
          <w:color w:val="auto"/>
          <w:sz w:val="21"/>
          <w:szCs w:val="21"/>
          <w:highlight w:val="none"/>
        </w:rPr>
      </w:pPr>
      <w:bookmarkStart w:id="609" w:name="_Hlk40303486"/>
      <w:r>
        <w:rPr>
          <w:rFonts w:hint="eastAsia" w:cs="宋体"/>
          <w:color w:val="auto"/>
          <w:sz w:val="21"/>
          <w:szCs w:val="21"/>
          <w:highlight w:val="none"/>
        </w:rPr>
        <w:t>受益人发出的书面付款通知应由其法定代表人（负责人）或授权代理人签字并加盖公章。</w:t>
      </w:r>
      <w:bookmarkEnd w:id="609"/>
    </w:p>
    <w:p w14:paraId="0ED0A00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cs="宋体"/>
          <w:color w:val="auto"/>
          <w:sz w:val="21"/>
          <w:szCs w:val="21"/>
          <w:highlight w:val="none"/>
        </w:rPr>
      </w:pPr>
      <w:bookmarkStart w:id="610" w:name="_Hlk40303383"/>
      <w:bookmarkStart w:id="611" w:name="_Hlk40354981"/>
      <w:r>
        <w:rPr>
          <w:rFonts w:hint="eastAsia"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10"/>
      <w:r>
        <w:rPr>
          <w:rFonts w:hint="eastAsia" w:cs="宋体"/>
          <w:color w:val="auto"/>
          <w:sz w:val="21"/>
          <w:szCs w:val="21"/>
          <w:highlight w:val="none"/>
        </w:rPr>
        <w:t xml:space="preserve">由受益人所在地人民法院管辖。 </w:t>
      </w:r>
    </w:p>
    <w:bookmarkEnd w:id="611"/>
    <w:p w14:paraId="4921EE98">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cs="宋体"/>
          <w:color w:val="auto"/>
          <w:sz w:val="21"/>
          <w:szCs w:val="21"/>
          <w:highlight w:val="none"/>
        </w:rPr>
      </w:pPr>
    </w:p>
    <w:p w14:paraId="1F9B452B">
      <w:pPr>
        <w:spacing w:line="360" w:lineRule="auto"/>
        <w:ind w:firstLine="420" w:firstLineChars="200"/>
        <w:rPr>
          <w:rFonts w:cs="宋体"/>
          <w:color w:val="auto"/>
          <w:sz w:val="21"/>
          <w:szCs w:val="21"/>
          <w:highlight w:val="none"/>
        </w:rPr>
      </w:pPr>
    </w:p>
    <w:p w14:paraId="157EFDAB">
      <w:pPr>
        <w:spacing w:line="360" w:lineRule="auto"/>
        <w:ind w:firstLine="420" w:firstLineChars="200"/>
        <w:rPr>
          <w:rFonts w:cs="宋体"/>
          <w:color w:val="auto"/>
          <w:sz w:val="21"/>
          <w:szCs w:val="21"/>
          <w:highlight w:val="none"/>
        </w:rPr>
      </w:pPr>
    </w:p>
    <w:p w14:paraId="63F1AF0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472B6B5C">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7F351623">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E28C76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8155D1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50D0B33">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51578F0">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43E0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12" w:name="_Toc128950245"/>
      <w:r>
        <w:rPr>
          <w:rFonts w:hint="eastAsia" w:ascii="Times New Roman" w:eastAsia="黑体"/>
          <w:color w:val="auto"/>
          <w:szCs w:val="24"/>
          <w:highlight w:val="none"/>
        </w:rPr>
        <w:t>附</w:t>
      </w:r>
      <w:bookmarkStart w:id="613" w:name="_Toc296891272"/>
      <w:bookmarkStart w:id="614" w:name="_Toc296347231"/>
      <w:bookmarkStart w:id="615" w:name="_Toc296346733"/>
      <w:bookmarkStart w:id="616" w:name="_Toc296503232"/>
      <w:bookmarkStart w:id="617" w:name="_Toc296944571"/>
      <w:bookmarkStart w:id="618" w:name="_Toc267261702"/>
      <w:bookmarkStart w:id="619" w:name="_Toc296891060"/>
      <w:r>
        <w:rPr>
          <w:rFonts w:hint="eastAsia" w:ascii="Times New Roman" w:eastAsia="黑体"/>
          <w:color w:val="auto"/>
          <w:szCs w:val="24"/>
          <w:highlight w:val="none"/>
        </w:rPr>
        <w:t>件10：预付款担保</w:t>
      </w:r>
      <w:bookmarkEnd w:id="612"/>
    </w:p>
    <w:bookmarkEnd w:id="613"/>
    <w:bookmarkEnd w:id="614"/>
    <w:bookmarkEnd w:id="615"/>
    <w:bookmarkEnd w:id="616"/>
    <w:bookmarkEnd w:id="617"/>
    <w:bookmarkEnd w:id="618"/>
    <w:bookmarkEnd w:id="619"/>
    <w:p w14:paraId="704E0FD2">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5107531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1DA3EF1">
      <w:pPr>
        <w:spacing w:line="360" w:lineRule="auto"/>
        <w:rPr>
          <w:rFonts w:ascii="Times New Roman"/>
          <w:color w:val="auto"/>
          <w:szCs w:val="21"/>
          <w:highlight w:val="none"/>
        </w:rPr>
      </w:pPr>
    </w:p>
    <w:p w14:paraId="48E24AB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1142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D32A4A">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359C0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41CE4A6">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2502D2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8FFBD47">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3F9C2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cs="宋体"/>
          <w:color w:val="auto"/>
          <w:sz w:val="21"/>
          <w:szCs w:val="21"/>
          <w:highlight w:val="none"/>
        </w:rPr>
      </w:pPr>
    </w:p>
    <w:p w14:paraId="70034F81">
      <w:pPr>
        <w:spacing w:line="360" w:lineRule="auto"/>
        <w:ind w:firstLine="420" w:firstLineChars="200"/>
        <w:rPr>
          <w:rFonts w:cs="宋体"/>
          <w:color w:val="auto"/>
          <w:sz w:val="21"/>
          <w:szCs w:val="21"/>
          <w:highlight w:val="none"/>
        </w:rPr>
      </w:pPr>
    </w:p>
    <w:p w14:paraId="1E739C22">
      <w:pPr>
        <w:spacing w:line="360" w:lineRule="auto"/>
        <w:ind w:firstLine="420" w:firstLineChars="200"/>
        <w:rPr>
          <w:rFonts w:cs="宋体"/>
          <w:color w:val="auto"/>
          <w:sz w:val="21"/>
          <w:szCs w:val="21"/>
          <w:highlight w:val="none"/>
        </w:rPr>
      </w:pPr>
    </w:p>
    <w:p w14:paraId="5D2507C6">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C15DCE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92AFB8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87E5B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22D4CB6">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1DEF85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202475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51F3605">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20" w:name="_Toc128950246"/>
      <w:r>
        <w:rPr>
          <w:rFonts w:hint="eastAsia" w:ascii="Times New Roman" w:eastAsia="黑体"/>
          <w:color w:val="auto"/>
          <w:szCs w:val="24"/>
          <w:highlight w:val="none"/>
        </w:rPr>
        <w:t>附</w:t>
      </w:r>
      <w:bookmarkStart w:id="621" w:name="_Toc296347232"/>
      <w:bookmarkStart w:id="622" w:name="_Toc296346734"/>
      <w:bookmarkStart w:id="623" w:name="_Toc296503233"/>
      <w:bookmarkStart w:id="624" w:name="_Toc296944572"/>
      <w:bookmarkStart w:id="625" w:name="_Toc296891061"/>
      <w:bookmarkStart w:id="626" w:name="_Toc296891273"/>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20"/>
      <w:bookmarkEnd w:id="621"/>
      <w:bookmarkEnd w:id="622"/>
      <w:bookmarkEnd w:id="623"/>
      <w:bookmarkEnd w:id="624"/>
      <w:bookmarkEnd w:id="625"/>
      <w:bookmarkEnd w:id="626"/>
    </w:p>
    <w:p w14:paraId="74474E2F">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08A4CC86">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73C2E1CC">
      <w:pPr>
        <w:spacing w:line="360" w:lineRule="auto"/>
        <w:rPr>
          <w:rFonts w:ascii="Times New Roman"/>
          <w:color w:val="auto"/>
          <w:szCs w:val="21"/>
          <w:highlight w:val="none"/>
        </w:rPr>
      </w:pPr>
    </w:p>
    <w:p w14:paraId="7AE47C68">
      <w:pPr>
        <w:spacing w:line="360" w:lineRule="auto"/>
        <w:rPr>
          <w:rFonts w:cs="宋体"/>
          <w:color w:val="auto"/>
          <w:sz w:val="21"/>
          <w:szCs w:val="21"/>
          <w:highlight w:val="none"/>
        </w:rPr>
      </w:pPr>
      <w:bookmarkStart w:id="627"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27"/>
    <w:p w14:paraId="42C38403">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10680DE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E9B0187">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605F3A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3D595E79">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14053616">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61B6D1D">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56D200C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0AFED0C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103432B8">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0AE2B71">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7ABB10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A5AF081">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15482CF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3EA7BA5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4C9B453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43AE75D8">
      <w:pPr>
        <w:spacing w:line="360" w:lineRule="auto"/>
        <w:ind w:firstLine="420" w:firstLineChars="200"/>
        <w:rPr>
          <w:rFonts w:cs="宋体"/>
          <w:color w:val="auto"/>
          <w:sz w:val="21"/>
          <w:szCs w:val="21"/>
          <w:highlight w:val="none"/>
        </w:rPr>
      </w:pPr>
    </w:p>
    <w:p w14:paraId="2BB74ADC">
      <w:pPr>
        <w:spacing w:line="360" w:lineRule="auto"/>
        <w:ind w:firstLine="420" w:firstLineChars="200"/>
        <w:rPr>
          <w:rFonts w:cs="宋体"/>
          <w:color w:val="auto"/>
          <w:sz w:val="21"/>
          <w:szCs w:val="21"/>
          <w:highlight w:val="none"/>
        </w:rPr>
      </w:pPr>
    </w:p>
    <w:p w14:paraId="14CDF7B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284FEA22">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E0C6A72">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10DDAE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CC9FA64">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6755D91A">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6ECDAD18">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FBEB578">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28"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28"/>
    </w:p>
    <w:p w14:paraId="45FA0443">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62A6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557E715D">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244E1A3">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2349C27C">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7C3BADBB">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42A4CF6">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4B66BC9D">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CF2CE05">
            <w:pPr>
              <w:keepNext/>
              <w:spacing w:line="440" w:lineRule="exact"/>
              <w:jc w:val="center"/>
              <w:rPr>
                <w:rFonts w:cs="宋体"/>
                <w:color w:val="auto"/>
                <w:szCs w:val="21"/>
                <w:highlight w:val="none"/>
              </w:rPr>
            </w:pPr>
            <w:r>
              <w:rPr>
                <w:rFonts w:hint="eastAsia" w:cs="宋体"/>
                <w:color w:val="auto"/>
                <w:szCs w:val="21"/>
                <w:highlight w:val="none"/>
              </w:rPr>
              <w:t>备注</w:t>
            </w:r>
          </w:p>
        </w:tc>
      </w:tr>
      <w:tr w14:paraId="5FC8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231FA03A">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17CA79D">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7285B71E">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F82839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F40056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7E916A4F">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3F4D3672">
            <w:pPr>
              <w:keepNext/>
              <w:spacing w:line="440" w:lineRule="exact"/>
              <w:jc w:val="center"/>
              <w:rPr>
                <w:rFonts w:cs="宋体"/>
                <w:color w:val="auto"/>
                <w:szCs w:val="21"/>
                <w:highlight w:val="none"/>
              </w:rPr>
            </w:pPr>
          </w:p>
        </w:tc>
      </w:tr>
      <w:tr w14:paraId="6CE0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2E49313">
            <w:pPr>
              <w:keepNext/>
              <w:spacing w:line="440" w:lineRule="exact"/>
              <w:jc w:val="center"/>
              <w:rPr>
                <w:rFonts w:cs="宋体"/>
                <w:color w:val="auto"/>
                <w:szCs w:val="21"/>
                <w:highlight w:val="none"/>
              </w:rPr>
            </w:pPr>
          </w:p>
        </w:tc>
        <w:tc>
          <w:tcPr>
            <w:tcW w:w="1094" w:type="pct"/>
            <w:tcBorders>
              <w:top w:val="nil"/>
            </w:tcBorders>
            <w:vAlign w:val="center"/>
          </w:tcPr>
          <w:p w14:paraId="18BD1879">
            <w:pPr>
              <w:keepNext/>
              <w:spacing w:line="440" w:lineRule="exact"/>
              <w:jc w:val="center"/>
              <w:rPr>
                <w:rFonts w:cs="宋体"/>
                <w:color w:val="auto"/>
                <w:szCs w:val="21"/>
                <w:highlight w:val="none"/>
              </w:rPr>
            </w:pPr>
          </w:p>
        </w:tc>
        <w:tc>
          <w:tcPr>
            <w:tcW w:w="468" w:type="pct"/>
            <w:tcBorders>
              <w:top w:val="nil"/>
            </w:tcBorders>
            <w:vAlign w:val="center"/>
          </w:tcPr>
          <w:p w14:paraId="1670921C">
            <w:pPr>
              <w:keepNext/>
              <w:spacing w:line="440" w:lineRule="exact"/>
              <w:jc w:val="center"/>
              <w:rPr>
                <w:rFonts w:cs="宋体"/>
                <w:color w:val="auto"/>
                <w:szCs w:val="21"/>
                <w:highlight w:val="none"/>
              </w:rPr>
            </w:pPr>
          </w:p>
        </w:tc>
        <w:tc>
          <w:tcPr>
            <w:tcW w:w="426" w:type="pct"/>
            <w:tcBorders>
              <w:top w:val="nil"/>
            </w:tcBorders>
            <w:vAlign w:val="center"/>
          </w:tcPr>
          <w:p w14:paraId="5990C587">
            <w:pPr>
              <w:keepNext/>
              <w:spacing w:line="440" w:lineRule="exact"/>
              <w:jc w:val="center"/>
              <w:rPr>
                <w:rFonts w:cs="宋体"/>
                <w:color w:val="auto"/>
                <w:szCs w:val="21"/>
                <w:highlight w:val="none"/>
              </w:rPr>
            </w:pPr>
          </w:p>
        </w:tc>
        <w:tc>
          <w:tcPr>
            <w:tcW w:w="745" w:type="pct"/>
            <w:tcBorders>
              <w:top w:val="nil"/>
            </w:tcBorders>
            <w:vAlign w:val="center"/>
          </w:tcPr>
          <w:p w14:paraId="4DE48E3D">
            <w:pPr>
              <w:keepNext/>
              <w:spacing w:line="440" w:lineRule="exact"/>
              <w:jc w:val="center"/>
              <w:rPr>
                <w:rFonts w:cs="宋体"/>
                <w:color w:val="auto"/>
                <w:szCs w:val="21"/>
                <w:highlight w:val="none"/>
              </w:rPr>
            </w:pPr>
          </w:p>
        </w:tc>
        <w:tc>
          <w:tcPr>
            <w:tcW w:w="781" w:type="pct"/>
            <w:tcBorders>
              <w:top w:val="nil"/>
            </w:tcBorders>
            <w:vAlign w:val="center"/>
          </w:tcPr>
          <w:p w14:paraId="1B129D15">
            <w:pPr>
              <w:keepNext/>
              <w:spacing w:line="440" w:lineRule="exact"/>
              <w:jc w:val="center"/>
              <w:rPr>
                <w:rFonts w:cs="宋体"/>
                <w:color w:val="auto"/>
                <w:szCs w:val="21"/>
                <w:highlight w:val="none"/>
              </w:rPr>
            </w:pPr>
          </w:p>
        </w:tc>
        <w:tc>
          <w:tcPr>
            <w:tcW w:w="938" w:type="pct"/>
            <w:tcBorders>
              <w:top w:val="nil"/>
            </w:tcBorders>
            <w:vAlign w:val="center"/>
          </w:tcPr>
          <w:p w14:paraId="39AFBFAC">
            <w:pPr>
              <w:keepNext/>
              <w:spacing w:line="440" w:lineRule="exact"/>
              <w:jc w:val="center"/>
              <w:rPr>
                <w:rFonts w:cs="宋体"/>
                <w:color w:val="auto"/>
                <w:szCs w:val="21"/>
                <w:highlight w:val="none"/>
              </w:rPr>
            </w:pPr>
          </w:p>
        </w:tc>
      </w:tr>
      <w:tr w14:paraId="46649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BBD16BE">
            <w:pPr>
              <w:keepNext/>
              <w:spacing w:line="440" w:lineRule="exact"/>
              <w:jc w:val="center"/>
              <w:rPr>
                <w:rFonts w:cs="宋体"/>
                <w:color w:val="auto"/>
                <w:szCs w:val="21"/>
                <w:highlight w:val="none"/>
              </w:rPr>
            </w:pPr>
          </w:p>
        </w:tc>
        <w:tc>
          <w:tcPr>
            <w:tcW w:w="1094" w:type="pct"/>
            <w:vAlign w:val="center"/>
          </w:tcPr>
          <w:p w14:paraId="55A1BEB2">
            <w:pPr>
              <w:keepNext/>
              <w:spacing w:line="440" w:lineRule="exact"/>
              <w:jc w:val="center"/>
              <w:rPr>
                <w:rFonts w:cs="宋体"/>
                <w:color w:val="auto"/>
                <w:szCs w:val="21"/>
                <w:highlight w:val="none"/>
              </w:rPr>
            </w:pPr>
          </w:p>
        </w:tc>
        <w:tc>
          <w:tcPr>
            <w:tcW w:w="468" w:type="pct"/>
            <w:vAlign w:val="center"/>
          </w:tcPr>
          <w:p w14:paraId="5DFE33BB">
            <w:pPr>
              <w:keepNext/>
              <w:spacing w:line="440" w:lineRule="exact"/>
              <w:jc w:val="center"/>
              <w:rPr>
                <w:rFonts w:cs="宋体"/>
                <w:color w:val="auto"/>
                <w:szCs w:val="21"/>
                <w:highlight w:val="none"/>
              </w:rPr>
            </w:pPr>
          </w:p>
        </w:tc>
        <w:tc>
          <w:tcPr>
            <w:tcW w:w="426" w:type="pct"/>
            <w:vAlign w:val="center"/>
          </w:tcPr>
          <w:p w14:paraId="02DA4928">
            <w:pPr>
              <w:keepNext/>
              <w:spacing w:line="440" w:lineRule="exact"/>
              <w:jc w:val="center"/>
              <w:rPr>
                <w:rFonts w:cs="宋体"/>
                <w:color w:val="auto"/>
                <w:szCs w:val="21"/>
                <w:highlight w:val="none"/>
              </w:rPr>
            </w:pPr>
          </w:p>
        </w:tc>
        <w:tc>
          <w:tcPr>
            <w:tcW w:w="745" w:type="pct"/>
            <w:vAlign w:val="center"/>
          </w:tcPr>
          <w:p w14:paraId="5E1441D4">
            <w:pPr>
              <w:keepNext/>
              <w:spacing w:line="440" w:lineRule="exact"/>
              <w:jc w:val="center"/>
              <w:rPr>
                <w:rFonts w:cs="宋体"/>
                <w:color w:val="auto"/>
                <w:szCs w:val="21"/>
                <w:highlight w:val="none"/>
              </w:rPr>
            </w:pPr>
          </w:p>
        </w:tc>
        <w:tc>
          <w:tcPr>
            <w:tcW w:w="781" w:type="pct"/>
            <w:vAlign w:val="center"/>
          </w:tcPr>
          <w:p w14:paraId="2047ACDD">
            <w:pPr>
              <w:keepNext/>
              <w:spacing w:line="440" w:lineRule="exact"/>
              <w:jc w:val="center"/>
              <w:rPr>
                <w:rFonts w:cs="宋体"/>
                <w:color w:val="auto"/>
                <w:szCs w:val="21"/>
                <w:highlight w:val="none"/>
              </w:rPr>
            </w:pPr>
          </w:p>
        </w:tc>
        <w:tc>
          <w:tcPr>
            <w:tcW w:w="938" w:type="pct"/>
            <w:vAlign w:val="center"/>
          </w:tcPr>
          <w:p w14:paraId="60F8FFD9">
            <w:pPr>
              <w:keepNext/>
              <w:spacing w:line="440" w:lineRule="exact"/>
              <w:jc w:val="center"/>
              <w:rPr>
                <w:rFonts w:cs="宋体"/>
                <w:color w:val="auto"/>
                <w:szCs w:val="21"/>
                <w:highlight w:val="none"/>
              </w:rPr>
            </w:pPr>
          </w:p>
        </w:tc>
      </w:tr>
      <w:tr w14:paraId="77238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F82D1F0">
            <w:pPr>
              <w:keepNext/>
              <w:spacing w:line="440" w:lineRule="exact"/>
              <w:jc w:val="center"/>
              <w:rPr>
                <w:rFonts w:cs="宋体"/>
                <w:color w:val="auto"/>
                <w:szCs w:val="21"/>
                <w:highlight w:val="none"/>
              </w:rPr>
            </w:pPr>
          </w:p>
        </w:tc>
        <w:tc>
          <w:tcPr>
            <w:tcW w:w="1094" w:type="pct"/>
            <w:vAlign w:val="center"/>
          </w:tcPr>
          <w:p w14:paraId="63D27D10">
            <w:pPr>
              <w:keepNext/>
              <w:spacing w:line="440" w:lineRule="exact"/>
              <w:jc w:val="center"/>
              <w:rPr>
                <w:rFonts w:cs="宋体"/>
                <w:color w:val="auto"/>
                <w:szCs w:val="21"/>
                <w:highlight w:val="none"/>
              </w:rPr>
            </w:pPr>
          </w:p>
        </w:tc>
        <w:tc>
          <w:tcPr>
            <w:tcW w:w="468" w:type="pct"/>
            <w:vAlign w:val="center"/>
          </w:tcPr>
          <w:p w14:paraId="7403F44E">
            <w:pPr>
              <w:keepNext/>
              <w:spacing w:line="440" w:lineRule="exact"/>
              <w:jc w:val="center"/>
              <w:rPr>
                <w:rFonts w:cs="宋体"/>
                <w:color w:val="auto"/>
                <w:szCs w:val="21"/>
                <w:highlight w:val="none"/>
              </w:rPr>
            </w:pPr>
          </w:p>
        </w:tc>
        <w:tc>
          <w:tcPr>
            <w:tcW w:w="426" w:type="pct"/>
            <w:vAlign w:val="center"/>
          </w:tcPr>
          <w:p w14:paraId="4283CE6E">
            <w:pPr>
              <w:keepNext/>
              <w:spacing w:line="440" w:lineRule="exact"/>
              <w:jc w:val="center"/>
              <w:rPr>
                <w:rFonts w:cs="宋体"/>
                <w:color w:val="auto"/>
                <w:szCs w:val="21"/>
                <w:highlight w:val="none"/>
              </w:rPr>
            </w:pPr>
          </w:p>
        </w:tc>
        <w:tc>
          <w:tcPr>
            <w:tcW w:w="745" w:type="pct"/>
            <w:vAlign w:val="center"/>
          </w:tcPr>
          <w:p w14:paraId="7AAAA01D">
            <w:pPr>
              <w:keepNext/>
              <w:spacing w:line="440" w:lineRule="exact"/>
              <w:jc w:val="center"/>
              <w:rPr>
                <w:rFonts w:cs="宋体"/>
                <w:color w:val="auto"/>
                <w:szCs w:val="21"/>
                <w:highlight w:val="none"/>
              </w:rPr>
            </w:pPr>
          </w:p>
        </w:tc>
        <w:tc>
          <w:tcPr>
            <w:tcW w:w="781" w:type="pct"/>
            <w:vAlign w:val="center"/>
          </w:tcPr>
          <w:p w14:paraId="5D51479E">
            <w:pPr>
              <w:keepNext/>
              <w:spacing w:line="440" w:lineRule="exact"/>
              <w:jc w:val="center"/>
              <w:rPr>
                <w:rFonts w:cs="宋体"/>
                <w:color w:val="auto"/>
                <w:szCs w:val="21"/>
                <w:highlight w:val="none"/>
              </w:rPr>
            </w:pPr>
          </w:p>
        </w:tc>
        <w:tc>
          <w:tcPr>
            <w:tcW w:w="938" w:type="pct"/>
            <w:vAlign w:val="center"/>
          </w:tcPr>
          <w:p w14:paraId="50090645">
            <w:pPr>
              <w:keepNext/>
              <w:spacing w:line="440" w:lineRule="exact"/>
              <w:jc w:val="center"/>
              <w:rPr>
                <w:rFonts w:cs="宋体"/>
                <w:color w:val="auto"/>
                <w:szCs w:val="21"/>
                <w:highlight w:val="none"/>
              </w:rPr>
            </w:pPr>
          </w:p>
        </w:tc>
      </w:tr>
      <w:tr w14:paraId="436EA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8" w:type="pct"/>
            <w:tcBorders>
              <w:bottom w:val="single" w:color="auto" w:sz="12" w:space="0"/>
            </w:tcBorders>
            <w:vAlign w:val="center"/>
          </w:tcPr>
          <w:p w14:paraId="7B7AEC33">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19C14961">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3488D71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6895FB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11C90E5C">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5CCD3C1">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535EB796">
            <w:pPr>
              <w:keepNext/>
              <w:spacing w:line="440" w:lineRule="exact"/>
              <w:jc w:val="center"/>
              <w:rPr>
                <w:rFonts w:cs="宋体"/>
                <w:color w:val="auto"/>
                <w:szCs w:val="21"/>
                <w:highlight w:val="none"/>
              </w:rPr>
            </w:pPr>
          </w:p>
        </w:tc>
      </w:tr>
    </w:tbl>
    <w:p w14:paraId="5B10964B">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3A509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16F019C6">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346F9C51">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569FAB79">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3C2FEE4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05191942">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191EB68">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9609C7F">
            <w:pPr>
              <w:keepNext/>
              <w:spacing w:line="440" w:lineRule="exact"/>
              <w:jc w:val="center"/>
              <w:rPr>
                <w:rFonts w:cs="宋体"/>
                <w:color w:val="auto"/>
                <w:szCs w:val="21"/>
                <w:highlight w:val="none"/>
              </w:rPr>
            </w:pPr>
            <w:r>
              <w:rPr>
                <w:rFonts w:hint="eastAsia" w:cs="宋体"/>
                <w:color w:val="auto"/>
                <w:szCs w:val="21"/>
                <w:highlight w:val="none"/>
              </w:rPr>
              <w:t>备注</w:t>
            </w:r>
          </w:p>
        </w:tc>
      </w:tr>
      <w:tr w14:paraId="11D20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7CC3FD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38776D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0CD5FF3F">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350F56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607DB2E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5CDC4CF2">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1E657198">
            <w:pPr>
              <w:keepNext/>
              <w:spacing w:line="440" w:lineRule="exact"/>
              <w:jc w:val="center"/>
              <w:rPr>
                <w:rFonts w:cs="宋体"/>
                <w:color w:val="auto"/>
                <w:szCs w:val="21"/>
                <w:highlight w:val="none"/>
              </w:rPr>
            </w:pPr>
          </w:p>
        </w:tc>
      </w:tr>
      <w:tr w14:paraId="2AF7B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C989B8E">
            <w:pPr>
              <w:keepNext/>
              <w:spacing w:line="440" w:lineRule="exact"/>
              <w:jc w:val="center"/>
              <w:rPr>
                <w:rFonts w:cs="宋体"/>
                <w:color w:val="auto"/>
                <w:szCs w:val="21"/>
                <w:highlight w:val="none"/>
              </w:rPr>
            </w:pPr>
          </w:p>
        </w:tc>
        <w:tc>
          <w:tcPr>
            <w:tcW w:w="1094" w:type="pct"/>
            <w:tcBorders>
              <w:top w:val="nil"/>
            </w:tcBorders>
            <w:vAlign w:val="center"/>
          </w:tcPr>
          <w:p w14:paraId="1E5F2BDA">
            <w:pPr>
              <w:keepNext/>
              <w:spacing w:line="440" w:lineRule="exact"/>
              <w:jc w:val="center"/>
              <w:rPr>
                <w:rFonts w:cs="宋体"/>
                <w:color w:val="auto"/>
                <w:szCs w:val="21"/>
                <w:highlight w:val="none"/>
              </w:rPr>
            </w:pPr>
          </w:p>
        </w:tc>
        <w:tc>
          <w:tcPr>
            <w:tcW w:w="468" w:type="pct"/>
            <w:tcBorders>
              <w:top w:val="nil"/>
            </w:tcBorders>
            <w:vAlign w:val="center"/>
          </w:tcPr>
          <w:p w14:paraId="39A3847A">
            <w:pPr>
              <w:keepNext/>
              <w:spacing w:line="440" w:lineRule="exact"/>
              <w:jc w:val="center"/>
              <w:rPr>
                <w:rFonts w:cs="宋体"/>
                <w:color w:val="auto"/>
                <w:szCs w:val="21"/>
                <w:highlight w:val="none"/>
              </w:rPr>
            </w:pPr>
          </w:p>
        </w:tc>
        <w:tc>
          <w:tcPr>
            <w:tcW w:w="426" w:type="pct"/>
            <w:tcBorders>
              <w:top w:val="nil"/>
            </w:tcBorders>
            <w:vAlign w:val="center"/>
          </w:tcPr>
          <w:p w14:paraId="6638E132">
            <w:pPr>
              <w:keepNext/>
              <w:spacing w:line="440" w:lineRule="exact"/>
              <w:jc w:val="center"/>
              <w:rPr>
                <w:rFonts w:cs="宋体"/>
                <w:color w:val="auto"/>
                <w:szCs w:val="21"/>
                <w:highlight w:val="none"/>
              </w:rPr>
            </w:pPr>
          </w:p>
        </w:tc>
        <w:tc>
          <w:tcPr>
            <w:tcW w:w="745" w:type="pct"/>
            <w:tcBorders>
              <w:top w:val="nil"/>
            </w:tcBorders>
            <w:vAlign w:val="center"/>
          </w:tcPr>
          <w:p w14:paraId="09008ECC">
            <w:pPr>
              <w:keepNext/>
              <w:spacing w:line="440" w:lineRule="exact"/>
              <w:jc w:val="center"/>
              <w:rPr>
                <w:rFonts w:cs="宋体"/>
                <w:color w:val="auto"/>
                <w:szCs w:val="21"/>
                <w:highlight w:val="none"/>
              </w:rPr>
            </w:pPr>
          </w:p>
        </w:tc>
        <w:tc>
          <w:tcPr>
            <w:tcW w:w="781" w:type="pct"/>
            <w:tcBorders>
              <w:top w:val="nil"/>
            </w:tcBorders>
            <w:vAlign w:val="center"/>
          </w:tcPr>
          <w:p w14:paraId="3AA9E1E8">
            <w:pPr>
              <w:keepNext/>
              <w:spacing w:line="440" w:lineRule="exact"/>
              <w:jc w:val="center"/>
              <w:rPr>
                <w:rFonts w:cs="宋体"/>
                <w:color w:val="auto"/>
                <w:szCs w:val="21"/>
                <w:highlight w:val="none"/>
              </w:rPr>
            </w:pPr>
          </w:p>
        </w:tc>
        <w:tc>
          <w:tcPr>
            <w:tcW w:w="938" w:type="pct"/>
            <w:tcBorders>
              <w:top w:val="nil"/>
            </w:tcBorders>
            <w:vAlign w:val="center"/>
          </w:tcPr>
          <w:p w14:paraId="56311791">
            <w:pPr>
              <w:keepNext/>
              <w:spacing w:line="440" w:lineRule="exact"/>
              <w:jc w:val="center"/>
              <w:rPr>
                <w:rFonts w:cs="宋体"/>
                <w:color w:val="auto"/>
                <w:szCs w:val="21"/>
                <w:highlight w:val="none"/>
              </w:rPr>
            </w:pPr>
          </w:p>
        </w:tc>
      </w:tr>
      <w:tr w14:paraId="1E40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7EE54D6">
            <w:pPr>
              <w:keepNext/>
              <w:spacing w:line="440" w:lineRule="exact"/>
              <w:jc w:val="center"/>
              <w:rPr>
                <w:rFonts w:cs="宋体"/>
                <w:color w:val="auto"/>
                <w:szCs w:val="21"/>
                <w:highlight w:val="none"/>
              </w:rPr>
            </w:pPr>
          </w:p>
        </w:tc>
        <w:tc>
          <w:tcPr>
            <w:tcW w:w="1094" w:type="pct"/>
            <w:vAlign w:val="center"/>
          </w:tcPr>
          <w:p w14:paraId="51BDE60A">
            <w:pPr>
              <w:keepNext/>
              <w:spacing w:line="440" w:lineRule="exact"/>
              <w:jc w:val="center"/>
              <w:rPr>
                <w:rFonts w:cs="宋体"/>
                <w:color w:val="auto"/>
                <w:szCs w:val="21"/>
                <w:highlight w:val="none"/>
              </w:rPr>
            </w:pPr>
          </w:p>
        </w:tc>
        <w:tc>
          <w:tcPr>
            <w:tcW w:w="468" w:type="pct"/>
            <w:vAlign w:val="center"/>
          </w:tcPr>
          <w:p w14:paraId="2C954AA6">
            <w:pPr>
              <w:keepNext/>
              <w:spacing w:line="440" w:lineRule="exact"/>
              <w:jc w:val="center"/>
              <w:rPr>
                <w:rFonts w:cs="宋体"/>
                <w:color w:val="auto"/>
                <w:szCs w:val="21"/>
                <w:highlight w:val="none"/>
              </w:rPr>
            </w:pPr>
          </w:p>
        </w:tc>
        <w:tc>
          <w:tcPr>
            <w:tcW w:w="426" w:type="pct"/>
            <w:vAlign w:val="center"/>
          </w:tcPr>
          <w:p w14:paraId="63746952">
            <w:pPr>
              <w:keepNext/>
              <w:spacing w:line="440" w:lineRule="exact"/>
              <w:jc w:val="center"/>
              <w:rPr>
                <w:rFonts w:cs="宋体"/>
                <w:color w:val="auto"/>
                <w:szCs w:val="21"/>
                <w:highlight w:val="none"/>
              </w:rPr>
            </w:pPr>
          </w:p>
        </w:tc>
        <w:tc>
          <w:tcPr>
            <w:tcW w:w="745" w:type="pct"/>
            <w:vAlign w:val="center"/>
          </w:tcPr>
          <w:p w14:paraId="645335F5">
            <w:pPr>
              <w:keepNext/>
              <w:spacing w:line="440" w:lineRule="exact"/>
              <w:jc w:val="center"/>
              <w:rPr>
                <w:rFonts w:cs="宋体"/>
                <w:color w:val="auto"/>
                <w:szCs w:val="21"/>
                <w:highlight w:val="none"/>
              </w:rPr>
            </w:pPr>
          </w:p>
        </w:tc>
        <w:tc>
          <w:tcPr>
            <w:tcW w:w="781" w:type="pct"/>
            <w:vAlign w:val="center"/>
          </w:tcPr>
          <w:p w14:paraId="109D4B72">
            <w:pPr>
              <w:keepNext/>
              <w:spacing w:line="440" w:lineRule="exact"/>
              <w:jc w:val="center"/>
              <w:rPr>
                <w:rFonts w:cs="宋体"/>
                <w:color w:val="auto"/>
                <w:szCs w:val="21"/>
                <w:highlight w:val="none"/>
              </w:rPr>
            </w:pPr>
          </w:p>
        </w:tc>
        <w:tc>
          <w:tcPr>
            <w:tcW w:w="938" w:type="pct"/>
            <w:vAlign w:val="center"/>
          </w:tcPr>
          <w:p w14:paraId="796D50CE">
            <w:pPr>
              <w:keepNext/>
              <w:spacing w:line="440" w:lineRule="exact"/>
              <w:jc w:val="center"/>
              <w:rPr>
                <w:rFonts w:cs="宋体"/>
                <w:color w:val="auto"/>
                <w:szCs w:val="21"/>
                <w:highlight w:val="none"/>
              </w:rPr>
            </w:pPr>
          </w:p>
        </w:tc>
      </w:tr>
      <w:tr w14:paraId="39A1C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AA5E002">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08C1276E">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0B35E46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C1D7CEE">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295003BF">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130E725A">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117B1F61">
            <w:pPr>
              <w:keepNext/>
              <w:spacing w:line="440" w:lineRule="exact"/>
              <w:jc w:val="center"/>
              <w:rPr>
                <w:rFonts w:cs="宋体"/>
                <w:color w:val="auto"/>
                <w:szCs w:val="21"/>
                <w:highlight w:val="none"/>
              </w:rPr>
            </w:pPr>
          </w:p>
        </w:tc>
      </w:tr>
    </w:tbl>
    <w:p w14:paraId="0415E6DC">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395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45A132EF">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7D82C600">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7A6CBB91">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1C6453A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2525DDDA">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CEE16A9">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34379226">
            <w:pPr>
              <w:keepNext/>
              <w:spacing w:line="440" w:lineRule="exact"/>
              <w:jc w:val="center"/>
              <w:rPr>
                <w:rFonts w:cs="宋体"/>
                <w:color w:val="auto"/>
                <w:szCs w:val="21"/>
                <w:highlight w:val="none"/>
              </w:rPr>
            </w:pPr>
            <w:r>
              <w:rPr>
                <w:rFonts w:hint="eastAsia" w:cs="宋体"/>
                <w:color w:val="auto"/>
                <w:szCs w:val="21"/>
                <w:highlight w:val="none"/>
              </w:rPr>
              <w:t>备注</w:t>
            </w:r>
          </w:p>
        </w:tc>
      </w:tr>
      <w:tr w14:paraId="36111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6F8BB34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169EE924">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559EADC1">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E14B389">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3330B3BA">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973A063">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00903A0">
            <w:pPr>
              <w:keepNext/>
              <w:spacing w:line="440" w:lineRule="exact"/>
              <w:jc w:val="center"/>
              <w:rPr>
                <w:rFonts w:cs="宋体"/>
                <w:color w:val="auto"/>
                <w:szCs w:val="21"/>
                <w:highlight w:val="none"/>
              </w:rPr>
            </w:pPr>
          </w:p>
        </w:tc>
      </w:tr>
      <w:tr w14:paraId="1135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7AD21FF">
            <w:pPr>
              <w:keepNext/>
              <w:spacing w:line="440" w:lineRule="exact"/>
              <w:jc w:val="center"/>
              <w:rPr>
                <w:rFonts w:cs="宋体"/>
                <w:color w:val="auto"/>
                <w:szCs w:val="21"/>
                <w:highlight w:val="none"/>
              </w:rPr>
            </w:pPr>
          </w:p>
        </w:tc>
        <w:tc>
          <w:tcPr>
            <w:tcW w:w="1094" w:type="pct"/>
            <w:tcBorders>
              <w:top w:val="nil"/>
            </w:tcBorders>
            <w:vAlign w:val="center"/>
          </w:tcPr>
          <w:p w14:paraId="3EFFB536">
            <w:pPr>
              <w:keepNext/>
              <w:spacing w:line="440" w:lineRule="exact"/>
              <w:jc w:val="center"/>
              <w:rPr>
                <w:rFonts w:cs="宋体"/>
                <w:color w:val="auto"/>
                <w:szCs w:val="21"/>
                <w:highlight w:val="none"/>
              </w:rPr>
            </w:pPr>
          </w:p>
        </w:tc>
        <w:tc>
          <w:tcPr>
            <w:tcW w:w="468" w:type="pct"/>
            <w:tcBorders>
              <w:top w:val="nil"/>
            </w:tcBorders>
            <w:vAlign w:val="center"/>
          </w:tcPr>
          <w:p w14:paraId="6ABFA5F4">
            <w:pPr>
              <w:keepNext/>
              <w:spacing w:line="440" w:lineRule="exact"/>
              <w:jc w:val="center"/>
              <w:rPr>
                <w:rFonts w:cs="宋体"/>
                <w:color w:val="auto"/>
                <w:szCs w:val="21"/>
                <w:highlight w:val="none"/>
              </w:rPr>
            </w:pPr>
          </w:p>
        </w:tc>
        <w:tc>
          <w:tcPr>
            <w:tcW w:w="426" w:type="pct"/>
            <w:tcBorders>
              <w:top w:val="nil"/>
            </w:tcBorders>
            <w:vAlign w:val="center"/>
          </w:tcPr>
          <w:p w14:paraId="00428110">
            <w:pPr>
              <w:keepNext/>
              <w:spacing w:line="440" w:lineRule="exact"/>
              <w:jc w:val="center"/>
              <w:rPr>
                <w:rFonts w:cs="宋体"/>
                <w:color w:val="auto"/>
                <w:szCs w:val="21"/>
                <w:highlight w:val="none"/>
              </w:rPr>
            </w:pPr>
          </w:p>
        </w:tc>
        <w:tc>
          <w:tcPr>
            <w:tcW w:w="745" w:type="pct"/>
            <w:tcBorders>
              <w:top w:val="nil"/>
            </w:tcBorders>
            <w:vAlign w:val="center"/>
          </w:tcPr>
          <w:p w14:paraId="2BD91C9C">
            <w:pPr>
              <w:keepNext/>
              <w:spacing w:line="440" w:lineRule="exact"/>
              <w:jc w:val="center"/>
              <w:rPr>
                <w:rFonts w:cs="宋体"/>
                <w:color w:val="auto"/>
                <w:szCs w:val="21"/>
                <w:highlight w:val="none"/>
              </w:rPr>
            </w:pPr>
          </w:p>
        </w:tc>
        <w:tc>
          <w:tcPr>
            <w:tcW w:w="781" w:type="pct"/>
            <w:tcBorders>
              <w:top w:val="nil"/>
            </w:tcBorders>
            <w:vAlign w:val="center"/>
          </w:tcPr>
          <w:p w14:paraId="0EAAF22D">
            <w:pPr>
              <w:keepNext/>
              <w:spacing w:line="440" w:lineRule="exact"/>
              <w:jc w:val="center"/>
              <w:rPr>
                <w:rFonts w:cs="宋体"/>
                <w:color w:val="auto"/>
                <w:szCs w:val="21"/>
                <w:highlight w:val="none"/>
              </w:rPr>
            </w:pPr>
          </w:p>
        </w:tc>
        <w:tc>
          <w:tcPr>
            <w:tcW w:w="938" w:type="pct"/>
            <w:tcBorders>
              <w:top w:val="nil"/>
            </w:tcBorders>
            <w:vAlign w:val="center"/>
          </w:tcPr>
          <w:p w14:paraId="1CCC70BC">
            <w:pPr>
              <w:keepNext/>
              <w:spacing w:line="440" w:lineRule="exact"/>
              <w:jc w:val="center"/>
              <w:rPr>
                <w:rFonts w:cs="宋体"/>
                <w:color w:val="auto"/>
                <w:szCs w:val="21"/>
                <w:highlight w:val="none"/>
              </w:rPr>
            </w:pPr>
          </w:p>
        </w:tc>
      </w:tr>
      <w:tr w14:paraId="55F3D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1AE547E">
            <w:pPr>
              <w:keepNext/>
              <w:spacing w:line="440" w:lineRule="exact"/>
              <w:jc w:val="center"/>
              <w:rPr>
                <w:rFonts w:cs="宋体"/>
                <w:color w:val="auto"/>
                <w:szCs w:val="21"/>
                <w:highlight w:val="none"/>
              </w:rPr>
            </w:pPr>
          </w:p>
        </w:tc>
        <w:tc>
          <w:tcPr>
            <w:tcW w:w="1094" w:type="pct"/>
            <w:vAlign w:val="center"/>
          </w:tcPr>
          <w:p w14:paraId="29AB2999">
            <w:pPr>
              <w:keepNext/>
              <w:spacing w:line="440" w:lineRule="exact"/>
              <w:jc w:val="center"/>
              <w:rPr>
                <w:rFonts w:cs="宋体"/>
                <w:color w:val="auto"/>
                <w:szCs w:val="21"/>
                <w:highlight w:val="none"/>
              </w:rPr>
            </w:pPr>
          </w:p>
        </w:tc>
        <w:tc>
          <w:tcPr>
            <w:tcW w:w="468" w:type="pct"/>
            <w:vAlign w:val="center"/>
          </w:tcPr>
          <w:p w14:paraId="4F1F84F4">
            <w:pPr>
              <w:keepNext/>
              <w:spacing w:line="440" w:lineRule="exact"/>
              <w:jc w:val="center"/>
              <w:rPr>
                <w:rFonts w:cs="宋体"/>
                <w:color w:val="auto"/>
                <w:szCs w:val="21"/>
                <w:highlight w:val="none"/>
              </w:rPr>
            </w:pPr>
          </w:p>
        </w:tc>
        <w:tc>
          <w:tcPr>
            <w:tcW w:w="426" w:type="pct"/>
            <w:vAlign w:val="center"/>
          </w:tcPr>
          <w:p w14:paraId="620A55C0">
            <w:pPr>
              <w:keepNext/>
              <w:spacing w:line="440" w:lineRule="exact"/>
              <w:jc w:val="center"/>
              <w:rPr>
                <w:rFonts w:cs="宋体"/>
                <w:color w:val="auto"/>
                <w:szCs w:val="21"/>
                <w:highlight w:val="none"/>
              </w:rPr>
            </w:pPr>
          </w:p>
        </w:tc>
        <w:tc>
          <w:tcPr>
            <w:tcW w:w="745" w:type="pct"/>
            <w:vAlign w:val="center"/>
          </w:tcPr>
          <w:p w14:paraId="647FD0D9">
            <w:pPr>
              <w:keepNext/>
              <w:spacing w:line="440" w:lineRule="exact"/>
              <w:jc w:val="center"/>
              <w:rPr>
                <w:rFonts w:cs="宋体"/>
                <w:color w:val="auto"/>
                <w:szCs w:val="21"/>
                <w:highlight w:val="none"/>
              </w:rPr>
            </w:pPr>
          </w:p>
        </w:tc>
        <w:tc>
          <w:tcPr>
            <w:tcW w:w="781" w:type="pct"/>
            <w:vAlign w:val="center"/>
          </w:tcPr>
          <w:p w14:paraId="601CBF85">
            <w:pPr>
              <w:keepNext/>
              <w:spacing w:line="440" w:lineRule="exact"/>
              <w:jc w:val="center"/>
              <w:rPr>
                <w:rFonts w:cs="宋体"/>
                <w:color w:val="auto"/>
                <w:szCs w:val="21"/>
                <w:highlight w:val="none"/>
              </w:rPr>
            </w:pPr>
          </w:p>
        </w:tc>
        <w:tc>
          <w:tcPr>
            <w:tcW w:w="938" w:type="pct"/>
            <w:vAlign w:val="center"/>
          </w:tcPr>
          <w:p w14:paraId="2F6FFD52">
            <w:pPr>
              <w:keepNext/>
              <w:spacing w:line="440" w:lineRule="exact"/>
              <w:jc w:val="center"/>
              <w:rPr>
                <w:rFonts w:cs="宋体"/>
                <w:color w:val="auto"/>
                <w:szCs w:val="21"/>
                <w:highlight w:val="none"/>
              </w:rPr>
            </w:pPr>
          </w:p>
        </w:tc>
      </w:tr>
      <w:tr w14:paraId="6C418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02D81134">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7562919A">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6F46E411">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161A7B4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0405C40">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00F58B5C">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32016D8A">
            <w:pPr>
              <w:keepNext/>
              <w:spacing w:line="440" w:lineRule="exact"/>
              <w:jc w:val="center"/>
              <w:rPr>
                <w:rFonts w:cs="宋体"/>
                <w:color w:val="auto"/>
                <w:szCs w:val="21"/>
                <w:highlight w:val="none"/>
              </w:rPr>
            </w:pPr>
          </w:p>
        </w:tc>
      </w:tr>
    </w:tbl>
    <w:p w14:paraId="57E27BF7">
      <w:pPr>
        <w:rPr>
          <w:rFonts w:cs="宋体"/>
          <w:color w:val="auto"/>
          <w:szCs w:val="21"/>
          <w:highlight w:val="none"/>
        </w:rPr>
      </w:pPr>
    </w:p>
    <w:p w14:paraId="10798F5A">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29" w:name="_Toc128950248"/>
      <w:r>
        <w:rPr>
          <w:rFonts w:hint="eastAsia" w:ascii="Times New Roman" w:eastAsia="黑体"/>
          <w:color w:val="auto"/>
          <w:szCs w:val="24"/>
          <w:highlight w:val="none"/>
        </w:rPr>
        <w:t>附件13：安全生产合同</w:t>
      </w:r>
      <w:bookmarkEnd w:id="629"/>
    </w:p>
    <w:p w14:paraId="48073097">
      <w:pPr>
        <w:spacing w:before="156" w:beforeLines="50" w:after="156" w:afterLines="50" w:line="360" w:lineRule="auto"/>
        <w:jc w:val="center"/>
        <w:rPr>
          <w:rFonts w:cs="宋体"/>
          <w:b/>
          <w:color w:val="auto"/>
          <w:sz w:val="32"/>
          <w:szCs w:val="32"/>
          <w:highlight w:val="none"/>
        </w:rPr>
      </w:pPr>
      <w:bookmarkStart w:id="630" w:name="_Toc11475"/>
      <w:bookmarkStart w:id="631" w:name="_Toc23792"/>
      <w:r>
        <w:rPr>
          <w:rFonts w:hint="eastAsia" w:cs="宋体"/>
          <w:b/>
          <w:color w:val="auto"/>
          <w:sz w:val="32"/>
          <w:szCs w:val="32"/>
          <w:highlight w:val="none"/>
        </w:rPr>
        <w:t>安全生产合同</w:t>
      </w:r>
      <w:bookmarkEnd w:id="630"/>
      <w:bookmarkEnd w:id="631"/>
    </w:p>
    <w:p w14:paraId="54747FBE">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9A407BA">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379286BA">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7142A3B4">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1310266B">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728F004">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45EC1BB4">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0693E976">
      <w:pPr>
        <w:spacing w:line="360" w:lineRule="auto"/>
        <w:rPr>
          <w:rFonts w:cs="宋体"/>
          <w:color w:val="auto"/>
          <w:sz w:val="21"/>
          <w:szCs w:val="21"/>
          <w:highlight w:val="none"/>
        </w:rPr>
      </w:pPr>
    </w:p>
    <w:p w14:paraId="07C1AFFA">
      <w:pPr>
        <w:spacing w:line="360" w:lineRule="auto"/>
        <w:rPr>
          <w:rFonts w:cs="宋体"/>
          <w:color w:val="auto"/>
          <w:sz w:val="21"/>
          <w:szCs w:val="21"/>
          <w:highlight w:val="none"/>
        </w:rPr>
      </w:pPr>
    </w:p>
    <w:p w14:paraId="3CAD722D">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21E0C466">
      <w:pPr>
        <w:spacing w:line="360" w:lineRule="auto"/>
        <w:rPr>
          <w:rFonts w:cs="宋体"/>
          <w:color w:val="auto"/>
          <w:sz w:val="21"/>
          <w:szCs w:val="21"/>
          <w:highlight w:val="none"/>
        </w:rPr>
      </w:pPr>
    </w:p>
    <w:p w14:paraId="29D3CCA3">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3A6F92">
      <w:pPr>
        <w:spacing w:line="360" w:lineRule="auto"/>
        <w:rPr>
          <w:rFonts w:cs="宋体"/>
          <w:color w:val="auto"/>
          <w:sz w:val="21"/>
          <w:szCs w:val="21"/>
          <w:highlight w:val="none"/>
        </w:rPr>
      </w:pPr>
    </w:p>
    <w:p w14:paraId="0BA97D6A">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CEE39DB">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32" w:name="_Toc128950249"/>
      <w:r>
        <w:rPr>
          <w:rFonts w:hint="eastAsia" w:ascii="Times New Roman" w:eastAsia="黑体"/>
          <w:color w:val="auto"/>
          <w:szCs w:val="24"/>
          <w:highlight w:val="none"/>
        </w:rPr>
        <w:t>附件14：项目经理质量终身责任制承诺</w:t>
      </w:r>
      <w:bookmarkEnd w:id="632"/>
    </w:p>
    <w:p w14:paraId="0839DB50">
      <w:pPr>
        <w:spacing w:before="156" w:beforeLines="50" w:after="156" w:afterLines="50" w:line="360" w:lineRule="auto"/>
        <w:jc w:val="center"/>
        <w:rPr>
          <w:rFonts w:cs="宋体"/>
          <w:b/>
          <w:color w:val="auto"/>
          <w:sz w:val="32"/>
          <w:szCs w:val="32"/>
          <w:highlight w:val="none"/>
        </w:rPr>
      </w:pPr>
      <w:bookmarkStart w:id="633" w:name="_Toc128950250"/>
      <w:bookmarkStart w:id="634" w:name="_Toc14540"/>
      <w:bookmarkStart w:id="635" w:name="_Toc19417"/>
      <w:r>
        <w:rPr>
          <w:rFonts w:hint="eastAsia" w:cs="宋体"/>
          <w:b/>
          <w:color w:val="auto"/>
          <w:sz w:val="32"/>
          <w:szCs w:val="32"/>
          <w:highlight w:val="none"/>
        </w:rPr>
        <w:t>项目经理质量终身责任制承诺</w:t>
      </w:r>
      <w:bookmarkEnd w:id="633"/>
      <w:bookmarkEnd w:id="634"/>
      <w:bookmarkEnd w:id="635"/>
    </w:p>
    <w:p w14:paraId="6D18411C">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30651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19A29E5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469B5A0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ACA9F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6954BF42">
      <w:pPr>
        <w:spacing w:line="360" w:lineRule="auto"/>
        <w:ind w:left="342" w:leftChars="171" w:firstLine="630" w:firstLineChars="300"/>
        <w:rPr>
          <w:rFonts w:cs="宋体"/>
          <w:bCs/>
          <w:color w:val="auto"/>
          <w:sz w:val="21"/>
          <w:szCs w:val="21"/>
          <w:highlight w:val="none"/>
        </w:rPr>
      </w:pPr>
    </w:p>
    <w:p w14:paraId="1FBB4B4C">
      <w:pPr>
        <w:spacing w:line="360" w:lineRule="auto"/>
        <w:ind w:left="342" w:leftChars="171" w:firstLine="630" w:firstLineChars="300"/>
        <w:rPr>
          <w:rFonts w:cs="宋体"/>
          <w:bCs/>
          <w:color w:val="auto"/>
          <w:sz w:val="21"/>
          <w:szCs w:val="21"/>
          <w:highlight w:val="none"/>
        </w:rPr>
      </w:pPr>
    </w:p>
    <w:p w14:paraId="32EFA0B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2C7E9A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76ECC27">
      <w:pPr>
        <w:pStyle w:val="19"/>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36" w:name="_Toc22734"/>
      <w:r>
        <w:rPr>
          <w:rFonts w:hint="eastAsia" w:asciiTheme="minorEastAsia" w:hAnsiTheme="minorEastAsia" w:eastAsiaTheme="minorEastAsia"/>
          <w:b/>
          <w:color w:val="auto"/>
          <w:sz w:val="28"/>
          <w:highlight w:val="none"/>
        </w:rPr>
        <w:t>第六章  响应文件格式</w:t>
      </w:r>
      <w:bookmarkEnd w:id="636"/>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rPr>
          <w:b/>
          <w:color w:val="auto"/>
          <w:spacing w:val="2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37" w:name="_Toc19892"/>
      <w:bookmarkStart w:id="638" w:name="_Toc24911"/>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37"/>
      <w:bookmarkEnd w:id="638"/>
    </w:p>
    <w:p w14:paraId="334EC9B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39" w:name="_Toc461056631"/>
      <w:bookmarkStart w:id="640" w:name="_Toc461053086"/>
      <w:bookmarkStart w:id="641" w:name="_Toc21496"/>
      <w:bookmarkStart w:id="642" w:name="_Toc520983587"/>
      <w:bookmarkStart w:id="643" w:name="_Toc28280"/>
      <w:r>
        <w:rPr>
          <w:rFonts w:hint="eastAsia" w:asciiTheme="minorEastAsia" w:hAnsiTheme="minorEastAsia" w:eastAsiaTheme="minorEastAsia"/>
          <w:b/>
          <w:color w:val="auto"/>
          <w:sz w:val="24"/>
          <w:highlight w:val="none"/>
        </w:rPr>
        <w:t>一</w:t>
      </w:r>
      <w:bookmarkEnd w:id="639"/>
      <w:bookmarkEnd w:id="640"/>
      <w:r>
        <w:rPr>
          <w:rFonts w:hint="eastAsia" w:asciiTheme="minorEastAsia" w:hAnsiTheme="minorEastAsia" w:eastAsiaTheme="minorEastAsia"/>
          <w:b/>
          <w:color w:val="auto"/>
          <w:sz w:val="24"/>
          <w:highlight w:val="none"/>
        </w:rPr>
        <w:t>、报价表格式</w:t>
      </w:r>
      <w:bookmarkEnd w:id="641"/>
      <w:bookmarkEnd w:id="642"/>
      <w:bookmarkEnd w:id="643"/>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171E0A9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cs="宋体"/>
                <w:bCs/>
                <w:color w:val="auto"/>
                <w:sz w:val="24"/>
                <w:szCs w:val="24"/>
                <w:highlight w:val="none"/>
                <w:u w:val="single"/>
              </w:rPr>
            </w:pPr>
            <w:r>
              <w:rPr>
                <w:rFonts w:hint="eastAsia" w:cs="宋体"/>
                <w:bCs/>
                <w:color w:val="auto"/>
                <w:sz w:val="24"/>
                <w:szCs w:val="24"/>
                <w:highlight w:val="none"/>
              </w:rPr>
              <w:t>大写：</w:t>
            </w:r>
            <w:r>
              <w:rPr>
                <w:rFonts w:hint="eastAsia" w:cs="宋体"/>
                <w:bCs/>
                <w:color w:val="auto"/>
                <w:sz w:val="24"/>
                <w:szCs w:val="24"/>
                <w:highlight w:val="none"/>
                <w:u w:val="single"/>
              </w:rPr>
              <w:t xml:space="preserve">                     </w:t>
            </w:r>
          </w:p>
          <w:p w14:paraId="328FE264">
            <w:pPr>
              <w:spacing w:line="360" w:lineRule="auto"/>
              <w:ind w:right="-670"/>
              <w:rPr>
                <w:rFonts w:asciiTheme="minorEastAsia" w:hAnsiTheme="minorEastAsia" w:eastAsiaTheme="minorEastAsia"/>
                <w:color w:val="auto"/>
                <w:sz w:val="24"/>
                <w:highlight w:val="none"/>
              </w:rPr>
            </w:pPr>
            <w:r>
              <w:rPr>
                <w:rFonts w:hint="eastAsia" w:cs="宋体"/>
                <w:bCs/>
                <w:color w:val="auto"/>
                <w:sz w:val="24"/>
                <w:szCs w:val="24"/>
                <w:highlight w:val="none"/>
              </w:rPr>
              <w:t>小写：</w:t>
            </w:r>
            <w:r>
              <w:rPr>
                <w:rFonts w:hint="eastAsia"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w:t>
            </w:r>
            <w:r>
              <w:rPr>
                <w:rFonts w:hint="eastAsia" w:cs="宋体" w:asciiTheme="minorEastAsia" w:hAnsiTheme="minorEastAsia" w:eastAsiaTheme="minorEastAsia"/>
                <w:bCs/>
                <w:color w:val="auto"/>
                <w:kern w:val="2"/>
                <w:sz w:val="24"/>
                <w:szCs w:val="24"/>
                <w:highlight w:val="none"/>
                <w:lang w:val="en-US" w:eastAsia="zh-CN"/>
              </w:rPr>
              <w:t>采购人通知</w:t>
            </w:r>
            <w:r>
              <w:rPr>
                <w:rFonts w:hint="eastAsia" w:cs="宋体" w:asciiTheme="minorEastAsia" w:hAnsiTheme="minorEastAsia" w:eastAsiaTheme="minorEastAsia"/>
                <w:bCs/>
                <w:color w:val="auto"/>
                <w:kern w:val="2"/>
                <w:sz w:val="24"/>
                <w:szCs w:val="24"/>
                <w:highlight w:val="none"/>
              </w:rPr>
              <w:t>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b/>
          <w:bCs/>
          <w:color w:val="auto"/>
          <w:sz w:val="24"/>
          <w:szCs w:val="28"/>
          <w:highlight w:val="none"/>
        </w:rPr>
      </w:pPr>
      <w:r>
        <w:rPr>
          <w:rFonts w:hint="eastAsia"/>
          <w:b/>
          <w:bCs/>
          <w:color w:val="auto"/>
          <w:sz w:val="24"/>
          <w:szCs w:val="28"/>
          <w:highlight w:val="none"/>
        </w:rPr>
        <w:t>3.表中大写金额与小写金额不一致的，以大写金额为准。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644" w:name="_Toc1874"/>
      <w:bookmarkStart w:id="645" w:name="_Toc26702"/>
      <w:r>
        <w:rPr>
          <w:rFonts w:hint="eastAsia" w:cs="宋体" w:asciiTheme="minorEastAsia" w:hAnsiTheme="minorEastAsia" w:eastAsiaTheme="minorEastAsia"/>
          <w:b/>
          <w:color w:val="auto"/>
          <w:sz w:val="24"/>
          <w:szCs w:val="24"/>
          <w:highlight w:val="none"/>
        </w:rPr>
        <w:t>工程量清单报价书</w:t>
      </w:r>
      <w:bookmarkEnd w:id="644"/>
      <w:bookmarkEnd w:id="645"/>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rPr>
          <w:b/>
          <w:bCs/>
          <w:color w:val="auto"/>
          <w:sz w:val="24"/>
          <w:szCs w:val="28"/>
          <w:highlight w:val="none"/>
        </w:rPr>
      </w:pPr>
      <w:r>
        <w:rPr>
          <w:b/>
          <w:bCs/>
          <w:color w:val="auto"/>
          <w:sz w:val="24"/>
          <w:szCs w:val="28"/>
          <w:highlight w:val="none"/>
        </w:rPr>
        <w:br w:type="page"/>
      </w:r>
    </w:p>
    <w:p w14:paraId="15FC90A4">
      <w:pPr>
        <w:jc w:val="center"/>
        <w:rPr>
          <w:rFonts w:ascii="Calibri" w:hAnsi="Calibri"/>
          <w:b/>
          <w:color w:val="auto"/>
          <w:sz w:val="24"/>
          <w:szCs w:val="24"/>
          <w:highlight w:val="none"/>
        </w:rPr>
      </w:pPr>
      <w:r>
        <w:rPr>
          <w:rFonts w:hint="eastAsia" w:ascii="仿宋_GB2312" w:hAnsi="Calibri" w:eastAsia="仿宋_GB2312"/>
          <w:b/>
          <w:color w:val="auto"/>
          <w:sz w:val="24"/>
          <w:szCs w:val="24"/>
          <w:highlight w:val="none"/>
        </w:rPr>
        <w:t>①</w:t>
      </w:r>
      <w:r>
        <w:rPr>
          <w:rFonts w:hint="eastAsia" w:ascii="Calibri" w:hAnsi="Calibri"/>
          <w:b/>
          <w:color w:val="auto"/>
          <w:sz w:val="24"/>
          <w:szCs w:val="24"/>
          <w:highlight w:val="none"/>
        </w:rPr>
        <w:t>工程量清单报价书（封面）</w:t>
      </w:r>
    </w:p>
    <w:p w14:paraId="169695BD">
      <w:pPr>
        <w:ind w:firstLine="482" w:firstLineChars="200"/>
        <w:jc w:val="center"/>
        <w:rPr>
          <w:rFonts w:ascii="Calibri" w:hAnsi="Calibri"/>
          <w:b/>
          <w:color w:val="auto"/>
          <w:sz w:val="24"/>
          <w:szCs w:val="24"/>
          <w:highlight w:val="none"/>
        </w:rPr>
      </w:pPr>
    </w:p>
    <w:p w14:paraId="62ABBBAC">
      <w:pPr>
        <w:ind w:firstLine="482" w:firstLineChars="200"/>
        <w:jc w:val="center"/>
        <w:rPr>
          <w:rFonts w:ascii="Calibri" w:hAnsi="Calibri"/>
          <w:b/>
          <w:color w:val="auto"/>
          <w:sz w:val="24"/>
          <w:szCs w:val="24"/>
          <w:highlight w:val="none"/>
        </w:rPr>
      </w:pPr>
      <w:r>
        <w:rPr>
          <w:rFonts w:ascii="Calibri" w:hAnsi="Calibri"/>
          <w:b/>
          <w:color w:val="auto"/>
          <w:sz w:val="24"/>
          <w:szCs w:val="24"/>
          <w:highlight w:val="none"/>
        </w:rPr>
        <w:t>响应</w:t>
      </w:r>
      <w:r>
        <w:rPr>
          <w:rFonts w:hint="eastAsia" w:ascii="Calibri" w:hAnsi="Calibri"/>
          <w:b/>
          <w:color w:val="auto"/>
          <w:sz w:val="24"/>
          <w:szCs w:val="24"/>
          <w:highlight w:val="none"/>
        </w:rPr>
        <w:t>总价</w:t>
      </w:r>
    </w:p>
    <w:p w14:paraId="4EC41306">
      <w:pPr>
        <w:spacing w:line="800" w:lineRule="exact"/>
        <w:ind w:firstLine="480" w:firstLineChars="200"/>
        <w:rPr>
          <w:rFonts w:ascii="Calibri" w:hAnsi="Calibri"/>
          <w:color w:val="auto"/>
          <w:sz w:val="24"/>
          <w:szCs w:val="24"/>
          <w:highlight w:val="none"/>
          <w:u w:val="single"/>
        </w:rPr>
      </w:pPr>
      <w:r>
        <w:rPr>
          <w:rFonts w:ascii="Calibri" w:hAnsi="Calibri"/>
          <w:color w:val="auto"/>
          <w:sz w:val="24"/>
          <w:szCs w:val="24"/>
          <w:highlight w:val="none"/>
        </w:rPr>
        <w:t>采购人</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p>
    <w:p w14:paraId="709D2A6E">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工程名称：</w:t>
      </w:r>
      <w:r>
        <w:rPr>
          <w:rFonts w:hint="eastAsia" w:ascii="Calibri" w:hAnsi="Calibri"/>
          <w:color w:val="auto"/>
          <w:sz w:val="24"/>
          <w:szCs w:val="24"/>
          <w:highlight w:val="none"/>
          <w:u w:val="single"/>
        </w:rPr>
        <w:t xml:space="preserve">                                               </w:t>
      </w:r>
    </w:p>
    <w:p w14:paraId="469DE71D">
      <w:pPr>
        <w:spacing w:line="800" w:lineRule="exact"/>
        <w:ind w:firstLine="480" w:firstLineChars="200"/>
        <w:rPr>
          <w:rFonts w:ascii="Calibri" w:hAnsi="Calibri"/>
          <w:color w:val="auto"/>
          <w:sz w:val="24"/>
          <w:szCs w:val="24"/>
          <w:highlight w:val="none"/>
          <w:u w:val="single"/>
        </w:rPr>
      </w:pPr>
      <w:r>
        <w:rPr>
          <w:rFonts w:ascii="Calibri" w:hAnsi="Calibri"/>
          <w:color w:val="auto"/>
          <w:sz w:val="24"/>
          <w:szCs w:val="24"/>
          <w:highlight w:val="none"/>
        </w:rPr>
        <w:t>响应</w:t>
      </w:r>
      <w:r>
        <w:rPr>
          <w:rFonts w:hint="eastAsia" w:ascii="Calibri" w:hAnsi="Calibri"/>
          <w:color w:val="auto"/>
          <w:sz w:val="24"/>
          <w:szCs w:val="24"/>
          <w:highlight w:val="none"/>
        </w:rPr>
        <w:t>总价（小写）：</w:t>
      </w:r>
      <w:r>
        <w:rPr>
          <w:rFonts w:hint="eastAsia" w:ascii="Calibri" w:hAnsi="Calibri"/>
          <w:color w:val="auto"/>
          <w:sz w:val="24"/>
          <w:szCs w:val="24"/>
          <w:highlight w:val="none"/>
          <w:u w:val="single"/>
        </w:rPr>
        <w:t xml:space="preserve">                                       </w:t>
      </w:r>
    </w:p>
    <w:p w14:paraId="52A00231">
      <w:pPr>
        <w:spacing w:line="800" w:lineRule="exact"/>
        <w:ind w:firstLine="1440" w:firstLineChars="600"/>
        <w:rPr>
          <w:rFonts w:ascii="Calibri" w:hAnsi="Calibri"/>
          <w:color w:val="auto"/>
          <w:sz w:val="24"/>
          <w:szCs w:val="24"/>
          <w:highlight w:val="none"/>
        </w:rPr>
      </w:pPr>
      <w:r>
        <w:rPr>
          <w:rFonts w:hint="eastAsia" w:ascii="Calibri" w:hAnsi="Calibri"/>
          <w:color w:val="auto"/>
          <w:sz w:val="24"/>
          <w:szCs w:val="24"/>
          <w:highlight w:val="none"/>
        </w:rPr>
        <w:t>（大写）：</w:t>
      </w:r>
      <w:r>
        <w:rPr>
          <w:rFonts w:hint="eastAsia" w:ascii="Calibri" w:hAnsi="Calibri"/>
          <w:color w:val="auto"/>
          <w:sz w:val="24"/>
          <w:szCs w:val="24"/>
          <w:highlight w:val="none"/>
          <w:u w:val="single"/>
        </w:rPr>
        <w:t xml:space="preserve">                                       </w:t>
      </w:r>
    </w:p>
    <w:p w14:paraId="2199B43E">
      <w:pPr>
        <w:spacing w:line="800" w:lineRule="exact"/>
        <w:ind w:firstLine="480" w:firstLineChars="200"/>
        <w:rPr>
          <w:rFonts w:ascii="Calibri" w:hAnsi="Calibri"/>
          <w:color w:val="auto"/>
          <w:sz w:val="24"/>
          <w:szCs w:val="24"/>
          <w:highlight w:val="none"/>
        </w:rPr>
      </w:pPr>
    </w:p>
    <w:p w14:paraId="1F275674">
      <w:pPr>
        <w:spacing w:line="800" w:lineRule="exact"/>
        <w:ind w:firstLine="480" w:firstLineChars="200"/>
        <w:rPr>
          <w:rFonts w:ascii="Calibri" w:hAnsi="Calibri"/>
          <w:color w:val="auto"/>
          <w:sz w:val="24"/>
          <w:szCs w:val="24"/>
          <w:highlight w:val="none"/>
        </w:rPr>
      </w:pPr>
      <w:r>
        <w:rPr>
          <w:rFonts w:ascii="Calibri" w:hAnsi="Calibri"/>
          <w:color w:val="auto"/>
          <w:sz w:val="24"/>
          <w:szCs w:val="24"/>
          <w:highlight w:val="none"/>
        </w:rPr>
        <w:t>供应商</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(单位盖章)</w:t>
      </w:r>
    </w:p>
    <w:p w14:paraId="325B5BC2">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法定代表人：</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(签字或盖章)</w:t>
      </w:r>
    </w:p>
    <w:p w14:paraId="0AD5B94B">
      <w:pPr>
        <w:spacing w:line="800" w:lineRule="exact"/>
        <w:ind w:firstLine="480" w:firstLineChars="200"/>
        <w:rPr>
          <w:rFonts w:ascii="Calibri" w:hAnsi="Calibri"/>
          <w:color w:val="auto"/>
          <w:sz w:val="24"/>
          <w:szCs w:val="24"/>
          <w:highlight w:val="none"/>
          <w:u w:val="single"/>
        </w:rPr>
      </w:pPr>
      <w:r>
        <w:rPr>
          <w:rFonts w:hint="eastAsia" w:ascii="Calibri" w:hAnsi="Calibri"/>
          <w:color w:val="auto"/>
          <w:sz w:val="24"/>
          <w:szCs w:val="24"/>
          <w:highlight w:val="none"/>
        </w:rPr>
        <w:t>编制人：</w:t>
      </w:r>
      <w:r>
        <w:rPr>
          <w:rFonts w:hint="eastAsia" w:ascii="Calibri" w:hAnsi="Calibri"/>
          <w:color w:val="auto"/>
          <w:sz w:val="24"/>
          <w:szCs w:val="24"/>
          <w:highlight w:val="none"/>
          <w:u w:val="single"/>
        </w:rPr>
        <w:t xml:space="preserve">                                                 </w:t>
      </w:r>
    </w:p>
    <w:p w14:paraId="5247EF19">
      <w:pPr>
        <w:spacing w:line="800" w:lineRule="exact"/>
        <w:ind w:firstLine="2040" w:firstLineChars="850"/>
        <w:rPr>
          <w:rFonts w:ascii="Calibri" w:hAnsi="Calibri"/>
          <w:color w:val="auto"/>
          <w:sz w:val="24"/>
          <w:szCs w:val="24"/>
          <w:highlight w:val="none"/>
        </w:rPr>
      </w:pPr>
      <w:r>
        <w:rPr>
          <w:rFonts w:hint="eastAsia" w:ascii="Calibri" w:hAnsi="Calibri"/>
          <w:color w:val="auto"/>
          <w:sz w:val="24"/>
          <w:szCs w:val="24"/>
          <w:highlight w:val="none"/>
        </w:rPr>
        <w:t xml:space="preserve"> (注册造价工程师签字并盖执业专用章)</w:t>
      </w:r>
    </w:p>
    <w:p w14:paraId="2823A556">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编制时间：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月</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日</w:t>
      </w:r>
    </w:p>
    <w:p w14:paraId="349CE487">
      <w:pPr>
        <w:rPr>
          <w:color w:val="auto"/>
          <w:highlight w:val="none"/>
        </w:rPr>
      </w:pPr>
      <w:r>
        <w:rPr>
          <w:color w:val="auto"/>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46" w:name="_Toc461053087"/>
      <w:bookmarkStart w:id="647" w:name="_Toc461056632"/>
      <w:bookmarkStart w:id="648" w:name="_Toc20879"/>
      <w:bookmarkStart w:id="649" w:name="_Toc22341"/>
      <w:bookmarkStart w:id="650" w:name="_Toc520983588"/>
      <w:r>
        <w:rPr>
          <w:rFonts w:hint="eastAsia" w:asciiTheme="minorEastAsia" w:hAnsiTheme="minorEastAsia" w:eastAsiaTheme="minorEastAsia"/>
          <w:b/>
          <w:color w:val="auto"/>
          <w:sz w:val="24"/>
          <w:highlight w:val="none"/>
        </w:rPr>
        <w:t>二</w:t>
      </w:r>
      <w:bookmarkEnd w:id="646"/>
      <w:bookmarkEnd w:id="647"/>
      <w:r>
        <w:rPr>
          <w:rFonts w:hint="eastAsia" w:asciiTheme="minorEastAsia" w:hAnsiTheme="minorEastAsia" w:eastAsiaTheme="minorEastAsia"/>
          <w:b/>
          <w:color w:val="auto"/>
          <w:sz w:val="24"/>
          <w:highlight w:val="none"/>
        </w:rPr>
        <w:t>、最后承诺报价表</w:t>
      </w:r>
      <w:bookmarkEnd w:id="648"/>
      <w:bookmarkEnd w:id="649"/>
      <w:bookmarkEnd w:id="650"/>
    </w:p>
    <w:p w14:paraId="0EE7A619">
      <w:pPr>
        <w:spacing w:before="156" w:beforeLines="50" w:after="156" w:afterLines="50" w:line="360" w:lineRule="auto"/>
        <w:ind w:firstLine="236" w:firstLineChars="98"/>
        <w:jc w:val="center"/>
        <w:outlineLvl w:val="1"/>
        <w:rPr>
          <w:b/>
          <w:color w:val="auto"/>
          <w:sz w:val="24"/>
          <w:szCs w:val="28"/>
          <w:highlight w:val="none"/>
        </w:rPr>
      </w:pPr>
      <w:bookmarkStart w:id="651" w:name="_Toc8562"/>
      <w:bookmarkStart w:id="652"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51"/>
      <w:bookmarkEnd w:id="652"/>
    </w:p>
    <w:p w14:paraId="19A7588B">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p>
    <w:p w14:paraId="07F9BBE7">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cs="宋体"/>
                <w:bCs/>
                <w:color w:val="auto"/>
                <w:sz w:val="24"/>
                <w:szCs w:val="24"/>
                <w:highlight w:val="none"/>
                <w:u w:val="single"/>
              </w:rPr>
            </w:pPr>
            <w:r>
              <w:rPr>
                <w:rFonts w:hint="eastAsia" w:cs="宋体"/>
                <w:bCs/>
                <w:color w:val="auto"/>
                <w:sz w:val="24"/>
                <w:szCs w:val="24"/>
                <w:highlight w:val="none"/>
              </w:rPr>
              <w:t>大写：</w:t>
            </w:r>
            <w:r>
              <w:rPr>
                <w:rFonts w:hint="eastAsia"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cs="宋体"/>
                <w:bCs/>
                <w:color w:val="auto"/>
                <w:sz w:val="24"/>
                <w:szCs w:val="24"/>
                <w:highlight w:val="none"/>
              </w:rPr>
              <w:t>小写：</w:t>
            </w:r>
            <w:r>
              <w:rPr>
                <w:rFonts w:hint="eastAsia"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w:t>
            </w:r>
            <w:r>
              <w:rPr>
                <w:rFonts w:hint="eastAsia" w:cs="宋体" w:asciiTheme="minorEastAsia" w:hAnsiTheme="minorEastAsia" w:eastAsiaTheme="minorEastAsia"/>
                <w:bCs/>
                <w:color w:val="auto"/>
                <w:kern w:val="2"/>
                <w:sz w:val="24"/>
                <w:szCs w:val="24"/>
                <w:highlight w:val="none"/>
                <w:lang w:val="en-US" w:eastAsia="zh-CN"/>
              </w:rPr>
              <w:t>采购人通知</w:t>
            </w:r>
            <w:r>
              <w:rPr>
                <w:rFonts w:hint="eastAsia" w:cs="宋体" w:asciiTheme="minorEastAsia" w:hAnsiTheme="minorEastAsia" w:eastAsiaTheme="minorEastAsia"/>
                <w:bCs/>
                <w:color w:val="auto"/>
                <w:kern w:val="2"/>
                <w:sz w:val="24"/>
                <w:szCs w:val="24"/>
                <w:highlight w:val="none"/>
              </w:rPr>
              <w:t>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spacing w:line="360" w:lineRule="auto"/>
        <w:ind w:firstLine="482" w:firstLineChars="200"/>
        <w:jc w:val="left"/>
        <w:rPr>
          <w:bCs/>
          <w:color w:val="auto"/>
          <w:sz w:val="24"/>
          <w:highlight w:val="none"/>
        </w:rPr>
      </w:pPr>
      <w:r>
        <w:rPr>
          <w:rFonts w:hint="eastAsia" w:cs="宋体" w:asciiTheme="minorEastAsia" w:hAnsiTheme="minorEastAsia" w:eastAsiaTheme="minorEastAsia"/>
          <w:b/>
          <w:bCs/>
          <w:color w:val="auto"/>
          <w:kern w:val="2"/>
          <w:sz w:val="24"/>
          <w:szCs w:val="24"/>
          <w:highlight w:val="none"/>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b/>
          <w:bCs/>
          <w:color w:val="auto"/>
          <w:sz w:val="24"/>
          <w:szCs w:val="28"/>
          <w:highlight w:val="none"/>
        </w:rPr>
      </w:pPr>
      <w:r>
        <w:rPr>
          <w:rFonts w:hint="eastAsia"/>
          <w:b/>
          <w:bCs/>
          <w:color w:val="auto"/>
          <w:sz w:val="24"/>
          <w:szCs w:val="28"/>
          <w:highlight w:val="none"/>
        </w:rPr>
        <w:t>2.表中大写金额与小写金额不一致的，以大写金额为准。</w:t>
      </w:r>
    </w:p>
    <w:p w14:paraId="78BBD8D6">
      <w:pPr>
        <w:widowControl/>
        <w:jc w:val="left"/>
        <w:rPr>
          <w:bCs/>
          <w:color w:val="auto"/>
          <w:sz w:val="24"/>
          <w:highlight w:val="none"/>
        </w:rPr>
      </w:pPr>
      <w:r>
        <w:rPr>
          <w:bCs/>
          <w:color w:val="auto"/>
          <w:sz w:val="24"/>
          <w:highlight w:val="none"/>
        </w:rPr>
        <w:br w:type="page"/>
      </w:r>
    </w:p>
    <w:p w14:paraId="1E4501B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53" w:name="_Toc7943"/>
      <w:bookmarkStart w:id="654" w:name="_Toc22429"/>
      <w:bookmarkStart w:id="655"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53"/>
      <w:bookmarkEnd w:id="654"/>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56" w:name="_Toc28160"/>
      <w:bookmarkStart w:id="657" w:name="_Toc8006"/>
      <w:r>
        <w:rPr>
          <w:rFonts w:hint="eastAsia" w:asciiTheme="minorEastAsia" w:hAnsiTheme="minorEastAsia" w:eastAsiaTheme="minorEastAsia"/>
          <w:b/>
          <w:color w:val="auto"/>
          <w:sz w:val="24"/>
          <w:highlight w:val="none"/>
        </w:rPr>
        <w:t>四、磋商响应函</w:t>
      </w:r>
      <w:bookmarkEnd w:id="655"/>
      <w:bookmarkEnd w:id="656"/>
      <w:bookmarkEnd w:id="657"/>
    </w:p>
    <w:p w14:paraId="182AF00A">
      <w:pPr>
        <w:spacing w:line="360" w:lineRule="auto"/>
        <w:rPr>
          <w:rFonts w:cs="宋体" w:asciiTheme="minorEastAsia" w:hAnsiTheme="minorEastAsia" w:eastAsiaTheme="minorEastAsia"/>
          <w:b/>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rPr>
        <w:t>采购人</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3.</w:t>
      </w:r>
      <w:r>
        <w:rPr>
          <w:rFonts w:hint="eastAsia"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4.我方同意所提交的响应文件在磋商文件规定的磋商有效期内有效，在此期间内如果成交，我方将受此约束。</w:t>
      </w:r>
    </w:p>
    <w:p w14:paraId="220BCFC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5.除非另外达成协议并生效，你方的成交通知书和本响应文件以及磋商文件、磋商文件澄清、修改、补充将成为约束双方的合同文件的组成部分。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rPr>
        <w:t>6.其他补充说明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3"/>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58" w:name="_Toc2947"/>
      <w:bookmarkStart w:id="659" w:name="_Toc20728"/>
      <w:r>
        <w:rPr>
          <w:rFonts w:hint="eastAsia" w:asciiTheme="minorEastAsia" w:hAnsiTheme="minorEastAsia" w:eastAsiaTheme="minorEastAsia"/>
          <w:b/>
          <w:color w:val="auto"/>
          <w:sz w:val="24"/>
          <w:highlight w:val="none"/>
        </w:rPr>
        <w:t>五、</w:t>
      </w:r>
      <w:bookmarkEnd w:id="658"/>
      <w:bookmarkStart w:id="660" w:name="_Toc8658"/>
      <w:r>
        <w:rPr>
          <w:rFonts w:hint="eastAsia" w:asciiTheme="minorEastAsia" w:hAnsiTheme="minorEastAsia" w:eastAsiaTheme="minorEastAsia"/>
          <w:b/>
          <w:color w:val="auto"/>
          <w:sz w:val="24"/>
          <w:highlight w:val="none"/>
        </w:rPr>
        <w:t>供应商资格声明书</w:t>
      </w:r>
      <w:bookmarkEnd w:id="659"/>
      <w:r>
        <w:rPr>
          <w:rFonts w:hint="eastAsia" w:asciiTheme="minorEastAsia" w:hAnsiTheme="minorEastAsia" w:eastAsiaTheme="minorEastAsia"/>
          <w:b/>
          <w:color w:val="auto"/>
          <w:sz w:val="24"/>
          <w:highlight w:val="none"/>
        </w:rPr>
        <w:t xml:space="preserve"> </w:t>
      </w:r>
    </w:p>
    <w:p w14:paraId="7B0B3723">
      <w:pPr>
        <w:pStyle w:val="30"/>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502207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在参与本次项目磋商中，我单位承诺：</w:t>
      </w:r>
    </w:p>
    <w:p w14:paraId="215F1EC1">
      <w:pPr>
        <w:widowControl/>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（一）具有良好的商业信誉和健全的财务会计制度；</w:t>
      </w:r>
    </w:p>
    <w:p w14:paraId="5E3E902A">
      <w:pPr>
        <w:widowControl/>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（二）具有履行合同所必需的设备和专业技术能力；</w:t>
      </w:r>
    </w:p>
    <w:p w14:paraId="227B1980">
      <w:pPr>
        <w:widowControl/>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（三）有依法缴纳税收和社会保障资金的良好记录；</w:t>
      </w:r>
    </w:p>
    <w:p w14:paraId="67773F4D">
      <w:pPr>
        <w:widowControl/>
        <w:spacing w:line="360" w:lineRule="auto"/>
        <w:jc w:val="left"/>
        <w:rPr>
          <w:rFonts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cs="宋体"/>
          <w:color w:val="auto"/>
          <w:kern w:val="2"/>
          <w:sz w:val="24"/>
          <w:szCs w:val="24"/>
          <w:highlight w:val="none"/>
        </w:rPr>
      </w:pPr>
      <w:r>
        <w:rPr>
          <w:rFonts w:hint="eastAsia" w:cs="宋体"/>
          <w:color w:val="auto"/>
          <w:kern w:val="2"/>
          <w:sz w:val="24"/>
          <w:szCs w:val="24"/>
          <w:highlight w:val="none"/>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cs="宋体"/>
          <w:color w:val="auto"/>
          <w:kern w:val="2"/>
          <w:sz w:val="24"/>
          <w:szCs w:val="24"/>
          <w:highlight w:val="none"/>
        </w:rPr>
      </w:pPr>
      <w:r>
        <w:rPr>
          <w:rFonts w:hint="eastAsia" w:cs="宋体"/>
          <w:color w:val="auto"/>
          <w:kern w:val="2"/>
          <w:sz w:val="24"/>
          <w:szCs w:val="24"/>
          <w:highlight w:val="none"/>
        </w:rPr>
        <w:t>（六）我单位在本项目磋商有效期内，在本项目所在区域未存在因质量事故、安全事故等被限期承包工程或市场不良行为等被限制磋商资格行为，且处于处罚期内的情况；</w:t>
      </w:r>
    </w:p>
    <w:p w14:paraId="62A8166A">
      <w:pPr>
        <w:spacing w:line="360" w:lineRule="auto"/>
        <w:rPr>
          <w:color w:val="auto"/>
          <w:highlight w:val="none"/>
        </w:rPr>
      </w:pPr>
      <w:r>
        <w:rPr>
          <w:rFonts w:hint="eastAsia" w:cs="宋体"/>
          <w:color w:val="auto"/>
          <w:kern w:val="2"/>
          <w:sz w:val="24"/>
          <w:szCs w:val="24"/>
          <w:highlight w:val="none"/>
        </w:rPr>
        <w:t>（七）我单位</w:t>
      </w:r>
      <w:r>
        <w:rPr>
          <w:rFonts w:hint="eastAsia" w:cs="宋体"/>
          <w:color w:val="auto"/>
          <w:sz w:val="24"/>
          <w:szCs w:val="24"/>
          <w:highlight w:val="none"/>
        </w:rPr>
        <w:t>未被“信用中国”网站列入拖欠农民工工资失信联合惩戒对象名单</w:t>
      </w:r>
      <w:r>
        <w:rPr>
          <w:rFonts w:hint="eastAsia" w:cs="宋体"/>
          <w:color w:val="auto"/>
          <w:kern w:val="2"/>
          <w:sz w:val="24"/>
          <w:szCs w:val="24"/>
          <w:highlight w:val="none"/>
        </w:rPr>
        <w:t>；</w:t>
      </w:r>
    </w:p>
    <w:p w14:paraId="52519373">
      <w:pPr>
        <w:widowControl/>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（八）我单位不存在为采购项目提供整体设计、规范编制或者项目管理、监理、检测等服务后，再参加该采购项目的其他采购活动的情形（单一来源采购项目除外）；</w:t>
      </w:r>
    </w:p>
    <w:p w14:paraId="547E3A0F">
      <w:pPr>
        <w:widowControl/>
        <w:spacing w:line="360" w:lineRule="auto"/>
        <w:jc w:val="left"/>
        <w:rPr>
          <w:rFonts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widowControl/>
              <w:spacing w:before="156" w:beforeLines="50" w:after="10"/>
              <w:jc w:val="center"/>
              <w:rPr>
                <w:rFonts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序号</w:t>
            </w:r>
          </w:p>
        </w:tc>
        <w:tc>
          <w:tcPr>
            <w:tcW w:w="2841" w:type="dxa"/>
          </w:tcPr>
          <w:p w14:paraId="6F02C71C">
            <w:pPr>
              <w:pStyle w:val="19"/>
              <w:spacing w:before="156" w:beforeLines="50" w:after="10"/>
              <w:jc w:val="center"/>
              <w:rPr>
                <w:rFonts w:asciiTheme="minorEastAsia" w:hAnsiTheme="minorEastAsia" w:eastAsiaTheme="minorEastAsia" w:cstheme="minorEastAsia"/>
                <w:color w:val="auto"/>
                <w:sz w:val="24"/>
                <w:highlight w:val="none"/>
                <w:lang w:val="en-US" w:bidi="ar"/>
              </w:rPr>
            </w:pPr>
            <w:r>
              <w:rPr>
                <w:rFonts w:hint="eastAsia" w:asciiTheme="minorEastAsia" w:hAnsiTheme="minorEastAsia" w:eastAsiaTheme="minorEastAsia" w:cstheme="minorEastAsia"/>
                <w:color w:val="auto"/>
                <w:sz w:val="24"/>
                <w:highlight w:val="none"/>
                <w:lang w:val="en-US" w:bidi="ar"/>
              </w:rPr>
              <w:t>单位名称</w:t>
            </w:r>
          </w:p>
        </w:tc>
        <w:tc>
          <w:tcPr>
            <w:tcW w:w="2841" w:type="dxa"/>
          </w:tcPr>
          <w:p w14:paraId="767000FB">
            <w:pPr>
              <w:pStyle w:val="19"/>
              <w:spacing w:before="156" w:beforeLines="50" w:after="10"/>
              <w:jc w:val="center"/>
              <w:rPr>
                <w:rFonts w:asciiTheme="minorEastAsia" w:hAnsiTheme="minorEastAsia" w:eastAsiaTheme="minorEastAsia" w:cstheme="minorEastAsia"/>
                <w:color w:val="auto"/>
                <w:sz w:val="24"/>
                <w:highlight w:val="none"/>
                <w:lang w:val="en-US" w:bidi="ar"/>
              </w:rPr>
            </w:pPr>
            <w:r>
              <w:rPr>
                <w:rFonts w:hint="eastAsia" w:asciiTheme="minorEastAsia" w:hAnsiTheme="minorEastAsia" w:eastAsiaTheme="minorEastAsia" w:cstheme="minorEastAsia"/>
                <w:color w:val="auto"/>
                <w:sz w:val="24"/>
                <w:highlight w:val="none"/>
                <w:lang w:val="en-US"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19"/>
              <w:spacing w:before="156" w:beforeLines="50" w:after="10"/>
              <w:jc w:val="center"/>
              <w:rPr>
                <w:rFonts w:asciiTheme="minorEastAsia" w:hAnsiTheme="minorEastAsia" w:eastAsiaTheme="minorEastAsia" w:cstheme="minorEastAsia"/>
                <w:color w:val="auto"/>
                <w:sz w:val="24"/>
                <w:highlight w:val="none"/>
                <w:lang w:val="en-US" w:bidi="ar"/>
              </w:rPr>
            </w:pPr>
            <w:r>
              <w:rPr>
                <w:rFonts w:hint="eastAsia" w:asciiTheme="minorEastAsia" w:hAnsiTheme="minorEastAsia" w:eastAsiaTheme="minorEastAsia" w:cstheme="minorEastAsia"/>
                <w:color w:val="auto"/>
                <w:sz w:val="24"/>
                <w:highlight w:val="none"/>
                <w:lang w:val="en-US" w:bidi="ar"/>
              </w:rPr>
              <w:t>1</w:t>
            </w:r>
          </w:p>
        </w:tc>
        <w:tc>
          <w:tcPr>
            <w:tcW w:w="2841" w:type="dxa"/>
          </w:tcPr>
          <w:p w14:paraId="422727E1">
            <w:pPr>
              <w:pStyle w:val="19"/>
              <w:spacing w:before="156" w:beforeLines="50" w:after="10"/>
              <w:jc w:val="center"/>
              <w:rPr>
                <w:rFonts w:asciiTheme="minorEastAsia" w:hAnsiTheme="minorEastAsia" w:eastAsiaTheme="minorEastAsia" w:cstheme="minorEastAsia"/>
                <w:color w:val="auto"/>
                <w:sz w:val="24"/>
                <w:highlight w:val="none"/>
                <w:lang w:val="en-US" w:bidi="ar"/>
              </w:rPr>
            </w:pPr>
          </w:p>
        </w:tc>
        <w:tc>
          <w:tcPr>
            <w:tcW w:w="2841" w:type="dxa"/>
          </w:tcPr>
          <w:p w14:paraId="7FBA3A38">
            <w:pPr>
              <w:pStyle w:val="19"/>
              <w:spacing w:before="156" w:beforeLines="50" w:after="10"/>
              <w:jc w:val="center"/>
              <w:rPr>
                <w:rFonts w:asciiTheme="minorEastAsia" w:hAnsiTheme="minorEastAsia" w:eastAsiaTheme="minorEastAsia" w:cstheme="minorEastAsia"/>
                <w:color w:val="auto"/>
                <w:sz w:val="24"/>
                <w:highlight w:val="none"/>
                <w:lang w:val="en-US"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19"/>
              <w:spacing w:before="156" w:beforeLines="50" w:after="10"/>
              <w:jc w:val="center"/>
              <w:rPr>
                <w:rFonts w:asciiTheme="minorEastAsia" w:hAnsiTheme="minorEastAsia" w:eastAsiaTheme="minorEastAsia" w:cstheme="minorEastAsia"/>
                <w:color w:val="auto"/>
                <w:sz w:val="24"/>
                <w:highlight w:val="none"/>
                <w:lang w:val="en-US" w:bidi="ar"/>
              </w:rPr>
            </w:pPr>
            <w:r>
              <w:rPr>
                <w:rFonts w:hint="eastAsia" w:asciiTheme="minorEastAsia" w:hAnsiTheme="minorEastAsia" w:eastAsiaTheme="minorEastAsia" w:cstheme="minorEastAsia"/>
                <w:color w:val="auto"/>
                <w:sz w:val="24"/>
                <w:highlight w:val="none"/>
                <w:lang w:val="en-US" w:bidi="ar"/>
              </w:rPr>
              <w:t>2</w:t>
            </w:r>
          </w:p>
        </w:tc>
        <w:tc>
          <w:tcPr>
            <w:tcW w:w="2841" w:type="dxa"/>
          </w:tcPr>
          <w:p w14:paraId="3A5E8281">
            <w:pPr>
              <w:pStyle w:val="19"/>
              <w:spacing w:before="156" w:beforeLines="50" w:after="10"/>
              <w:jc w:val="center"/>
              <w:rPr>
                <w:rFonts w:asciiTheme="minorEastAsia" w:hAnsiTheme="minorEastAsia" w:eastAsiaTheme="minorEastAsia" w:cstheme="minorEastAsia"/>
                <w:color w:val="auto"/>
                <w:sz w:val="24"/>
                <w:highlight w:val="none"/>
                <w:lang w:val="en-US" w:bidi="ar"/>
              </w:rPr>
            </w:pPr>
          </w:p>
        </w:tc>
        <w:tc>
          <w:tcPr>
            <w:tcW w:w="2841" w:type="dxa"/>
          </w:tcPr>
          <w:p w14:paraId="14666905">
            <w:pPr>
              <w:pStyle w:val="19"/>
              <w:spacing w:before="156" w:beforeLines="50" w:after="10"/>
              <w:jc w:val="center"/>
              <w:rPr>
                <w:rFonts w:asciiTheme="minorEastAsia" w:hAnsiTheme="minorEastAsia" w:eastAsiaTheme="minorEastAsia" w:cstheme="minorEastAsia"/>
                <w:color w:val="auto"/>
                <w:sz w:val="24"/>
                <w:highlight w:val="none"/>
                <w:lang w:val="en-US" w:bidi="ar"/>
              </w:rPr>
            </w:pPr>
          </w:p>
        </w:tc>
      </w:tr>
    </w:tbl>
    <w:p w14:paraId="404ECA81">
      <w:pPr>
        <w:spacing w:line="360" w:lineRule="auto"/>
        <w:ind w:firstLine="435"/>
        <w:rPr>
          <w:color w:val="auto"/>
          <w:sz w:val="24"/>
          <w:highlight w:val="none"/>
        </w:rPr>
      </w:pPr>
      <w:r>
        <w:rPr>
          <w:rFonts w:hint="eastAsia"/>
          <w:color w:val="auto"/>
          <w:sz w:val="24"/>
          <w:highlight w:val="none"/>
        </w:rPr>
        <w:t>本单位对</w:t>
      </w:r>
      <w:r>
        <w:rPr>
          <w:rFonts w:hint="eastAsia" w:asciiTheme="minorEastAsia" w:hAnsiTheme="minorEastAsia" w:eastAsiaTheme="minorEastAsia"/>
          <w:color w:val="auto"/>
          <w:sz w:val="24"/>
          <w:highlight w:val="none"/>
        </w:rPr>
        <w:t>上述</w:t>
      </w:r>
      <w:r>
        <w:rPr>
          <w:rFonts w:hint="eastAsia"/>
          <w:color w:val="auto"/>
          <w:sz w:val="24"/>
          <w:highlight w:val="none"/>
        </w:rPr>
        <w:t>声明的真实性负责。如有虚假，将依法承担相应责任。</w:t>
      </w:r>
    </w:p>
    <w:p w14:paraId="1BDBC288">
      <w:pPr>
        <w:spacing w:line="360" w:lineRule="auto"/>
        <w:ind w:firstLine="4800" w:firstLineChars="2000"/>
        <w:rPr>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p>
    <w:p w14:paraId="68CE4BDA">
      <w:pPr>
        <w:spacing w:line="360" w:lineRule="auto"/>
        <w:jc w:val="center"/>
        <w:rPr>
          <w:rFonts w:asciiTheme="minorEastAsia" w:hAnsiTheme="minorEastAsia" w:eastAsiaTheme="minorEastAsia"/>
          <w:b/>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rPr>
        <w:t xml:space="preserve">                           日          期：</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color w:val="auto"/>
          <w:sz w:val="24"/>
          <w:highlight w:val="none"/>
        </w:rPr>
        <w:t xml:space="preserve">         </w:t>
      </w:r>
      <w:bookmarkEnd w:id="660"/>
    </w:p>
    <w:p w14:paraId="7C50D398">
      <w:pPr>
        <w:widowControl/>
        <w:jc w:val="center"/>
        <w:outlineLvl w:val="1"/>
        <w:rPr>
          <w:rFonts w:asciiTheme="minorEastAsia" w:hAnsiTheme="minorEastAsia" w:eastAsiaTheme="minorEastAsia"/>
          <w:b/>
          <w:color w:val="auto"/>
          <w:sz w:val="24"/>
          <w:highlight w:val="none"/>
        </w:rPr>
      </w:pPr>
      <w:bookmarkStart w:id="661" w:name="_Toc520983594"/>
      <w:bookmarkStart w:id="662" w:name="_Toc909"/>
      <w:bookmarkStart w:id="663" w:name="_Toc516969106"/>
      <w:bookmarkStart w:id="664" w:name="_Toc121626298"/>
      <w:bookmarkStart w:id="665" w:name="_Toc204594911"/>
      <w:bookmarkStart w:id="666" w:name="_Toc25503"/>
      <w:r>
        <w:rPr>
          <w:rFonts w:hint="eastAsia" w:asciiTheme="minorEastAsia" w:hAnsiTheme="minorEastAsia" w:eastAsiaTheme="minorEastAsia"/>
          <w:b/>
          <w:color w:val="auto"/>
          <w:sz w:val="24"/>
          <w:highlight w:val="none"/>
        </w:rPr>
        <w:t>六、授权书</w:t>
      </w:r>
      <w:bookmarkEnd w:id="661"/>
      <w:bookmarkEnd w:id="662"/>
      <w:bookmarkEnd w:id="663"/>
      <w:bookmarkEnd w:id="664"/>
      <w:bookmarkEnd w:id="665"/>
      <w:bookmarkEnd w:id="666"/>
    </w:p>
    <w:p w14:paraId="10E3BC2A">
      <w:pPr>
        <w:spacing w:line="360" w:lineRule="auto"/>
        <w:jc w:val="center"/>
        <w:rPr>
          <w:rFonts w:asciiTheme="minorEastAsia" w:hAnsiTheme="minorEastAsia" w:eastAsiaTheme="minorEastAsia"/>
          <w:b/>
          <w:color w:val="auto"/>
          <w:sz w:val="24"/>
          <w:highlight w:val="none"/>
        </w:rPr>
      </w:pPr>
    </w:p>
    <w:p w14:paraId="18B209B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8"/>
        <w:snapToGrid w:val="0"/>
        <w:spacing w:line="360" w:lineRule="auto"/>
        <w:ind w:firstLine="480" w:firstLineChars="200"/>
        <w:jc w:val="left"/>
        <w:rPr>
          <w:rFonts w:hAnsi="宋体" w:eastAsia="宋体"/>
          <w:color w:val="auto"/>
          <w:sz w:val="24"/>
          <w:highlight w:val="none"/>
        </w:rPr>
      </w:pPr>
    </w:p>
    <w:p w14:paraId="4B586E3B">
      <w:pPr>
        <w:pStyle w:val="28"/>
        <w:snapToGrid w:val="0"/>
        <w:spacing w:line="360" w:lineRule="auto"/>
        <w:ind w:firstLine="480" w:firstLineChars="200"/>
        <w:jc w:val="left"/>
        <w:rPr>
          <w:rFonts w:hAnsi="宋体" w:eastAsia="宋体"/>
          <w:color w:val="auto"/>
          <w:sz w:val="24"/>
          <w:highlight w:val="none"/>
        </w:rPr>
      </w:pPr>
    </w:p>
    <w:p w14:paraId="7ED81DEA">
      <w:pPr>
        <w:pStyle w:val="28"/>
        <w:snapToGrid w:val="0"/>
        <w:spacing w:line="360" w:lineRule="auto"/>
        <w:ind w:firstLine="480" w:firstLineChars="200"/>
        <w:jc w:val="left"/>
        <w:rPr>
          <w:rFonts w:hAnsi="宋体" w:eastAsia="宋体"/>
          <w:color w:val="auto"/>
          <w:sz w:val="24"/>
          <w:highlight w:val="none"/>
        </w:rPr>
      </w:pPr>
    </w:p>
    <w:p w14:paraId="38559ABF">
      <w:pPr>
        <w:pStyle w:val="28"/>
        <w:snapToGrid w:val="0"/>
        <w:spacing w:line="360" w:lineRule="auto"/>
        <w:ind w:firstLine="480" w:firstLineChars="200"/>
        <w:jc w:val="left"/>
        <w:rPr>
          <w:rFonts w:hAnsi="宋体" w:eastAsia="宋体"/>
          <w:color w:val="auto"/>
          <w:sz w:val="24"/>
          <w:highlight w:val="none"/>
        </w:rPr>
      </w:pPr>
    </w:p>
    <w:p w14:paraId="141D8383">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8"/>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rPr>
        <w:t xml:space="preserve">                    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rPr>
        <w:t xml:space="preserve">                                        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jc w:val="left"/>
        <w:rPr>
          <w:color w:val="auto"/>
          <w:sz w:val="24"/>
          <w:highlight w:val="none"/>
        </w:rPr>
      </w:pPr>
      <w:r>
        <w:rPr>
          <w:color w:val="auto"/>
          <w:sz w:val="24"/>
          <w:highlight w:val="none"/>
        </w:rPr>
        <w:br w:type="page"/>
      </w:r>
    </w:p>
    <w:p w14:paraId="0F90EB7A">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67" w:name="_Toc12223"/>
      <w:bookmarkStart w:id="668" w:name="_Toc32351"/>
      <w:r>
        <w:rPr>
          <w:rFonts w:hint="eastAsia" w:cs="@仿宋_GB2312" w:asciiTheme="minorEastAsia" w:hAnsiTheme="minorEastAsia" w:eastAsiaTheme="minorEastAsia"/>
          <w:b/>
          <w:bCs/>
          <w:color w:val="auto"/>
          <w:kern w:val="2"/>
          <w:sz w:val="24"/>
          <w:szCs w:val="24"/>
          <w:highlight w:val="none"/>
        </w:rPr>
        <w:t>七、法定代表人身份证明书</w:t>
      </w:r>
      <w:bookmarkEnd w:id="667"/>
      <w:bookmarkEnd w:id="668"/>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69" w:name="_Toc20099"/>
      <w:bookmarkStart w:id="670" w:name="_Toc4373"/>
      <w:r>
        <w:rPr>
          <w:rFonts w:hint="eastAsia" w:cs="@仿宋_GB2312" w:asciiTheme="minorEastAsia" w:hAnsiTheme="minorEastAsia" w:eastAsiaTheme="minorEastAsia"/>
          <w:b/>
          <w:bCs/>
          <w:color w:val="auto"/>
          <w:kern w:val="2"/>
          <w:sz w:val="24"/>
          <w:szCs w:val="24"/>
          <w:highlight w:val="none"/>
        </w:rPr>
        <w:t>八、项目经理承诺书</w:t>
      </w:r>
      <w:bookmarkEnd w:id="669"/>
      <w:bookmarkEnd w:id="670"/>
    </w:p>
    <w:p w14:paraId="6AC8B780">
      <w:pPr>
        <w:spacing w:line="360" w:lineRule="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致：采购人</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二、本人承诺，一旦成交，将严格按照磋商文件规定履约。</w:t>
      </w:r>
    </w:p>
    <w:p w14:paraId="346EAA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三、本人声明，对以上承诺，一旦发现虚假现象，本人愿意承担相应法律责任，并随时无条件配合监管部门调查取证。</w:t>
      </w:r>
    </w:p>
    <w:p w14:paraId="59B4E7F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545A20D6">
      <w:pPr>
        <w:autoSpaceDE w:val="0"/>
        <w:autoSpaceDN w:val="0"/>
        <w:adjustRightInd w:val="0"/>
        <w:spacing w:line="360" w:lineRule="auto"/>
        <w:jc w:val="center"/>
        <w:rPr>
          <w:rFonts w:asciiTheme="minorEastAsia" w:hAnsiTheme="minorEastAsia" w:eastAsiaTheme="minorEastAsia"/>
          <w:color w:val="auto"/>
          <w:sz w:val="24"/>
          <w:highlight w:val="none"/>
        </w:rPr>
      </w:pPr>
      <w:bookmarkStart w:id="671" w:name="_Toc438648628"/>
      <w:r>
        <w:rPr>
          <w:rFonts w:hint="eastAsia" w:ascii="@仿宋_GB2312" w:eastAsia="@仿宋_GB2312" w:cs="宋体"/>
          <w:b/>
          <w:color w:val="auto"/>
          <w:kern w:val="2"/>
          <w:sz w:val="24"/>
          <w:szCs w:val="24"/>
          <w:highlight w:val="none"/>
        </w:rPr>
        <w:br w:type="page"/>
      </w:r>
      <w:bookmarkEnd w:id="671"/>
    </w:p>
    <w:p w14:paraId="23E4189E">
      <w:pPr>
        <w:spacing w:line="360" w:lineRule="auto"/>
        <w:jc w:val="center"/>
        <w:outlineLvl w:val="1"/>
        <w:rPr>
          <w:rFonts w:asciiTheme="minorEastAsia" w:hAnsiTheme="minorEastAsia" w:eastAsiaTheme="minorEastAsia"/>
          <w:b/>
          <w:color w:val="auto"/>
          <w:sz w:val="24"/>
          <w:highlight w:val="none"/>
        </w:rPr>
      </w:pPr>
      <w:bookmarkStart w:id="672" w:name="_Toc28359"/>
      <w:bookmarkStart w:id="673" w:name="_Toc31589"/>
      <w:r>
        <w:rPr>
          <w:rFonts w:hint="eastAsia" w:asciiTheme="minorEastAsia" w:hAnsiTheme="minorEastAsia" w:eastAsiaTheme="minorEastAsia"/>
          <w:b/>
          <w:color w:val="auto"/>
          <w:sz w:val="24"/>
          <w:highlight w:val="none"/>
        </w:rPr>
        <w:t>九、中小企业声明函</w:t>
      </w:r>
      <w:bookmarkEnd w:id="672"/>
      <w:bookmarkEnd w:id="673"/>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7F230423">
      <w:pPr>
        <w:spacing w:line="360" w:lineRule="auto"/>
        <w:ind w:firstLine="435"/>
        <w:rPr>
          <w:rFonts w:cs="@仿宋_GB2312" w:asciiTheme="minorEastAsia" w:hAnsiTheme="minorEastAsia" w:eastAsiaTheme="minorEastAsia"/>
          <w:color w:val="auto"/>
          <w:kern w:val="2"/>
          <w:sz w:val="24"/>
          <w:szCs w:val="24"/>
          <w:highlight w:val="none"/>
        </w:rPr>
      </w:pPr>
      <w:r>
        <w:rPr>
          <w:rFonts w:hint="eastAsia" w:cs="@仿宋_GB2312"/>
          <w:color w:val="auto"/>
          <w:kern w:val="2"/>
          <w:sz w:val="24"/>
          <w:szCs w:val="24"/>
          <w:highlight w:val="none"/>
          <w:lang w:val="zh-CN"/>
        </w:rPr>
        <w:t xml:space="preserve">本企业对上述声明内容的真实性负责。如有虚假，将依法承担相应责任。 </w:t>
      </w: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35851756">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36A25496">
      <w:pPr>
        <w:tabs>
          <w:tab w:val="left" w:pos="4620"/>
        </w:tabs>
        <w:spacing w:line="360" w:lineRule="auto"/>
        <w:jc w:val="left"/>
        <w:rPr>
          <w:rFonts w:cs="@仿宋_GB2312" w:asciiTheme="minorEastAsia" w:hAnsiTheme="minorEastAsia" w:eastAsiaTheme="minorEastAsia"/>
          <w:b/>
          <w:color w:val="auto"/>
          <w:kern w:val="2"/>
          <w:sz w:val="21"/>
          <w:szCs w:val="24"/>
          <w:highlight w:val="none"/>
        </w:rPr>
      </w:pPr>
      <w:r>
        <w:rPr>
          <w:rFonts w:hint="eastAsia" w:cs="@仿宋_GB2312" w:asciiTheme="minorEastAsia" w:hAnsiTheme="minorEastAsia" w:eastAsiaTheme="minorEastAsia"/>
          <w:b/>
          <w:color w:val="auto"/>
          <w:kern w:val="2"/>
          <w:sz w:val="21"/>
          <w:szCs w:val="24"/>
          <w:highlight w:val="none"/>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0490C347">
      <w:pPr>
        <w:tabs>
          <w:tab w:val="left" w:pos="4620"/>
        </w:tabs>
        <w:spacing w:line="360" w:lineRule="auto"/>
        <w:jc w:val="left"/>
        <w:rPr>
          <w:rFonts w:asciiTheme="minorEastAsia" w:hAnsiTheme="minorEastAsia" w:eastAsiaTheme="minorEastAsia"/>
          <w:color w:val="auto"/>
          <w:sz w:val="24"/>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行业；承建企业为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74" w:name="_Toc17813"/>
      <w:bookmarkStart w:id="675" w:name="_Toc17154"/>
      <w:r>
        <w:rPr>
          <w:rFonts w:hint="eastAsia" w:asciiTheme="minorEastAsia" w:hAnsiTheme="minorEastAsia" w:eastAsiaTheme="minorEastAsia"/>
          <w:b/>
          <w:color w:val="auto"/>
          <w:sz w:val="24"/>
          <w:highlight w:val="none"/>
        </w:rPr>
        <w:t>十、残疾人福利性单位声明函</w:t>
      </w:r>
      <w:bookmarkEnd w:id="674"/>
      <w:bookmarkEnd w:id="675"/>
    </w:p>
    <w:p w14:paraId="2640A097">
      <w:pPr>
        <w:pStyle w:val="19"/>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76" w:name="_Toc17768"/>
      <w:bookmarkStart w:id="677" w:name="_Toc26894"/>
      <w:bookmarkStart w:id="678" w:name="_Hlk44283088"/>
      <w:r>
        <w:rPr>
          <w:rFonts w:hint="eastAsia" w:asciiTheme="minorEastAsia" w:hAnsiTheme="minorEastAsia" w:eastAsiaTheme="minorEastAsia"/>
          <w:b/>
          <w:color w:val="auto"/>
          <w:sz w:val="24"/>
          <w:highlight w:val="none"/>
        </w:rPr>
        <w:t>十一、诚信履约承诺函</w:t>
      </w:r>
      <w:bookmarkEnd w:id="676"/>
      <w:bookmarkEnd w:id="677"/>
    </w:p>
    <w:p w14:paraId="2BAADF30">
      <w:pPr>
        <w:spacing w:line="360" w:lineRule="auto"/>
        <w:rPr>
          <w:rFonts w:hint="eastAsia" w:cs="@仿宋_GB2312" w:asciiTheme="minorEastAsia" w:hAnsiTheme="minorEastAsia" w:eastAsiaTheme="minorEastAsia"/>
          <w:b/>
          <w:bCs/>
          <w:color w:val="auto"/>
          <w:kern w:val="2"/>
          <w:sz w:val="24"/>
          <w:highlight w:val="none"/>
        </w:rPr>
      </w:pPr>
    </w:p>
    <w:p w14:paraId="6BAA9A86">
      <w:pPr>
        <w:spacing w:line="360" w:lineRule="auto"/>
        <w:rPr>
          <w:rFonts w:cs="@仿宋_GB2312" w:asciiTheme="minorEastAsia" w:hAnsiTheme="minorEastAsia" w:eastAsiaTheme="minorEastAsia"/>
          <w:b/>
          <w:bCs/>
          <w:color w:val="auto"/>
          <w:kern w:val="2"/>
          <w:sz w:val="24"/>
          <w:highlight w:val="none"/>
          <w:u w:val="single"/>
        </w:rPr>
      </w:pPr>
      <w:r>
        <w:rPr>
          <w:rFonts w:hint="eastAsia" w:cs="@仿宋_GB2312" w:asciiTheme="minorEastAsia" w:hAnsiTheme="minorEastAsia" w:eastAsiaTheme="minorEastAsia"/>
          <w:b/>
          <w:bCs/>
          <w:color w:val="auto"/>
          <w:kern w:val="2"/>
          <w:sz w:val="24"/>
          <w:highlight w:val="none"/>
        </w:rPr>
        <w:t>致：采购人</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EF7B7D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十二、诚信响应承诺书</w:t>
      </w:r>
    </w:p>
    <w:p w14:paraId="7908E886">
      <w:pPr>
        <w:spacing w:line="500" w:lineRule="exact"/>
        <w:rPr>
          <w:rFonts w:cs="宋体"/>
          <w:color w:val="auto"/>
          <w:sz w:val="21"/>
          <w:szCs w:val="21"/>
          <w:highlight w:val="none"/>
        </w:rPr>
      </w:pPr>
      <w:r>
        <w:rPr>
          <w:rFonts w:hint="eastAsia" w:cs="宋体"/>
          <w:color w:val="auto"/>
          <w:sz w:val="21"/>
          <w:szCs w:val="21"/>
          <w:highlight w:val="none"/>
          <w:lang w:bidi="ar"/>
        </w:rPr>
        <w:t>本人以企业法定代表人的身份郑重承诺：</w:t>
      </w:r>
    </w:p>
    <w:p w14:paraId="6065394A">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一、将遵循公开、公正和诚实信用的原则自愿参加</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项目的磋商，所提供的一切材料都是真实、有效、合法的；</w:t>
      </w:r>
    </w:p>
    <w:p w14:paraId="4FA09703">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三、不出借、转让资质证书，不让他人挂靠投标，不以他人名义投标或者以其他方式弄虚作假，骗取成交；</w:t>
      </w:r>
    </w:p>
    <w:p w14:paraId="7371DAFB">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四、不与其他供应商相互串通投标报价，不排挤其他供应商的公平竞争、损害采购人的合法权益；</w:t>
      </w:r>
    </w:p>
    <w:p w14:paraId="53BF9A05">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五、不与采购人、代理机构或其他供应商串通磋商，损害国家利益、社会公共利益或者他人的合法权益；</w:t>
      </w:r>
    </w:p>
    <w:p w14:paraId="164F1727">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六、</w:t>
      </w:r>
      <w:r>
        <w:rPr>
          <w:rFonts w:hint="eastAsia" w:cs="宋体"/>
          <w:color w:val="auto"/>
          <w:sz w:val="21"/>
          <w:szCs w:val="21"/>
          <w:highlight w:val="none"/>
          <w:u w:val="single"/>
          <w:lang w:bidi="ar"/>
        </w:rPr>
        <w:t xml:space="preserve">                      （企业名称）</w:t>
      </w:r>
      <w:r>
        <w:rPr>
          <w:rFonts w:hint="eastAsia" w:cs="宋体"/>
          <w:color w:val="auto"/>
          <w:sz w:val="21"/>
          <w:szCs w:val="21"/>
          <w:highlight w:val="none"/>
          <w:lang w:bidi="ar"/>
        </w:rPr>
        <w:t>或</w:t>
      </w:r>
      <w:r>
        <w:rPr>
          <w:rFonts w:hint="eastAsia" w:cs="宋体"/>
          <w:color w:val="auto"/>
          <w:sz w:val="21"/>
          <w:szCs w:val="21"/>
          <w:highlight w:val="none"/>
          <w:u w:val="single"/>
          <w:lang w:bidi="ar"/>
        </w:rPr>
        <w:t xml:space="preserve">                     （企业名称）</w:t>
      </w:r>
      <w:r>
        <w:rPr>
          <w:rFonts w:hint="eastAsia" w:cs="宋体"/>
          <w:color w:val="auto"/>
          <w:sz w:val="21"/>
          <w:szCs w:val="21"/>
          <w:highlight w:val="none"/>
          <w:lang w:bidi="ar"/>
        </w:rPr>
        <w:t>法定代表人或拟派项目经理</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七、严格遵守开标现场纪律，服从监管人员管理；</w:t>
      </w:r>
    </w:p>
    <w:p w14:paraId="264A028A">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八、保证中标后不转包，若有分包征得招标人同意；</w:t>
      </w:r>
    </w:p>
    <w:p w14:paraId="7391BA2B">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九、保证中标之后，按照</w:t>
      </w:r>
      <w:r>
        <w:rPr>
          <w:rFonts w:hint="eastAsia" w:cs="宋体"/>
          <w:color w:val="auto"/>
          <w:sz w:val="21"/>
          <w:szCs w:val="21"/>
          <w:highlight w:val="none"/>
          <w:lang w:val="en-US" w:eastAsia="zh-CN" w:bidi="ar"/>
        </w:rPr>
        <w:t>响应</w:t>
      </w:r>
      <w:r>
        <w:rPr>
          <w:rFonts w:hint="eastAsia" w:cs="宋体"/>
          <w:color w:val="auto"/>
          <w:sz w:val="21"/>
          <w:szCs w:val="21"/>
          <w:highlight w:val="none"/>
          <w:lang w:bidi="ar"/>
        </w:rPr>
        <w:t>文件要求提供相关后续服务；</w:t>
      </w:r>
    </w:p>
    <w:p w14:paraId="1DFC1A6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十、保证企业及所属相关人员在本次投标中无行贿等犯罪行为；</w:t>
      </w:r>
    </w:p>
    <w:p w14:paraId="6831EA14">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十一、如在</w:t>
      </w:r>
      <w:r>
        <w:rPr>
          <w:rFonts w:hint="eastAsia" w:cs="宋体"/>
          <w:color w:val="auto"/>
          <w:sz w:val="21"/>
          <w:szCs w:val="21"/>
          <w:highlight w:val="none"/>
          <w:lang w:val="en-US" w:eastAsia="zh-CN" w:bidi="ar"/>
        </w:rPr>
        <w:t>磋商</w:t>
      </w:r>
      <w:r>
        <w:rPr>
          <w:rFonts w:hint="eastAsia" w:cs="宋体"/>
          <w:color w:val="auto"/>
          <w:sz w:val="21"/>
          <w:szCs w:val="21"/>
          <w:highlight w:val="none"/>
          <w:lang w:bidi="ar"/>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621FBB0">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以上内容我已仔细阅读，本公司若有违反承诺内容的行为，自愿接受取消投标或者中标（成交）资格、中标（成交）无效、记入不良行为记录等有关处理，愿意承担法律责任，给</w:t>
      </w:r>
      <w:r>
        <w:rPr>
          <w:rFonts w:hint="eastAsia" w:cs="宋体"/>
          <w:color w:val="auto"/>
          <w:sz w:val="21"/>
          <w:szCs w:val="21"/>
          <w:highlight w:val="none"/>
          <w:lang w:val="en-US" w:eastAsia="zh-CN" w:bidi="ar"/>
        </w:rPr>
        <w:t>采购人</w:t>
      </w:r>
      <w:r>
        <w:rPr>
          <w:rFonts w:hint="eastAsia" w:cs="宋体"/>
          <w:color w:val="auto"/>
          <w:sz w:val="21"/>
          <w:szCs w:val="21"/>
          <w:highlight w:val="none"/>
          <w:lang w:bidi="ar"/>
        </w:rPr>
        <w:t>造成损失的，依法承担赔偿责任。</w:t>
      </w:r>
    </w:p>
    <w:p w14:paraId="5421B222">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 xml:space="preserve">开户银行：                      </w:t>
      </w:r>
      <w:r>
        <w:rPr>
          <w:rFonts w:hint="eastAsia" w:cs="宋体"/>
          <w:color w:val="auto"/>
          <w:sz w:val="21"/>
          <w:szCs w:val="21"/>
          <w:highlight w:val="none"/>
          <w:lang w:val="en-US" w:eastAsia="zh-CN" w:bidi="ar"/>
        </w:rPr>
        <w:t xml:space="preserve">  </w:t>
      </w:r>
      <w:r>
        <w:rPr>
          <w:rFonts w:hint="eastAsia" w:cs="宋体"/>
          <w:color w:val="auto"/>
          <w:sz w:val="21"/>
          <w:szCs w:val="21"/>
          <w:highlight w:val="none"/>
          <w:lang w:bidi="ar"/>
        </w:rPr>
        <w:t>基本账户：</w:t>
      </w:r>
    </w:p>
    <w:p w14:paraId="1E911E8A">
      <w:pPr>
        <w:spacing w:line="500" w:lineRule="exact"/>
        <w:ind w:firstLine="420" w:firstLineChars="200"/>
        <w:rPr>
          <w:rFonts w:cs="宋体"/>
          <w:color w:val="auto"/>
          <w:sz w:val="21"/>
          <w:szCs w:val="21"/>
          <w:highlight w:val="none"/>
        </w:rPr>
      </w:pPr>
      <w:r>
        <w:rPr>
          <w:rFonts w:hint="eastAsia" w:cs="宋体"/>
          <w:color w:val="auto"/>
          <w:sz w:val="21"/>
          <w:szCs w:val="21"/>
          <w:highlight w:val="none"/>
          <w:lang w:val="en-US" w:eastAsia="zh-CN" w:bidi="ar"/>
        </w:rPr>
        <w:t>供应商</w:t>
      </w:r>
      <w:r>
        <w:rPr>
          <w:rFonts w:hint="eastAsia" w:cs="宋体"/>
          <w:color w:val="auto"/>
          <w:sz w:val="21"/>
          <w:szCs w:val="21"/>
          <w:highlight w:val="none"/>
          <w:lang w:bidi="ar"/>
        </w:rPr>
        <w:t>单位（签章）：               法定代表人（签章）：</w:t>
      </w:r>
    </w:p>
    <w:p w14:paraId="7A378430">
      <w:pPr>
        <w:spacing w:line="560" w:lineRule="exact"/>
        <w:jc w:val="right"/>
        <w:rPr>
          <w:rFonts w:ascii="仿宋_GB2312" w:eastAsia="仿宋_GB2312" w:cs="仿宋_GB2312"/>
          <w:color w:val="auto"/>
          <w:sz w:val="21"/>
          <w:szCs w:val="21"/>
          <w:highlight w:val="none"/>
        </w:rPr>
      </w:pPr>
      <w:r>
        <w:rPr>
          <w:rFonts w:hint="eastAsia" w:cs="宋体"/>
          <w:color w:val="auto"/>
          <w:sz w:val="21"/>
          <w:szCs w:val="21"/>
          <w:highlight w:val="none"/>
          <w:lang w:bidi="ar"/>
        </w:rPr>
        <w:t>日期：</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 xml:space="preserve">年 </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 xml:space="preserve">月 </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日</w:t>
      </w:r>
    </w:p>
    <w:p w14:paraId="7A8AE343">
      <w:pPr>
        <w:pStyle w:val="54"/>
        <w:ind w:left="400"/>
        <w:rPr>
          <w:color w:val="auto"/>
          <w:highlight w:val="none"/>
        </w:rPr>
      </w:pPr>
    </w:p>
    <w:bookmarkEnd w:id="678"/>
    <w:p w14:paraId="4B918787">
      <w:pPr>
        <w:rPr>
          <w:rFonts w:asciiTheme="minorEastAsia" w:hAnsiTheme="minorEastAsia" w:eastAsiaTheme="minorEastAsia"/>
          <w:b/>
          <w:color w:val="auto"/>
          <w:sz w:val="24"/>
          <w:highlight w:val="none"/>
        </w:rPr>
      </w:pPr>
      <w:bookmarkStart w:id="679" w:name="_Toc28645"/>
      <w:bookmarkStart w:id="680" w:name="_Toc8176"/>
      <w:r>
        <w:rPr>
          <w:rFonts w:hint="eastAsia" w:asciiTheme="minorEastAsia" w:hAnsiTheme="minorEastAsia" w:eastAsiaTheme="minorEastAsia"/>
          <w:b/>
          <w:color w:val="auto"/>
          <w:sz w:val="24"/>
          <w:highlight w:val="none"/>
        </w:rPr>
        <w:br w:type="page"/>
      </w:r>
    </w:p>
    <w:p w14:paraId="01C2ACE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十三、其他相关证明材料</w:t>
      </w:r>
      <w:bookmarkEnd w:id="679"/>
      <w:bookmarkEnd w:id="680"/>
    </w:p>
    <w:p w14:paraId="1FA16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提供符合磋商邀请、采购需求及评标方法和标准规定的相关证明文件。</w:t>
      </w: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67854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50"/>
        <w:spacing w:before="0" w:beforeAutospacing="0" w:after="0" w:afterAutospacing="0" w:line="360" w:lineRule="auto"/>
        <w:jc w:val="center"/>
        <w:rPr>
          <w:rFonts w:eastAsiaTheme="minorEastAsia"/>
          <w:color w:val="auto"/>
          <w:highlight w:val="none"/>
        </w:rPr>
      </w:pPr>
      <w:r>
        <w:rPr>
          <w:rFonts w:hint="eastAsia" w:asciiTheme="minorEastAsia" w:hAnsiTheme="minorEastAsia" w:eastAsiaTheme="minorEastAsia"/>
          <w:color w:val="auto"/>
          <w:highlight w:val="none"/>
        </w:rPr>
        <w:t>主要材料品牌</w:t>
      </w:r>
    </w:p>
    <w:tbl>
      <w:tblPr>
        <w:tblStyle w:val="5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2455"/>
        <w:gridCol w:w="2367"/>
        <w:gridCol w:w="2367"/>
      </w:tblGrid>
      <w:tr w14:paraId="44A8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27" w:type="dxa"/>
          </w:tcPr>
          <w:p w14:paraId="7A731BD1">
            <w:pPr>
              <w:spacing w:line="360" w:lineRule="exact"/>
              <w:jc w:val="center"/>
              <w:rPr>
                <w:rFonts w:cs="宋体"/>
                <w:color w:val="auto"/>
                <w:sz w:val="21"/>
                <w:szCs w:val="21"/>
                <w:highlight w:val="none"/>
              </w:rPr>
            </w:pPr>
            <w:r>
              <w:rPr>
                <w:rFonts w:hint="eastAsia" w:cs="宋体"/>
                <w:bCs/>
                <w:color w:val="auto"/>
                <w:sz w:val="21"/>
                <w:szCs w:val="21"/>
                <w:highlight w:val="none"/>
              </w:rPr>
              <w:t>序号</w:t>
            </w:r>
          </w:p>
        </w:tc>
        <w:tc>
          <w:tcPr>
            <w:tcW w:w="2455" w:type="dxa"/>
          </w:tcPr>
          <w:p w14:paraId="622B1CA8">
            <w:pPr>
              <w:spacing w:line="360" w:lineRule="exact"/>
              <w:jc w:val="center"/>
              <w:rPr>
                <w:rFonts w:cs="宋体"/>
                <w:color w:val="auto"/>
                <w:sz w:val="21"/>
                <w:szCs w:val="21"/>
                <w:highlight w:val="none"/>
              </w:rPr>
            </w:pPr>
            <w:r>
              <w:rPr>
                <w:rFonts w:hint="eastAsia" w:cs="宋体"/>
                <w:bCs/>
                <w:color w:val="auto"/>
                <w:sz w:val="21"/>
                <w:szCs w:val="21"/>
                <w:highlight w:val="none"/>
              </w:rPr>
              <w:t>材料名称</w:t>
            </w:r>
          </w:p>
        </w:tc>
        <w:tc>
          <w:tcPr>
            <w:tcW w:w="2367" w:type="dxa"/>
          </w:tcPr>
          <w:p w14:paraId="639BE2EE">
            <w:pPr>
              <w:spacing w:line="360" w:lineRule="exact"/>
              <w:jc w:val="center"/>
              <w:rPr>
                <w:rFonts w:cs="宋体"/>
                <w:color w:val="auto"/>
                <w:sz w:val="21"/>
                <w:szCs w:val="21"/>
                <w:highlight w:val="none"/>
              </w:rPr>
            </w:pPr>
            <w:r>
              <w:rPr>
                <w:rFonts w:hint="eastAsia" w:cs="宋体"/>
                <w:bCs/>
                <w:color w:val="auto"/>
                <w:sz w:val="21"/>
                <w:szCs w:val="21"/>
                <w:highlight w:val="none"/>
              </w:rPr>
              <w:t>材料品牌、</w:t>
            </w:r>
          </w:p>
        </w:tc>
        <w:tc>
          <w:tcPr>
            <w:tcW w:w="2367" w:type="dxa"/>
          </w:tcPr>
          <w:p w14:paraId="710E28DD">
            <w:pPr>
              <w:spacing w:line="360" w:lineRule="exact"/>
              <w:jc w:val="center"/>
              <w:rPr>
                <w:rFonts w:cs="宋体"/>
                <w:bCs/>
                <w:color w:val="auto"/>
                <w:sz w:val="21"/>
                <w:szCs w:val="21"/>
                <w:highlight w:val="none"/>
              </w:rPr>
            </w:pPr>
            <w:r>
              <w:rPr>
                <w:rFonts w:hint="eastAsia" w:cs="宋体"/>
                <w:bCs/>
                <w:color w:val="auto"/>
                <w:sz w:val="21"/>
                <w:szCs w:val="21"/>
                <w:highlight w:val="none"/>
              </w:rPr>
              <w:t>规格或型号</w:t>
            </w:r>
          </w:p>
        </w:tc>
      </w:tr>
      <w:tr w14:paraId="1D85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08FC5A83">
            <w:pPr>
              <w:spacing w:line="360" w:lineRule="exact"/>
              <w:jc w:val="center"/>
              <w:rPr>
                <w:rFonts w:cs="宋体"/>
                <w:color w:val="auto"/>
                <w:sz w:val="21"/>
                <w:szCs w:val="21"/>
                <w:highlight w:val="none"/>
              </w:rPr>
            </w:pPr>
            <w:r>
              <w:rPr>
                <w:rFonts w:hint="eastAsia" w:cs="宋体"/>
                <w:bCs/>
                <w:color w:val="auto"/>
                <w:sz w:val="21"/>
                <w:szCs w:val="21"/>
                <w:highlight w:val="none"/>
              </w:rPr>
              <w:t>1</w:t>
            </w:r>
          </w:p>
        </w:tc>
        <w:tc>
          <w:tcPr>
            <w:tcW w:w="2455" w:type="dxa"/>
            <w:vAlign w:val="center"/>
          </w:tcPr>
          <w:p w14:paraId="608E70BC">
            <w:pPr>
              <w:spacing w:line="360" w:lineRule="exact"/>
              <w:jc w:val="center"/>
              <w:rPr>
                <w:rFonts w:cs="宋体"/>
                <w:color w:val="auto"/>
                <w:sz w:val="21"/>
                <w:szCs w:val="21"/>
                <w:highlight w:val="none"/>
              </w:rPr>
            </w:pPr>
            <w:r>
              <w:rPr>
                <w:rFonts w:hint="eastAsia" w:cs="宋体"/>
                <w:color w:val="auto"/>
                <w:sz w:val="21"/>
                <w:szCs w:val="21"/>
                <w:highlight w:val="none"/>
              </w:rPr>
              <w:t>乳胶漆</w:t>
            </w:r>
          </w:p>
        </w:tc>
        <w:tc>
          <w:tcPr>
            <w:tcW w:w="2367" w:type="dxa"/>
          </w:tcPr>
          <w:p w14:paraId="0DF51D61">
            <w:pPr>
              <w:spacing w:line="360" w:lineRule="exact"/>
              <w:ind w:firstLine="420" w:firstLineChars="200"/>
              <w:jc w:val="left"/>
              <w:rPr>
                <w:rFonts w:cs="宋体"/>
                <w:color w:val="auto"/>
                <w:sz w:val="21"/>
                <w:szCs w:val="21"/>
                <w:highlight w:val="none"/>
              </w:rPr>
            </w:pPr>
          </w:p>
        </w:tc>
        <w:tc>
          <w:tcPr>
            <w:tcW w:w="2367" w:type="dxa"/>
          </w:tcPr>
          <w:p w14:paraId="716D62BA">
            <w:pPr>
              <w:spacing w:line="360" w:lineRule="exact"/>
              <w:ind w:firstLine="420" w:firstLineChars="200"/>
              <w:jc w:val="left"/>
              <w:rPr>
                <w:rFonts w:cs="宋体"/>
                <w:color w:val="auto"/>
                <w:sz w:val="21"/>
                <w:szCs w:val="21"/>
                <w:highlight w:val="none"/>
              </w:rPr>
            </w:pPr>
          </w:p>
        </w:tc>
      </w:tr>
      <w:tr w14:paraId="5F80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4B77E28F">
            <w:pPr>
              <w:spacing w:line="360" w:lineRule="exact"/>
              <w:jc w:val="center"/>
              <w:rPr>
                <w:rFonts w:cs="宋体"/>
                <w:color w:val="auto"/>
                <w:sz w:val="21"/>
                <w:szCs w:val="21"/>
                <w:highlight w:val="none"/>
              </w:rPr>
            </w:pPr>
            <w:r>
              <w:rPr>
                <w:rFonts w:hint="eastAsia" w:cs="宋体"/>
                <w:bCs/>
                <w:color w:val="auto"/>
                <w:sz w:val="21"/>
                <w:szCs w:val="21"/>
                <w:highlight w:val="none"/>
              </w:rPr>
              <w:t>2</w:t>
            </w:r>
          </w:p>
        </w:tc>
        <w:tc>
          <w:tcPr>
            <w:tcW w:w="2455" w:type="dxa"/>
            <w:vAlign w:val="center"/>
          </w:tcPr>
          <w:p w14:paraId="1C435579">
            <w:pPr>
              <w:spacing w:line="360" w:lineRule="exact"/>
              <w:jc w:val="center"/>
              <w:rPr>
                <w:rFonts w:cs="宋体"/>
                <w:color w:val="auto"/>
                <w:sz w:val="21"/>
                <w:szCs w:val="21"/>
                <w:highlight w:val="none"/>
              </w:rPr>
            </w:pPr>
            <w:r>
              <w:rPr>
                <w:rFonts w:hint="eastAsia" w:cs="宋体"/>
                <w:color w:val="auto"/>
                <w:sz w:val="21"/>
                <w:szCs w:val="21"/>
                <w:highlight w:val="none"/>
              </w:rPr>
              <w:t>腻子</w:t>
            </w:r>
          </w:p>
        </w:tc>
        <w:tc>
          <w:tcPr>
            <w:tcW w:w="2367" w:type="dxa"/>
          </w:tcPr>
          <w:p w14:paraId="5A489F6E">
            <w:pPr>
              <w:spacing w:line="360" w:lineRule="exact"/>
              <w:ind w:firstLine="420" w:firstLineChars="200"/>
              <w:jc w:val="left"/>
              <w:rPr>
                <w:rFonts w:cs="宋体"/>
                <w:color w:val="auto"/>
                <w:sz w:val="21"/>
                <w:szCs w:val="21"/>
                <w:highlight w:val="none"/>
              </w:rPr>
            </w:pPr>
          </w:p>
        </w:tc>
        <w:tc>
          <w:tcPr>
            <w:tcW w:w="2367" w:type="dxa"/>
          </w:tcPr>
          <w:p w14:paraId="5458F133">
            <w:pPr>
              <w:spacing w:line="360" w:lineRule="exact"/>
              <w:ind w:firstLine="420" w:firstLineChars="200"/>
              <w:jc w:val="left"/>
              <w:rPr>
                <w:rFonts w:cs="宋体"/>
                <w:color w:val="auto"/>
                <w:sz w:val="21"/>
                <w:szCs w:val="21"/>
                <w:highlight w:val="none"/>
              </w:rPr>
            </w:pPr>
          </w:p>
        </w:tc>
      </w:tr>
      <w:tr w14:paraId="145B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642DD466">
            <w:pPr>
              <w:spacing w:line="360" w:lineRule="exact"/>
              <w:jc w:val="center"/>
              <w:rPr>
                <w:rFonts w:cs="宋体"/>
                <w:color w:val="auto"/>
                <w:sz w:val="21"/>
                <w:szCs w:val="21"/>
                <w:highlight w:val="none"/>
              </w:rPr>
            </w:pPr>
            <w:r>
              <w:rPr>
                <w:rFonts w:hint="eastAsia" w:cs="宋体"/>
                <w:bCs/>
                <w:color w:val="auto"/>
                <w:kern w:val="2"/>
                <w:sz w:val="21"/>
                <w:szCs w:val="21"/>
                <w:highlight w:val="none"/>
              </w:rPr>
              <w:t>3</w:t>
            </w:r>
          </w:p>
        </w:tc>
        <w:tc>
          <w:tcPr>
            <w:tcW w:w="2455" w:type="dxa"/>
            <w:vAlign w:val="center"/>
          </w:tcPr>
          <w:p w14:paraId="6F8B793D">
            <w:pPr>
              <w:spacing w:line="360" w:lineRule="exact"/>
              <w:jc w:val="center"/>
              <w:rPr>
                <w:rFonts w:cs="宋体"/>
                <w:color w:val="auto"/>
                <w:sz w:val="21"/>
                <w:szCs w:val="21"/>
                <w:highlight w:val="none"/>
              </w:rPr>
            </w:pPr>
            <w:r>
              <w:rPr>
                <w:rFonts w:hint="eastAsia" w:cs="宋体"/>
                <w:color w:val="auto"/>
                <w:sz w:val="21"/>
                <w:szCs w:val="21"/>
                <w:highlight w:val="none"/>
              </w:rPr>
              <w:t>钢质门</w:t>
            </w:r>
          </w:p>
        </w:tc>
        <w:tc>
          <w:tcPr>
            <w:tcW w:w="2367" w:type="dxa"/>
          </w:tcPr>
          <w:p w14:paraId="0A2785E2">
            <w:pPr>
              <w:spacing w:line="360" w:lineRule="exact"/>
              <w:ind w:firstLine="420" w:firstLineChars="200"/>
              <w:jc w:val="left"/>
              <w:rPr>
                <w:rFonts w:cs="宋体"/>
                <w:color w:val="auto"/>
                <w:sz w:val="21"/>
                <w:szCs w:val="21"/>
                <w:highlight w:val="none"/>
              </w:rPr>
            </w:pPr>
          </w:p>
        </w:tc>
        <w:tc>
          <w:tcPr>
            <w:tcW w:w="2367" w:type="dxa"/>
          </w:tcPr>
          <w:p w14:paraId="2CCF868B">
            <w:pPr>
              <w:spacing w:line="360" w:lineRule="exact"/>
              <w:ind w:firstLine="420" w:firstLineChars="200"/>
              <w:jc w:val="left"/>
              <w:rPr>
                <w:rFonts w:cs="宋体"/>
                <w:color w:val="auto"/>
                <w:sz w:val="21"/>
                <w:szCs w:val="21"/>
                <w:highlight w:val="none"/>
              </w:rPr>
            </w:pPr>
          </w:p>
        </w:tc>
      </w:tr>
      <w:tr w14:paraId="50A1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1EFB8F81">
            <w:pPr>
              <w:spacing w:line="360" w:lineRule="exact"/>
              <w:jc w:val="center"/>
              <w:rPr>
                <w:rFonts w:cs="宋体"/>
                <w:color w:val="auto"/>
                <w:sz w:val="21"/>
                <w:szCs w:val="21"/>
                <w:highlight w:val="none"/>
              </w:rPr>
            </w:pPr>
            <w:r>
              <w:rPr>
                <w:rFonts w:hint="eastAsia" w:cs="宋体"/>
                <w:bCs/>
                <w:color w:val="auto"/>
                <w:sz w:val="21"/>
                <w:szCs w:val="21"/>
                <w:highlight w:val="none"/>
              </w:rPr>
              <w:t>4</w:t>
            </w:r>
          </w:p>
        </w:tc>
        <w:tc>
          <w:tcPr>
            <w:tcW w:w="2455" w:type="dxa"/>
            <w:vAlign w:val="center"/>
          </w:tcPr>
          <w:p w14:paraId="10BAB1AC">
            <w:pPr>
              <w:spacing w:line="360" w:lineRule="exact"/>
              <w:jc w:val="center"/>
              <w:rPr>
                <w:rFonts w:cs="宋体"/>
                <w:color w:val="auto"/>
                <w:sz w:val="21"/>
                <w:szCs w:val="21"/>
                <w:highlight w:val="none"/>
              </w:rPr>
            </w:pPr>
            <w:r>
              <w:rPr>
                <w:rFonts w:hint="eastAsia" w:cs="宋体"/>
                <w:color w:val="auto"/>
                <w:sz w:val="21"/>
                <w:szCs w:val="21"/>
                <w:highlight w:val="none"/>
              </w:rPr>
              <w:t>木门</w:t>
            </w:r>
          </w:p>
        </w:tc>
        <w:tc>
          <w:tcPr>
            <w:tcW w:w="2367" w:type="dxa"/>
          </w:tcPr>
          <w:p w14:paraId="4BFEAB4C">
            <w:pPr>
              <w:spacing w:line="360" w:lineRule="exact"/>
              <w:ind w:firstLine="420" w:firstLineChars="200"/>
              <w:jc w:val="left"/>
              <w:rPr>
                <w:rFonts w:cs="宋体"/>
                <w:color w:val="auto"/>
                <w:sz w:val="21"/>
                <w:szCs w:val="21"/>
                <w:highlight w:val="none"/>
              </w:rPr>
            </w:pPr>
          </w:p>
        </w:tc>
        <w:tc>
          <w:tcPr>
            <w:tcW w:w="2367" w:type="dxa"/>
          </w:tcPr>
          <w:p w14:paraId="417626C0">
            <w:pPr>
              <w:spacing w:line="360" w:lineRule="exact"/>
              <w:ind w:firstLine="420" w:firstLineChars="200"/>
              <w:jc w:val="left"/>
              <w:rPr>
                <w:rFonts w:cs="宋体"/>
                <w:color w:val="auto"/>
                <w:sz w:val="21"/>
                <w:szCs w:val="21"/>
                <w:highlight w:val="none"/>
              </w:rPr>
            </w:pPr>
          </w:p>
        </w:tc>
      </w:tr>
      <w:tr w14:paraId="5C36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11BCB53C">
            <w:pPr>
              <w:spacing w:line="360" w:lineRule="exact"/>
              <w:jc w:val="center"/>
              <w:rPr>
                <w:rFonts w:cs="宋体"/>
                <w:color w:val="auto"/>
                <w:sz w:val="21"/>
                <w:szCs w:val="21"/>
                <w:highlight w:val="none"/>
              </w:rPr>
            </w:pPr>
            <w:r>
              <w:rPr>
                <w:rFonts w:hint="eastAsia" w:cs="宋体"/>
                <w:bCs/>
                <w:color w:val="auto"/>
                <w:sz w:val="21"/>
                <w:szCs w:val="21"/>
                <w:highlight w:val="none"/>
              </w:rPr>
              <w:t>5</w:t>
            </w:r>
          </w:p>
        </w:tc>
        <w:tc>
          <w:tcPr>
            <w:tcW w:w="2455" w:type="dxa"/>
            <w:vAlign w:val="center"/>
          </w:tcPr>
          <w:p w14:paraId="265D4AD2">
            <w:pPr>
              <w:spacing w:line="360" w:lineRule="exact"/>
              <w:jc w:val="center"/>
              <w:rPr>
                <w:rFonts w:cs="宋体"/>
                <w:color w:val="auto"/>
                <w:sz w:val="21"/>
                <w:szCs w:val="21"/>
                <w:highlight w:val="none"/>
              </w:rPr>
            </w:pPr>
            <w:r>
              <w:rPr>
                <w:rFonts w:hint="eastAsia" w:cs="宋体"/>
                <w:color w:val="auto"/>
                <w:sz w:val="21"/>
                <w:szCs w:val="21"/>
                <w:highlight w:val="none"/>
              </w:rPr>
              <w:t>木地板</w:t>
            </w:r>
          </w:p>
        </w:tc>
        <w:tc>
          <w:tcPr>
            <w:tcW w:w="2367" w:type="dxa"/>
          </w:tcPr>
          <w:p w14:paraId="32BA2A44">
            <w:pPr>
              <w:spacing w:line="360" w:lineRule="exact"/>
              <w:ind w:firstLine="420" w:firstLineChars="200"/>
              <w:jc w:val="left"/>
              <w:rPr>
                <w:rFonts w:cs="宋体"/>
                <w:color w:val="auto"/>
                <w:sz w:val="21"/>
                <w:szCs w:val="21"/>
                <w:highlight w:val="none"/>
              </w:rPr>
            </w:pPr>
          </w:p>
        </w:tc>
        <w:tc>
          <w:tcPr>
            <w:tcW w:w="2367" w:type="dxa"/>
          </w:tcPr>
          <w:p w14:paraId="4020F33D">
            <w:pPr>
              <w:spacing w:line="360" w:lineRule="exact"/>
              <w:ind w:firstLine="420" w:firstLineChars="200"/>
              <w:jc w:val="left"/>
              <w:rPr>
                <w:rFonts w:cs="宋体"/>
                <w:color w:val="auto"/>
                <w:sz w:val="21"/>
                <w:szCs w:val="21"/>
                <w:highlight w:val="none"/>
              </w:rPr>
            </w:pPr>
          </w:p>
        </w:tc>
      </w:tr>
      <w:tr w14:paraId="0ECA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22E42188">
            <w:pPr>
              <w:spacing w:line="360" w:lineRule="exact"/>
              <w:jc w:val="center"/>
              <w:rPr>
                <w:rFonts w:cs="宋体"/>
                <w:color w:val="auto"/>
                <w:sz w:val="21"/>
                <w:szCs w:val="21"/>
                <w:highlight w:val="none"/>
              </w:rPr>
            </w:pPr>
            <w:r>
              <w:rPr>
                <w:rFonts w:hint="eastAsia" w:cs="宋体"/>
                <w:bCs/>
                <w:color w:val="auto"/>
                <w:sz w:val="21"/>
                <w:szCs w:val="21"/>
                <w:highlight w:val="none"/>
              </w:rPr>
              <w:t>6</w:t>
            </w:r>
          </w:p>
        </w:tc>
        <w:tc>
          <w:tcPr>
            <w:tcW w:w="2455" w:type="dxa"/>
            <w:vAlign w:val="center"/>
          </w:tcPr>
          <w:p w14:paraId="7D86B1EE">
            <w:pPr>
              <w:spacing w:line="360" w:lineRule="exact"/>
              <w:jc w:val="center"/>
              <w:rPr>
                <w:rFonts w:cs="宋体"/>
                <w:color w:val="auto"/>
                <w:sz w:val="21"/>
                <w:szCs w:val="21"/>
                <w:highlight w:val="none"/>
              </w:rPr>
            </w:pPr>
            <w:r>
              <w:rPr>
                <w:rFonts w:hint="eastAsia" w:cs="宋体"/>
                <w:color w:val="auto"/>
                <w:sz w:val="21"/>
                <w:szCs w:val="21"/>
                <w:highlight w:val="none"/>
              </w:rPr>
              <w:t>瓷砖</w:t>
            </w:r>
          </w:p>
        </w:tc>
        <w:tc>
          <w:tcPr>
            <w:tcW w:w="2367" w:type="dxa"/>
          </w:tcPr>
          <w:p w14:paraId="06207276">
            <w:pPr>
              <w:spacing w:line="360" w:lineRule="exact"/>
              <w:ind w:firstLine="420" w:firstLineChars="200"/>
              <w:jc w:val="left"/>
              <w:rPr>
                <w:rFonts w:cs="宋体"/>
                <w:color w:val="auto"/>
                <w:sz w:val="21"/>
                <w:szCs w:val="21"/>
                <w:highlight w:val="none"/>
              </w:rPr>
            </w:pPr>
          </w:p>
        </w:tc>
        <w:tc>
          <w:tcPr>
            <w:tcW w:w="2367" w:type="dxa"/>
          </w:tcPr>
          <w:p w14:paraId="0C1F3925">
            <w:pPr>
              <w:spacing w:line="360" w:lineRule="exact"/>
              <w:ind w:firstLine="420" w:firstLineChars="200"/>
              <w:jc w:val="left"/>
              <w:rPr>
                <w:rFonts w:cs="宋体"/>
                <w:color w:val="auto"/>
                <w:sz w:val="21"/>
                <w:szCs w:val="21"/>
                <w:highlight w:val="none"/>
              </w:rPr>
            </w:pPr>
          </w:p>
        </w:tc>
      </w:tr>
      <w:tr w14:paraId="2ACB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27" w:type="dxa"/>
          </w:tcPr>
          <w:p w14:paraId="0FB62674">
            <w:pPr>
              <w:spacing w:line="360" w:lineRule="exact"/>
              <w:jc w:val="center"/>
              <w:rPr>
                <w:rFonts w:cs="宋体"/>
                <w:color w:val="auto"/>
                <w:sz w:val="21"/>
                <w:szCs w:val="21"/>
                <w:highlight w:val="none"/>
              </w:rPr>
            </w:pPr>
            <w:r>
              <w:rPr>
                <w:rFonts w:hint="eastAsia" w:cs="宋体"/>
                <w:bCs/>
                <w:color w:val="auto"/>
                <w:sz w:val="21"/>
                <w:szCs w:val="21"/>
                <w:highlight w:val="none"/>
              </w:rPr>
              <w:t>7</w:t>
            </w:r>
          </w:p>
        </w:tc>
        <w:tc>
          <w:tcPr>
            <w:tcW w:w="2455" w:type="dxa"/>
            <w:vAlign w:val="center"/>
          </w:tcPr>
          <w:p w14:paraId="5AE2056A">
            <w:pPr>
              <w:spacing w:line="360" w:lineRule="exact"/>
              <w:jc w:val="center"/>
              <w:rPr>
                <w:rFonts w:cs="宋体"/>
                <w:color w:val="auto"/>
                <w:sz w:val="21"/>
                <w:szCs w:val="21"/>
                <w:highlight w:val="none"/>
              </w:rPr>
            </w:pPr>
            <w:r>
              <w:rPr>
                <w:rFonts w:hint="eastAsia" w:cs="宋体"/>
                <w:color w:val="auto"/>
                <w:sz w:val="21"/>
                <w:szCs w:val="21"/>
                <w:highlight w:val="none"/>
              </w:rPr>
              <w:t>铝扣板</w:t>
            </w:r>
          </w:p>
        </w:tc>
        <w:tc>
          <w:tcPr>
            <w:tcW w:w="2367" w:type="dxa"/>
          </w:tcPr>
          <w:p w14:paraId="23DD46A5">
            <w:pPr>
              <w:spacing w:line="360" w:lineRule="exact"/>
              <w:ind w:firstLine="420" w:firstLineChars="200"/>
              <w:jc w:val="left"/>
              <w:rPr>
                <w:rFonts w:cs="宋体"/>
                <w:color w:val="auto"/>
                <w:sz w:val="21"/>
                <w:szCs w:val="21"/>
                <w:highlight w:val="none"/>
              </w:rPr>
            </w:pPr>
          </w:p>
        </w:tc>
        <w:tc>
          <w:tcPr>
            <w:tcW w:w="2367" w:type="dxa"/>
          </w:tcPr>
          <w:p w14:paraId="5DAF733C">
            <w:pPr>
              <w:spacing w:line="360" w:lineRule="exact"/>
              <w:ind w:firstLine="420" w:firstLineChars="200"/>
              <w:jc w:val="left"/>
              <w:rPr>
                <w:rFonts w:cs="宋体"/>
                <w:color w:val="auto"/>
                <w:sz w:val="21"/>
                <w:szCs w:val="21"/>
                <w:highlight w:val="none"/>
              </w:rPr>
            </w:pPr>
          </w:p>
        </w:tc>
      </w:tr>
      <w:tr w14:paraId="4D53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3E3C57F7">
            <w:pPr>
              <w:spacing w:line="360" w:lineRule="exact"/>
              <w:jc w:val="center"/>
              <w:rPr>
                <w:rFonts w:cs="宋体"/>
                <w:color w:val="auto"/>
                <w:sz w:val="21"/>
                <w:szCs w:val="21"/>
                <w:highlight w:val="none"/>
              </w:rPr>
            </w:pPr>
            <w:r>
              <w:rPr>
                <w:rFonts w:hint="eastAsia" w:cs="宋体"/>
                <w:bCs/>
                <w:color w:val="auto"/>
                <w:sz w:val="21"/>
                <w:szCs w:val="21"/>
                <w:highlight w:val="none"/>
              </w:rPr>
              <w:t>8</w:t>
            </w:r>
          </w:p>
        </w:tc>
        <w:tc>
          <w:tcPr>
            <w:tcW w:w="2455" w:type="dxa"/>
            <w:vAlign w:val="center"/>
          </w:tcPr>
          <w:p w14:paraId="7D893E2A">
            <w:pPr>
              <w:spacing w:line="360" w:lineRule="exact"/>
              <w:jc w:val="center"/>
              <w:rPr>
                <w:rFonts w:cs="宋体"/>
                <w:color w:val="auto"/>
                <w:sz w:val="21"/>
                <w:szCs w:val="21"/>
                <w:highlight w:val="none"/>
              </w:rPr>
            </w:pPr>
            <w:r>
              <w:rPr>
                <w:rFonts w:hint="eastAsia" w:cs="宋体"/>
                <w:color w:val="auto"/>
                <w:sz w:val="21"/>
                <w:szCs w:val="21"/>
                <w:highlight w:val="none"/>
              </w:rPr>
              <w:t>硅钙板</w:t>
            </w:r>
          </w:p>
        </w:tc>
        <w:tc>
          <w:tcPr>
            <w:tcW w:w="2367" w:type="dxa"/>
          </w:tcPr>
          <w:p w14:paraId="28CC695C">
            <w:pPr>
              <w:spacing w:line="360" w:lineRule="exact"/>
              <w:ind w:firstLine="420" w:firstLineChars="200"/>
              <w:jc w:val="left"/>
              <w:rPr>
                <w:rFonts w:cs="宋体"/>
                <w:color w:val="auto"/>
                <w:sz w:val="21"/>
                <w:szCs w:val="21"/>
                <w:highlight w:val="none"/>
              </w:rPr>
            </w:pPr>
          </w:p>
        </w:tc>
        <w:tc>
          <w:tcPr>
            <w:tcW w:w="2367" w:type="dxa"/>
          </w:tcPr>
          <w:p w14:paraId="54E74BEE">
            <w:pPr>
              <w:spacing w:line="360" w:lineRule="exact"/>
              <w:ind w:firstLine="420" w:firstLineChars="200"/>
              <w:jc w:val="left"/>
              <w:rPr>
                <w:rFonts w:cs="宋体"/>
                <w:color w:val="auto"/>
                <w:sz w:val="21"/>
                <w:szCs w:val="21"/>
                <w:highlight w:val="none"/>
              </w:rPr>
            </w:pPr>
          </w:p>
        </w:tc>
      </w:tr>
      <w:tr w14:paraId="3D62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6D4A04A8">
            <w:pPr>
              <w:spacing w:line="360" w:lineRule="exact"/>
              <w:jc w:val="center"/>
              <w:rPr>
                <w:rFonts w:cs="宋体"/>
                <w:bCs/>
                <w:color w:val="auto"/>
                <w:sz w:val="21"/>
                <w:szCs w:val="21"/>
                <w:highlight w:val="none"/>
              </w:rPr>
            </w:pPr>
            <w:r>
              <w:rPr>
                <w:rFonts w:hint="eastAsia" w:cs="宋体"/>
                <w:bCs/>
                <w:color w:val="auto"/>
                <w:sz w:val="21"/>
                <w:szCs w:val="21"/>
                <w:highlight w:val="none"/>
              </w:rPr>
              <w:t>9</w:t>
            </w:r>
          </w:p>
        </w:tc>
        <w:tc>
          <w:tcPr>
            <w:tcW w:w="2455" w:type="dxa"/>
            <w:vAlign w:val="center"/>
          </w:tcPr>
          <w:p w14:paraId="7455B247">
            <w:pPr>
              <w:spacing w:line="360" w:lineRule="exact"/>
              <w:jc w:val="center"/>
              <w:rPr>
                <w:rFonts w:cs="宋体"/>
                <w:bCs/>
                <w:color w:val="auto"/>
                <w:sz w:val="21"/>
                <w:szCs w:val="21"/>
                <w:highlight w:val="none"/>
              </w:rPr>
            </w:pPr>
            <w:r>
              <w:rPr>
                <w:rFonts w:hint="eastAsia" w:cs="宋体"/>
                <w:color w:val="auto"/>
                <w:sz w:val="21"/>
                <w:szCs w:val="21"/>
                <w:highlight w:val="none"/>
              </w:rPr>
              <w:t>窗帘</w:t>
            </w:r>
          </w:p>
        </w:tc>
        <w:tc>
          <w:tcPr>
            <w:tcW w:w="2367" w:type="dxa"/>
          </w:tcPr>
          <w:p w14:paraId="2CC07691">
            <w:pPr>
              <w:spacing w:line="360" w:lineRule="exact"/>
              <w:ind w:firstLine="420" w:firstLineChars="200"/>
              <w:jc w:val="left"/>
              <w:rPr>
                <w:rFonts w:cs="宋体"/>
                <w:color w:val="auto"/>
                <w:sz w:val="21"/>
                <w:szCs w:val="21"/>
                <w:highlight w:val="none"/>
              </w:rPr>
            </w:pPr>
          </w:p>
        </w:tc>
        <w:tc>
          <w:tcPr>
            <w:tcW w:w="2367" w:type="dxa"/>
          </w:tcPr>
          <w:p w14:paraId="20D7B1FF">
            <w:pPr>
              <w:spacing w:line="360" w:lineRule="exact"/>
              <w:ind w:firstLine="420" w:firstLineChars="200"/>
              <w:jc w:val="left"/>
              <w:rPr>
                <w:rFonts w:cs="宋体"/>
                <w:color w:val="auto"/>
                <w:sz w:val="21"/>
                <w:szCs w:val="21"/>
                <w:highlight w:val="none"/>
              </w:rPr>
            </w:pPr>
          </w:p>
        </w:tc>
      </w:tr>
      <w:tr w14:paraId="37A5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424F8A08">
            <w:pPr>
              <w:spacing w:line="360" w:lineRule="exact"/>
              <w:jc w:val="center"/>
              <w:rPr>
                <w:rFonts w:cs="宋体"/>
                <w:bCs/>
                <w:color w:val="auto"/>
                <w:sz w:val="21"/>
                <w:szCs w:val="21"/>
                <w:highlight w:val="none"/>
              </w:rPr>
            </w:pPr>
            <w:r>
              <w:rPr>
                <w:rFonts w:hint="eastAsia" w:cs="宋体"/>
                <w:bCs/>
                <w:color w:val="auto"/>
                <w:sz w:val="21"/>
                <w:szCs w:val="21"/>
                <w:highlight w:val="none"/>
              </w:rPr>
              <w:t>10</w:t>
            </w:r>
          </w:p>
        </w:tc>
        <w:tc>
          <w:tcPr>
            <w:tcW w:w="2455" w:type="dxa"/>
            <w:vAlign w:val="center"/>
          </w:tcPr>
          <w:p w14:paraId="48281AD5">
            <w:pPr>
              <w:spacing w:line="360" w:lineRule="exact"/>
              <w:jc w:val="center"/>
              <w:rPr>
                <w:rFonts w:cs="宋体"/>
                <w:bCs/>
                <w:color w:val="auto"/>
                <w:sz w:val="21"/>
                <w:szCs w:val="21"/>
                <w:highlight w:val="none"/>
              </w:rPr>
            </w:pPr>
            <w:r>
              <w:rPr>
                <w:rFonts w:hint="eastAsia" w:cs="宋体"/>
                <w:color w:val="auto"/>
                <w:sz w:val="21"/>
                <w:szCs w:val="21"/>
                <w:highlight w:val="none"/>
              </w:rPr>
              <w:t>竹木纤维板</w:t>
            </w:r>
          </w:p>
        </w:tc>
        <w:tc>
          <w:tcPr>
            <w:tcW w:w="2367" w:type="dxa"/>
          </w:tcPr>
          <w:p w14:paraId="62722DFA">
            <w:pPr>
              <w:spacing w:line="360" w:lineRule="exact"/>
              <w:ind w:firstLine="420" w:firstLineChars="200"/>
              <w:jc w:val="left"/>
              <w:rPr>
                <w:rFonts w:cs="宋体"/>
                <w:color w:val="auto"/>
                <w:sz w:val="21"/>
                <w:szCs w:val="21"/>
                <w:highlight w:val="none"/>
              </w:rPr>
            </w:pPr>
          </w:p>
        </w:tc>
        <w:tc>
          <w:tcPr>
            <w:tcW w:w="2367" w:type="dxa"/>
          </w:tcPr>
          <w:p w14:paraId="6BDE9C02">
            <w:pPr>
              <w:spacing w:line="360" w:lineRule="exact"/>
              <w:ind w:firstLine="420" w:firstLineChars="200"/>
              <w:jc w:val="left"/>
              <w:rPr>
                <w:rFonts w:cs="宋体"/>
                <w:color w:val="auto"/>
                <w:sz w:val="21"/>
                <w:szCs w:val="21"/>
                <w:highlight w:val="none"/>
              </w:rPr>
            </w:pPr>
          </w:p>
        </w:tc>
      </w:tr>
      <w:tr w14:paraId="0878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571D55AB">
            <w:pPr>
              <w:spacing w:line="360" w:lineRule="exact"/>
              <w:jc w:val="center"/>
              <w:rPr>
                <w:rFonts w:cs="宋体"/>
                <w:bCs/>
                <w:color w:val="auto"/>
                <w:sz w:val="21"/>
                <w:szCs w:val="21"/>
                <w:highlight w:val="none"/>
              </w:rPr>
            </w:pPr>
            <w:r>
              <w:rPr>
                <w:rFonts w:hint="eastAsia" w:cs="宋体"/>
                <w:bCs/>
                <w:color w:val="auto"/>
                <w:sz w:val="21"/>
                <w:szCs w:val="21"/>
                <w:highlight w:val="none"/>
              </w:rPr>
              <w:t>11</w:t>
            </w:r>
          </w:p>
        </w:tc>
        <w:tc>
          <w:tcPr>
            <w:tcW w:w="2455" w:type="dxa"/>
            <w:vAlign w:val="center"/>
          </w:tcPr>
          <w:p w14:paraId="76151051">
            <w:pPr>
              <w:spacing w:line="360" w:lineRule="exact"/>
              <w:jc w:val="center"/>
              <w:rPr>
                <w:rFonts w:cs="宋体"/>
                <w:bCs/>
                <w:color w:val="auto"/>
                <w:sz w:val="21"/>
                <w:szCs w:val="21"/>
                <w:highlight w:val="none"/>
              </w:rPr>
            </w:pPr>
            <w:r>
              <w:rPr>
                <w:rFonts w:hint="eastAsia" w:cs="宋体"/>
                <w:color w:val="auto"/>
                <w:sz w:val="21"/>
                <w:szCs w:val="21"/>
                <w:highlight w:val="none"/>
              </w:rPr>
              <w:t>蹲便器、冲洗水箱</w:t>
            </w:r>
          </w:p>
        </w:tc>
        <w:tc>
          <w:tcPr>
            <w:tcW w:w="2367" w:type="dxa"/>
          </w:tcPr>
          <w:p w14:paraId="3F7E28D4">
            <w:pPr>
              <w:spacing w:line="360" w:lineRule="exact"/>
              <w:ind w:firstLine="420" w:firstLineChars="200"/>
              <w:jc w:val="left"/>
              <w:rPr>
                <w:rFonts w:cs="宋体"/>
                <w:color w:val="auto"/>
                <w:sz w:val="21"/>
                <w:szCs w:val="21"/>
                <w:highlight w:val="none"/>
              </w:rPr>
            </w:pPr>
          </w:p>
        </w:tc>
        <w:tc>
          <w:tcPr>
            <w:tcW w:w="2367" w:type="dxa"/>
          </w:tcPr>
          <w:p w14:paraId="74811659">
            <w:pPr>
              <w:spacing w:line="360" w:lineRule="exact"/>
              <w:ind w:firstLine="420" w:firstLineChars="200"/>
              <w:jc w:val="left"/>
              <w:rPr>
                <w:rFonts w:cs="宋体"/>
                <w:color w:val="auto"/>
                <w:sz w:val="21"/>
                <w:szCs w:val="21"/>
                <w:highlight w:val="none"/>
              </w:rPr>
            </w:pPr>
          </w:p>
        </w:tc>
      </w:tr>
      <w:tr w14:paraId="55D9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170A4C10">
            <w:pPr>
              <w:spacing w:line="360" w:lineRule="exact"/>
              <w:jc w:val="center"/>
              <w:rPr>
                <w:rFonts w:cs="宋体"/>
                <w:bCs/>
                <w:color w:val="auto"/>
                <w:sz w:val="21"/>
                <w:szCs w:val="21"/>
                <w:highlight w:val="none"/>
              </w:rPr>
            </w:pPr>
            <w:r>
              <w:rPr>
                <w:rFonts w:hint="eastAsia" w:cs="宋体"/>
                <w:bCs/>
                <w:color w:val="auto"/>
                <w:sz w:val="21"/>
                <w:szCs w:val="21"/>
                <w:highlight w:val="none"/>
              </w:rPr>
              <w:t>12</w:t>
            </w:r>
          </w:p>
        </w:tc>
        <w:tc>
          <w:tcPr>
            <w:tcW w:w="2455" w:type="dxa"/>
            <w:vAlign w:val="center"/>
          </w:tcPr>
          <w:p w14:paraId="1438C2DA">
            <w:pPr>
              <w:spacing w:line="360" w:lineRule="exact"/>
              <w:jc w:val="center"/>
              <w:rPr>
                <w:rFonts w:cs="宋体"/>
                <w:bCs/>
                <w:color w:val="auto"/>
                <w:sz w:val="21"/>
                <w:szCs w:val="21"/>
                <w:highlight w:val="none"/>
              </w:rPr>
            </w:pPr>
            <w:r>
              <w:rPr>
                <w:rFonts w:hint="eastAsia" w:cs="宋体"/>
                <w:color w:val="auto"/>
                <w:sz w:val="21"/>
                <w:szCs w:val="21"/>
                <w:highlight w:val="none"/>
              </w:rPr>
              <w:t>小便器</w:t>
            </w:r>
          </w:p>
        </w:tc>
        <w:tc>
          <w:tcPr>
            <w:tcW w:w="2367" w:type="dxa"/>
          </w:tcPr>
          <w:p w14:paraId="4CF4F857">
            <w:pPr>
              <w:spacing w:line="360" w:lineRule="exact"/>
              <w:ind w:firstLine="420" w:firstLineChars="200"/>
              <w:jc w:val="left"/>
              <w:rPr>
                <w:rFonts w:cs="宋体"/>
                <w:color w:val="auto"/>
                <w:sz w:val="21"/>
                <w:szCs w:val="21"/>
                <w:highlight w:val="none"/>
              </w:rPr>
            </w:pPr>
          </w:p>
        </w:tc>
        <w:tc>
          <w:tcPr>
            <w:tcW w:w="2367" w:type="dxa"/>
          </w:tcPr>
          <w:p w14:paraId="40D326CB">
            <w:pPr>
              <w:spacing w:line="360" w:lineRule="exact"/>
              <w:ind w:firstLine="420" w:firstLineChars="200"/>
              <w:jc w:val="left"/>
              <w:rPr>
                <w:rFonts w:cs="宋体"/>
                <w:color w:val="auto"/>
                <w:sz w:val="21"/>
                <w:szCs w:val="21"/>
                <w:highlight w:val="none"/>
              </w:rPr>
            </w:pPr>
          </w:p>
        </w:tc>
      </w:tr>
      <w:tr w14:paraId="6337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1EFCD8BD">
            <w:pPr>
              <w:spacing w:line="360" w:lineRule="exact"/>
              <w:jc w:val="center"/>
              <w:rPr>
                <w:rFonts w:cs="宋体"/>
                <w:bCs/>
                <w:color w:val="auto"/>
                <w:sz w:val="21"/>
                <w:szCs w:val="21"/>
                <w:highlight w:val="none"/>
              </w:rPr>
            </w:pPr>
            <w:r>
              <w:rPr>
                <w:rFonts w:hint="eastAsia" w:cs="宋体"/>
                <w:bCs/>
                <w:color w:val="auto"/>
                <w:sz w:val="21"/>
                <w:szCs w:val="21"/>
                <w:highlight w:val="none"/>
              </w:rPr>
              <w:t>13</w:t>
            </w:r>
          </w:p>
        </w:tc>
        <w:tc>
          <w:tcPr>
            <w:tcW w:w="2455" w:type="dxa"/>
            <w:vAlign w:val="center"/>
          </w:tcPr>
          <w:p w14:paraId="3F0A7F96">
            <w:pPr>
              <w:spacing w:line="360" w:lineRule="exact"/>
              <w:jc w:val="center"/>
              <w:rPr>
                <w:rFonts w:cs="宋体"/>
                <w:bCs/>
                <w:color w:val="auto"/>
                <w:sz w:val="21"/>
                <w:szCs w:val="21"/>
                <w:highlight w:val="none"/>
              </w:rPr>
            </w:pPr>
            <w:r>
              <w:rPr>
                <w:rFonts w:hint="eastAsia" w:cs="宋体"/>
                <w:color w:val="auto"/>
                <w:sz w:val="21"/>
                <w:szCs w:val="21"/>
                <w:highlight w:val="none"/>
              </w:rPr>
              <w:t>隔断</w:t>
            </w:r>
          </w:p>
        </w:tc>
        <w:tc>
          <w:tcPr>
            <w:tcW w:w="2367" w:type="dxa"/>
          </w:tcPr>
          <w:p w14:paraId="109E4CC8">
            <w:pPr>
              <w:spacing w:line="360" w:lineRule="exact"/>
              <w:ind w:firstLine="420" w:firstLineChars="200"/>
              <w:jc w:val="left"/>
              <w:rPr>
                <w:rFonts w:cs="宋体"/>
                <w:color w:val="auto"/>
                <w:sz w:val="21"/>
                <w:szCs w:val="21"/>
                <w:highlight w:val="none"/>
              </w:rPr>
            </w:pPr>
          </w:p>
        </w:tc>
        <w:tc>
          <w:tcPr>
            <w:tcW w:w="2367" w:type="dxa"/>
          </w:tcPr>
          <w:p w14:paraId="13DE857C">
            <w:pPr>
              <w:spacing w:line="360" w:lineRule="exact"/>
              <w:ind w:firstLine="420" w:firstLineChars="200"/>
              <w:jc w:val="left"/>
              <w:rPr>
                <w:rFonts w:cs="宋体"/>
                <w:color w:val="auto"/>
                <w:sz w:val="21"/>
                <w:szCs w:val="21"/>
                <w:highlight w:val="none"/>
              </w:rPr>
            </w:pPr>
          </w:p>
        </w:tc>
      </w:tr>
      <w:tr w14:paraId="6309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12914EE4">
            <w:pPr>
              <w:spacing w:line="360" w:lineRule="exact"/>
              <w:jc w:val="center"/>
              <w:rPr>
                <w:rFonts w:cs="宋体"/>
                <w:bCs/>
                <w:color w:val="auto"/>
                <w:sz w:val="21"/>
                <w:szCs w:val="21"/>
                <w:highlight w:val="none"/>
              </w:rPr>
            </w:pPr>
            <w:r>
              <w:rPr>
                <w:rFonts w:hint="eastAsia" w:cs="宋体"/>
                <w:bCs/>
                <w:color w:val="auto"/>
                <w:sz w:val="21"/>
                <w:szCs w:val="21"/>
                <w:highlight w:val="none"/>
              </w:rPr>
              <w:t>14</w:t>
            </w:r>
          </w:p>
        </w:tc>
        <w:tc>
          <w:tcPr>
            <w:tcW w:w="2455" w:type="dxa"/>
            <w:vAlign w:val="center"/>
          </w:tcPr>
          <w:p w14:paraId="3DF27FB1">
            <w:pPr>
              <w:spacing w:line="360" w:lineRule="exact"/>
              <w:jc w:val="center"/>
              <w:rPr>
                <w:rFonts w:cs="宋体"/>
                <w:bCs/>
                <w:color w:val="auto"/>
                <w:sz w:val="21"/>
                <w:szCs w:val="21"/>
                <w:highlight w:val="none"/>
              </w:rPr>
            </w:pPr>
            <w:r>
              <w:rPr>
                <w:rFonts w:hint="eastAsia" w:cs="宋体"/>
                <w:color w:val="auto"/>
                <w:sz w:val="21"/>
                <w:szCs w:val="21"/>
                <w:highlight w:val="none"/>
              </w:rPr>
              <w:t>不锈钢拖把池</w:t>
            </w:r>
          </w:p>
        </w:tc>
        <w:tc>
          <w:tcPr>
            <w:tcW w:w="2367" w:type="dxa"/>
          </w:tcPr>
          <w:p w14:paraId="3FFB56FC">
            <w:pPr>
              <w:spacing w:line="360" w:lineRule="exact"/>
              <w:ind w:firstLine="420" w:firstLineChars="200"/>
              <w:jc w:val="left"/>
              <w:rPr>
                <w:rFonts w:cs="宋体"/>
                <w:color w:val="auto"/>
                <w:sz w:val="21"/>
                <w:szCs w:val="21"/>
                <w:highlight w:val="none"/>
              </w:rPr>
            </w:pPr>
          </w:p>
        </w:tc>
        <w:tc>
          <w:tcPr>
            <w:tcW w:w="2367" w:type="dxa"/>
          </w:tcPr>
          <w:p w14:paraId="54A09AF5">
            <w:pPr>
              <w:spacing w:line="360" w:lineRule="exact"/>
              <w:ind w:firstLine="420" w:firstLineChars="200"/>
              <w:jc w:val="left"/>
              <w:rPr>
                <w:rFonts w:cs="宋体"/>
                <w:color w:val="auto"/>
                <w:sz w:val="21"/>
                <w:szCs w:val="21"/>
                <w:highlight w:val="none"/>
              </w:rPr>
            </w:pPr>
          </w:p>
        </w:tc>
      </w:tr>
      <w:tr w14:paraId="4FBF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7667759A">
            <w:pPr>
              <w:spacing w:line="360" w:lineRule="exact"/>
              <w:jc w:val="center"/>
              <w:rPr>
                <w:rFonts w:cs="宋体"/>
                <w:bCs/>
                <w:color w:val="auto"/>
                <w:sz w:val="21"/>
                <w:szCs w:val="21"/>
                <w:highlight w:val="none"/>
              </w:rPr>
            </w:pPr>
            <w:r>
              <w:rPr>
                <w:rFonts w:hint="eastAsia" w:cs="宋体"/>
                <w:bCs/>
                <w:color w:val="auto"/>
                <w:sz w:val="21"/>
                <w:szCs w:val="21"/>
                <w:highlight w:val="none"/>
              </w:rPr>
              <w:t>15</w:t>
            </w:r>
          </w:p>
        </w:tc>
        <w:tc>
          <w:tcPr>
            <w:tcW w:w="2455" w:type="dxa"/>
            <w:vAlign w:val="center"/>
          </w:tcPr>
          <w:p w14:paraId="2265A8BB">
            <w:pPr>
              <w:spacing w:line="360" w:lineRule="exact"/>
              <w:jc w:val="center"/>
              <w:rPr>
                <w:rFonts w:cs="宋体"/>
                <w:bCs/>
                <w:color w:val="auto"/>
                <w:sz w:val="21"/>
                <w:szCs w:val="21"/>
                <w:highlight w:val="none"/>
              </w:rPr>
            </w:pPr>
            <w:r>
              <w:rPr>
                <w:rFonts w:hint="eastAsia" w:cs="宋体"/>
                <w:color w:val="auto"/>
                <w:sz w:val="21"/>
                <w:szCs w:val="21"/>
                <w:highlight w:val="none"/>
              </w:rPr>
              <w:t>防水涂料</w:t>
            </w:r>
          </w:p>
        </w:tc>
        <w:tc>
          <w:tcPr>
            <w:tcW w:w="2367" w:type="dxa"/>
          </w:tcPr>
          <w:p w14:paraId="3FFF2592">
            <w:pPr>
              <w:spacing w:line="360" w:lineRule="exact"/>
              <w:ind w:firstLine="420" w:firstLineChars="200"/>
              <w:jc w:val="left"/>
              <w:rPr>
                <w:rFonts w:cs="宋体"/>
                <w:color w:val="auto"/>
                <w:sz w:val="21"/>
                <w:szCs w:val="21"/>
                <w:highlight w:val="none"/>
              </w:rPr>
            </w:pPr>
          </w:p>
        </w:tc>
        <w:tc>
          <w:tcPr>
            <w:tcW w:w="2367" w:type="dxa"/>
          </w:tcPr>
          <w:p w14:paraId="6A8F2AF5">
            <w:pPr>
              <w:spacing w:line="360" w:lineRule="exact"/>
              <w:ind w:firstLine="420" w:firstLineChars="200"/>
              <w:jc w:val="left"/>
              <w:rPr>
                <w:rFonts w:cs="宋体"/>
                <w:color w:val="auto"/>
                <w:sz w:val="21"/>
                <w:szCs w:val="21"/>
                <w:highlight w:val="none"/>
              </w:rPr>
            </w:pPr>
          </w:p>
        </w:tc>
      </w:tr>
      <w:tr w14:paraId="2D92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173E4067">
            <w:pPr>
              <w:spacing w:line="360" w:lineRule="exact"/>
              <w:jc w:val="center"/>
              <w:rPr>
                <w:rFonts w:cs="宋体"/>
                <w:bCs/>
                <w:color w:val="auto"/>
                <w:sz w:val="21"/>
                <w:szCs w:val="21"/>
                <w:highlight w:val="none"/>
              </w:rPr>
            </w:pPr>
            <w:r>
              <w:rPr>
                <w:rFonts w:hint="eastAsia" w:cs="宋体"/>
                <w:bCs/>
                <w:color w:val="auto"/>
                <w:sz w:val="21"/>
                <w:szCs w:val="21"/>
                <w:highlight w:val="none"/>
              </w:rPr>
              <w:t>16</w:t>
            </w:r>
          </w:p>
        </w:tc>
        <w:tc>
          <w:tcPr>
            <w:tcW w:w="2455" w:type="dxa"/>
            <w:vAlign w:val="center"/>
          </w:tcPr>
          <w:p w14:paraId="3EAB04EF">
            <w:pPr>
              <w:spacing w:line="360" w:lineRule="exact"/>
              <w:jc w:val="center"/>
              <w:rPr>
                <w:rFonts w:cs="宋体"/>
                <w:bCs/>
                <w:color w:val="auto"/>
                <w:sz w:val="21"/>
                <w:szCs w:val="21"/>
                <w:highlight w:val="none"/>
              </w:rPr>
            </w:pPr>
            <w:r>
              <w:rPr>
                <w:rFonts w:hint="eastAsia" w:cs="宋体"/>
                <w:color w:val="auto"/>
                <w:sz w:val="21"/>
                <w:szCs w:val="21"/>
                <w:highlight w:val="none"/>
              </w:rPr>
              <w:t>灯具</w:t>
            </w:r>
          </w:p>
        </w:tc>
        <w:tc>
          <w:tcPr>
            <w:tcW w:w="2367" w:type="dxa"/>
          </w:tcPr>
          <w:p w14:paraId="273B1B96">
            <w:pPr>
              <w:spacing w:line="360" w:lineRule="exact"/>
              <w:ind w:firstLine="420" w:firstLineChars="200"/>
              <w:jc w:val="left"/>
              <w:rPr>
                <w:rFonts w:cs="宋体"/>
                <w:color w:val="auto"/>
                <w:sz w:val="21"/>
                <w:szCs w:val="21"/>
                <w:highlight w:val="none"/>
              </w:rPr>
            </w:pPr>
          </w:p>
        </w:tc>
        <w:tc>
          <w:tcPr>
            <w:tcW w:w="2367" w:type="dxa"/>
          </w:tcPr>
          <w:p w14:paraId="6E4A8487">
            <w:pPr>
              <w:spacing w:line="360" w:lineRule="exact"/>
              <w:ind w:firstLine="420" w:firstLineChars="200"/>
              <w:jc w:val="left"/>
              <w:rPr>
                <w:rFonts w:cs="宋体"/>
                <w:color w:val="auto"/>
                <w:sz w:val="21"/>
                <w:szCs w:val="21"/>
                <w:highlight w:val="none"/>
              </w:rPr>
            </w:pPr>
          </w:p>
        </w:tc>
      </w:tr>
      <w:tr w14:paraId="016F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46777B0D">
            <w:pPr>
              <w:spacing w:line="360" w:lineRule="exact"/>
              <w:jc w:val="center"/>
              <w:rPr>
                <w:rFonts w:cs="宋体"/>
                <w:bCs/>
                <w:color w:val="auto"/>
                <w:sz w:val="21"/>
                <w:szCs w:val="21"/>
                <w:highlight w:val="none"/>
              </w:rPr>
            </w:pPr>
            <w:r>
              <w:rPr>
                <w:rFonts w:hint="eastAsia" w:cs="宋体"/>
                <w:bCs/>
                <w:color w:val="auto"/>
                <w:sz w:val="21"/>
                <w:szCs w:val="21"/>
                <w:highlight w:val="none"/>
              </w:rPr>
              <w:t>17</w:t>
            </w:r>
          </w:p>
        </w:tc>
        <w:tc>
          <w:tcPr>
            <w:tcW w:w="2455" w:type="dxa"/>
            <w:vAlign w:val="center"/>
          </w:tcPr>
          <w:p w14:paraId="71EBEE4D">
            <w:pPr>
              <w:spacing w:line="360" w:lineRule="exact"/>
              <w:jc w:val="center"/>
              <w:rPr>
                <w:rFonts w:cs="宋体"/>
                <w:bCs/>
                <w:color w:val="auto"/>
                <w:sz w:val="21"/>
                <w:szCs w:val="21"/>
                <w:highlight w:val="none"/>
              </w:rPr>
            </w:pPr>
            <w:r>
              <w:rPr>
                <w:rFonts w:hint="eastAsia" w:cs="宋体"/>
                <w:color w:val="auto"/>
                <w:sz w:val="21"/>
                <w:szCs w:val="21"/>
                <w:highlight w:val="none"/>
              </w:rPr>
              <w:t>电线电缆</w:t>
            </w:r>
          </w:p>
        </w:tc>
        <w:tc>
          <w:tcPr>
            <w:tcW w:w="2367" w:type="dxa"/>
          </w:tcPr>
          <w:p w14:paraId="2FE1B35B">
            <w:pPr>
              <w:spacing w:line="360" w:lineRule="exact"/>
              <w:ind w:firstLine="420" w:firstLineChars="200"/>
              <w:jc w:val="left"/>
              <w:rPr>
                <w:rFonts w:cs="宋体"/>
                <w:color w:val="auto"/>
                <w:sz w:val="21"/>
                <w:szCs w:val="21"/>
                <w:highlight w:val="none"/>
              </w:rPr>
            </w:pPr>
          </w:p>
        </w:tc>
        <w:tc>
          <w:tcPr>
            <w:tcW w:w="2367" w:type="dxa"/>
          </w:tcPr>
          <w:p w14:paraId="7C646536">
            <w:pPr>
              <w:spacing w:line="360" w:lineRule="exact"/>
              <w:ind w:firstLine="420" w:firstLineChars="200"/>
              <w:jc w:val="left"/>
              <w:rPr>
                <w:rFonts w:cs="宋体"/>
                <w:color w:val="auto"/>
                <w:sz w:val="21"/>
                <w:szCs w:val="21"/>
                <w:highlight w:val="none"/>
              </w:rPr>
            </w:pPr>
          </w:p>
        </w:tc>
      </w:tr>
      <w:tr w14:paraId="71B7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472E790A">
            <w:pPr>
              <w:spacing w:line="360" w:lineRule="exact"/>
              <w:jc w:val="center"/>
              <w:rPr>
                <w:rFonts w:cs="宋体"/>
                <w:bCs/>
                <w:color w:val="auto"/>
                <w:sz w:val="21"/>
                <w:szCs w:val="21"/>
                <w:highlight w:val="none"/>
              </w:rPr>
            </w:pPr>
            <w:r>
              <w:rPr>
                <w:rFonts w:hint="eastAsia" w:cs="宋体"/>
                <w:bCs/>
                <w:color w:val="auto"/>
                <w:sz w:val="21"/>
                <w:szCs w:val="21"/>
                <w:highlight w:val="none"/>
              </w:rPr>
              <w:t>18</w:t>
            </w:r>
          </w:p>
        </w:tc>
        <w:tc>
          <w:tcPr>
            <w:tcW w:w="2455" w:type="dxa"/>
            <w:vAlign w:val="center"/>
          </w:tcPr>
          <w:p w14:paraId="2E1A72D9">
            <w:pPr>
              <w:spacing w:line="360" w:lineRule="exact"/>
              <w:jc w:val="center"/>
              <w:rPr>
                <w:rFonts w:cs="宋体"/>
                <w:bCs/>
                <w:color w:val="auto"/>
                <w:sz w:val="21"/>
                <w:szCs w:val="21"/>
                <w:highlight w:val="none"/>
              </w:rPr>
            </w:pPr>
            <w:r>
              <w:rPr>
                <w:rFonts w:hint="eastAsia" w:cs="宋体"/>
                <w:color w:val="auto"/>
                <w:sz w:val="21"/>
                <w:szCs w:val="21"/>
                <w:highlight w:val="none"/>
              </w:rPr>
              <w:t>配电箱</w:t>
            </w:r>
          </w:p>
        </w:tc>
        <w:tc>
          <w:tcPr>
            <w:tcW w:w="2367" w:type="dxa"/>
          </w:tcPr>
          <w:p w14:paraId="477BEF35">
            <w:pPr>
              <w:spacing w:line="360" w:lineRule="exact"/>
              <w:ind w:firstLine="420" w:firstLineChars="200"/>
              <w:jc w:val="left"/>
              <w:rPr>
                <w:rFonts w:cs="宋体"/>
                <w:color w:val="auto"/>
                <w:sz w:val="21"/>
                <w:szCs w:val="21"/>
                <w:highlight w:val="none"/>
              </w:rPr>
            </w:pPr>
          </w:p>
        </w:tc>
        <w:tc>
          <w:tcPr>
            <w:tcW w:w="2367" w:type="dxa"/>
          </w:tcPr>
          <w:p w14:paraId="437CCBF7">
            <w:pPr>
              <w:spacing w:line="360" w:lineRule="exact"/>
              <w:ind w:firstLine="420" w:firstLineChars="200"/>
              <w:jc w:val="left"/>
              <w:rPr>
                <w:rFonts w:cs="宋体"/>
                <w:color w:val="auto"/>
                <w:sz w:val="21"/>
                <w:szCs w:val="21"/>
                <w:highlight w:val="none"/>
              </w:rPr>
            </w:pPr>
          </w:p>
        </w:tc>
      </w:tr>
      <w:tr w14:paraId="4B92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28F493D8">
            <w:pPr>
              <w:spacing w:line="360" w:lineRule="exact"/>
              <w:jc w:val="center"/>
              <w:rPr>
                <w:rFonts w:cs="宋体"/>
                <w:bCs/>
                <w:color w:val="auto"/>
                <w:sz w:val="21"/>
                <w:szCs w:val="21"/>
                <w:highlight w:val="none"/>
              </w:rPr>
            </w:pPr>
            <w:r>
              <w:rPr>
                <w:rFonts w:hint="eastAsia" w:cs="宋体"/>
                <w:bCs/>
                <w:color w:val="auto"/>
                <w:sz w:val="21"/>
                <w:szCs w:val="21"/>
                <w:highlight w:val="none"/>
              </w:rPr>
              <w:t>19</w:t>
            </w:r>
          </w:p>
        </w:tc>
        <w:tc>
          <w:tcPr>
            <w:tcW w:w="2455" w:type="dxa"/>
            <w:vAlign w:val="center"/>
          </w:tcPr>
          <w:p w14:paraId="4991D77F">
            <w:pPr>
              <w:spacing w:line="360" w:lineRule="exact"/>
              <w:jc w:val="center"/>
              <w:rPr>
                <w:rFonts w:cs="宋体"/>
                <w:bCs/>
                <w:color w:val="auto"/>
                <w:sz w:val="21"/>
                <w:szCs w:val="21"/>
                <w:highlight w:val="none"/>
              </w:rPr>
            </w:pPr>
            <w:r>
              <w:rPr>
                <w:rFonts w:hint="eastAsia" w:cs="宋体"/>
                <w:color w:val="auto"/>
                <w:sz w:val="21"/>
                <w:szCs w:val="21"/>
                <w:highlight w:val="none"/>
              </w:rPr>
              <w:t>风扇</w:t>
            </w:r>
          </w:p>
        </w:tc>
        <w:tc>
          <w:tcPr>
            <w:tcW w:w="2367" w:type="dxa"/>
          </w:tcPr>
          <w:p w14:paraId="1DDB9067">
            <w:pPr>
              <w:spacing w:line="360" w:lineRule="exact"/>
              <w:ind w:firstLine="420" w:firstLineChars="200"/>
              <w:jc w:val="left"/>
              <w:rPr>
                <w:rFonts w:cs="宋体"/>
                <w:color w:val="auto"/>
                <w:sz w:val="21"/>
                <w:szCs w:val="21"/>
                <w:highlight w:val="none"/>
              </w:rPr>
            </w:pPr>
          </w:p>
        </w:tc>
        <w:tc>
          <w:tcPr>
            <w:tcW w:w="2367" w:type="dxa"/>
          </w:tcPr>
          <w:p w14:paraId="7ED58BDC">
            <w:pPr>
              <w:spacing w:line="360" w:lineRule="exact"/>
              <w:ind w:firstLine="420" w:firstLineChars="200"/>
              <w:jc w:val="left"/>
              <w:rPr>
                <w:rFonts w:cs="宋体"/>
                <w:color w:val="auto"/>
                <w:sz w:val="21"/>
                <w:szCs w:val="21"/>
                <w:highlight w:val="none"/>
              </w:rPr>
            </w:pPr>
          </w:p>
        </w:tc>
      </w:tr>
      <w:tr w14:paraId="246E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4918F7F8">
            <w:pPr>
              <w:spacing w:line="360" w:lineRule="exact"/>
              <w:jc w:val="center"/>
              <w:rPr>
                <w:rFonts w:cs="宋体"/>
                <w:bCs/>
                <w:color w:val="auto"/>
                <w:sz w:val="21"/>
                <w:szCs w:val="21"/>
                <w:highlight w:val="none"/>
              </w:rPr>
            </w:pPr>
            <w:r>
              <w:rPr>
                <w:rFonts w:hint="eastAsia" w:cs="宋体"/>
                <w:bCs/>
                <w:color w:val="auto"/>
                <w:sz w:val="21"/>
                <w:szCs w:val="21"/>
                <w:highlight w:val="none"/>
              </w:rPr>
              <w:t>20</w:t>
            </w:r>
          </w:p>
        </w:tc>
        <w:tc>
          <w:tcPr>
            <w:tcW w:w="2455" w:type="dxa"/>
            <w:vAlign w:val="center"/>
          </w:tcPr>
          <w:p w14:paraId="31B4A8E2">
            <w:pPr>
              <w:spacing w:line="360" w:lineRule="exact"/>
              <w:jc w:val="center"/>
              <w:rPr>
                <w:rFonts w:cs="宋体"/>
                <w:bCs/>
                <w:color w:val="auto"/>
                <w:sz w:val="21"/>
                <w:szCs w:val="21"/>
                <w:highlight w:val="none"/>
              </w:rPr>
            </w:pPr>
            <w:r>
              <w:rPr>
                <w:rFonts w:hint="eastAsia" w:cs="宋体"/>
                <w:color w:val="auto"/>
                <w:sz w:val="21"/>
                <w:szCs w:val="21"/>
                <w:highlight w:val="none"/>
              </w:rPr>
              <w:t>桥架</w:t>
            </w:r>
          </w:p>
        </w:tc>
        <w:tc>
          <w:tcPr>
            <w:tcW w:w="2367" w:type="dxa"/>
          </w:tcPr>
          <w:p w14:paraId="751E87E9">
            <w:pPr>
              <w:spacing w:line="360" w:lineRule="exact"/>
              <w:ind w:firstLine="420" w:firstLineChars="200"/>
              <w:jc w:val="left"/>
              <w:rPr>
                <w:rFonts w:cs="宋体"/>
                <w:color w:val="auto"/>
                <w:sz w:val="21"/>
                <w:szCs w:val="21"/>
                <w:highlight w:val="none"/>
              </w:rPr>
            </w:pPr>
          </w:p>
        </w:tc>
        <w:tc>
          <w:tcPr>
            <w:tcW w:w="2367" w:type="dxa"/>
          </w:tcPr>
          <w:p w14:paraId="60850453">
            <w:pPr>
              <w:spacing w:line="360" w:lineRule="exact"/>
              <w:ind w:firstLine="420" w:firstLineChars="200"/>
              <w:jc w:val="left"/>
              <w:rPr>
                <w:rFonts w:cs="宋体"/>
                <w:color w:val="auto"/>
                <w:sz w:val="21"/>
                <w:szCs w:val="21"/>
                <w:highlight w:val="none"/>
              </w:rPr>
            </w:pPr>
          </w:p>
        </w:tc>
      </w:tr>
      <w:tr w14:paraId="35C9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228FBBD8">
            <w:pPr>
              <w:spacing w:line="360" w:lineRule="exact"/>
              <w:jc w:val="center"/>
              <w:rPr>
                <w:rFonts w:cs="宋体"/>
                <w:bCs/>
                <w:color w:val="auto"/>
                <w:sz w:val="21"/>
                <w:szCs w:val="21"/>
                <w:highlight w:val="none"/>
              </w:rPr>
            </w:pPr>
            <w:r>
              <w:rPr>
                <w:rFonts w:hint="eastAsia" w:cs="宋体"/>
                <w:bCs/>
                <w:color w:val="auto"/>
                <w:sz w:val="21"/>
                <w:szCs w:val="21"/>
                <w:highlight w:val="none"/>
              </w:rPr>
              <w:t>21</w:t>
            </w:r>
          </w:p>
        </w:tc>
        <w:tc>
          <w:tcPr>
            <w:tcW w:w="2455" w:type="dxa"/>
            <w:vAlign w:val="center"/>
          </w:tcPr>
          <w:p w14:paraId="7602C27A">
            <w:pPr>
              <w:spacing w:line="360" w:lineRule="exact"/>
              <w:jc w:val="center"/>
              <w:rPr>
                <w:rFonts w:cs="宋体"/>
                <w:bCs/>
                <w:color w:val="auto"/>
                <w:sz w:val="21"/>
                <w:szCs w:val="21"/>
                <w:highlight w:val="none"/>
              </w:rPr>
            </w:pPr>
            <w:r>
              <w:rPr>
                <w:rFonts w:hint="eastAsia" w:cs="宋体"/>
                <w:color w:val="auto"/>
                <w:sz w:val="21"/>
                <w:szCs w:val="21"/>
                <w:highlight w:val="none"/>
              </w:rPr>
              <w:t>开关、面板</w:t>
            </w:r>
          </w:p>
        </w:tc>
        <w:tc>
          <w:tcPr>
            <w:tcW w:w="2367" w:type="dxa"/>
          </w:tcPr>
          <w:p w14:paraId="1249A7DA">
            <w:pPr>
              <w:spacing w:line="360" w:lineRule="exact"/>
              <w:ind w:firstLine="420" w:firstLineChars="200"/>
              <w:jc w:val="left"/>
              <w:rPr>
                <w:rFonts w:cs="宋体"/>
                <w:color w:val="auto"/>
                <w:sz w:val="21"/>
                <w:szCs w:val="21"/>
                <w:highlight w:val="none"/>
              </w:rPr>
            </w:pPr>
          </w:p>
        </w:tc>
        <w:tc>
          <w:tcPr>
            <w:tcW w:w="2367" w:type="dxa"/>
          </w:tcPr>
          <w:p w14:paraId="48791161">
            <w:pPr>
              <w:spacing w:line="360" w:lineRule="exact"/>
              <w:ind w:firstLine="420" w:firstLineChars="200"/>
              <w:jc w:val="left"/>
              <w:rPr>
                <w:rFonts w:cs="宋体"/>
                <w:color w:val="auto"/>
                <w:sz w:val="21"/>
                <w:szCs w:val="21"/>
                <w:highlight w:val="none"/>
              </w:rPr>
            </w:pPr>
          </w:p>
        </w:tc>
      </w:tr>
      <w:tr w14:paraId="1A64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374167B0">
            <w:pPr>
              <w:spacing w:line="360" w:lineRule="exact"/>
              <w:jc w:val="center"/>
              <w:rPr>
                <w:rFonts w:cs="宋体"/>
                <w:bCs/>
                <w:color w:val="auto"/>
                <w:sz w:val="21"/>
                <w:szCs w:val="21"/>
                <w:highlight w:val="none"/>
              </w:rPr>
            </w:pPr>
            <w:r>
              <w:rPr>
                <w:rFonts w:hint="eastAsia" w:cs="宋体"/>
                <w:bCs/>
                <w:color w:val="auto"/>
                <w:sz w:val="21"/>
                <w:szCs w:val="21"/>
                <w:highlight w:val="none"/>
              </w:rPr>
              <w:t>22</w:t>
            </w:r>
          </w:p>
        </w:tc>
        <w:tc>
          <w:tcPr>
            <w:tcW w:w="2455" w:type="dxa"/>
            <w:vAlign w:val="center"/>
          </w:tcPr>
          <w:p w14:paraId="74294039">
            <w:pPr>
              <w:spacing w:line="360" w:lineRule="exact"/>
              <w:jc w:val="center"/>
              <w:rPr>
                <w:rFonts w:cs="宋体"/>
                <w:bCs/>
                <w:color w:val="auto"/>
                <w:sz w:val="21"/>
                <w:szCs w:val="21"/>
                <w:highlight w:val="none"/>
              </w:rPr>
            </w:pPr>
            <w:r>
              <w:rPr>
                <w:rFonts w:hint="eastAsia" w:cs="宋体"/>
                <w:color w:val="auto"/>
                <w:sz w:val="21"/>
                <w:szCs w:val="21"/>
                <w:highlight w:val="none"/>
              </w:rPr>
              <w:t>电气元器件</w:t>
            </w:r>
          </w:p>
        </w:tc>
        <w:tc>
          <w:tcPr>
            <w:tcW w:w="2367" w:type="dxa"/>
          </w:tcPr>
          <w:p w14:paraId="294C3A54">
            <w:pPr>
              <w:spacing w:line="360" w:lineRule="exact"/>
              <w:ind w:firstLine="420" w:firstLineChars="200"/>
              <w:jc w:val="left"/>
              <w:rPr>
                <w:rFonts w:cs="宋体"/>
                <w:color w:val="auto"/>
                <w:sz w:val="21"/>
                <w:szCs w:val="21"/>
                <w:highlight w:val="none"/>
              </w:rPr>
            </w:pPr>
          </w:p>
        </w:tc>
        <w:tc>
          <w:tcPr>
            <w:tcW w:w="2367" w:type="dxa"/>
          </w:tcPr>
          <w:p w14:paraId="5A3EFDE1">
            <w:pPr>
              <w:spacing w:line="360" w:lineRule="exact"/>
              <w:ind w:firstLine="420" w:firstLineChars="200"/>
              <w:jc w:val="left"/>
              <w:rPr>
                <w:rFonts w:cs="宋体"/>
                <w:color w:val="auto"/>
                <w:sz w:val="21"/>
                <w:szCs w:val="21"/>
                <w:highlight w:val="none"/>
              </w:rPr>
            </w:pPr>
          </w:p>
        </w:tc>
      </w:tr>
      <w:tr w14:paraId="3B27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dxa"/>
          </w:tcPr>
          <w:p w14:paraId="2FAED0EA">
            <w:pPr>
              <w:spacing w:line="360" w:lineRule="exact"/>
              <w:jc w:val="center"/>
              <w:rPr>
                <w:rFonts w:cs="宋体"/>
                <w:bCs/>
                <w:color w:val="auto"/>
                <w:sz w:val="21"/>
                <w:szCs w:val="21"/>
                <w:highlight w:val="none"/>
              </w:rPr>
            </w:pPr>
            <w:r>
              <w:rPr>
                <w:rFonts w:hint="eastAsia" w:cs="宋体"/>
                <w:bCs/>
                <w:color w:val="auto"/>
                <w:sz w:val="21"/>
                <w:szCs w:val="21"/>
                <w:highlight w:val="none"/>
              </w:rPr>
              <w:t>23</w:t>
            </w:r>
          </w:p>
        </w:tc>
        <w:tc>
          <w:tcPr>
            <w:tcW w:w="2455" w:type="dxa"/>
            <w:vAlign w:val="center"/>
          </w:tcPr>
          <w:p w14:paraId="221976E4">
            <w:pPr>
              <w:spacing w:line="360" w:lineRule="exact"/>
              <w:jc w:val="center"/>
              <w:rPr>
                <w:rFonts w:cs="宋体"/>
                <w:bCs/>
                <w:color w:val="auto"/>
                <w:sz w:val="21"/>
                <w:szCs w:val="21"/>
                <w:highlight w:val="none"/>
              </w:rPr>
            </w:pPr>
            <w:r>
              <w:rPr>
                <w:rFonts w:hint="eastAsia" w:cs="宋体"/>
                <w:color w:val="auto"/>
                <w:sz w:val="21"/>
                <w:szCs w:val="21"/>
                <w:highlight w:val="none"/>
              </w:rPr>
              <w:t>六类非屏蔽双绞线</w:t>
            </w:r>
          </w:p>
        </w:tc>
        <w:tc>
          <w:tcPr>
            <w:tcW w:w="2367" w:type="dxa"/>
          </w:tcPr>
          <w:p w14:paraId="7BD1090A">
            <w:pPr>
              <w:spacing w:line="360" w:lineRule="exact"/>
              <w:ind w:firstLine="420" w:firstLineChars="200"/>
              <w:jc w:val="left"/>
              <w:rPr>
                <w:rFonts w:cs="宋体"/>
                <w:color w:val="auto"/>
                <w:sz w:val="21"/>
                <w:szCs w:val="21"/>
                <w:highlight w:val="none"/>
              </w:rPr>
            </w:pPr>
          </w:p>
        </w:tc>
        <w:tc>
          <w:tcPr>
            <w:tcW w:w="2367" w:type="dxa"/>
          </w:tcPr>
          <w:p w14:paraId="79A6F7F7">
            <w:pPr>
              <w:spacing w:line="360" w:lineRule="exact"/>
              <w:ind w:firstLine="420" w:firstLineChars="200"/>
              <w:jc w:val="left"/>
              <w:rPr>
                <w:rFonts w:cs="宋体"/>
                <w:color w:val="auto"/>
                <w:sz w:val="21"/>
                <w:szCs w:val="21"/>
                <w:highlight w:val="none"/>
              </w:rPr>
            </w:pPr>
          </w:p>
        </w:tc>
      </w:tr>
    </w:tbl>
    <w:p w14:paraId="3EE67C05">
      <w:pPr>
        <w:spacing w:line="360" w:lineRule="exact"/>
        <w:ind w:right="-298" w:rightChars="-149" w:firstLine="482" w:firstLineChars="200"/>
        <w:rPr>
          <w:rFonts w:cs="宋体"/>
          <w:b/>
          <w:bCs/>
          <w:color w:val="auto"/>
          <w:sz w:val="24"/>
          <w:highlight w:val="none"/>
        </w:rPr>
      </w:pPr>
      <w:bookmarkStart w:id="681" w:name="_Toc24879"/>
      <w:r>
        <w:rPr>
          <w:rFonts w:hint="eastAsia" w:cs="宋体"/>
          <w:b/>
          <w:bCs/>
          <w:color w:val="auto"/>
          <w:sz w:val="24"/>
          <w:highlight w:val="none"/>
        </w:rPr>
        <w:t>注：材料品牌、规格或型号应明确填写，不能简略填写为“国产”、“自制”等，否则作为无效</w:t>
      </w:r>
      <w:r>
        <w:rPr>
          <w:rFonts w:hint="eastAsia" w:cs="宋体"/>
          <w:b/>
          <w:bCs/>
          <w:color w:val="auto"/>
          <w:sz w:val="24"/>
          <w:highlight w:val="none"/>
          <w:lang w:val="en-US" w:eastAsia="zh-CN"/>
        </w:rPr>
        <w:t>响应</w:t>
      </w:r>
      <w:r>
        <w:rPr>
          <w:rFonts w:hint="eastAsia" w:cs="宋体"/>
          <w:b/>
          <w:bCs/>
          <w:color w:val="auto"/>
          <w:sz w:val="24"/>
          <w:highlight w:val="none"/>
        </w:rPr>
        <w:t>处理。</w:t>
      </w:r>
    </w:p>
    <w:p w14:paraId="25653A39">
      <w:pPr>
        <w:spacing w:line="360" w:lineRule="exact"/>
        <w:ind w:right="-298" w:rightChars="-149" w:firstLine="480" w:firstLineChars="200"/>
        <w:rPr>
          <w:rFonts w:cs="宋体"/>
          <w:color w:val="auto"/>
          <w:sz w:val="24"/>
          <w:highlight w:val="none"/>
          <w:u w:val="single"/>
        </w:rPr>
      </w:pPr>
      <w:r>
        <w:rPr>
          <w:rFonts w:hint="eastAsia" w:cs="宋体"/>
          <w:color w:val="auto"/>
          <w:sz w:val="24"/>
          <w:highlight w:val="none"/>
        </w:rPr>
        <w:t>供应商人：</w:t>
      </w:r>
      <w:r>
        <w:rPr>
          <w:rFonts w:hint="eastAsia" w:cs="宋体"/>
          <w:color w:val="auto"/>
          <w:sz w:val="24"/>
          <w:highlight w:val="none"/>
          <w:u w:val="single"/>
        </w:rPr>
        <w:t xml:space="preserve">                             （</w:t>
      </w:r>
      <w:r>
        <w:rPr>
          <w:rFonts w:hint="eastAsia" w:cs="宋体"/>
          <w:bCs/>
          <w:color w:val="auto"/>
          <w:sz w:val="24"/>
          <w:highlight w:val="none"/>
          <w:u w:val="single"/>
        </w:rPr>
        <w:t>签章</w:t>
      </w:r>
      <w:r>
        <w:rPr>
          <w:rFonts w:hint="eastAsia" w:cs="宋体"/>
          <w:color w:val="auto"/>
          <w:sz w:val="24"/>
          <w:highlight w:val="none"/>
          <w:u w:val="single"/>
        </w:rPr>
        <w:t>）</w:t>
      </w:r>
    </w:p>
    <w:p w14:paraId="345FF706">
      <w:pPr>
        <w:spacing w:line="360" w:lineRule="exact"/>
        <w:ind w:right="-298" w:rightChars="-149" w:firstLine="480" w:firstLineChars="200"/>
        <w:rPr>
          <w:rFonts w:cs="宋体"/>
          <w:color w:val="auto"/>
          <w:sz w:val="24"/>
          <w:highlight w:val="none"/>
        </w:rPr>
      </w:pPr>
      <w:r>
        <w:rPr>
          <w:rFonts w:hint="eastAsia" w:cs="宋体"/>
          <w:color w:val="auto"/>
          <w:sz w:val="24"/>
          <w:highlight w:val="none"/>
        </w:rPr>
        <w:t>法定代表人：</w:t>
      </w:r>
      <w:r>
        <w:rPr>
          <w:rFonts w:hint="eastAsia" w:cs="宋体"/>
          <w:color w:val="auto"/>
          <w:sz w:val="24"/>
          <w:highlight w:val="none"/>
          <w:u w:val="single"/>
        </w:rPr>
        <w:t xml:space="preserve">                         （签章）</w:t>
      </w:r>
    </w:p>
    <w:p w14:paraId="06ABE543">
      <w:pPr>
        <w:spacing w:line="360" w:lineRule="exact"/>
        <w:ind w:right="-298" w:rightChars="-149" w:firstLine="480" w:firstLineChars="200"/>
        <w:rPr>
          <w:rFonts w:cs="宋体"/>
          <w:color w:val="auto"/>
          <w:sz w:val="24"/>
          <w:highlight w:val="none"/>
        </w:rPr>
      </w:pPr>
      <w:r>
        <w:rPr>
          <w:rFonts w:hint="eastAsia" w:cs="宋体"/>
          <w:color w:val="auto"/>
          <w:sz w:val="24"/>
          <w:highlight w:val="none"/>
        </w:rPr>
        <w:t>单位地址：</w:t>
      </w:r>
      <w:r>
        <w:rPr>
          <w:rFonts w:hint="eastAsia" w:cs="宋体"/>
          <w:color w:val="auto"/>
          <w:sz w:val="24"/>
          <w:highlight w:val="none"/>
          <w:u w:val="single"/>
        </w:rPr>
        <w:t xml:space="preserve">                                   </w:t>
      </w:r>
    </w:p>
    <w:p w14:paraId="690929E4">
      <w:pPr>
        <w:rPr>
          <w:b/>
          <w:bCs/>
          <w:color w:val="auto"/>
          <w:sz w:val="28"/>
          <w:highlight w:val="none"/>
        </w:rPr>
      </w:pPr>
      <w:r>
        <w:rPr>
          <w:rFonts w:hint="eastAsia"/>
          <w:b/>
          <w:bCs/>
          <w:color w:val="auto"/>
          <w:sz w:val="28"/>
          <w:highlight w:val="none"/>
        </w:rPr>
        <w:br w:type="page"/>
      </w:r>
    </w:p>
    <w:p w14:paraId="2972461A">
      <w:pPr>
        <w:widowControl/>
        <w:jc w:val="center"/>
        <w:outlineLvl w:val="0"/>
        <w:rPr>
          <w:b/>
          <w:bCs/>
          <w:color w:val="auto"/>
          <w:sz w:val="28"/>
          <w:highlight w:val="none"/>
        </w:rPr>
      </w:pPr>
      <w:r>
        <w:rPr>
          <w:rFonts w:hint="eastAsia"/>
          <w:b/>
          <w:bCs/>
          <w:color w:val="auto"/>
          <w:sz w:val="28"/>
          <w:highlight w:val="none"/>
        </w:rPr>
        <w:t>第七章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81"/>
    </w:p>
    <w:p w14:paraId="654860BF">
      <w:pPr>
        <w:spacing w:line="360" w:lineRule="auto"/>
        <w:jc w:val="center"/>
        <w:outlineLvl w:val="1"/>
        <w:rPr>
          <w:rFonts w:ascii="仿宋" w:hAnsi="仿宋" w:eastAsia="仿宋" w:cs="仿宋"/>
          <w:b/>
          <w:bCs/>
          <w:color w:val="auto"/>
          <w:sz w:val="32"/>
          <w:szCs w:val="44"/>
          <w:highlight w:val="none"/>
        </w:rPr>
      </w:pPr>
      <w:bookmarkStart w:id="682" w:name="_Toc26448"/>
      <w:bookmarkStart w:id="683" w:name="_Toc2290"/>
      <w:r>
        <w:rPr>
          <w:rFonts w:hint="eastAsia" w:ascii="仿宋" w:hAnsi="仿宋" w:eastAsia="仿宋" w:cs="仿宋"/>
          <w:b/>
          <w:bCs/>
          <w:color w:val="auto"/>
          <w:sz w:val="32"/>
          <w:szCs w:val="44"/>
          <w:highlight w:val="none"/>
        </w:rPr>
        <w:t>询问函范本</w:t>
      </w:r>
      <w:bookmarkEnd w:id="682"/>
      <w:bookmarkEnd w:id="683"/>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致：采购人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84" w:name="_Toc32070"/>
      <w:bookmarkStart w:id="685" w:name="_Toc14234"/>
      <w:r>
        <w:rPr>
          <w:rFonts w:hint="eastAsia" w:cs="仿宋" w:asciiTheme="minorEastAsia" w:hAnsiTheme="minorEastAsia" w:eastAsiaTheme="minorEastAsia"/>
          <w:color w:val="auto"/>
          <w:sz w:val="24"/>
          <w:szCs w:val="24"/>
          <w:highlight w:val="none"/>
        </w:rPr>
        <w:t>一、(事项一)</w:t>
      </w:r>
      <w:bookmarkEnd w:id="684"/>
      <w:bookmarkEnd w:id="685"/>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86" w:name="_Toc16507"/>
      <w:bookmarkStart w:id="687" w:name="_Toc6489"/>
      <w:r>
        <w:rPr>
          <w:rFonts w:hint="eastAsia" w:cs="仿宋" w:asciiTheme="minorEastAsia" w:hAnsiTheme="minorEastAsia" w:eastAsiaTheme="minorEastAsia"/>
          <w:color w:val="auto"/>
          <w:sz w:val="24"/>
          <w:szCs w:val="24"/>
          <w:highlight w:val="none"/>
        </w:rPr>
        <w:t>二、(事项二)</w:t>
      </w:r>
      <w:bookmarkEnd w:id="686"/>
      <w:bookmarkEnd w:id="687"/>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688" w:name="_Toc4923"/>
      <w:bookmarkStart w:id="689" w:name="_Toc26224"/>
      <w:r>
        <w:rPr>
          <w:rFonts w:hint="eastAsia" w:ascii="仿宋" w:hAnsi="仿宋" w:eastAsia="仿宋" w:cs="仿宋"/>
          <w:b/>
          <w:bCs/>
          <w:color w:val="auto"/>
          <w:sz w:val="32"/>
          <w:szCs w:val="44"/>
          <w:highlight w:val="none"/>
        </w:rPr>
        <w:t>质疑函范本</w:t>
      </w:r>
      <w:bookmarkEnd w:id="688"/>
      <w:bookmarkEnd w:id="689"/>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90" w:name="_Toc10663"/>
      <w:bookmarkStart w:id="691" w:name="_Toc3847"/>
      <w:r>
        <w:rPr>
          <w:rFonts w:hint="eastAsia" w:cs="仿宋" w:asciiTheme="minorEastAsia" w:hAnsiTheme="minorEastAsia" w:eastAsiaTheme="minorEastAsia"/>
          <w:b/>
          <w:bCs/>
          <w:color w:val="auto"/>
          <w:sz w:val="24"/>
          <w:szCs w:val="24"/>
          <w:highlight w:val="none"/>
        </w:rPr>
        <w:t>一、质疑供应商基本信息</w:t>
      </w:r>
      <w:bookmarkEnd w:id="690"/>
      <w:bookmarkEnd w:id="691"/>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92" w:name="_Toc19182"/>
      <w:bookmarkStart w:id="693" w:name="_Toc30012"/>
      <w:r>
        <w:rPr>
          <w:rFonts w:hint="eastAsia" w:cs="仿宋" w:asciiTheme="minorEastAsia" w:hAnsiTheme="minorEastAsia" w:eastAsiaTheme="minorEastAsia"/>
          <w:b/>
          <w:bCs/>
          <w:color w:val="auto"/>
          <w:sz w:val="24"/>
          <w:szCs w:val="24"/>
          <w:highlight w:val="none"/>
        </w:rPr>
        <w:t>二、质疑项目基本情况</w:t>
      </w:r>
      <w:bookmarkEnd w:id="692"/>
      <w:bookmarkEnd w:id="693"/>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94" w:name="_Toc9989"/>
      <w:bookmarkStart w:id="695" w:name="_Toc21700"/>
      <w:r>
        <w:rPr>
          <w:rFonts w:hint="eastAsia" w:cs="仿宋" w:asciiTheme="minorEastAsia" w:hAnsiTheme="minorEastAsia" w:eastAsiaTheme="minorEastAsia"/>
          <w:b/>
          <w:bCs/>
          <w:color w:val="auto"/>
          <w:sz w:val="24"/>
          <w:szCs w:val="24"/>
          <w:highlight w:val="none"/>
        </w:rPr>
        <w:t>三、质疑事项具体内容</w:t>
      </w:r>
      <w:bookmarkEnd w:id="694"/>
      <w:bookmarkEnd w:id="695"/>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96" w:name="_Toc19016"/>
      <w:bookmarkStart w:id="697" w:name="_Toc10625"/>
      <w:r>
        <w:rPr>
          <w:rFonts w:hint="eastAsia" w:cs="仿宋" w:asciiTheme="minorEastAsia" w:hAnsiTheme="minorEastAsia" w:eastAsiaTheme="minorEastAsia"/>
          <w:b/>
          <w:bCs/>
          <w:color w:val="auto"/>
          <w:sz w:val="24"/>
          <w:szCs w:val="24"/>
          <w:highlight w:val="none"/>
        </w:rPr>
        <w:t>四、与质疑事项相关的质疑请求</w:t>
      </w:r>
      <w:bookmarkEnd w:id="696"/>
      <w:bookmarkEnd w:id="697"/>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698" w:name="_Toc25274"/>
      <w:bookmarkStart w:id="699" w:name="_Toc17684"/>
      <w:r>
        <w:rPr>
          <w:rFonts w:hint="eastAsia" w:asciiTheme="minorEastAsia" w:hAnsiTheme="minorEastAsia" w:eastAsiaTheme="minorEastAsia"/>
          <w:b/>
          <w:color w:val="auto"/>
          <w:sz w:val="28"/>
          <w:szCs w:val="32"/>
          <w:highlight w:val="none"/>
        </w:rPr>
        <w:t>质疑函制作说明：</w:t>
      </w:r>
      <w:bookmarkEnd w:id="698"/>
      <w:bookmarkEnd w:id="699"/>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82B5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928B8F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1、“信用中国”网站（www.creditchina.gov.cn）查询</w:t>
      </w:r>
      <w:bookmarkStart w:id="700" w:name="OLE_LINK92"/>
      <w:bookmarkStart w:id="701" w:name="OLE_LINK91"/>
      <w:bookmarkStart w:id="702" w:name="OLE_LINK93"/>
      <w:bookmarkStart w:id="703" w:name="OLE_LINK103"/>
      <w:r>
        <w:rPr>
          <w:rFonts w:hint="eastAsia" w:ascii="仿宋_GB2312" w:eastAsia="仿宋_GB2312" w:cs="Times New Roman"/>
          <w:color w:val="auto"/>
          <w:sz w:val="28"/>
          <w:szCs w:val="28"/>
          <w:highlight w:val="none"/>
        </w:rPr>
        <w:t>投标人、法定代表人及其项目经理(建造师)</w:t>
      </w:r>
      <w:bookmarkEnd w:id="700"/>
      <w:bookmarkEnd w:id="701"/>
      <w:bookmarkEnd w:id="702"/>
      <w:bookmarkEnd w:id="703"/>
      <w:r>
        <w:rPr>
          <w:rFonts w:hint="eastAsia" w:ascii="仿宋_GB2312"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eastAsia="仿宋_GB2312" w:cs="Times New Roman"/>
          <w:color w:val="auto"/>
          <w:sz w:val="28"/>
          <w:szCs w:val="28"/>
          <w:highlight w:val="none"/>
        </w:rPr>
      </w:pPr>
      <w:bookmarkStart w:id="704" w:name="OLE_LINK86"/>
      <w:bookmarkStart w:id="705" w:name="OLE_LINK87"/>
      <w:bookmarkStart w:id="706" w:name="OLE_LINK94"/>
      <w:bookmarkStart w:id="707" w:name="OLE_LINK119"/>
      <w:r>
        <w:rPr>
          <w:rFonts w:hint="eastAsia" w:ascii="仿宋_GB2312"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②被列入</w:t>
      </w:r>
      <w:bookmarkStart w:id="708" w:name="OLE_LINK115"/>
      <w:bookmarkStart w:id="709" w:name="OLE_LINK118"/>
      <w:bookmarkStart w:id="710" w:name="OLE_LINK116"/>
      <w:bookmarkStart w:id="711" w:name="OLE_LINK117"/>
      <w:r>
        <w:rPr>
          <w:rFonts w:hint="eastAsia" w:ascii="仿宋_GB2312" w:eastAsia="仿宋_GB2312" w:cs="Times New Roman"/>
          <w:color w:val="auto"/>
          <w:sz w:val="28"/>
          <w:szCs w:val="28"/>
          <w:highlight w:val="none"/>
        </w:rPr>
        <w:t>“重大税收违法失信主体”</w:t>
      </w:r>
      <w:bookmarkEnd w:id="708"/>
      <w:bookmarkEnd w:id="709"/>
      <w:bookmarkEnd w:id="710"/>
      <w:bookmarkEnd w:id="711"/>
      <w:r>
        <w:rPr>
          <w:rFonts w:hint="eastAsia" w:ascii="仿宋_GB2312"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③被列入“拖欠</w:t>
      </w:r>
      <w:bookmarkStart w:id="712" w:name="OLE_LINK85"/>
      <w:bookmarkStart w:id="713" w:name="OLE_LINK84"/>
      <w:r>
        <w:rPr>
          <w:rFonts w:hint="eastAsia" w:ascii="仿宋_GB2312" w:eastAsia="仿宋_GB2312" w:cs="Times New Roman"/>
          <w:color w:val="auto"/>
          <w:sz w:val="28"/>
          <w:szCs w:val="28"/>
          <w:highlight w:val="none"/>
        </w:rPr>
        <w:t>农民工工资失信联合惩戒对象</w:t>
      </w:r>
      <w:bookmarkEnd w:id="712"/>
      <w:bookmarkEnd w:id="713"/>
      <w:r>
        <w:rPr>
          <w:rFonts w:hint="eastAsia" w:ascii="仿宋_GB2312"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⑤在“信用中国”网站上披露的仍在公示期的严重失信行为(具体行为类别及判定依据见附件2)的。</w:t>
      </w:r>
    </w:p>
    <w:bookmarkEnd w:id="704"/>
    <w:bookmarkEnd w:id="705"/>
    <w:bookmarkEnd w:id="706"/>
    <w:bookmarkEnd w:id="707"/>
    <w:p w14:paraId="1C5DB25A">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2、</w:t>
      </w:r>
      <w:bookmarkStart w:id="714" w:name="OLE_LINK130"/>
      <w:r>
        <w:rPr>
          <w:rFonts w:hint="eastAsia" w:ascii="仿宋_GB2312" w:eastAsia="仿宋_GB2312" w:cs="Times New Roman"/>
          <w:color w:val="auto"/>
          <w:sz w:val="28"/>
          <w:szCs w:val="28"/>
          <w:highlight w:val="none"/>
        </w:rPr>
        <w:t>国家企业信用信息公示系统网站</w:t>
      </w:r>
      <w:bookmarkEnd w:id="714"/>
      <w:r>
        <w:rPr>
          <w:rFonts w:hint="eastAsia" w:ascii="仿宋_GB2312"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715" w:name="OLE_LINK89"/>
      <w:bookmarkStart w:id="716" w:name="OLE_LINK90"/>
      <w:r>
        <w:rPr>
          <w:rStyle w:val="66"/>
          <w:rFonts w:hint="eastAsia" w:ascii="仿宋_GB2312" w:eastAsia="仿宋_GB2312" w:cs="Times New Roman"/>
          <w:color w:val="auto"/>
          <w:sz w:val="28"/>
          <w:szCs w:val="28"/>
          <w:highlight w:val="none"/>
        </w:rPr>
        <w:t>www.gsxt.gov.cn</w:t>
      </w:r>
      <w:bookmarkEnd w:id="715"/>
      <w:bookmarkEnd w:id="716"/>
      <w:r>
        <w:rPr>
          <w:rStyle w:val="66"/>
          <w:rFonts w:hint="eastAsia" w:ascii="仿宋_GB2312" w:eastAsia="仿宋_GB2312" w:cs="Times New Roman"/>
          <w:color w:val="auto"/>
          <w:sz w:val="28"/>
          <w:szCs w:val="28"/>
          <w:highlight w:val="none"/>
        </w:rPr>
        <w:t>）</w:t>
      </w:r>
      <w:r>
        <w:rPr>
          <w:rStyle w:val="66"/>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eastAsia="仿宋_GB2312" w:cs="Times New Roman"/>
          <w:color w:val="auto"/>
          <w:sz w:val="28"/>
          <w:szCs w:val="28"/>
          <w:highlight w:val="none"/>
        </w:rPr>
      </w:pPr>
      <w:bookmarkStart w:id="717" w:name="OLE_LINK120"/>
      <w:bookmarkStart w:id="718" w:name="OLE_LINK121"/>
      <w:bookmarkStart w:id="719" w:name="OLE_LINK122"/>
      <w:r>
        <w:rPr>
          <w:rFonts w:hint="eastAsia" w:ascii="仿宋_GB2312" w:eastAsia="仿宋_GB2312" w:cs="Times New Roman"/>
          <w:color w:val="auto"/>
          <w:sz w:val="28"/>
          <w:szCs w:val="28"/>
          <w:highlight w:val="none"/>
        </w:rPr>
        <w:t>①</w:t>
      </w:r>
      <w:bookmarkStart w:id="720" w:name="OLE_LINK113"/>
      <w:bookmarkStart w:id="721" w:name="OLE_LINK114"/>
      <w:r>
        <w:rPr>
          <w:rFonts w:hint="eastAsia" w:ascii="仿宋_GB2312" w:eastAsia="仿宋_GB2312" w:cs="Times New Roman"/>
          <w:color w:val="auto"/>
          <w:sz w:val="28"/>
          <w:szCs w:val="28"/>
          <w:highlight w:val="none"/>
        </w:rPr>
        <w:t>被列入“经营异常名录”或者“严重违法失信名单”的</w:t>
      </w:r>
      <w:bookmarkEnd w:id="720"/>
      <w:bookmarkEnd w:id="721"/>
      <w:r>
        <w:rPr>
          <w:rFonts w:hint="eastAsia" w:ascii="仿宋_GB2312" w:eastAsia="仿宋_GB2312" w:cs="Times New Roman"/>
          <w:color w:val="auto"/>
          <w:sz w:val="28"/>
          <w:szCs w:val="28"/>
          <w:highlight w:val="none"/>
        </w:rPr>
        <w:t>。</w:t>
      </w:r>
      <w:bookmarkEnd w:id="717"/>
      <w:bookmarkEnd w:id="718"/>
      <w:bookmarkEnd w:id="719"/>
    </w:p>
    <w:p w14:paraId="6E171830">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3、由投标人、法定代表人及其项目经理(建造师)进行承诺，不进行现场网上信用查询的失信行为：</w:t>
      </w:r>
    </w:p>
    <w:p w14:paraId="314A9BD0">
      <w:pPr>
        <w:adjustRightInd w:val="0"/>
        <w:snapToGrid w:val="0"/>
        <w:spacing w:line="560" w:lineRule="exact"/>
        <w:ind w:firstLine="560" w:firstLineChars="200"/>
        <w:rPr>
          <w:rFonts w:ascii="仿宋_GB2312" w:eastAsia="仿宋_GB2312" w:cs="楷体"/>
          <w:color w:val="auto"/>
          <w:sz w:val="28"/>
          <w:szCs w:val="28"/>
          <w:highlight w:val="none"/>
        </w:rPr>
      </w:pPr>
      <w:bookmarkStart w:id="722" w:name="OLE_LINK124"/>
      <w:bookmarkStart w:id="723" w:name="OLE_LINK123"/>
      <w:r>
        <w:rPr>
          <w:rFonts w:hint="eastAsia" w:ascii="仿宋_GB2312" w:eastAsia="仿宋_GB2312" w:cs="Times New Roman"/>
          <w:color w:val="auto"/>
          <w:sz w:val="28"/>
          <w:szCs w:val="28"/>
          <w:highlight w:val="none"/>
        </w:rPr>
        <w:t>①</w:t>
      </w:r>
      <w:r>
        <w:rPr>
          <w:rFonts w:hint="eastAsia" w:ascii="仿宋_GB2312"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④因拖欠农民工工资被</w:t>
      </w:r>
      <w:bookmarkStart w:id="724" w:name="OLE_LINK108"/>
      <w:bookmarkStart w:id="725" w:name="OLE_LINK107"/>
      <w:r>
        <w:rPr>
          <w:rFonts w:hint="eastAsia" w:ascii="仿宋_GB2312" w:eastAsia="仿宋_GB2312" w:cs="Times New Roman"/>
          <w:color w:val="auto"/>
          <w:sz w:val="28"/>
          <w:szCs w:val="28"/>
          <w:highlight w:val="none"/>
        </w:rPr>
        <w:t>县级及以上有关行政主管部门限制投标资格且在限制期限内的</w:t>
      </w:r>
      <w:bookmarkEnd w:id="724"/>
      <w:bookmarkEnd w:id="725"/>
      <w:r>
        <w:rPr>
          <w:rFonts w:hint="eastAsia" w:ascii="仿宋_GB2312"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722"/>
    <w:bookmarkEnd w:id="723"/>
    <w:p w14:paraId="3519D4F2">
      <w:pPr>
        <w:adjustRightInd w:val="0"/>
        <w:snapToGrid w:val="0"/>
        <w:spacing w:line="560" w:lineRule="exact"/>
        <w:ind w:firstLine="562" w:firstLineChars="200"/>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66"/>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①</w:t>
      </w:r>
      <w:bookmarkStart w:id="726" w:name="OLE_LINK100"/>
      <w:bookmarkStart w:id="727" w:name="OLE_LINK101"/>
      <w:bookmarkStart w:id="728" w:name="OLE_LINK102"/>
      <w:r>
        <w:rPr>
          <w:rFonts w:hint="eastAsia" w:ascii="仿宋_GB2312" w:eastAsia="仿宋_GB2312" w:cs="Times New Roman"/>
          <w:color w:val="auto"/>
          <w:sz w:val="28"/>
          <w:szCs w:val="28"/>
          <w:highlight w:val="none"/>
        </w:rPr>
        <w:t>被列入“经营异常名录”或者“严重违法失信名单”的</w:t>
      </w:r>
      <w:bookmarkEnd w:id="726"/>
      <w:bookmarkEnd w:id="727"/>
      <w:bookmarkEnd w:id="728"/>
      <w:r>
        <w:rPr>
          <w:rFonts w:hint="eastAsia" w:ascii="仿宋_GB2312"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729" w:name="OLE_LINK96"/>
      <w:bookmarkStart w:id="730"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729"/>
      <w:bookmarkEnd w:id="730"/>
      <w:r>
        <w:rPr>
          <w:rFonts w:hint="eastAsia" w:ascii="仿宋" w:hAnsi="仿宋" w:eastAsia="仿宋" w:cs="Times New Roman"/>
          <w:color w:val="auto"/>
          <w:sz w:val="28"/>
          <w:szCs w:val="28"/>
          <w:highlight w:val="none"/>
        </w:rPr>
        <w:t>）</w:t>
      </w:r>
      <w:r>
        <w:rPr>
          <w:rFonts w:hint="eastAsia" w:ascii="仿宋_GB2312"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eastAsia="仿宋_GB2312" w:cs="楷体"/>
          <w:color w:val="auto"/>
          <w:sz w:val="28"/>
          <w:szCs w:val="28"/>
          <w:highlight w:val="none"/>
        </w:rPr>
      </w:pPr>
      <w:r>
        <w:rPr>
          <w:rFonts w:hint="eastAsia" w:ascii="仿宋_GB2312" w:eastAsia="仿宋_GB2312" w:cs="Times New Roman"/>
          <w:color w:val="auto"/>
          <w:sz w:val="28"/>
          <w:szCs w:val="28"/>
          <w:highlight w:val="none"/>
        </w:rPr>
        <w:t>①</w:t>
      </w:r>
      <w:bookmarkStart w:id="731" w:name="OLE_LINK106"/>
      <w:bookmarkStart w:id="732" w:name="OLE_LINK105"/>
      <w:bookmarkStart w:id="733" w:name="OLE_LINK104"/>
      <w:r>
        <w:rPr>
          <w:rFonts w:hint="eastAsia" w:ascii="仿宋_GB2312" w:eastAsia="仿宋_GB2312" w:cs="Times New Roman"/>
          <w:color w:val="auto"/>
          <w:sz w:val="28"/>
          <w:szCs w:val="28"/>
          <w:highlight w:val="none"/>
        </w:rPr>
        <w:t>被列入“政府采购严重违法失信行为信息记录”的</w:t>
      </w:r>
      <w:bookmarkEnd w:id="731"/>
      <w:bookmarkEnd w:id="732"/>
      <w:bookmarkEnd w:id="733"/>
      <w:r>
        <w:rPr>
          <w:rFonts w:hint="eastAsia" w:ascii="仿宋_GB2312"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①</w:t>
      </w:r>
      <w:r>
        <w:rPr>
          <w:rFonts w:hint="eastAsia" w:ascii="仿宋_GB2312" w:eastAsia="仿宋_GB2312" w:cs="楷体"/>
          <w:color w:val="auto"/>
          <w:sz w:val="28"/>
          <w:szCs w:val="28"/>
          <w:highlight w:val="none"/>
        </w:rPr>
        <w:t>前三年有行贿犯罪行为的单位和个人</w:t>
      </w:r>
      <w:r>
        <w:rPr>
          <w:rFonts w:hint="eastAsia" w:ascii="仿宋_GB2312"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cs="Times New Roman"/>
          <w:color w:val="auto"/>
          <w:szCs w:val="24"/>
          <w:highlight w:val="none"/>
        </w:rPr>
      </w:pPr>
      <w:r>
        <w:rPr>
          <w:rFonts w:hint="eastAsia" w:ascii="仿宋_GB2312"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eastAsia="仿宋_GB2312" w:cs="Times New Roman"/>
          <w:color w:val="auto"/>
          <w:sz w:val="28"/>
          <w:szCs w:val="28"/>
          <w:highlight w:val="none"/>
        </w:rPr>
        <w:t>https://credit.ah.gov.cn/xinyong-fuwu/xvbahv/index.html</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ascii="仿宋_GB2312" w:eastAsia="仿宋_GB2312" w:cs="Times New Roman"/>
          <w:color w:val="auto"/>
          <w:sz w:val="28"/>
          <w:szCs w:val="28"/>
          <w:highlight w:val="none"/>
        </w:rPr>
      </w:pPr>
    </w:p>
    <w:p w14:paraId="21AE9A5A">
      <w:pPr>
        <w:ind w:right="-88" w:rightChars="-44"/>
        <w:rPr>
          <w:rFonts w:cs="宋体"/>
          <w:bCs/>
          <w:color w:val="auto"/>
          <w:szCs w:val="21"/>
          <w:highlight w:val="none"/>
        </w:rPr>
      </w:pPr>
    </w:p>
    <w:p w14:paraId="0E856F63">
      <w:pPr>
        <w:ind w:right="-88" w:rightChars="-44"/>
        <w:rPr>
          <w:rFonts w:cs="宋体"/>
          <w:bCs/>
          <w:color w:val="auto"/>
          <w:sz w:val="32"/>
          <w:szCs w:val="32"/>
          <w:highlight w:val="none"/>
        </w:rPr>
      </w:pPr>
    </w:p>
    <w:p w14:paraId="78ADE4DE">
      <w:pPr>
        <w:ind w:right="-88" w:rightChars="-44"/>
        <w:rPr>
          <w:rFonts w:cs="宋体"/>
          <w:bCs/>
          <w:color w:val="auto"/>
          <w:sz w:val="32"/>
          <w:szCs w:val="32"/>
          <w:highlight w:val="none"/>
        </w:rPr>
      </w:pPr>
    </w:p>
    <w:p w14:paraId="1C76BF93">
      <w:pPr>
        <w:ind w:right="-88" w:rightChars="-44"/>
        <w:rPr>
          <w:rFonts w:cs="宋体"/>
          <w:bCs/>
          <w:color w:val="auto"/>
          <w:sz w:val="32"/>
          <w:szCs w:val="32"/>
          <w:highlight w:val="none"/>
        </w:rPr>
      </w:pPr>
    </w:p>
    <w:p w14:paraId="20A7A99F">
      <w:pPr>
        <w:ind w:right="-88" w:rightChars="-44"/>
        <w:rPr>
          <w:rFonts w:cs="宋体"/>
          <w:bCs/>
          <w:color w:val="auto"/>
          <w:sz w:val="32"/>
          <w:szCs w:val="32"/>
          <w:highlight w:val="none"/>
        </w:rPr>
      </w:pPr>
    </w:p>
    <w:p w14:paraId="3ED00CAE">
      <w:pPr>
        <w:ind w:right="-88" w:rightChars="-44"/>
        <w:rPr>
          <w:rFonts w:cs="宋体"/>
          <w:bCs/>
          <w:color w:val="auto"/>
          <w:sz w:val="32"/>
          <w:szCs w:val="32"/>
          <w:highlight w:val="none"/>
        </w:rPr>
      </w:pPr>
    </w:p>
    <w:p w14:paraId="2C848AF2">
      <w:pPr>
        <w:ind w:right="-88" w:rightChars="-44"/>
        <w:rPr>
          <w:rFonts w:cs="宋体"/>
          <w:bCs/>
          <w:color w:val="auto"/>
          <w:sz w:val="32"/>
          <w:szCs w:val="32"/>
          <w:highlight w:val="none"/>
        </w:rPr>
      </w:pPr>
    </w:p>
    <w:p w14:paraId="7054BF99">
      <w:pPr>
        <w:ind w:right="-88" w:rightChars="-44"/>
        <w:rPr>
          <w:rFonts w:cs="宋体"/>
          <w:bCs/>
          <w:color w:val="auto"/>
          <w:sz w:val="32"/>
          <w:szCs w:val="32"/>
          <w:highlight w:val="none"/>
        </w:rPr>
      </w:pPr>
    </w:p>
    <w:p w14:paraId="390728C5">
      <w:pPr>
        <w:ind w:right="-88" w:rightChars="-44"/>
        <w:rPr>
          <w:rFonts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734" w:name="_Toc95223549"/>
      <w:bookmarkStart w:id="735" w:name="OLE_LINK41"/>
      <w:bookmarkStart w:id="736" w:name="OLE_LINK31"/>
      <w:bookmarkStart w:id="737" w:name="OLE_LINK32"/>
      <w:r>
        <w:rPr>
          <w:rFonts w:hint="eastAsia" w:ascii="黑体" w:hAnsi="黑体" w:eastAsia="黑体" w:cs="Times New Roman"/>
          <w:b/>
          <w:bCs/>
          <w:color w:val="auto"/>
          <w:kern w:val="44"/>
          <w:sz w:val="36"/>
          <w:szCs w:val="28"/>
          <w:highlight w:val="none"/>
        </w:rPr>
        <w:t xml:space="preserve">附件2 </w:t>
      </w:r>
      <w:bookmarkStart w:id="738" w:name="OLE_LINK74"/>
      <w:bookmarkStart w:id="739" w:name="OLE_LINK75"/>
      <w:r>
        <w:rPr>
          <w:rFonts w:hint="eastAsia" w:ascii="黑体" w:hAnsi="黑体" w:eastAsia="黑体" w:cs="Times New Roman"/>
          <w:b/>
          <w:bCs/>
          <w:color w:val="auto"/>
          <w:kern w:val="44"/>
          <w:sz w:val="36"/>
          <w:szCs w:val="28"/>
          <w:highlight w:val="none"/>
        </w:rPr>
        <w:t>“信用中国”查询的严重失信行为</w:t>
      </w:r>
      <w:bookmarkStart w:id="740" w:name="OLE_LINK40"/>
      <w:bookmarkStart w:id="741" w:name="OLE_LINK38"/>
      <w:bookmarkStart w:id="742" w:name="OLE_LINK39"/>
      <w:bookmarkStart w:id="743" w:name="OLE_LINK76"/>
      <w:r>
        <w:rPr>
          <w:rFonts w:hint="eastAsia" w:ascii="黑体" w:hAnsi="黑体" w:eastAsia="黑体" w:cs="Times New Roman"/>
          <w:b/>
          <w:bCs/>
          <w:color w:val="auto"/>
          <w:kern w:val="44"/>
          <w:sz w:val="36"/>
          <w:szCs w:val="28"/>
          <w:highlight w:val="none"/>
        </w:rPr>
        <w:t>类别及判定依据</w:t>
      </w:r>
      <w:bookmarkEnd w:id="734"/>
      <w:bookmarkEnd w:id="738"/>
      <w:bookmarkEnd w:id="739"/>
      <w:bookmarkEnd w:id="740"/>
      <w:bookmarkEnd w:id="741"/>
      <w:bookmarkEnd w:id="742"/>
      <w:bookmarkEnd w:id="743"/>
    </w:p>
    <w:bookmarkEnd w:id="735"/>
    <w:bookmarkEnd w:id="736"/>
    <w:bookmarkEnd w:id="737"/>
    <w:p w14:paraId="290D8223">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仿宋_GB2312" w:eastAsia="仿宋_GB2312" w:cs="Times New Roman"/>
          <w:color w:val="auto"/>
          <w:sz w:val="28"/>
          <w:szCs w:val="28"/>
          <w:highlight w:val="none"/>
        </w:rPr>
        <w:t>环境犯罪</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仿宋_GB2312" w:eastAsia="仿宋_GB2312" w:cs="Times New Roman"/>
          <w:color w:val="auto"/>
          <w:sz w:val="28"/>
          <w:szCs w:val="28"/>
          <w:highlight w:val="none"/>
        </w:rPr>
        <w:t>建设项目环境影响评价</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仿宋_GB2312" w:eastAsia="仿宋_GB2312" w:cs="Times New Roman"/>
          <w:color w:val="auto"/>
          <w:sz w:val="28"/>
          <w:szCs w:val="28"/>
          <w:highlight w:val="none"/>
        </w:rPr>
        <w:t>竣工环保验收</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仿宋_GB2312" w:eastAsia="仿宋_GB2312" w:cs="Times New Roman"/>
          <w:color w:val="auto"/>
          <w:sz w:val="28"/>
          <w:szCs w:val="28"/>
          <w:highlight w:val="none"/>
        </w:rPr>
        <w:t>渗井</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仿宋_GB2312" w:eastAsia="仿宋_GB2312" w:cs="Times New Roman"/>
          <w:color w:val="auto"/>
          <w:sz w:val="28"/>
          <w:szCs w:val="28"/>
          <w:highlight w:val="none"/>
        </w:rPr>
        <w:t>大气污染物</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仿宋_GB2312" w:eastAsia="仿宋_GB2312" w:cs="Times New Roman"/>
          <w:color w:val="auto"/>
          <w:sz w:val="28"/>
          <w:szCs w:val="28"/>
          <w:highlight w:val="none"/>
        </w:rPr>
        <w:t>经营许可证</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仿宋_GB2312" w:eastAsia="仿宋_GB2312" w:cs="Times New Roman"/>
          <w:color w:val="auto"/>
          <w:sz w:val="28"/>
          <w:szCs w:val="28"/>
          <w:highlight w:val="none"/>
        </w:rPr>
        <w:t>环境违法行为</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仿宋_GB2312" w:eastAsia="仿宋_GB2312" w:cs="Times New Roman"/>
          <w:color w:val="auto"/>
          <w:sz w:val="28"/>
          <w:szCs w:val="28"/>
          <w:highlight w:val="none"/>
        </w:rPr>
        <w:t>国家重点生态功能区</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仿宋_GB2312" w:eastAsia="仿宋_GB2312" w:cs="Times New Roman"/>
          <w:color w:val="auto"/>
          <w:sz w:val="28"/>
          <w:szCs w:val="28"/>
          <w:highlight w:val="none"/>
        </w:rPr>
        <w:t>基本农田保护区</w:t>
      </w:r>
      <w:r>
        <w:rPr>
          <w:rFonts w:hint="eastAsia" w:ascii="仿宋_GB2312" w:eastAsia="仿宋_GB2312" w:cs="Times New Roman"/>
          <w:color w:val="auto"/>
          <w:sz w:val="28"/>
          <w:szCs w:val="28"/>
          <w:highlight w:val="none"/>
        </w:rPr>
        <w:fldChar w:fldCharType="end"/>
      </w:r>
      <w:r>
        <w:rPr>
          <w:rFonts w:hint="eastAsia" w:ascii="仿宋_GB2312"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依据：《</w:t>
      </w:r>
      <w:bookmarkStart w:id="744" w:name="OLE_LINK8"/>
      <w:bookmarkStart w:id="745" w:name="OLE_LINK10"/>
      <w:bookmarkStart w:id="746" w:name="OLE_LINK9"/>
      <w:r>
        <w:rPr>
          <w:rFonts w:hint="eastAsia" w:ascii="仿宋_GB2312" w:eastAsia="仿宋_GB2312" w:cs="Times New Roman"/>
          <w:b/>
          <w:color w:val="auto"/>
          <w:sz w:val="28"/>
          <w:szCs w:val="28"/>
          <w:highlight w:val="none"/>
        </w:rPr>
        <w:t>关于对环境保护领域失信生产经营单位及其有关人员开展联合惩戒的合作备忘录</w:t>
      </w:r>
      <w:bookmarkEnd w:id="744"/>
      <w:bookmarkEnd w:id="745"/>
      <w:bookmarkEnd w:id="746"/>
      <w:r>
        <w:rPr>
          <w:rFonts w:hint="eastAsia" w:ascii="仿宋_GB2312" w:eastAsia="仿宋_GB2312" w:cs="Times New Roman"/>
          <w:b/>
          <w:color w:val="auto"/>
          <w:sz w:val="28"/>
          <w:szCs w:val="28"/>
          <w:highlight w:val="none"/>
        </w:rPr>
        <w:t>》、《</w:t>
      </w:r>
      <w:bookmarkStart w:id="747" w:name="OLE_LINK11"/>
      <w:bookmarkStart w:id="748" w:name="OLE_LINK12"/>
      <w:r>
        <w:rPr>
          <w:rFonts w:hint="eastAsia" w:ascii="仿宋_GB2312" w:eastAsia="仿宋_GB2312" w:cs="Times New Roman"/>
          <w:b/>
          <w:color w:val="auto"/>
          <w:sz w:val="28"/>
          <w:szCs w:val="28"/>
          <w:highlight w:val="none"/>
        </w:rPr>
        <w:t>企业环境信用评价办法（试行）</w:t>
      </w:r>
      <w:bookmarkEnd w:id="747"/>
      <w:bookmarkEnd w:id="748"/>
      <w:r>
        <w:rPr>
          <w:rFonts w:hint="eastAsia" w:ascii="仿宋_GB2312"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三、</w:t>
      </w:r>
      <w:r>
        <w:rPr>
          <w:rFonts w:hint="eastAsia" w:ascii="仿宋_GB2312"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34" w:leftChars="67" w:firstLine="420" w:firstLineChars="150"/>
        <w:jc w:val="left"/>
        <w:rPr>
          <w:rFonts w:ascii="仿宋_GB2312"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ascii="仿宋_GB2312"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eastAsia="仿宋_GB2312" w:cs="Times New Roman"/>
          <w:b/>
          <w:bCs/>
          <w:color w:val="auto"/>
          <w:sz w:val="28"/>
          <w:szCs w:val="28"/>
          <w:highlight w:val="none"/>
        </w:rPr>
      </w:pPr>
      <w:r>
        <w:rPr>
          <w:rFonts w:hint="eastAsia" w:ascii="仿宋_GB2312" w:eastAsia="仿宋_GB2312" w:cs="Times New Roman"/>
          <w:b/>
          <w:color w:val="auto"/>
          <w:sz w:val="28"/>
          <w:szCs w:val="28"/>
          <w:highlight w:val="none"/>
        </w:rPr>
        <w:t>四、</w:t>
      </w:r>
      <w:r>
        <w:rPr>
          <w:rFonts w:hint="eastAsia" w:ascii="仿宋_GB2312" w:eastAsia="仿宋_GB2312" w:cs="Times New Roman"/>
          <w:b/>
          <w:bCs/>
          <w:color w:val="auto"/>
          <w:sz w:val="28"/>
          <w:szCs w:val="28"/>
          <w:highlight w:val="none"/>
        </w:rPr>
        <w:t>社会保险领域严重失信行为</w:t>
      </w:r>
    </w:p>
    <w:p w14:paraId="3CAE2CCE">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34"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749" w:name="OLE_LINK16"/>
      <w:bookmarkStart w:id="750"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749"/>
      <w:bookmarkEnd w:id="750"/>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eastAsia="仿宋_GB2312" w:cs="Times New Roman"/>
          <w:b/>
          <w:bCs/>
          <w:color w:val="auto"/>
          <w:sz w:val="28"/>
          <w:szCs w:val="28"/>
          <w:highlight w:val="none"/>
        </w:rPr>
      </w:pPr>
      <w:r>
        <w:rPr>
          <w:rFonts w:hint="eastAsia" w:ascii="仿宋_GB2312" w:eastAsia="仿宋_GB2312" w:cs="Times New Roman"/>
          <w:b/>
          <w:color w:val="auto"/>
          <w:sz w:val="28"/>
          <w:szCs w:val="28"/>
          <w:highlight w:val="none"/>
        </w:rPr>
        <w:t>五、建筑市场领域</w:t>
      </w:r>
      <w:r>
        <w:rPr>
          <w:rFonts w:hint="eastAsia" w:ascii="仿宋_GB2312"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751" w:name="OLE_LINK18"/>
      <w:bookmarkStart w:id="752" w:name="OLE_LINK17"/>
      <w:r>
        <w:rPr>
          <w:rFonts w:hint="eastAsia" w:ascii="仿宋_GB2312" w:hAnsi="Calibri" w:eastAsia="仿宋_GB2312" w:cs="Times New Roman"/>
          <w:b/>
          <w:color w:val="auto"/>
          <w:sz w:val="28"/>
          <w:szCs w:val="28"/>
          <w:highlight w:val="none"/>
        </w:rPr>
        <w:t>建筑市场信用管理暂行办法</w:t>
      </w:r>
      <w:bookmarkEnd w:id="751"/>
      <w:bookmarkEnd w:id="752"/>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eastAsia="仿宋_GB2312" w:cs="Times New Roman"/>
          <w:b/>
          <w:color w:val="auto"/>
          <w:sz w:val="28"/>
          <w:szCs w:val="28"/>
          <w:highlight w:val="none"/>
        </w:rPr>
      </w:pPr>
      <w:r>
        <w:rPr>
          <w:rFonts w:hint="eastAsia" w:ascii="仿宋_GB2312" w:eastAsia="仿宋_GB2312" w:cs="Times New Roman"/>
          <w:b/>
          <w:color w:val="auto"/>
          <w:sz w:val="28"/>
          <w:szCs w:val="28"/>
          <w:highlight w:val="none"/>
        </w:rPr>
        <w:t>六、</w:t>
      </w:r>
      <w:bookmarkStart w:id="753" w:name="OLE_LINK19"/>
      <w:bookmarkStart w:id="754" w:name="OLE_LINK20"/>
      <w:r>
        <w:rPr>
          <w:rFonts w:hint="eastAsia" w:ascii="仿宋_GB2312" w:eastAsia="仿宋_GB2312" w:cs="Times New Roman"/>
          <w:b/>
          <w:color w:val="auto"/>
          <w:sz w:val="28"/>
          <w:szCs w:val="28"/>
          <w:highlight w:val="none"/>
        </w:rPr>
        <w:t>政府采购严重失信行为</w:t>
      </w:r>
      <w:bookmarkEnd w:id="753"/>
      <w:bookmarkEnd w:id="754"/>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cs="Times New Roman"/>
          <w:b/>
          <w:color w:val="auto"/>
          <w:sz w:val="28"/>
          <w:szCs w:val="28"/>
          <w:highlight w:val="none"/>
        </w:rPr>
        <w:t>（</w:t>
      </w:r>
      <w:r>
        <w:rPr>
          <w:rFonts w:hint="eastAsia" w:ascii="Calibri" w:hAnsi="Calibri" w:cs="Times New Roman"/>
          <w:b/>
          <w:color w:val="auto"/>
          <w:sz w:val="28"/>
          <w:szCs w:val="28"/>
          <w:highlight w:val="none"/>
        </w:rPr>
        <w:t>财办库〔</w:t>
      </w:r>
      <w:r>
        <w:rPr>
          <w:rFonts w:ascii="Calibri" w:hAnsi="Calibri" w:cs="Times New Roman"/>
          <w:b/>
          <w:color w:val="auto"/>
          <w:sz w:val="28"/>
          <w:szCs w:val="28"/>
          <w:highlight w:val="none"/>
        </w:rPr>
        <w:t>201</w:t>
      </w:r>
      <w:r>
        <w:rPr>
          <w:rFonts w:hint="eastAsia" w:ascii="Calibri" w:hAnsi="Calibri" w:cs="Times New Roman"/>
          <w:b/>
          <w:color w:val="auto"/>
          <w:sz w:val="28"/>
          <w:szCs w:val="28"/>
          <w:highlight w:val="none"/>
        </w:rPr>
        <w:t>4〕526</w:t>
      </w:r>
      <w:r>
        <w:rPr>
          <w:rFonts w:ascii="Calibri" w:hAnsi="Calibri" w:cs="Times New Roman"/>
          <w:b/>
          <w:color w:val="auto"/>
          <w:sz w:val="28"/>
          <w:szCs w:val="28"/>
          <w:highlight w:val="none"/>
        </w:rPr>
        <w:t>号）</w:t>
      </w:r>
    </w:p>
    <w:p w14:paraId="0BEE5C1F">
      <w:pPr>
        <w:adjustRightInd w:val="0"/>
        <w:snapToGrid w:val="0"/>
        <w:spacing w:line="560" w:lineRule="exact"/>
        <w:rPr>
          <w:rFonts w:ascii="仿宋_GB2312" w:eastAsia="仿宋_GB2312" w:cs="Times New Roman"/>
          <w:b/>
          <w:color w:val="auto"/>
          <w:sz w:val="28"/>
          <w:szCs w:val="28"/>
          <w:highlight w:val="none"/>
        </w:rPr>
      </w:pPr>
    </w:p>
    <w:p w14:paraId="4ED497B5">
      <w:pPr>
        <w:spacing w:line="440" w:lineRule="exact"/>
        <w:ind w:right="-88" w:rightChars="-44" w:firstLine="615"/>
        <w:rPr>
          <w:rFonts w:cs="宋体"/>
          <w:bCs/>
          <w:color w:val="auto"/>
          <w:sz w:val="24"/>
          <w:highlight w:val="none"/>
        </w:rPr>
      </w:pPr>
      <w:r>
        <w:rPr>
          <w:rFonts w:hint="eastAsia" w:ascii="仿宋_GB2312" w:eastAsia="仿宋_GB2312" w:cs="Times New Roman"/>
          <w:b/>
          <w:color w:val="auto"/>
          <w:sz w:val="28"/>
          <w:szCs w:val="28"/>
          <w:highlight w:val="none"/>
        </w:rPr>
        <w:t>未列出的其他类别严重失信行为，由招标人（代理机构）根据各类别行业主管部门下发的联合惩戒文件进行判断。</w:t>
      </w:r>
    </w:p>
    <w:p w14:paraId="19A0FF50">
      <w:pPr>
        <w:spacing w:line="360" w:lineRule="auto"/>
        <w:ind w:firstLine="435"/>
        <w:rPr>
          <w:rFonts w:asciiTheme="minorEastAsia" w:hAnsiTheme="minorEastAsia" w:eastAsiaTheme="minorEastAsia"/>
          <w:color w:val="auto"/>
          <w:sz w:val="24"/>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ctionIcon">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 w:name="SourceHanSansCN-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967C951">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120</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118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118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120</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118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67">
    <w:pPr>
      <w:pStyle w:val="34"/>
      <w:jc w:val="left"/>
    </w:pPr>
    <w:r>
      <w:rPr>
        <w:rFonts w:hint="eastAsia" w:asciiTheme="minorEastAsia" w:hAnsiTheme="minorEastAsia" w:eastAsiaTheme="minorEastAsia"/>
      </w:rPr>
      <w:t>安徽省政府采购项目竞争性磋商文件示范文本（工程类）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4"/>
      <w:jc w:val="both"/>
    </w:pPr>
    <w:r>
      <w:rPr>
        <w:rFonts w:hint="eastAsia"/>
      </w:rPr>
      <w:t>安徽省政府采购项目竞争性磋商文件示范文本（</w:t>
    </w:r>
    <w:r>
      <w:rPr>
        <w:rFonts w:hint="eastAsia" w:asciiTheme="minorEastAsia" w:hAnsiTheme="minorEastAsia" w:eastAsiaTheme="minorEastAsia"/>
      </w:rPr>
      <w:t>工程类</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pPr>
    <w:r>
      <w:rPr>
        <w:rFonts w:hint="eastAsia" w:asciiTheme="minorEastAsia" w:hAnsiTheme="minorEastAsia" w:eastAsiaTheme="minorEastAsia"/>
      </w:rPr>
      <w:t>安徽省政府采购项目竞争性磋商文件示范文本（工程类）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7F7E5238"/>
    <w:multiLevelType w:val="multilevel"/>
    <w:tmpl w:val="7F7E5238"/>
    <w:lvl w:ilvl="0" w:tentative="0">
      <w:start w:val="1"/>
      <w:numFmt w:val="none"/>
      <w:pStyle w:val="17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9"/>
      <w:lvlText w:val="           "/>
      <w:lvlJc w:val="left"/>
      <w:pPr>
        <w:tabs>
          <w:tab w:val="left" w:pos="1440"/>
        </w:tabs>
        <w:ind w:left="1152" w:hanging="1152"/>
      </w:pPr>
      <w:rPr>
        <w:rFonts w:hint="eastAsia"/>
      </w:rPr>
    </w:lvl>
    <w:lvl w:ilvl="6" w:tentative="0">
      <w:start w:val="1"/>
      <w:numFmt w:val="decimal"/>
      <w:pStyle w:val="181"/>
      <w:lvlText w:val="%1.%2.%3.%4.%5.%6.%7"/>
      <w:lvlJc w:val="left"/>
      <w:pPr>
        <w:tabs>
          <w:tab w:val="left" w:pos="2520"/>
        </w:tabs>
        <w:ind w:left="1296" w:hanging="1296"/>
      </w:pPr>
      <w:rPr>
        <w:rFonts w:hint="eastAsia"/>
      </w:rPr>
    </w:lvl>
    <w:lvl w:ilvl="7" w:tentative="0">
      <w:start w:val="1"/>
      <w:numFmt w:val="decimal"/>
      <w:pStyle w:val="183"/>
      <w:lvlText w:val="%1.%2.%3.%4.%5.%6.%7.%8"/>
      <w:lvlJc w:val="left"/>
      <w:pPr>
        <w:tabs>
          <w:tab w:val="left" w:pos="1440"/>
        </w:tabs>
        <w:ind w:left="1440" w:hanging="1440"/>
      </w:pPr>
      <w:rPr>
        <w:rFonts w:hint="eastAsia"/>
      </w:rPr>
    </w:lvl>
    <w:lvl w:ilvl="8" w:tentative="0">
      <w:start w:val="1"/>
      <w:numFmt w:val="decimal"/>
      <w:pStyle w:val="185"/>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1EE6"/>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56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57B9E"/>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6033"/>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2241"/>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1117"/>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3633"/>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064C"/>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1BF5575"/>
    <w:rsid w:val="01E74ACC"/>
    <w:rsid w:val="024A681D"/>
    <w:rsid w:val="04BA0275"/>
    <w:rsid w:val="04C133B2"/>
    <w:rsid w:val="060D5ED0"/>
    <w:rsid w:val="066B5CCB"/>
    <w:rsid w:val="06E415DA"/>
    <w:rsid w:val="06EE74DB"/>
    <w:rsid w:val="06F55595"/>
    <w:rsid w:val="072015CC"/>
    <w:rsid w:val="08617CF0"/>
    <w:rsid w:val="093E5132"/>
    <w:rsid w:val="099C3247"/>
    <w:rsid w:val="09E900F9"/>
    <w:rsid w:val="0B34273F"/>
    <w:rsid w:val="0B5759D8"/>
    <w:rsid w:val="0B584B6B"/>
    <w:rsid w:val="0B9A6428"/>
    <w:rsid w:val="0BA94BA0"/>
    <w:rsid w:val="0BC76A6E"/>
    <w:rsid w:val="0BD069A1"/>
    <w:rsid w:val="0BE34556"/>
    <w:rsid w:val="0C0B76AE"/>
    <w:rsid w:val="0C695EBF"/>
    <w:rsid w:val="0C764D16"/>
    <w:rsid w:val="0D23676C"/>
    <w:rsid w:val="0D3E7892"/>
    <w:rsid w:val="0DB72352"/>
    <w:rsid w:val="0DFC12FE"/>
    <w:rsid w:val="0DFF1A91"/>
    <w:rsid w:val="0E30091C"/>
    <w:rsid w:val="0EB116DF"/>
    <w:rsid w:val="0EB9796D"/>
    <w:rsid w:val="0EBA4751"/>
    <w:rsid w:val="0ED93BBF"/>
    <w:rsid w:val="0F165216"/>
    <w:rsid w:val="0F871D69"/>
    <w:rsid w:val="0FB75ADD"/>
    <w:rsid w:val="0FC76BB7"/>
    <w:rsid w:val="0FFD3B10"/>
    <w:rsid w:val="10817E99"/>
    <w:rsid w:val="10F935A7"/>
    <w:rsid w:val="112D64BC"/>
    <w:rsid w:val="11FF1848"/>
    <w:rsid w:val="12E83133"/>
    <w:rsid w:val="13607801"/>
    <w:rsid w:val="1375778E"/>
    <w:rsid w:val="14134B52"/>
    <w:rsid w:val="14661880"/>
    <w:rsid w:val="14BF5434"/>
    <w:rsid w:val="14E43199"/>
    <w:rsid w:val="16F15C51"/>
    <w:rsid w:val="17146EEB"/>
    <w:rsid w:val="17514C51"/>
    <w:rsid w:val="176C70D1"/>
    <w:rsid w:val="17B521EA"/>
    <w:rsid w:val="18383533"/>
    <w:rsid w:val="18A232B2"/>
    <w:rsid w:val="18A85F98"/>
    <w:rsid w:val="19113232"/>
    <w:rsid w:val="19AA773C"/>
    <w:rsid w:val="1AC770B4"/>
    <w:rsid w:val="1AF06347"/>
    <w:rsid w:val="1B291D20"/>
    <w:rsid w:val="1B5B5EB7"/>
    <w:rsid w:val="1CD777BF"/>
    <w:rsid w:val="1D015171"/>
    <w:rsid w:val="1D175D9E"/>
    <w:rsid w:val="1D191BE5"/>
    <w:rsid w:val="1D3B78BE"/>
    <w:rsid w:val="1DDA43AF"/>
    <w:rsid w:val="1DEC70E9"/>
    <w:rsid w:val="1E0B00F8"/>
    <w:rsid w:val="1E112FC8"/>
    <w:rsid w:val="1EF43673"/>
    <w:rsid w:val="1F2E6A6D"/>
    <w:rsid w:val="1F672950"/>
    <w:rsid w:val="21326E5F"/>
    <w:rsid w:val="214854FE"/>
    <w:rsid w:val="21A12912"/>
    <w:rsid w:val="22C71B2A"/>
    <w:rsid w:val="237C1D35"/>
    <w:rsid w:val="241D3932"/>
    <w:rsid w:val="247E2DFD"/>
    <w:rsid w:val="24D64800"/>
    <w:rsid w:val="257F09F3"/>
    <w:rsid w:val="26312D19"/>
    <w:rsid w:val="265B0373"/>
    <w:rsid w:val="26965C54"/>
    <w:rsid w:val="274D5052"/>
    <w:rsid w:val="27906EE8"/>
    <w:rsid w:val="27E85AF1"/>
    <w:rsid w:val="27F46626"/>
    <w:rsid w:val="288E11CC"/>
    <w:rsid w:val="28A96E2F"/>
    <w:rsid w:val="29AE7AF9"/>
    <w:rsid w:val="29B518CE"/>
    <w:rsid w:val="29DB01C2"/>
    <w:rsid w:val="29FA0562"/>
    <w:rsid w:val="2A1534D2"/>
    <w:rsid w:val="2AE65071"/>
    <w:rsid w:val="2B092448"/>
    <w:rsid w:val="2B5044AE"/>
    <w:rsid w:val="2B89414F"/>
    <w:rsid w:val="2BBA1C2C"/>
    <w:rsid w:val="2BD1187D"/>
    <w:rsid w:val="2D1633EB"/>
    <w:rsid w:val="2D611D48"/>
    <w:rsid w:val="2DE24215"/>
    <w:rsid w:val="2E992065"/>
    <w:rsid w:val="2E9B1989"/>
    <w:rsid w:val="2EB60132"/>
    <w:rsid w:val="2F850E2A"/>
    <w:rsid w:val="2F8779B7"/>
    <w:rsid w:val="31966FB2"/>
    <w:rsid w:val="3215051D"/>
    <w:rsid w:val="32F64B55"/>
    <w:rsid w:val="33CB1170"/>
    <w:rsid w:val="33EA5BD2"/>
    <w:rsid w:val="33F11C81"/>
    <w:rsid w:val="34152599"/>
    <w:rsid w:val="346F60D7"/>
    <w:rsid w:val="348A4CBF"/>
    <w:rsid w:val="3544508A"/>
    <w:rsid w:val="358E07DF"/>
    <w:rsid w:val="36280C33"/>
    <w:rsid w:val="366003CD"/>
    <w:rsid w:val="368E3AA6"/>
    <w:rsid w:val="36AD04C3"/>
    <w:rsid w:val="36E71BB0"/>
    <w:rsid w:val="377A54BF"/>
    <w:rsid w:val="382235C6"/>
    <w:rsid w:val="385414FE"/>
    <w:rsid w:val="38B10136"/>
    <w:rsid w:val="38CD4FE1"/>
    <w:rsid w:val="39C11183"/>
    <w:rsid w:val="3A0379ED"/>
    <w:rsid w:val="3A0D261A"/>
    <w:rsid w:val="3B5006E0"/>
    <w:rsid w:val="3B765F9D"/>
    <w:rsid w:val="3B9B1A92"/>
    <w:rsid w:val="3C2546B9"/>
    <w:rsid w:val="3C9227B9"/>
    <w:rsid w:val="3D0D152A"/>
    <w:rsid w:val="3E1715D2"/>
    <w:rsid w:val="3FA73DCB"/>
    <w:rsid w:val="408D59ED"/>
    <w:rsid w:val="40B54BA9"/>
    <w:rsid w:val="40C003E6"/>
    <w:rsid w:val="40C33A32"/>
    <w:rsid w:val="41330BF0"/>
    <w:rsid w:val="415B43C7"/>
    <w:rsid w:val="41765884"/>
    <w:rsid w:val="41886A2A"/>
    <w:rsid w:val="418C2A9A"/>
    <w:rsid w:val="41BE41FA"/>
    <w:rsid w:val="42091919"/>
    <w:rsid w:val="425F25BC"/>
    <w:rsid w:val="431E56A8"/>
    <w:rsid w:val="43406525"/>
    <w:rsid w:val="44CC5046"/>
    <w:rsid w:val="44F243AD"/>
    <w:rsid w:val="453D665F"/>
    <w:rsid w:val="45B649C6"/>
    <w:rsid w:val="46D629D1"/>
    <w:rsid w:val="47484C91"/>
    <w:rsid w:val="47C27D6C"/>
    <w:rsid w:val="47C84024"/>
    <w:rsid w:val="47E02000"/>
    <w:rsid w:val="4838270D"/>
    <w:rsid w:val="48EC3373"/>
    <w:rsid w:val="48F007C1"/>
    <w:rsid w:val="493B64BB"/>
    <w:rsid w:val="495E0E6D"/>
    <w:rsid w:val="49CD7090"/>
    <w:rsid w:val="49D55251"/>
    <w:rsid w:val="4B1B26BD"/>
    <w:rsid w:val="4BCA036B"/>
    <w:rsid w:val="4BE87A98"/>
    <w:rsid w:val="4C1743E7"/>
    <w:rsid w:val="4C2E43AC"/>
    <w:rsid w:val="4C922779"/>
    <w:rsid w:val="4C9B0806"/>
    <w:rsid w:val="4D1460FA"/>
    <w:rsid w:val="4DED0341"/>
    <w:rsid w:val="4E5C64FB"/>
    <w:rsid w:val="4E616C92"/>
    <w:rsid w:val="4E6F2E5D"/>
    <w:rsid w:val="4F0911AA"/>
    <w:rsid w:val="4F500583"/>
    <w:rsid w:val="4F9B25B3"/>
    <w:rsid w:val="4FCE41A2"/>
    <w:rsid w:val="502B1AD6"/>
    <w:rsid w:val="508A5A0C"/>
    <w:rsid w:val="50B13DEA"/>
    <w:rsid w:val="50E53551"/>
    <w:rsid w:val="53316F22"/>
    <w:rsid w:val="5407371F"/>
    <w:rsid w:val="54C04C3F"/>
    <w:rsid w:val="55076EDB"/>
    <w:rsid w:val="557F62EE"/>
    <w:rsid w:val="565019E7"/>
    <w:rsid w:val="56755377"/>
    <w:rsid w:val="56861129"/>
    <w:rsid w:val="569861B6"/>
    <w:rsid w:val="56B6493F"/>
    <w:rsid w:val="56D26221"/>
    <w:rsid w:val="5701638D"/>
    <w:rsid w:val="57F91F71"/>
    <w:rsid w:val="580515D3"/>
    <w:rsid w:val="5809250B"/>
    <w:rsid w:val="58946959"/>
    <w:rsid w:val="589E1721"/>
    <w:rsid w:val="58B52D9A"/>
    <w:rsid w:val="59AD307A"/>
    <w:rsid w:val="59E85E60"/>
    <w:rsid w:val="5A5113C2"/>
    <w:rsid w:val="5AD22D98"/>
    <w:rsid w:val="5B1F58B2"/>
    <w:rsid w:val="5B276899"/>
    <w:rsid w:val="5B6F4E81"/>
    <w:rsid w:val="5C82259C"/>
    <w:rsid w:val="5C8F7148"/>
    <w:rsid w:val="5D5B355A"/>
    <w:rsid w:val="5D8C342A"/>
    <w:rsid w:val="5D8C4430"/>
    <w:rsid w:val="5DD82F19"/>
    <w:rsid w:val="5ECE1AC8"/>
    <w:rsid w:val="5F6103C2"/>
    <w:rsid w:val="5FCD130C"/>
    <w:rsid w:val="5FD07FE9"/>
    <w:rsid w:val="6037369D"/>
    <w:rsid w:val="60613CC2"/>
    <w:rsid w:val="607B1FFF"/>
    <w:rsid w:val="609D1752"/>
    <w:rsid w:val="60CC5C7A"/>
    <w:rsid w:val="60DD5FF3"/>
    <w:rsid w:val="611179F6"/>
    <w:rsid w:val="61737CE0"/>
    <w:rsid w:val="617A62BB"/>
    <w:rsid w:val="61B431F8"/>
    <w:rsid w:val="61D81F2F"/>
    <w:rsid w:val="62450E0A"/>
    <w:rsid w:val="6270505E"/>
    <w:rsid w:val="62A2790D"/>
    <w:rsid w:val="62EB49FC"/>
    <w:rsid w:val="632B05B6"/>
    <w:rsid w:val="638B7F88"/>
    <w:rsid w:val="63D905AD"/>
    <w:rsid w:val="645F3309"/>
    <w:rsid w:val="647A03AB"/>
    <w:rsid w:val="650A112D"/>
    <w:rsid w:val="652674EA"/>
    <w:rsid w:val="654E4D67"/>
    <w:rsid w:val="65513434"/>
    <w:rsid w:val="65872A81"/>
    <w:rsid w:val="65B46500"/>
    <w:rsid w:val="661C6940"/>
    <w:rsid w:val="661E3335"/>
    <w:rsid w:val="66A31A8D"/>
    <w:rsid w:val="66A51361"/>
    <w:rsid w:val="66E2747D"/>
    <w:rsid w:val="66F7550A"/>
    <w:rsid w:val="673047EC"/>
    <w:rsid w:val="6833421D"/>
    <w:rsid w:val="683B31A6"/>
    <w:rsid w:val="68921DB9"/>
    <w:rsid w:val="695D3EFA"/>
    <w:rsid w:val="6A445335"/>
    <w:rsid w:val="6A4B69A3"/>
    <w:rsid w:val="6A524BF2"/>
    <w:rsid w:val="6A9874AE"/>
    <w:rsid w:val="6AAD1A41"/>
    <w:rsid w:val="6B2B03FD"/>
    <w:rsid w:val="6B6A0DCB"/>
    <w:rsid w:val="6B9C347D"/>
    <w:rsid w:val="6BAC18E9"/>
    <w:rsid w:val="6C1D5E3D"/>
    <w:rsid w:val="6D2F1B21"/>
    <w:rsid w:val="6E5F172B"/>
    <w:rsid w:val="6EF54E4F"/>
    <w:rsid w:val="6F5D0B2F"/>
    <w:rsid w:val="6F6117F5"/>
    <w:rsid w:val="6F84274A"/>
    <w:rsid w:val="6F8A5598"/>
    <w:rsid w:val="6FBE314B"/>
    <w:rsid w:val="6FDC216E"/>
    <w:rsid w:val="70217AAF"/>
    <w:rsid w:val="70A0444C"/>
    <w:rsid w:val="716F2C97"/>
    <w:rsid w:val="717C17BB"/>
    <w:rsid w:val="71E7396A"/>
    <w:rsid w:val="72503B0D"/>
    <w:rsid w:val="73615E28"/>
    <w:rsid w:val="73666E5B"/>
    <w:rsid w:val="73DB0AB8"/>
    <w:rsid w:val="74251D33"/>
    <w:rsid w:val="74FC2405"/>
    <w:rsid w:val="76215A11"/>
    <w:rsid w:val="77912837"/>
    <w:rsid w:val="78373BAC"/>
    <w:rsid w:val="787F2147"/>
    <w:rsid w:val="788F7696"/>
    <w:rsid w:val="78D4376C"/>
    <w:rsid w:val="7915769B"/>
    <w:rsid w:val="79775D93"/>
    <w:rsid w:val="799B26EC"/>
    <w:rsid w:val="799F60E4"/>
    <w:rsid w:val="79DA107C"/>
    <w:rsid w:val="7A9B2C64"/>
    <w:rsid w:val="7B3F7B7E"/>
    <w:rsid w:val="7B853EC3"/>
    <w:rsid w:val="7C8B22DF"/>
    <w:rsid w:val="7CAE2B9E"/>
    <w:rsid w:val="7D18299B"/>
    <w:rsid w:val="7E2F5732"/>
    <w:rsid w:val="7E527BC8"/>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4"/>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99"/>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0"/>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next w:val="12"/>
    <w:qFormat/>
    <w:uiPriority w:val="0"/>
    <w:pPr>
      <w:snapToGrid w:val="0"/>
    </w:pPr>
    <w:rPr>
      <w:rFonts w:ascii="Arial" w:hAnsi="Arial"/>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6"/>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8"/>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5"/>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43"/>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102"/>
    <w:autoRedefine/>
    <w:unhideWhenUsed/>
    <w:qFormat/>
    <w:uiPriority w:val="0"/>
    <w:rPr>
      <w:rFonts w:ascii="宋体" w:hAnsi="宋体" w:eastAsia="宋体" w:cstheme="minorBidi"/>
      <w:b/>
      <w:bCs/>
    </w:rPr>
  </w:style>
  <w:style w:type="paragraph" w:styleId="53">
    <w:name w:val="Body Text First Indent"/>
    <w:basedOn w:val="19"/>
    <w:autoRedefine/>
    <w:semiHidden/>
    <w:unhideWhenUsed/>
    <w:qFormat/>
    <w:uiPriority w:val="99"/>
    <w:pPr>
      <w:ind w:firstLine="420" w:firstLineChars="100"/>
    </w:pPr>
  </w:style>
  <w:style w:type="paragraph" w:styleId="54">
    <w:name w:val="Body Text First Indent 2"/>
    <w:basedOn w:val="20"/>
    <w:next w:val="1"/>
    <w:qFormat/>
    <w:uiPriority w:val="0"/>
    <w:pPr>
      <w:spacing w:line="360" w:lineRule="auto"/>
      <w:ind w:firstLine="200"/>
    </w:p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semiHidden/>
    <w:unhideWhenUsed/>
    <w:uiPriority w:val="99"/>
  </w:style>
  <w:style w:type="character" w:styleId="63">
    <w:name w:val="HTML Typewriter"/>
    <w:basedOn w:val="57"/>
    <w:semiHidden/>
    <w:unhideWhenUsed/>
    <w:uiPriority w:val="99"/>
    <w:rPr>
      <w:rFonts w:ascii="monospace" w:hAnsi="monospace" w:eastAsia="monospace" w:cs="monospace"/>
      <w:sz w:val="20"/>
    </w:rPr>
  </w:style>
  <w:style w:type="character" w:styleId="64">
    <w:name w:val="HTML Acronym"/>
    <w:basedOn w:val="57"/>
    <w:semiHidden/>
    <w:unhideWhenUsed/>
    <w:uiPriority w:val="99"/>
    <w:rPr>
      <w:bdr w:val="none" w:color="auto" w:sz="0" w:space="0"/>
    </w:rPr>
  </w:style>
  <w:style w:type="character" w:styleId="65">
    <w:name w:val="HTML Variable"/>
    <w:basedOn w:val="57"/>
    <w:semiHidden/>
    <w:unhideWhenUsed/>
    <w:uiPriority w:val="99"/>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semiHidden/>
    <w:unhideWhenUsed/>
    <w:uiPriority w:val="99"/>
    <w:rPr>
      <w:rFonts w:hint="default" w:ascii="monospace" w:hAnsi="monospace" w:eastAsia="monospace" w:cs="monospace"/>
      <w:sz w:val="20"/>
      <w:bdr w:val="none" w:color="auto" w:sz="0" w:space="0"/>
    </w:rPr>
  </w:style>
  <w:style w:type="character" w:styleId="68">
    <w:name w:val="annotation reference"/>
    <w:basedOn w:val="57"/>
    <w:autoRedefine/>
    <w:unhideWhenUsed/>
    <w:qFormat/>
    <w:uiPriority w:val="0"/>
    <w:rPr>
      <w:sz w:val="21"/>
      <w:szCs w:val="21"/>
    </w:rPr>
  </w:style>
  <w:style w:type="character" w:styleId="69">
    <w:name w:val="HTML Cite"/>
    <w:basedOn w:val="57"/>
    <w:semiHidden/>
    <w:unhideWhenUsed/>
    <w:uiPriority w:val="99"/>
  </w:style>
  <w:style w:type="character" w:styleId="70">
    <w:name w:val="footnote reference"/>
    <w:autoRedefine/>
    <w:unhideWhenUsed/>
    <w:qFormat/>
    <w:uiPriority w:val="0"/>
    <w:rPr>
      <w:vertAlign w:val="superscript"/>
    </w:rPr>
  </w:style>
  <w:style w:type="character" w:styleId="71">
    <w:name w:val="HTML Keyboard"/>
    <w:basedOn w:val="57"/>
    <w:semiHidden/>
    <w:unhideWhenUsed/>
    <w:uiPriority w:val="99"/>
    <w:rPr>
      <w:rFonts w:hint="default"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paragraph" w:customStyle="1" w:styleId="7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74">
    <w:name w:val="批注框文本 Char"/>
    <w:basedOn w:val="57"/>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7"/>
    <w:link w:val="34"/>
    <w:autoRedefine/>
    <w:qFormat/>
    <w:uiPriority w:val="99"/>
    <w:rPr>
      <w:rFonts w:ascii="@仿宋_GB2312" w:hAnsi="@仿宋_GB2312" w:eastAsia="@仿宋_GB2312" w:cs="@仿宋_GB2312"/>
      <w:sz w:val="18"/>
      <w:szCs w:val="18"/>
    </w:rPr>
  </w:style>
  <w:style w:type="character" w:customStyle="1" w:styleId="79">
    <w:name w:val="页脚 Char"/>
    <w:basedOn w:val="57"/>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7"/>
    <w:autoRedefine/>
    <w:semiHidden/>
    <w:qFormat/>
    <w:uiPriority w:val="99"/>
    <w:rPr>
      <w:rFonts w:hAnsi="Courier New" w:cs="Courier New" w:asciiTheme="minorEastAsia"/>
      <w:szCs w:val="20"/>
    </w:rPr>
  </w:style>
  <w:style w:type="character" w:customStyle="1" w:styleId="82">
    <w:name w:val="未处理的提及1"/>
    <w:basedOn w:val="57"/>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7"/>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7"/>
    <w:autoRedefine/>
    <w:qFormat/>
    <w:uiPriority w:val="99"/>
    <w:rPr>
      <w:rFonts w:ascii="@仿宋_GB2312" w:hAnsi="@仿宋_GB2312" w:eastAsia="@仿宋_GB2312" w:cs="@仿宋_GB2312"/>
      <w:szCs w:val="20"/>
    </w:rPr>
  </w:style>
  <w:style w:type="character" w:customStyle="1" w:styleId="91">
    <w:name w:val="批注文字 Char1"/>
    <w:link w:val="16"/>
    <w:autoRedefine/>
    <w:qFormat/>
    <w:uiPriority w:val="99"/>
    <w:rPr>
      <w:rFonts w:ascii="Arial" w:hAnsi="Arial" w:eastAsia="黑体" w:cs="Arial"/>
      <w:szCs w:val="20"/>
    </w:rPr>
  </w:style>
  <w:style w:type="character" w:customStyle="1" w:styleId="92">
    <w:name w:val="标题 1 Char"/>
    <w:basedOn w:val="57"/>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7"/>
    <w:link w:val="4"/>
    <w:autoRedefine/>
    <w:qFormat/>
    <w:uiPriority w:val="0"/>
    <w:rPr>
      <w:rFonts w:ascii="@仿宋_GB2312" w:hAnsi="@仿宋_GB2312" w:eastAsia="@仿宋_GB2312" w:cs="@仿宋_GB2312"/>
      <w:b/>
      <w:bCs/>
      <w:sz w:val="32"/>
      <w:szCs w:val="32"/>
    </w:rPr>
  </w:style>
  <w:style w:type="character" w:customStyle="1" w:styleId="95">
    <w:name w:val="fontstyle01"/>
    <w:basedOn w:val="57"/>
    <w:autoRedefine/>
    <w:qFormat/>
    <w:uiPriority w:val="0"/>
    <w:rPr>
      <w:rFonts w:hint="eastAsia" w:ascii="宋体" w:hAnsi="宋体" w:eastAsia="宋体"/>
      <w:color w:val="000000"/>
      <w:sz w:val="22"/>
      <w:szCs w:val="22"/>
    </w:rPr>
  </w:style>
  <w:style w:type="character" w:customStyle="1" w:styleId="96">
    <w:name w:val="fontstyle21"/>
    <w:basedOn w:val="57"/>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7"/>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批注主题 Char"/>
    <w:basedOn w:val="91"/>
    <w:link w:val="52"/>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5">
    <w:name w:val="标题 2 Char"/>
    <w:basedOn w:val="57"/>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7"/>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7"/>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7"/>
    <w:link w:val="9"/>
    <w:autoRedefine/>
    <w:qFormat/>
    <w:uiPriority w:val="0"/>
    <w:rPr>
      <w:rFonts w:eastAsia="黑体" w:cs="Times New Roman"/>
      <w:kern w:val="2"/>
      <w:sz w:val="32"/>
      <w:szCs w:val="32"/>
      <w:lang w:val="zh-CN" w:eastAsia="zh-CN"/>
    </w:rPr>
  </w:style>
  <w:style w:type="character" w:customStyle="1" w:styleId="110">
    <w:name w:val="标题 9 Char"/>
    <w:basedOn w:val="57"/>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7"/>
    <w:link w:val="20"/>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7"/>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33">
    <w:name w:val="tdrownotice1"/>
    <w:autoRedefine/>
    <w:qFormat/>
    <w:uiPriority w:val="0"/>
    <w:rPr>
      <w:sz w:val="22"/>
    </w:rPr>
  </w:style>
  <w:style w:type="paragraph" w:customStyle="1" w:styleId="134">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5">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6">
    <w:name w:val="正文文本缩进 2 Char"/>
    <w:basedOn w:val="57"/>
    <w:link w:val="31"/>
    <w:autoRedefine/>
    <w:qFormat/>
    <w:uiPriority w:val="0"/>
    <w:rPr>
      <w:rFonts w:hAnsi="MS Sans Serif" w:cs="Times New Roman"/>
      <w:bCs/>
      <w:spacing w:val="12"/>
      <w:sz w:val="24"/>
      <w:lang w:val="zh-CN" w:eastAsia="zh-CN"/>
    </w:rPr>
  </w:style>
  <w:style w:type="paragraph" w:customStyle="1" w:styleId="137">
    <w:name w:val="目录"/>
    <w:basedOn w:val="1"/>
    <w:autoRedefine/>
    <w:qFormat/>
    <w:uiPriority w:val="0"/>
    <w:pPr>
      <w:widowControl/>
      <w:jc w:val="center"/>
    </w:pPr>
    <w:rPr>
      <w:rFonts w:hAnsi="Calibri" w:cs="Times New Roman"/>
      <w:b/>
      <w:sz w:val="36"/>
    </w:rPr>
  </w:style>
  <w:style w:type="paragraph" w:customStyle="1" w:styleId="138">
    <w:name w:val="目录文字"/>
    <w:basedOn w:val="1"/>
    <w:autoRedefine/>
    <w:qFormat/>
    <w:uiPriority w:val="0"/>
    <w:pPr>
      <w:widowControl/>
      <w:spacing w:line="480" w:lineRule="auto"/>
      <w:jc w:val="left"/>
    </w:pPr>
    <w:rPr>
      <w:rFonts w:cs="Times New Roman"/>
      <w:sz w:val="24"/>
    </w:rPr>
  </w:style>
  <w:style w:type="character" w:customStyle="1" w:styleId="139">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0">
    <w:name w:val="正文文本 3 Char"/>
    <w:basedOn w:val="57"/>
    <w:link w:val="18"/>
    <w:autoRedefine/>
    <w:qFormat/>
    <w:uiPriority w:val="0"/>
    <w:rPr>
      <w:rFonts w:ascii="仿宋_GB2312" w:eastAsia="仿宋_GB2312" w:cs="Times New Roman"/>
      <w:bCs/>
      <w:color w:val="000000"/>
      <w:kern w:val="2"/>
      <w:sz w:val="24"/>
      <w:szCs w:val="32"/>
      <w:lang w:val="zh-CN" w:eastAsia="zh-CN"/>
    </w:rPr>
  </w:style>
  <w:style w:type="paragraph" w:customStyle="1" w:styleId="14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3">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4">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6">
    <w:name w:val="简单回函地址"/>
    <w:basedOn w:val="1"/>
    <w:autoRedefine/>
    <w:qFormat/>
    <w:uiPriority w:val="0"/>
    <w:rPr>
      <w:rFonts w:ascii="Calibri" w:hAnsi="Calibri" w:cs="Times New Roman"/>
      <w:kern w:val="2"/>
      <w:sz w:val="21"/>
      <w:szCs w:val="22"/>
    </w:rPr>
  </w:style>
  <w:style w:type="paragraph" w:customStyle="1" w:styleId="147">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8">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9">
    <w:name w:val="t_tag"/>
    <w:basedOn w:val="57"/>
    <w:autoRedefine/>
    <w:qFormat/>
    <w:uiPriority w:val="0"/>
  </w:style>
  <w:style w:type="table" w:customStyle="1" w:styleId="150">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1">
    <w:name w:val="批注框文本 Char1"/>
    <w:basedOn w:val="57"/>
    <w:autoRedefine/>
    <w:qFormat/>
    <w:uiPriority w:val="0"/>
    <w:rPr>
      <w:rFonts w:ascii="Times New Roman" w:hAnsi="Times New Roman" w:eastAsia="宋体" w:cs="Times New Roman"/>
      <w:sz w:val="18"/>
      <w:szCs w:val="18"/>
    </w:rPr>
  </w:style>
  <w:style w:type="character" w:customStyle="1" w:styleId="152">
    <w:name w:val="批注主题 Char1"/>
    <w:basedOn w:val="91"/>
    <w:autoRedefine/>
    <w:qFormat/>
    <w:uiPriority w:val="0"/>
    <w:rPr>
      <w:rFonts w:ascii="@仿宋_GB2312" w:hAnsi="@仿宋_GB2312" w:eastAsia="@仿宋_GB2312" w:cs="@仿宋_GB2312"/>
      <w:b/>
      <w:bCs/>
      <w:szCs w:val="20"/>
    </w:rPr>
  </w:style>
  <w:style w:type="paragraph" w:customStyle="1" w:styleId="153">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4">
    <w:name w:val="文档结构图 Char"/>
    <w:basedOn w:val="57"/>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5">
    <w:name w:val="标题 1 Char1"/>
    <w:autoRedefine/>
    <w:qFormat/>
    <w:uiPriority w:val="0"/>
    <w:rPr>
      <w:rFonts w:ascii="Calibri" w:hAnsi="Calibri" w:eastAsia="宋体"/>
      <w:b/>
      <w:kern w:val="44"/>
      <w:sz w:val="44"/>
      <w:szCs w:val="44"/>
    </w:rPr>
  </w:style>
  <w:style w:type="character" w:customStyle="1" w:styleId="156">
    <w:name w:val="标题 3 Char1"/>
    <w:autoRedefine/>
    <w:semiHidden/>
    <w:qFormat/>
    <w:uiPriority w:val="0"/>
    <w:rPr>
      <w:rFonts w:ascii="Calibri" w:hAnsi="Calibri" w:eastAsia="宋体"/>
      <w:b/>
      <w:kern w:val="2"/>
      <w:sz w:val="32"/>
    </w:rPr>
  </w:style>
  <w:style w:type="character" w:customStyle="1" w:styleId="157">
    <w:name w:val="标题 4 Char1"/>
    <w:autoRedefine/>
    <w:semiHidden/>
    <w:qFormat/>
    <w:uiPriority w:val="0"/>
    <w:rPr>
      <w:rFonts w:ascii="Cambria" w:hAnsi="Cambria" w:eastAsia="宋体"/>
      <w:b/>
      <w:kern w:val="2"/>
      <w:sz w:val="28"/>
      <w:szCs w:val="28"/>
    </w:rPr>
  </w:style>
  <w:style w:type="character" w:customStyle="1" w:styleId="158">
    <w:name w:val="标题 5 Char1"/>
    <w:autoRedefine/>
    <w:semiHidden/>
    <w:qFormat/>
    <w:uiPriority w:val="0"/>
    <w:rPr>
      <w:rFonts w:ascii="Calibri" w:hAnsi="Calibri" w:eastAsia="宋体"/>
      <w:b/>
      <w:kern w:val="2"/>
      <w:sz w:val="28"/>
      <w:szCs w:val="28"/>
    </w:rPr>
  </w:style>
  <w:style w:type="character" w:customStyle="1" w:styleId="159">
    <w:name w:val="标题 6 Char1"/>
    <w:autoRedefine/>
    <w:semiHidden/>
    <w:qFormat/>
    <w:uiPriority w:val="0"/>
    <w:rPr>
      <w:rFonts w:ascii="Cambria" w:hAnsi="Cambria" w:eastAsia="宋体"/>
      <w:b/>
      <w:kern w:val="2"/>
      <w:sz w:val="24"/>
      <w:szCs w:val="24"/>
    </w:rPr>
  </w:style>
  <w:style w:type="character" w:customStyle="1" w:styleId="160">
    <w:name w:val="标题 7 Char1"/>
    <w:autoRedefine/>
    <w:semiHidden/>
    <w:qFormat/>
    <w:uiPriority w:val="0"/>
    <w:rPr>
      <w:rFonts w:ascii="Calibri" w:hAnsi="Calibri" w:eastAsia="宋体"/>
      <w:b/>
      <w:kern w:val="2"/>
      <w:sz w:val="24"/>
      <w:szCs w:val="24"/>
    </w:rPr>
  </w:style>
  <w:style w:type="character" w:customStyle="1" w:styleId="161">
    <w:name w:val="标题 8 Char1"/>
    <w:autoRedefine/>
    <w:semiHidden/>
    <w:qFormat/>
    <w:uiPriority w:val="0"/>
    <w:rPr>
      <w:rFonts w:ascii="Cambria" w:hAnsi="Cambria" w:eastAsia="宋体"/>
      <w:kern w:val="2"/>
      <w:sz w:val="24"/>
      <w:szCs w:val="24"/>
    </w:rPr>
  </w:style>
  <w:style w:type="character" w:customStyle="1" w:styleId="162">
    <w:name w:val="标题 9 Char1"/>
    <w:autoRedefine/>
    <w:semiHidden/>
    <w:qFormat/>
    <w:uiPriority w:val="0"/>
    <w:rPr>
      <w:rFonts w:ascii="Cambria" w:hAnsi="Cambria" w:eastAsia="宋体"/>
      <w:kern w:val="2"/>
      <w:sz w:val="21"/>
      <w:szCs w:val="21"/>
    </w:rPr>
  </w:style>
  <w:style w:type="paragraph" w:customStyle="1" w:styleId="163">
    <w:name w:val="MsoNormal"/>
    <w:basedOn w:val="164"/>
    <w:autoRedefine/>
    <w:qFormat/>
    <w:uiPriority w:val="0"/>
    <w:rPr>
      <w:rFonts w:ascii="Calibri" w:hAnsi="Calibri" w:eastAsia="Calibri"/>
      <w:sz w:val="21"/>
    </w:rPr>
  </w:style>
  <w:style w:type="paragraph" w:customStyle="1" w:styleId="164">
    <w:name w:val="Normal_0"/>
    <w:autoRedefine/>
    <w:qFormat/>
    <w:uiPriority w:val="0"/>
    <w:rPr>
      <w:rFonts w:ascii="Times New Roman" w:hAnsi="Times New Roman" w:eastAsia="宋体" w:cs="Times New Roman"/>
      <w:sz w:val="24"/>
      <w:szCs w:val="24"/>
      <w:lang w:val="en-US" w:eastAsia="zh-CN" w:bidi="ar-SA"/>
    </w:rPr>
  </w:style>
  <w:style w:type="paragraph" w:customStyle="1" w:styleId="165">
    <w:name w:val="标题 2_0"/>
    <w:basedOn w:val="166"/>
    <w:next w:val="167"/>
    <w:link w:val="168"/>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标题 2 Char_0"/>
    <w:link w:val="165"/>
    <w:autoRedefine/>
    <w:qFormat/>
    <w:uiPriority w:val="0"/>
    <w:rPr>
      <w:rFonts w:ascii="黑体" w:eastAsia="黑体" w:cs="Times New Roman"/>
      <w:b/>
      <w:smallCaps/>
      <w:snapToGrid w:val="0"/>
      <w:sz w:val="36"/>
      <w:szCs w:val="24"/>
      <w:lang w:val="zh-CN" w:eastAsia="zh-CN"/>
    </w:rPr>
  </w:style>
  <w:style w:type="paragraph" w:customStyle="1" w:styleId="169">
    <w:name w:val="纯文本_0"/>
    <w:basedOn w:val="167"/>
    <w:link w:val="170"/>
    <w:autoRedefine/>
    <w:qFormat/>
    <w:uiPriority w:val="99"/>
    <w:rPr>
      <w:rFonts w:ascii="宋体" w:hAnsi="Courier New"/>
      <w:szCs w:val="21"/>
    </w:rPr>
  </w:style>
  <w:style w:type="character" w:customStyle="1" w:styleId="170">
    <w:name w:val="Texte Char1"/>
    <w:link w:val="169"/>
    <w:autoRedefine/>
    <w:qFormat/>
    <w:uiPriority w:val="99"/>
    <w:rPr>
      <w:rFonts w:hAnsi="Courier New" w:cs="Times New Roman"/>
      <w:kern w:val="2"/>
      <w:sz w:val="21"/>
      <w:szCs w:val="21"/>
    </w:rPr>
  </w:style>
  <w:style w:type="paragraph" w:customStyle="1" w:styleId="171">
    <w:name w:val="纯文本_1"/>
    <w:basedOn w:val="172"/>
    <w:link w:val="173"/>
    <w:autoRedefine/>
    <w:qFormat/>
    <w:uiPriority w:val="0"/>
    <w:rPr>
      <w:rFonts w:ascii="宋体" w:hAnsi="Courier New"/>
      <w:szCs w:val="21"/>
      <w:lang w:val="zh-CN"/>
    </w:rPr>
  </w:style>
  <w:style w:type="paragraph" w:customStyle="1" w:styleId="17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纯文本 Char1_0"/>
    <w:link w:val="171"/>
    <w:autoRedefine/>
    <w:qFormat/>
    <w:uiPriority w:val="0"/>
    <w:rPr>
      <w:rFonts w:hAnsi="Courier New" w:cs="Times New Roman"/>
      <w:kern w:val="2"/>
      <w:sz w:val="21"/>
      <w:szCs w:val="21"/>
      <w:lang w:val="zh-CN" w:eastAsia="zh-CN"/>
    </w:rPr>
  </w:style>
  <w:style w:type="paragraph" w:customStyle="1" w:styleId="174">
    <w:name w:val="标题 3_0"/>
    <w:basedOn w:val="175"/>
    <w:next w:val="176"/>
    <w:link w:val="187"/>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缩进_0"/>
    <w:basedOn w:val="175"/>
    <w:autoRedefine/>
    <w:unhideWhenUsed/>
    <w:qFormat/>
    <w:uiPriority w:val="0"/>
    <w:pPr>
      <w:ind w:firstLine="420" w:firstLineChars="200"/>
    </w:pPr>
    <w:rPr>
      <w:rFonts w:ascii="Calibri" w:hAnsi="Calibri"/>
      <w:bCs/>
      <w:szCs w:val="32"/>
    </w:rPr>
  </w:style>
  <w:style w:type="paragraph" w:customStyle="1" w:styleId="177">
    <w:name w:val="标题 1_0"/>
    <w:basedOn w:val="175"/>
    <w:next w:val="175"/>
    <w:link w:val="178"/>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8">
    <w:name w:val="标题 1 Char_0"/>
    <w:link w:val="177"/>
    <w:autoRedefine/>
    <w:qFormat/>
    <w:uiPriority w:val="0"/>
    <w:rPr>
      <w:rFonts w:ascii="黑体" w:hAnsi="Times New Roman" w:eastAsia="黑体" w:cs="Times New Roman"/>
      <w:sz w:val="52"/>
      <w:lang w:val="zh-CN" w:eastAsia="zh-CN"/>
    </w:rPr>
  </w:style>
  <w:style w:type="paragraph" w:customStyle="1" w:styleId="179">
    <w:name w:val="标题 6_0"/>
    <w:basedOn w:val="175"/>
    <w:next w:val="175"/>
    <w:link w:val="180"/>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0">
    <w:name w:val="标题 6 Char_0"/>
    <w:link w:val="179"/>
    <w:autoRedefine/>
    <w:qFormat/>
    <w:uiPriority w:val="0"/>
    <w:rPr>
      <w:rFonts w:ascii="Arial" w:hAnsi="Arial" w:eastAsia="黑体" w:cs="Times New Roman"/>
      <w:b/>
      <w:bCs/>
      <w:sz w:val="24"/>
      <w:szCs w:val="24"/>
      <w:lang w:val="zh-CN" w:eastAsia="zh-CN"/>
    </w:rPr>
  </w:style>
  <w:style w:type="paragraph" w:customStyle="1" w:styleId="181">
    <w:name w:val="标题 7_0"/>
    <w:basedOn w:val="175"/>
    <w:next w:val="175"/>
    <w:link w:val="182"/>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2">
    <w:name w:val="标题 7 Char_0"/>
    <w:link w:val="181"/>
    <w:autoRedefine/>
    <w:qFormat/>
    <w:uiPriority w:val="0"/>
    <w:rPr>
      <w:rFonts w:ascii="Times New Roman" w:hAnsi="Times New Roman" w:cs="Times New Roman"/>
      <w:b/>
      <w:bCs/>
      <w:sz w:val="24"/>
      <w:szCs w:val="24"/>
      <w:lang w:val="zh-CN" w:eastAsia="zh-CN"/>
    </w:rPr>
  </w:style>
  <w:style w:type="paragraph" w:customStyle="1" w:styleId="183">
    <w:name w:val="标题 8_0"/>
    <w:basedOn w:val="175"/>
    <w:next w:val="175"/>
    <w:link w:val="184"/>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4">
    <w:name w:val="标题 8 Char_0"/>
    <w:link w:val="183"/>
    <w:autoRedefine/>
    <w:qFormat/>
    <w:uiPriority w:val="0"/>
    <w:rPr>
      <w:rFonts w:ascii="Arial" w:hAnsi="Arial" w:eastAsia="黑体" w:cs="Times New Roman"/>
      <w:sz w:val="24"/>
      <w:szCs w:val="24"/>
      <w:lang w:val="zh-CN" w:eastAsia="zh-CN"/>
    </w:rPr>
  </w:style>
  <w:style w:type="paragraph" w:customStyle="1" w:styleId="185">
    <w:name w:val="标题 9_0"/>
    <w:basedOn w:val="175"/>
    <w:next w:val="175"/>
    <w:link w:val="186"/>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6">
    <w:name w:val="标题 9 Char_0"/>
    <w:link w:val="185"/>
    <w:autoRedefine/>
    <w:qFormat/>
    <w:uiPriority w:val="0"/>
    <w:rPr>
      <w:rFonts w:ascii="Arial" w:hAnsi="Arial" w:eastAsia="黑体" w:cs="Times New Roman"/>
      <w:sz w:val="21"/>
      <w:szCs w:val="21"/>
      <w:lang w:val="zh-CN" w:eastAsia="zh-CN"/>
    </w:rPr>
  </w:style>
  <w:style w:type="character" w:customStyle="1" w:styleId="187">
    <w:name w:val="标题 3 Char_0"/>
    <w:link w:val="174"/>
    <w:autoRedefine/>
    <w:qFormat/>
    <w:uiPriority w:val="0"/>
    <w:rPr>
      <w:rFonts w:ascii="Times New Roman" w:hAnsi="Times New Roman" w:cs="Times New Roman"/>
      <w:b/>
      <w:sz w:val="32"/>
      <w:lang w:val="zh-CN" w:eastAsia="zh-CN"/>
    </w:rPr>
  </w:style>
  <w:style w:type="paragraph" w:customStyle="1" w:styleId="188">
    <w:name w:val="Blockquote_0"/>
    <w:basedOn w:val="175"/>
    <w:link w:val="189"/>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9">
    <w:name w:val="Blockquote Char_0"/>
    <w:link w:val="188"/>
    <w:autoRedefine/>
    <w:qFormat/>
    <w:locked/>
    <w:uiPriority w:val="0"/>
    <w:rPr>
      <w:rFonts w:ascii="Times New Roman" w:hAnsi="Times New Roman" w:cs="Times New Roman"/>
      <w:sz w:val="24"/>
      <w:lang w:val="zh-CN" w:eastAsia="zh-CN"/>
    </w:rPr>
  </w:style>
  <w:style w:type="paragraph" w:customStyle="1" w:styleId="190">
    <w:name w:val="标题 4_0"/>
    <w:basedOn w:val="175"/>
    <w:next w:val="175"/>
    <w:link w:val="191"/>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1">
    <w:name w:val="标题 4 Char_0"/>
    <w:link w:val="190"/>
    <w:autoRedefine/>
    <w:qFormat/>
    <w:uiPriority w:val="0"/>
    <w:rPr>
      <w:rFonts w:ascii="Arial" w:hAnsi="Arial" w:eastAsia="黑体" w:cs="Times New Roman"/>
      <w:sz w:val="28"/>
      <w:lang w:val="zh-CN" w:eastAsia="zh-CN"/>
    </w:rPr>
  </w:style>
  <w:style w:type="paragraph" w:customStyle="1" w:styleId="192">
    <w:name w:val="纯文本_2"/>
    <w:basedOn w:val="175"/>
    <w:link w:val="193"/>
    <w:autoRedefine/>
    <w:qFormat/>
    <w:uiPriority w:val="0"/>
    <w:rPr>
      <w:rFonts w:ascii="宋体" w:hAnsi="Courier New"/>
      <w:szCs w:val="21"/>
      <w:lang w:val="zh-CN"/>
    </w:rPr>
  </w:style>
  <w:style w:type="character" w:customStyle="1" w:styleId="193">
    <w:name w:val="纯文本 Char1_1"/>
    <w:link w:val="192"/>
    <w:autoRedefine/>
    <w:qFormat/>
    <w:uiPriority w:val="0"/>
    <w:rPr>
      <w:rFonts w:hAnsi="Courier New" w:cs="Times New Roman"/>
      <w:kern w:val="2"/>
      <w:sz w:val="21"/>
      <w:szCs w:val="21"/>
      <w:lang w:val="zh-CN" w:eastAsia="zh-CN"/>
    </w:rPr>
  </w:style>
  <w:style w:type="paragraph" w:customStyle="1" w:styleId="194">
    <w:name w:val="Blockquote_0_1"/>
    <w:basedOn w:val="195"/>
    <w:link w:val="196"/>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Blockquote Char_0_1"/>
    <w:link w:val="194"/>
    <w:autoRedefine/>
    <w:qFormat/>
    <w:locked/>
    <w:uiPriority w:val="0"/>
    <w:rPr>
      <w:rFonts w:ascii="Times New Roman" w:hAnsi="Times New Roman" w:cs="Times New Roman"/>
      <w:sz w:val="24"/>
      <w:lang w:val="zh-CN" w:eastAsia="zh-CN"/>
    </w:rPr>
  </w:style>
  <w:style w:type="paragraph" w:customStyle="1" w:styleId="197">
    <w:name w:val="正文文本_0"/>
    <w:basedOn w:val="175"/>
    <w:link w:val="198"/>
    <w:autoRedefine/>
    <w:qFormat/>
    <w:uiPriority w:val="0"/>
    <w:pPr>
      <w:spacing w:after="120"/>
    </w:pPr>
    <w:rPr>
      <w:lang w:val="zh-CN"/>
    </w:rPr>
  </w:style>
  <w:style w:type="character" w:customStyle="1" w:styleId="198">
    <w:name w:val="正文文本 Char_0"/>
    <w:link w:val="197"/>
    <w:autoRedefine/>
    <w:qFormat/>
    <w:uiPriority w:val="0"/>
    <w:rPr>
      <w:rFonts w:ascii="Times New Roman" w:hAnsi="Times New Roman" w:cs="Times New Roman"/>
      <w:kern w:val="2"/>
      <w:sz w:val="21"/>
      <w:szCs w:val="24"/>
      <w:lang w:val="zh-CN" w:eastAsia="zh-CN"/>
    </w:rPr>
  </w:style>
  <w:style w:type="paragraph" w:customStyle="1" w:styleId="199">
    <w:name w:val="普通(网站)_0"/>
    <w:basedOn w:val="175"/>
    <w:autoRedefine/>
    <w:qFormat/>
    <w:uiPriority w:val="0"/>
    <w:pPr>
      <w:widowControl/>
      <w:spacing w:before="100" w:beforeAutospacing="1" w:after="100" w:afterAutospacing="1"/>
      <w:jc w:val="left"/>
    </w:pPr>
    <w:rPr>
      <w:rFonts w:ascii="宋体" w:hAnsi="宋体"/>
      <w:kern w:val="0"/>
      <w:sz w:val="24"/>
    </w:rPr>
  </w:style>
  <w:style w:type="paragraph" w:customStyle="1" w:styleId="20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脚注文本_0"/>
    <w:basedOn w:val="124"/>
    <w:link w:val="203"/>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3">
    <w:name w:val="脚注文本 Char_0"/>
    <w:link w:val="202"/>
    <w:autoRedefine/>
    <w:qFormat/>
    <w:uiPriority w:val="0"/>
    <w:rPr>
      <w:rFonts w:ascii="Times New Roman" w:hAnsi="Times New Roman" w:cs="Times New Roman"/>
      <w:sz w:val="18"/>
      <w:lang w:val="zh-CN" w:eastAsia="zh-CN"/>
    </w:rPr>
  </w:style>
  <w:style w:type="paragraph" w:customStyle="1" w:styleId="204">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0">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3">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6">
    <w:name w:val="Char Char Char Char Char"/>
    <w:basedOn w:val="1"/>
    <w:autoRedefine/>
    <w:qFormat/>
    <w:uiPriority w:val="0"/>
    <w:rPr>
      <w:rFonts w:ascii="Tahoma" w:hAnsi="Tahoma" w:cs="Times New Roman"/>
      <w:kern w:val="2"/>
      <w:sz w:val="24"/>
    </w:rPr>
  </w:style>
  <w:style w:type="paragraph" w:customStyle="1" w:styleId="227">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8">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9">
    <w:name w:val="Char Char"/>
    <w:autoRedefine/>
    <w:qFormat/>
    <w:uiPriority w:val="0"/>
    <w:rPr>
      <w:rFonts w:ascii="宋体" w:hAnsi="Courier New" w:eastAsia="宋体" w:cs="Courier New"/>
      <w:kern w:val="2"/>
      <w:sz w:val="21"/>
      <w:szCs w:val="21"/>
      <w:lang w:val="en-US" w:eastAsia="zh-CN" w:bidi="ar-SA"/>
    </w:rPr>
  </w:style>
  <w:style w:type="character" w:customStyle="1" w:styleId="230">
    <w:name w:val="标题4 Char Char"/>
    <w:link w:val="231"/>
    <w:autoRedefine/>
    <w:qFormat/>
    <w:uiPriority w:val="0"/>
    <w:rPr>
      <w:rFonts w:ascii="Arial" w:hAnsi="Arial"/>
      <w:b/>
      <w:bCs/>
      <w:sz w:val="24"/>
      <w:szCs w:val="32"/>
    </w:rPr>
  </w:style>
  <w:style w:type="paragraph" w:customStyle="1" w:styleId="231">
    <w:name w:val="标题4"/>
    <w:basedOn w:val="3"/>
    <w:next w:val="25"/>
    <w:link w:val="230"/>
    <w:autoRedefine/>
    <w:qFormat/>
    <w:uiPriority w:val="0"/>
    <w:pPr>
      <w:spacing w:before="0" w:after="0" w:line="413" w:lineRule="auto"/>
    </w:pPr>
    <w:rPr>
      <w:rFonts w:ascii="Arial" w:hAnsi="Arial" w:cstheme="minorBidi"/>
      <w:kern w:val="0"/>
      <w:sz w:val="24"/>
      <w:lang w:val="en-US"/>
    </w:rPr>
  </w:style>
  <w:style w:type="character" w:customStyle="1" w:styleId="232">
    <w:name w:val="明显引用 Char"/>
    <w:link w:val="233"/>
    <w:autoRedefine/>
    <w:qFormat/>
    <w:uiPriority w:val="0"/>
    <w:rPr>
      <w:b/>
      <w:bCs/>
      <w:i/>
      <w:iCs/>
      <w:color w:val="4F81BD"/>
    </w:rPr>
  </w:style>
  <w:style w:type="paragraph" w:styleId="233">
    <w:name w:val="Intense Quote"/>
    <w:basedOn w:val="1"/>
    <w:next w:val="1"/>
    <w:link w:val="232"/>
    <w:autoRedefine/>
    <w:qFormat/>
    <w:uiPriority w:val="0"/>
    <w:pPr>
      <w:pBdr>
        <w:bottom w:val="single" w:color="4F81BD" w:themeColor="accent1" w:sz="4" w:space="4"/>
      </w:pBdr>
      <w:spacing w:before="200" w:after="280"/>
      <w:ind w:left="936" w:right="936"/>
    </w:pPr>
    <w:rPr>
      <w:b/>
      <w:bCs/>
      <w:i/>
      <w:iCs/>
      <w:color w:val="4F81BD"/>
    </w:rPr>
  </w:style>
  <w:style w:type="paragraph" w:customStyle="1" w:styleId="234">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5">
    <w:name w:val="明显引用 Char1"/>
    <w:basedOn w:val="57"/>
    <w:autoRedefine/>
    <w:qFormat/>
    <w:uiPriority w:val="30"/>
    <w:rPr>
      <w:rFonts w:ascii="Times New Roman" w:hAnsi="Times New Roman" w:eastAsia="宋体" w:cs="Times New Roman"/>
      <w:i/>
      <w:iCs/>
      <w:color w:val="5B9BD5"/>
      <w:szCs w:val="24"/>
    </w:rPr>
  </w:style>
  <w:style w:type="character" w:customStyle="1" w:styleId="236">
    <w:name w:val="标题5 Char Char"/>
    <w:link w:val="237"/>
    <w:autoRedefine/>
    <w:qFormat/>
    <w:uiPriority w:val="0"/>
    <w:rPr>
      <w:rFonts w:ascii="Arial" w:hAnsi="Arial"/>
      <w:b/>
      <w:bCs/>
      <w:sz w:val="24"/>
      <w:szCs w:val="32"/>
    </w:rPr>
  </w:style>
  <w:style w:type="paragraph" w:customStyle="1" w:styleId="237">
    <w:name w:val="标题5"/>
    <w:basedOn w:val="4"/>
    <w:link w:val="236"/>
    <w:autoRedefine/>
    <w:qFormat/>
    <w:uiPriority w:val="0"/>
    <w:pPr>
      <w:spacing w:line="413" w:lineRule="auto"/>
      <w:jc w:val="left"/>
    </w:pPr>
    <w:rPr>
      <w:rFonts w:ascii="Arial" w:hAnsi="Arial"/>
      <w:sz w:val="24"/>
    </w:rPr>
  </w:style>
  <w:style w:type="character" w:customStyle="1" w:styleId="238">
    <w:name w:val="引用 Char"/>
    <w:link w:val="239"/>
    <w:autoRedefine/>
    <w:qFormat/>
    <w:uiPriority w:val="0"/>
    <w:rPr>
      <w:i/>
      <w:iCs/>
      <w:color w:val="000000"/>
    </w:rPr>
  </w:style>
  <w:style w:type="paragraph" w:styleId="239">
    <w:name w:val="Quote"/>
    <w:basedOn w:val="1"/>
    <w:next w:val="1"/>
    <w:link w:val="238"/>
    <w:autoRedefine/>
    <w:qFormat/>
    <w:uiPriority w:val="0"/>
    <w:rPr>
      <w:i/>
      <w:iCs/>
      <w:color w:val="000000"/>
    </w:rPr>
  </w:style>
  <w:style w:type="paragraph" w:customStyle="1" w:styleId="240">
    <w:name w:val="引用1"/>
    <w:basedOn w:val="1"/>
    <w:next w:val="1"/>
    <w:autoRedefine/>
    <w:qFormat/>
    <w:uiPriority w:val="0"/>
    <w:rPr>
      <w:rFonts w:ascii="Calibri" w:hAnsi="Calibri" w:cs="Times New Roman"/>
      <w:i/>
      <w:iCs/>
      <w:color w:val="000000"/>
      <w:kern w:val="2"/>
      <w:sz w:val="21"/>
      <w:szCs w:val="22"/>
    </w:rPr>
  </w:style>
  <w:style w:type="character" w:customStyle="1" w:styleId="241">
    <w:name w:val="引用 Char1"/>
    <w:basedOn w:val="57"/>
    <w:autoRedefine/>
    <w:qFormat/>
    <w:uiPriority w:val="29"/>
    <w:rPr>
      <w:rFonts w:ascii="Times New Roman" w:hAnsi="Times New Roman" w:eastAsia="宋体" w:cs="Times New Roman"/>
      <w:i/>
      <w:iCs/>
      <w:color w:val="404040"/>
      <w:szCs w:val="24"/>
    </w:rPr>
  </w:style>
  <w:style w:type="character" w:customStyle="1" w:styleId="242">
    <w:name w:val="ask-title2"/>
    <w:autoRedefine/>
    <w:qFormat/>
    <w:uiPriority w:val="0"/>
  </w:style>
  <w:style w:type="character" w:customStyle="1" w:styleId="243">
    <w:name w:val="正文文本 Char1"/>
    <w:autoRedefine/>
    <w:qFormat/>
    <w:uiPriority w:val="0"/>
    <w:rPr>
      <w:kern w:val="2"/>
      <w:sz w:val="21"/>
      <w:szCs w:val="22"/>
    </w:rPr>
  </w:style>
  <w:style w:type="character" w:customStyle="1" w:styleId="244">
    <w:name w:val="不明显强调1"/>
    <w:autoRedefine/>
    <w:qFormat/>
    <w:uiPriority w:val="0"/>
    <w:rPr>
      <w:i/>
      <w:iCs/>
      <w:color w:val="808080"/>
    </w:rPr>
  </w:style>
  <w:style w:type="character" w:customStyle="1" w:styleId="245">
    <w:name w:val="明显参考1"/>
    <w:autoRedefine/>
    <w:qFormat/>
    <w:uiPriority w:val="0"/>
    <w:rPr>
      <w:b/>
      <w:bCs/>
      <w:smallCaps/>
      <w:color w:val="C0504D"/>
      <w:spacing w:val="5"/>
      <w:u w:val="single"/>
    </w:rPr>
  </w:style>
  <w:style w:type="character" w:customStyle="1" w:styleId="246">
    <w:name w:val="书籍标题1"/>
    <w:autoRedefine/>
    <w:qFormat/>
    <w:uiPriority w:val="0"/>
    <w:rPr>
      <w:b/>
      <w:bCs/>
      <w:smallCaps/>
      <w:spacing w:val="5"/>
    </w:rPr>
  </w:style>
  <w:style w:type="character" w:customStyle="1" w:styleId="247">
    <w:name w:val="日期 Char1"/>
    <w:autoRedefine/>
    <w:qFormat/>
    <w:uiPriority w:val="0"/>
    <w:rPr>
      <w:kern w:val="2"/>
      <w:sz w:val="21"/>
      <w:szCs w:val="22"/>
    </w:rPr>
  </w:style>
  <w:style w:type="character" w:customStyle="1" w:styleId="248">
    <w:name w:val="明显强调1"/>
    <w:autoRedefine/>
    <w:qFormat/>
    <w:uiPriority w:val="0"/>
    <w:rPr>
      <w:b/>
      <w:bCs/>
      <w:i/>
      <w:iCs/>
      <w:color w:val="4F81BD"/>
    </w:rPr>
  </w:style>
  <w:style w:type="character" w:customStyle="1" w:styleId="249">
    <w:name w:val="textcontents"/>
    <w:autoRedefine/>
    <w:qFormat/>
    <w:uiPriority w:val="0"/>
    <w:rPr>
      <w:rFonts w:cs="Times New Roman"/>
    </w:rPr>
  </w:style>
  <w:style w:type="character" w:customStyle="1" w:styleId="250">
    <w:name w:val="不明显参考1"/>
    <w:autoRedefine/>
    <w:qFormat/>
    <w:uiPriority w:val="0"/>
    <w:rPr>
      <w:smallCaps/>
      <w:color w:val="C0504D"/>
      <w:u w:val="single"/>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文档结构图 Char1"/>
    <w:autoRedefine/>
    <w:qFormat/>
    <w:uiPriority w:val="0"/>
    <w:rPr>
      <w:rFonts w:ascii="宋体"/>
      <w:kern w:val="2"/>
      <w:sz w:val="18"/>
      <w:szCs w:val="18"/>
    </w:rPr>
  </w:style>
  <w:style w:type="paragraph" w:customStyle="1" w:styleId="25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4">
    <w:name w:val="页脚 Char1"/>
    <w:autoRedefine/>
    <w:semiHidden/>
    <w:qFormat/>
    <w:uiPriority w:val="99"/>
    <w:rPr>
      <w:kern w:val="2"/>
      <w:sz w:val="18"/>
      <w:szCs w:val="18"/>
    </w:rPr>
  </w:style>
  <w:style w:type="character" w:customStyle="1" w:styleId="255">
    <w:name w:val="批注框文本 Char2"/>
    <w:autoRedefine/>
    <w:semiHidden/>
    <w:qFormat/>
    <w:uiPriority w:val="99"/>
    <w:rPr>
      <w:kern w:val="2"/>
      <w:sz w:val="18"/>
      <w:szCs w:val="18"/>
    </w:rPr>
  </w:style>
  <w:style w:type="character" w:customStyle="1" w:styleId="256">
    <w:name w:val="批注主题 Char2"/>
    <w:autoRedefine/>
    <w:semiHidden/>
    <w:qFormat/>
    <w:uiPriority w:val="99"/>
    <w:rPr>
      <w:b/>
      <w:bCs/>
      <w:kern w:val="2"/>
      <w:sz w:val="21"/>
      <w:szCs w:val="22"/>
    </w:rPr>
  </w:style>
  <w:style w:type="character" w:customStyle="1" w:styleId="257">
    <w:name w:val="文档结构图 Char2"/>
    <w:autoRedefine/>
    <w:semiHidden/>
    <w:qFormat/>
    <w:uiPriority w:val="99"/>
    <w:rPr>
      <w:rFonts w:ascii="宋体"/>
      <w:kern w:val="2"/>
      <w:sz w:val="18"/>
      <w:szCs w:val="18"/>
    </w:rPr>
  </w:style>
  <w:style w:type="character" w:customStyle="1" w:styleId="258">
    <w:name w:val="页眉 Char1"/>
    <w:autoRedefine/>
    <w:semiHidden/>
    <w:qFormat/>
    <w:uiPriority w:val="99"/>
    <w:rPr>
      <w:kern w:val="2"/>
      <w:sz w:val="18"/>
      <w:szCs w:val="18"/>
    </w:rPr>
  </w:style>
  <w:style w:type="character" w:customStyle="1" w:styleId="259">
    <w:name w:val="日期 Char2"/>
    <w:autoRedefine/>
    <w:semiHidden/>
    <w:qFormat/>
    <w:uiPriority w:val="99"/>
    <w:rPr>
      <w:kern w:val="2"/>
      <w:sz w:val="21"/>
      <w:szCs w:val="22"/>
    </w:rPr>
  </w:style>
  <w:style w:type="character" w:customStyle="1" w:styleId="260">
    <w:name w:val="正文文本 Char2"/>
    <w:autoRedefine/>
    <w:semiHidden/>
    <w:qFormat/>
    <w:uiPriority w:val="99"/>
    <w:rPr>
      <w:kern w:val="2"/>
      <w:sz w:val="21"/>
      <w:szCs w:val="22"/>
    </w:rPr>
  </w:style>
  <w:style w:type="character" w:customStyle="1" w:styleId="261">
    <w:name w:val="标题 Char1"/>
    <w:autoRedefine/>
    <w:qFormat/>
    <w:uiPriority w:val="10"/>
    <w:rPr>
      <w:rFonts w:ascii="Cambria" w:hAnsi="Cambria" w:cs="Times New Roman"/>
      <w:b/>
      <w:bCs/>
      <w:kern w:val="2"/>
      <w:sz w:val="32"/>
      <w:szCs w:val="32"/>
    </w:rPr>
  </w:style>
  <w:style w:type="character" w:customStyle="1" w:styleId="262">
    <w:name w:val="副标题 Char1"/>
    <w:autoRedefine/>
    <w:qFormat/>
    <w:uiPriority w:val="11"/>
    <w:rPr>
      <w:rFonts w:ascii="Cambria" w:hAnsi="Cambria" w:cs="Times New Roman"/>
      <w:b/>
      <w:bCs/>
      <w:kern w:val="28"/>
      <w:sz w:val="32"/>
      <w:szCs w:val="32"/>
    </w:rPr>
  </w:style>
  <w:style w:type="paragraph" w:customStyle="1" w:styleId="263">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6">
    <w:name w:val="正文2 Char"/>
    <w:link w:val="267"/>
    <w:autoRedefine/>
    <w:qFormat/>
    <w:uiPriority w:val="0"/>
    <w:rPr>
      <w:rFonts w:ascii="楷体" w:eastAsia="楷体"/>
      <w:b/>
      <w:color w:val="0000FF"/>
    </w:rPr>
  </w:style>
  <w:style w:type="paragraph" w:customStyle="1" w:styleId="267">
    <w:name w:val="正文2"/>
    <w:link w:val="266"/>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8">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9">
    <w:name w:val="正文文本 (2)_"/>
    <w:link w:val="270"/>
    <w:autoRedefine/>
    <w:qFormat/>
    <w:locked/>
    <w:uiPriority w:val="99"/>
    <w:rPr>
      <w:rFonts w:ascii="MingLiU" w:eastAsia="MingLiU" w:cs="MingLiU"/>
      <w:spacing w:val="20"/>
      <w:sz w:val="22"/>
      <w:shd w:val="clear" w:color="auto" w:fill="FFFFFF"/>
    </w:rPr>
  </w:style>
  <w:style w:type="paragraph" w:customStyle="1" w:styleId="270">
    <w:name w:val="正文文本 (2)1"/>
    <w:basedOn w:val="1"/>
    <w:link w:val="269"/>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1">
    <w:name w:val="正文文本 (2) + 间距 0 pt5"/>
    <w:autoRedefine/>
    <w:qFormat/>
    <w:uiPriority w:val="99"/>
    <w:rPr>
      <w:rFonts w:ascii="MingLiU" w:eastAsia="MingLiU" w:cs="MingLiU"/>
      <w:spacing w:val="0"/>
      <w:sz w:val="22"/>
      <w:shd w:val="clear" w:color="auto" w:fill="FFFFFF"/>
    </w:rPr>
  </w:style>
  <w:style w:type="character" w:customStyle="1" w:styleId="272">
    <w:name w:val="访问过的超链接1"/>
    <w:basedOn w:val="57"/>
    <w:autoRedefine/>
    <w:semiHidden/>
    <w:unhideWhenUsed/>
    <w:qFormat/>
    <w:uiPriority w:val="99"/>
    <w:rPr>
      <w:color w:val="954F72"/>
      <w:u w:val="single"/>
    </w:rPr>
  </w:style>
  <w:style w:type="character" w:customStyle="1" w:styleId="273">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4">
    <w:name w:val="引用 Char2"/>
    <w:basedOn w:val="57"/>
    <w:autoRedefine/>
    <w:qFormat/>
    <w:uiPriority w:val="29"/>
    <w:rPr>
      <w:i/>
      <w:iCs/>
      <w:color w:val="000000" w:themeColor="text1"/>
      <w14:textFill>
        <w14:solidFill>
          <w14:schemeClr w14:val="tx1"/>
        </w14:solidFill>
      </w14:textFill>
    </w:rPr>
  </w:style>
  <w:style w:type="table" w:customStyle="1" w:styleId="275">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Table Text"/>
    <w:basedOn w:val="1"/>
    <w:autoRedefine/>
    <w:semiHidden/>
    <w:qFormat/>
    <w:uiPriority w:val="0"/>
    <w:rPr>
      <w:rFonts w:ascii="Arial" w:hAnsi="Arial" w:eastAsia="Arial" w:cs="Arial"/>
      <w:sz w:val="21"/>
      <w:szCs w:val="21"/>
      <w:lang w:eastAsia="en-US"/>
    </w:rPr>
  </w:style>
  <w:style w:type="character" w:customStyle="1" w:styleId="278">
    <w:name w:val="NormalCharacter"/>
    <w:qFormat/>
    <w:uiPriority w:val="0"/>
    <w:rPr>
      <w:kern w:val="2"/>
      <w:sz w:val="21"/>
      <w:szCs w:val="24"/>
      <w:lang w:val="en-US" w:eastAsia="zh-CN" w:bidi="ar-SA"/>
    </w:rPr>
  </w:style>
  <w:style w:type="paragraph" w:customStyle="1" w:styleId="27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80">
    <w:name w:val="hover"/>
    <w:basedOn w:val="57"/>
    <w:uiPriority w:val="0"/>
    <w:rPr>
      <w:color w:val="2590EB"/>
    </w:rPr>
  </w:style>
  <w:style w:type="character" w:customStyle="1" w:styleId="281">
    <w:name w:val="hover1"/>
    <w:basedOn w:val="57"/>
    <w:uiPriority w:val="0"/>
    <w:rPr>
      <w:color w:val="2590EB"/>
      <w:shd w:val="clear" w:fill="E9F4FD"/>
    </w:rPr>
  </w:style>
  <w:style w:type="character" w:customStyle="1" w:styleId="282">
    <w:name w:val="hover2"/>
    <w:basedOn w:val="57"/>
    <w:uiPriority w:val="0"/>
    <w:rPr>
      <w:color w:val="2590EB"/>
    </w:rPr>
  </w:style>
  <w:style w:type="character" w:customStyle="1" w:styleId="283">
    <w:name w:val="hover3"/>
    <w:basedOn w:val="57"/>
    <w:uiPriority w:val="0"/>
    <w:rPr>
      <w:bdr w:val="none" w:color="AFD1EE" w:sz="0" w:space="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C84F-BA8A-4635-8189-75DFB27D7A1B}">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122</Pages>
  <Words>62282</Words>
  <Characters>65239</Characters>
  <Lines>531</Lines>
  <Paragraphs>149</Paragraphs>
  <TotalTime>4</TotalTime>
  <ScaleCrop>false</ScaleCrop>
  <LinksUpToDate>false</LinksUpToDate>
  <CharactersWithSpaces>72322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韦韦</cp:lastModifiedBy>
  <cp:lastPrinted>2019-12-07T15:20:00Z</cp:lastPrinted>
  <dcterms:modified xsi:type="dcterms:W3CDTF">2026-04-23T06:59:40Z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456A8E0987814F0689620C34DD97C5FE_12</vt:lpwstr>
  </property>
  <property fmtid="{D5CDD505-2E9C-101B-9397-08002B2CF9AE}" pid="4" name="KSOTemplateDocerSaveRecord">
    <vt:lpwstr>eyJoZGlkIjoiZmQ5MGI3YTdkMjVkZTZjM2ZjZTQ5YjMxYTJjZjRlOWEiLCJ1c2VySWQiOiIzNjE4MjQ5In0=</vt:lpwstr>
  </property>
</Properties>
</file>