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93AFC">
      <w:pPr>
        <w:tabs>
          <w:tab w:val="left" w:pos="315"/>
          <w:tab w:val="left" w:pos="8820"/>
        </w:tabs>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p>
    <w:p w14:paraId="3E937FAF">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6FF68032">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4BF90E0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5969AB3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21EDACE9">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6C28EB53">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8CFEF96">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1AB102BC">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69ACDC71">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5E4F8CC3">
      <w:pPr>
        <w:pStyle w:val="43"/>
        <w:rPr>
          <w:color w:val="auto"/>
          <w:highlight w:val="none"/>
        </w:rPr>
      </w:pPr>
    </w:p>
    <w:p w14:paraId="5F92F91C">
      <w:pPr>
        <w:tabs>
          <w:tab w:val="left" w:pos="2410"/>
        </w:tabs>
        <w:autoSpaceDE w:val="0"/>
        <w:autoSpaceDN w:val="0"/>
        <w:adjustRightInd w:val="0"/>
        <w:snapToGrid w:val="0"/>
        <w:spacing w:line="360" w:lineRule="auto"/>
        <w:ind w:left="2444" w:leftChars="304" w:hanging="1806" w:hangingChars="5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cs="宋体"/>
          <w:b/>
          <w:color w:val="auto"/>
          <w:spacing w:val="20"/>
          <w:kern w:val="0"/>
          <w:sz w:val="32"/>
          <w:szCs w:val="32"/>
          <w:highlight w:val="none"/>
          <w:u w:val="single"/>
          <w:lang w:val="en-US" w:eastAsia="zh-CN"/>
        </w:rPr>
        <w:t>滁州市“智慧防震减灾”服务平台二期项目</w:t>
      </w:r>
    </w:p>
    <w:p w14:paraId="034B9917">
      <w:pPr>
        <w:tabs>
          <w:tab w:val="left" w:pos="2410"/>
        </w:tabs>
        <w:autoSpaceDE w:val="0"/>
        <w:autoSpaceDN w:val="0"/>
        <w:adjustRightInd w:val="0"/>
        <w:snapToGrid w:val="0"/>
        <w:spacing w:line="360" w:lineRule="auto"/>
        <w:ind w:firstLine="723" w:firstLineChars="200"/>
        <w:rPr>
          <w:rFonts w:hint="default" w:ascii="宋体" w:hAnsi="宋体" w:eastAsia="宋体" w:cs="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rPr>
        <w:t>czsjcg202610-021</w:t>
      </w:r>
    </w:p>
    <w:p w14:paraId="62C48B53">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 购 人：</w:t>
      </w:r>
      <w:r>
        <w:rPr>
          <w:rFonts w:hint="eastAsia" w:ascii="宋体" w:hAnsi="宋体" w:eastAsia="宋体" w:cs="宋体"/>
          <w:b/>
          <w:color w:val="auto"/>
          <w:spacing w:val="20"/>
          <w:kern w:val="0"/>
          <w:sz w:val="32"/>
          <w:szCs w:val="32"/>
          <w:highlight w:val="none"/>
          <w:u w:val="single"/>
          <w:lang w:val="en-US" w:eastAsia="zh-CN"/>
        </w:rPr>
        <w:t>滁州市地震局</w:t>
      </w:r>
    </w:p>
    <w:p w14:paraId="4A45399D">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cs="宋体"/>
          <w:b/>
          <w:color w:val="auto"/>
          <w:spacing w:val="20"/>
          <w:kern w:val="0"/>
          <w:sz w:val="32"/>
          <w:szCs w:val="32"/>
          <w:highlight w:val="none"/>
          <w:u w:val="single"/>
          <w:lang w:eastAsia="zh-CN"/>
        </w:rPr>
        <w:t>滁州市政府采购中心</w:t>
      </w:r>
      <w:r>
        <w:rPr>
          <w:rFonts w:hint="eastAsia" w:ascii="宋体" w:hAnsi="宋体" w:eastAsia="宋体"/>
          <w:b/>
          <w:color w:val="auto"/>
          <w:spacing w:val="20"/>
          <w:kern w:val="0"/>
          <w:sz w:val="32"/>
          <w:szCs w:val="32"/>
          <w:highlight w:val="none"/>
          <w:u w:val="single"/>
          <w:lang w:val="en-US" w:eastAsia="zh-CN"/>
        </w:rPr>
        <w:t xml:space="preserve"> </w:t>
      </w:r>
    </w:p>
    <w:p w14:paraId="1FAFBC53">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7EAE4B4D">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5ED829E8">
      <w:pPr>
        <w:pStyle w:val="20"/>
        <w:tabs>
          <w:tab w:val="right" w:leader="dot" w:pos="8306"/>
        </w:tabs>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 xml:space="preserve">第一章 </w:t>
      </w:r>
      <w:r>
        <w:rPr>
          <w:rFonts w:asciiTheme="minorEastAsia" w:hAnsiTheme="minorEastAsia" w:eastAsiaTheme="minorEastAsia"/>
          <w:color w:val="auto"/>
          <w:highlight w:val="none"/>
        </w:rPr>
        <w:t xml:space="preserve"> 投标邀请</w:t>
      </w:r>
      <w:r>
        <w:rPr>
          <w:color w:val="auto"/>
          <w:highlight w:val="none"/>
        </w:rPr>
        <w:tab/>
      </w:r>
      <w:r>
        <w:rPr>
          <w:rFonts w:hint="eastAsia"/>
          <w:color w:val="auto"/>
          <w:highlight w:val="none"/>
          <w:lang w:val="en-US" w:eastAsia="zh-CN"/>
        </w:rPr>
        <w:t>1</w:t>
      </w:r>
      <w:r>
        <w:rPr>
          <w:rFonts w:asciiTheme="minorEastAsia" w:hAnsiTheme="minorEastAsia" w:eastAsiaTheme="minorEastAsia"/>
          <w:color w:val="auto"/>
          <w:szCs w:val="24"/>
          <w:highlight w:val="none"/>
        </w:rPr>
        <w:fldChar w:fldCharType="end"/>
      </w:r>
    </w:p>
    <w:p w14:paraId="48955D73">
      <w:pPr>
        <w:pStyle w:val="20"/>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投标人须知</w:t>
      </w:r>
      <w:r>
        <w:rPr>
          <w:color w:val="auto"/>
          <w:highlight w:val="none"/>
        </w:rPr>
        <w:tab/>
      </w:r>
      <w:r>
        <w:rPr>
          <w:rFonts w:hint="eastAsia"/>
          <w:color w:val="auto"/>
          <w:highlight w:val="none"/>
          <w:lang w:val="en-US" w:eastAsia="zh-CN"/>
        </w:rPr>
        <w:t>6</w:t>
      </w:r>
      <w:r>
        <w:rPr>
          <w:rFonts w:asciiTheme="minorEastAsia" w:hAnsiTheme="minorEastAsia" w:eastAsiaTheme="minorEastAsia"/>
          <w:color w:val="auto"/>
          <w:szCs w:val="24"/>
          <w:highlight w:val="none"/>
        </w:rPr>
        <w:fldChar w:fldCharType="end"/>
      </w:r>
    </w:p>
    <w:p w14:paraId="17B04AD7">
      <w:pPr>
        <w:pStyle w:val="20"/>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 xml:space="preserve">第三章 </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26</w:t>
      </w:r>
      <w:r>
        <w:rPr>
          <w:color w:val="auto"/>
          <w:highlight w:val="none"/>
        </w:rPr>
        <w:fldChar w:fldCharType="end"/>
      </w:r>
      <w:r>
        <w:rPr>
          <w:rFonts w:asciiTheme="minorEastAsia" w:hAnsiTheme="minorEastAsia" w:eastAsiaTheme="minorEastAsia"/>
          <w:color w:val="auto"/>
          <w:szCs w:val="24"/>
          <w:highlight w:val="none"/>
        </w:rPr>
        <w:fldChar w:fldCharType="end"/>
      </w:r>
    </w:p>
    <w:p w14:paraId="4DFBCC95">
      <w:pPr>
        <w:pStyle w:val="20"/>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  评标方法和标准（综合评分法）</w:t>
      </w:r>
      <w:r>
        <w:rPr>
          <w:color w:val="auto"/>
          <w:highlight w:val="none"/>
        </w:rPr>
        <w:tab/>
      </w:r>
      <w:r>
        <w:rPr>
          <w:color w:val="auto"/>
          <w:highlight w:val="none"/>
        </w:rPr>
        <w:fldChar w:fldCharType="begin"/>
      </w:r>
      <w:r>
        <w:rPr>
          <w:color w:val="auto"/>
          <w:highlight w:val="none"/>
        </w:rPr>
        <w:instrText xml:space="preserve"> PAGEREF _Toc30824 \h </w:instrText>
      </w:r>
      <w:r>
        <w:rPr>
          <w:color w:val="auto"/>
          <w:highlight w:val="none"/>
        </w:rPr>
        <w:fldChar w:fldCharType="separate"/>
      </w:r>
      <w:r>
        <w:rPr>
          <w:color w:val="auto"/>
          <w:highlight w:val="none"/>
        </w:rPr>
        <w:t>27</w:t>
      </w:r>
      <w:r>
        <w:rPr>
          <w:color w:val="auto"/>
          <w:highlight w:val="none"/>
        </w:rPr>
        <w:fldChar w:fldCharType="end"/>
      </w:r>
      <w:r>
        <w:rPr>
          <w:rFonts w:asciiTheme="minorEastAsia" w:hAnsiTheme="minorEastAsia" w:eastAsiaTheme="minorEastAsia"/>
          <w:color w:val="auto"/>
          <w:szCs w:val="24"/>
          <w:highlight w:val="none"/>
        </w:rPr>
        <w:fldChar w:fldCharType="end"/>
      </w:r>
    </w:p>
    <w:p w14:paraId="05E1657B">
      <w:pPr>
        <w:pStyle w:val="20"/>
        <w:tabs>
          <w:tab w:val="right" w:leader="dot" w:pos="8306"/>
        </w:tabs>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 xml:space="preserve">第五章  </w:t>
      </w:r>
      <w:r>
        <w:rPr>
          <w:rFonts w:asciiTheme="minorEastAsia" w:hAnsiTheme="minorEastAsia" w:eastAsiaTheme="minorEastAsia"/>
          <w:color w:val="auto"/>
          <w:highlight w:val="none"/>
        </w:rPr>
        <w:t>政府采购合同</w:t>
      </w:r>
      <w:r>
        <w:rPr>
          <w:color w:val="auto"/>
          <w:highlight w:val="none"/>
        </w:rPr>
        <w:tab/>
      </w:r>
      <w:r>
        <w:rPr>
          <w:rFonts w:hint="eastAsia"/>
          <w:color w:val="auto"/>
          <w:highlight w:val="none"/>
          <w:lang w:val="en-US" w:eastAsia="zh-CN"/>
        </w:rPr>
        <w:t>6</w:t>
      </w:r>
      <w:r>
        <w:rPr>
          <w:rFonts w:asciiTheme="minorEastAsia" w:hAnsiTheme="minorEastAsia" w:eastAsiaTheme="minorEastAsia"/>
          <w:color w:val="auto"/>
          <w:szCs w:val="24"/>
          <w:highlight w:val="none"/>
        </w:rPr>
        <w:fldChar w:fldCharType="end"/>
      </w:r>
      <w:r>
        <w:rPr>
          <w:rFonts w:hint="eastAsia"/>
          <w:color w:val="auto"/>
          <w:highlight w:val="none"/>
          <w:lang w:val="en-US" w:eastAsia="zh-CN"/>
        </w:rPr>
        <w:t>5</w:t>
      </w:r>
    </w:p>
    <w:p w14:paraId="6081B811">
      <w:pPr>
        <w:pStyle w:val="20"/>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  投标文件格式</w:t>
      </w:r>
      <w:r>
        <w:rPr>
          <w:color w:val="auto"/>
          <w:highlight w:val="none"/>
        </w:rPr>
        <w:tab/>
      </w:r>
      <w:r>
        <w:rPr>
          <w:color w:val="auto"/>
          <w:highlight w:val="none"/>
        </w:rPr>
        <w:fldChar w:fldCharType="begin"/>
      </w:r>
      <w:r>
        <w:rPr>
          <w:color w:val="auto"/>
          <w:highlight w:val="none"/>
        </w:rPr>
        <w:instrText xml:space="preserve"> PAGEREF _Toc13555 \h </w:instrText>
      </w:r>
      <w:r>
        <w:rPr>
          <w:color w:val="auto"/>
          <w:highlight w:val="none"/>
        </w:rPr>
        <w:fldChar w:fldCharType="separate"/>
      </w:r>
      <w:r>
        <w:rPr>
          <w:color w:val="auto"/>
          <w:highlight w:val="none"/>
        </w:rPr>
        <w:t>85</w:t>
      </w:r>
      <w:r>
        <w:rPr>
          <w:color w:val="auto"/>
          <w:highlight w:val="none"/>
        </w:rPr>
        <w:fldChar w:fldCharType="end"/>
      </w:r>
      <w:r>
        <w:rPr>
          <w:rFonts w:asciiTheme="minorEastAsia" w:hAnsiTheme="minorEastAsia" w:eastAsiaTheme="minorEastAsia"/>
          <w:color w:val="auto"/>
          <w:szCs w:val="24"/>
          <w:highlight w:val="none"/>
        </w:rPr>
        <w:fldChar w:fldCharType="end"/>
      </w:r>
    </w:p>
    <w:p w14:paraId="5DFB1993">
      <w:pPr>
        <w:pStyle w:val="20"/>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宋体" w:hAnsi="宋体" w:eastAsia="宋体"/>
          <w:bCs/>
          <w:color w:val="auto"/>
          <w:highlight w:val="none"/>
        </w:rPr>
        <w:t xml:space="preserve">  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_Toc20819 \h </w:instrText>
      </w:r>
      <w:r>
        <w:rPr>
          <w:color w:val="auto"/>
          <w:highlight w:val="none"/>
        </w:rPr>
        <w:fldChar w:fldCharType="separate"/>
      </w:r>
      <w:r>
        <w:rPr>
          <w:color w:val="auto"/>
          <w:highlight w:val="none"/>
        </w:rPr>
        <w:t>99</w:t>
      </w:r>
      <w:r>
        <w:rPr>
          <w:color w:val="auto"/>
          <w:highlight w:val="none"/>
        </w:rPr>
        <w:fldChar w:fldCharType="end"/>
      </w:r>
      <w:r>
        <w:rPr>
          <w:rFonts w:asciiTheme="minorEastAsia" w:hAnsiTheme="minorEastAsia" w:eastAsiaTheme="minorEastAsia"/>
          <w:color w:val="auto"/>
          <w:szCs w:val="24"/>
          <w:highlight w:val="none"/>
        </w:rPr>
        <w:fldChar w:fldCharType="end"/>
      </w:r>
    </w:p>
    <w:p w14:paraId="58ADA382">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549253DA">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486" w:bottom="1440" w:left="1800" w:header="851" w:footer="992" w:gutter="0"/>
          <w:cols w:space="425" w:num="1"/>
          <w:docGrid w:type="lines" w:linePitch="312" w:charSpace="0"/>
        </w:sectPr>
      </w:pPr>
    </w:p>
    <w:p w14:paraId="0D06E3E5">
      <w:pPr>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5BC9E0BF">
      <w:pPr>
        <w:keepNext/>
        <w:keepLines/>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6900660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lang w:val="en-US" w:eastAsia="zh-CN"/>
        </w:rPr>
        <w:t>滁州市“智慧防震减灾”服务平台二期项目</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11月12日8点30分</w:t>
      </w:r>
      <w:r>
        <w:rPr>
          <w:rFonts w:hint="eastAsia" w:ascii="宋体" w:hAnsi="宋体" w:eastAsia="宋体" w:cs="宋体"/>
          <w:color w:val="auto"/>
          <w:sz w:val="28"/>
          <w:szCs w:val="28"/>
          <w:highlight w:val="none"/>
        </w:rPr>
        <w:t>（北京时间）前递交投标文件。</w:t>
      </w:r>
    </w:p>
    <w:bookmarkEnd w:id="2"/>
    <w:p w14:paraId="1FDA081F">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075451EC">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bookmarkStart w:id="4" w:name="_Toc35393791"/>
      <w:bookmarkEnd w:id="4"/>
      <w:bookmarkStart w:id="5" w:name="_Toc35393622"/>
      <w:bookmarkEnd w:id="5"/>
      <w:bookmarkStart w:id="6" w:name="_Toc58430306"/>
      <w:bookmarkEnd w:id="6"/>
      <w:bookmarkStart w:id="7" w:name="_Toc28359003"/>
      <w:bookmarkEnd w:id="7"/>
      <w:bookmarkStart w:id="8" w:name="_Toc28359080"/>
      <w:r>
        <w:rPr>
          <w:rFonts w:hint="eastAsia" w:ascii="宋体" w:hAnsi="宋体" w:eastAsia="宋体" w:cs="宋体"/>
          <w:color w:val="auto"/>
          <w:sz w:val="28"/>
          <w:szCs w:val="28"/>
          <w:highlight w:val="none"/>
          <w:lang w:eastAsia="zh-CN"/>
        </w:rPr>
        <w:t>项目编号：czsjcg202610-021</w:t>
      </w:r>
      <w:r>
        <w:rPr>
          <w:rFonts w:hint="eastAsia" w:ascii="宋体" w:hAnsi="宋体" w:eastAsia="宋体" w:cs="宋体"/>
          <w:color w:val="auto"/>
          <w:sz w:val="28"/>
          <w:szCs w:val="28"/>
          <w:highlight w:val="none"/>
          <w:lang w:val="en-US" w:eastAsia="zh-CN"/>
        </w:rPr>
        <w:t xml:space="preserve"> </w:t>
      </w:r>
    </w:p>
    <w:p w14:paraId="0C6D9291">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lang w:eastAsia="zh-CN"/>
        </w:rPr>
        <w:t>滁州市“智慧防震减灾”服务平台二期项目</w:t>
      </w:r>
    </w:p>
    <w:p w14:paraId="70F760C7">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预算金额：3303700.00元</w:t>
      </w:r>
    </w:p>
    <w:p w14:paraId="061EFAA4">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最高限价：3213200.00元，投标报价不得高于最高限价，否则按无效投标处理。</w:t>
      </w:r>
    </w:p>
    <w:p w14:paraId="43681972">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在滁州市“智慧防震减灾”服务平台一期项目的基础上全面迭代升级，坚持实用性、科学性、先进性原则，立足市、县防震减灾工作需求，充分利用大数据、人工智能、物联网等先进技术，衔接集成国家、省、市级专业系统，融入市、县防震减灾专有成果数据和行业数据，建设覆盖防震减灾全业务场景的数智化平台，重点突出“静态可视化”向“动态智能化”演变，打造地市级行业标杆，满足“十五五”时期防震减灾数智化发展总体要求，为市、县防震减灾事业高质量发展构建数智赋能底座。</w:t>
      </w:r>
    </w:p>
    <w:p w14:paraId="6CF8211F">
      <w:pPr>
        <w:pageBreakBefore w:val="0"/>
        <w:widowControl w:val="0"/>
        <w:kinsoku/>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合同履行期限：项目建设总周期为不超过365个日历天，自签订合同之日算起。 </w:t>
      </w:r>
    </w:p>
    <w:p w14:paraId="63F1EEB8">
      <w:pPr>
        <w:pageBreakBefore w:val="0"/>
        <w:widowControl w:val="0"/>
        <w:kinsoku/>
        <w:overflowPunct/>
        <w:topLinePunct w:val="0"/>
        <w:autoSpaceDE/>
        <w:autoSpaceDN/>
        <w:bidi w:val="0"/>
        <w:adjustRightInd/>
        <w:snapToGrid/>
        <w:spacing w:line="360" w:lineRule="auto"/>
        <w:ind w:firstLine="560" w:firstLineChars="200"/>
        <w:jc w:val="left"/>
        <w:textAlignment w:val="auto"/>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本项目不接受联合体投标。</w:t>
      </w:r>
    </w:p>
    <w:bookmarkEnd w:id="8"/>
    <w:p w14:paraId="65B0FE0C">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AF29560">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623"/>
      <w:bookmarkEnd w:id="9"/>
      <w:bookmarkStart w:id="10" w:name="_Toc35393792"/>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4484635A">
      <w:pPr>
        <w:pStyle w:val="22"/>
        <w:keepNext w:val="0"/>
        <w:keepLines w:val="0"/>
        <w:widowControl/>
        <w:suppressLineNumbers w:val="0"/>
        <w:spacing w:before="0" w:beforeAutospacing="0" w:after="0" w:afterAutospacing="0" w:line="450" w:lineRule="atLeast"/>
        <w:ind w:left="0" w:right="0" w:firstLine="560"/>
        <w:jc w:val="both"/>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sz w:val="28"/>
          <w:szCs w:val="28"/>
          <w:highlight w:val="none"/>
          <w:lang w:val="en-US" w:eastAsia="zh-CN"/>
        </w:rPr>
        <w:t>2.落实政府采</w:t>
      </w:r>
      <w:r>
        <w:rPr>
          <w:rFonts w:hint="eastAsia" w:ascii="宋体" w:hAnsi="宋体" w:eastAsia="宋体" w:cs="宋体"/>
          <w:color w:val="auto"/>
          <w:kern w:val="2"/>
          <w:sz w:val="28"/>
          <w:szCs w:val="28"/>
          <w:highlight w:val="none"/>
          <w:lang w:val="en-US" w:eastAsia="zh-CN" w:bidi="ar-SA"/>
        </w:rPr>
        <w:t>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1B5B0967">
      <w:pPr>
        <w:keepNext w:val="0"/>
        <w:keepLines w:val="0"/>
        <w:widowControl/>
        <w:suppressLineNumbers w:val="0"/>
        <w:ind w:firstLine="560" w:firstLineChars="200"/>
        <w:jc w:val="left"/>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3.本项目的特定资格要求：无。</w:t>
      </w:r>
    </w:p>
    <w:bookmarkEnd w:id="11"/>
    <w:p w14:paraId="14472F30">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5D3E8A39">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35393624"/>
      <w:bookmarkEnd w:id="12"/>
      <w:bookmarkStart w:id="13" w:name="_Toc28359082"/>
      <w:bookmarkEnd w:id="13"/>
      <w:bookmarkStart w:id="14" w:name="_Toc35393793"/>
      <w:bookmarkEnd w:id="14"/>
      <w:bookmarkStart w:id="15" w:name="_Toc28359005"/>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w:t>
      </w:r>
      <w:r>
        <w:rPr>
          <w:rFonts w:hint="eastAsia" w:ascii="宋体" w:hAnsi="宋体" w:eastAsia="宋体" w:cs="宋体"/>
          <w:color w:val="auto"/>
          <w:sz w:val="28"/>
          <w:szCs w:val="28"/>
          <w:highlight w:val="none"/>
          <w:u w:val="single"/>
        </w:rPr>
        <w:t>月</w:t>
      </w:r>
      <w:r>
        <w:rPr>
          <w:rFonts w:hint="eastAsia" w:ascii="宋体" w:hAnsi="宋体" w:eastAsia="宋体" w:cs="宋体"/>
          <w:color w:val="auto"/>
          <w:sz w:val="28"/>
          <w:szCs w:val="28"/>
          <w:highlight w:val="none"/>
          <w:u w:val="single"/>
          <w:lang w:val="en-US" w:eastAsia="zh-CN"/>
        </w:rPr>
        <w:t>22</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11月12日</w:t>
      </w:r>
    </w:p>
    <w:p w14:paraId="32BFB6DA">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2B7FC178">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4812E283">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9733EC1">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40C5F009">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11月12日8</w:t>
      </w:r>
      <w:r>
        <w:rPr>
          <w:rFonts w:hint="eastAsia" w:ascii="宋体" w:hAnsi="宋体" w:eastAsia="宋体" w:cs="宋体"/>
          <w:color w:val="auto"/>
          <w:sz w:val="28"/>
          <w:szCs w:val="28"/>
          <w:highlight w:val="none"/>
          <w:u w:val="single"/>
        </w:rPr>
        <w:t>点</w:t>
      </w:r>
      <w:r>
        <w:rPr>
          <w:rFonts w:hint="eastAsia" w:ascii="宋体" w:hAnsi="宋体" w:eastAsia="宋体" w:cs="宋体"/>
          <w:color w:val="auto"/>
          <w:sz w:val="28"/>
          <w:szCs w:val="28"/>
          <w:highlight w:val="none"/>
          <w:u w:val="single"/>
          <w:lang w:val="en-US" w:eastAsia="zh-CN"/>
        </w:rPr>
        <w:t>30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7FAB2632">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5023B301">
      <w:pPr>
        <w:keepNext/>
        <w:keepLines/>
        <w:pageBreakBefore w:val="0"/>
        <w:widowControl w:val="0"/>
        <w:kinsoku/>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28359007"/>
      <w:bookmarkEnd w:id="17"/>
      <w:bookmarkStart w:id="18" w:name="_Toc35393794"/>
      <w:bookmarkEnd w:id="18"/>
      <w:bookmarkStart w:id="19" w:name="_Toc35393625"/>
      <w:bookmarkEnd w:id="19"/>
      <w:bookmarkStart w:id="20" w:name="_Toc58430309"/>
      <w:bookmarkEnd w:id="20"/>
      <w:r>
        <w:rPr>
          <w:rFonts w:hint="eastAsia" w:ascii="宋体" w:hAnsi="宋体" w:eastAsia="宋体" w:cs="宋体"/>
          <w:color w:val="auto"/>
          <w:sz w:val="28"/>
          <w:szCs w:val="28"/>
          <w:highlight w:val="none"/>
        </w:rPr>
        <w:t>五、公告期限</w:t>
      </w:r>
    </w:p>
    <w:p w14:paraId="1DA5AE72">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68DC7A0B">
      <w:pPr>
        <w:keepNext/>
        <w:keepLines/>
        <w:pageBreakBefore w:val="0"/>
        <w:widowControl w:val="0"/>
        <w:kinsoku/>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626"/>
      <w:bookmarkStart w:id="24" w:name="_Toc35393795"/>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A2DD38D">
      <w:pPr>
        <w:pageBreakBefore w:val="0"/>
        <w:widowControl w:val="0"/>
        <w:kinsoku/>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076B0E15">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42343BF3">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CA数字证书有关问题：安徽CA客服400-880-4959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17266CC4">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1660CFDB">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645DA882">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0698B0A2">
      <w:pPr>
        <w:keepNext/>
        <w:keepLines/>
        <w:pageBreakBefore w:val="0"/>
        <w:widowControl w:val="0"/>
        <w:kinsoku/>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3854"/>
      <w:bookmarkStart w:id="26" w:name="_Toc7265"/>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31826A31">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4553EBC1">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滁州市地震局</w:t>
      </w:r>
    </w:p>
    <w:p w14:paraId="268CCC1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left="0" w:right="0" w:firstLine="560" w:firstLineChars="200"/>
        <w:jc w:val="left"/>
        <w:rPr>
          <w:rFonts w:hint="default"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val="en-US" w:eastAsia="zh-CN"/>
        </w:rPr>
        <w:t xml:space="preserve"> 滁州市琅琊区西涧中路4288号 </w:t>
      </w:r>
    </w:p>
    <w:p w14:paraId="118EB05C">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 xml:space="preserve"> 冯然 </w:t>
      </w:r>
    </w:p>
    <w:p w14:paraId="210E3E6E">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val="en-US" w:eastAsia="zh-CN"/>
        </w:rPr>
        <w:t>0550-3063640</w:t>
      </w:r>
    </w:p>
    <w:p w14:paraId="2D596BDB">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717718FE">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eastAsia="zh-CN"/>
        </w:rPr>
        <w:t>滁州市政府采购中心</w:t>
      </w:r>
      <w:r>
        <w:rPr>
          <w:rFonts w:hint="eastAsia" w:ascii="宋体" w:hAnsi="宋体" w:eastAsia="宋体" w:cs="宋体"/>
          <w:color w:val="auto"/>
          <w:sz w:val="28"/>
          <w:szCs w:val="28"/>
          <w:highlight w:val="none"/>
        </w:rPr>
        <w:t>　</w:t>
      </w:r>
    </w:p>
    <w:p w14:paraId="3CAC36FA">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滁州市龙蟠大道109号房产商务大厦二楼</w:t>
      </w:r>
    </w:p>
    <w:p w14:paraId="3821C4AA">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曹思敏</w:t>
      </w:r>
    </w:p>
    <w:p w14:paraId="0F661868">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0550-3519516、18712012204</w:t>
      </w:r>
    </w:p>
    <w:p w14:paraId="5B1F84AA">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2056A964">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滁州市公共资源交易监督管理局</w:t>
      </w:r>
    </w:p>
    <w:p w14:paraId="5B89BEE9">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滁州市龙蟠大道109号房产大厦三楼</w:t>
      </w:r>
    </w:p>
    <w:p w14:paraId="089C16A7">
      <w:pPr>
        <w:pageBreakBefore w:val="0"/>
        <w:widowControl w:val="0"/>
        <w:kinsoku/>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0550-3801656</w:t>
      </w:r>
    </w:p>
    <w:p w14:paraId="7EE6B2DC">
      <w:pPr>
        <w:widowControl/>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180770D3">
      <w:pPr>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27"/>
    </w:p>
    <w:p w14:paraId="1A5CBCE2">
      <w:pPr>
        <w:spacing w:line="360" w:lineRule="auto"/>
        <w:jc w:val="center"/>
        <w:outlineLvl w:val="1"/>
        <w:rPr>
          <w:rFonts w:asciiTheme="minorEastAsia" w:hAnsiTheme="minorEastAsia" w:eastAsiaTheme="minorEastAsia"/>
          <w:b/>
          <w:color w:val="auto"/>
          <w:sz w:val="24"/>
          <w:highlight w:val="none"/>
        </w:rPr>
      </w:pPr>
      <w:bookmarkStart w:id="28" w:name="_Toc7178"/>
      <w:bookmarkStart w:id="29" w:name="_Toc13589"/>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65C70D64">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7"/>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36F6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12D98D9">
            <w:pPr>
              <w:pStyle w:val="46"/>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6BF1A4AF">
            <w:pPr>
              <w:pStyle w:val="46"/>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6306C604">
            <w:pPr>
              <w:pStyle w:val="46"/>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4E02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B04FD73">
            <w:pPr>
              <w:pStyle w:val="47"/>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7FD066ED">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0EA4D7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0017189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0EDA576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1381115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p w14:paraId="147A4B7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val="0"/>
                <w:color w:val="auto"/>
                <w:sz w:val="24"/>
                <w:highlight w:val="non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tc>
      </w:tr>
      <w:tr w14:paraId="24E3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8D7E980">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47FAD98">
            <w:pPr>
              <w:pStyle w:val="46"/>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2B68BA39">
            <w:pPr>
              <w:pStyle w:val="46"/>
              <w:widowControl w:val="0"/>
              <w:spacing w:before="0" w:beforeAutospacing="0" w:after="0" w:afterAutospacing="0"/>
              <w:jc w:val="both"/>
              <w:rPr>
                <w:rFonts w:ascii="宋体" w:hAnsi="宋体" w:eastAsia="宋体"/>
                <w:b w:val="0"/>
                <w:color w:val="auto"/>
                <w:sz w:val="24"/>
                <w:highlight w:val="none"/>
              </w:rPr>
            </w:pP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u w:val="single"/>
              </w:rPr>
              <w:t xml:space="preserve"> </w:t>
            </w:r>
            <w:r>
              <w:rPr>
                <w:rFonts w:ascii="宋体" w:hAnsi="宋体" w:eastAsia="宋体"/>
                <w:b w:val="0"/>
                <w:color w:val="auto"/>
                <w:sz w:val="24"/>
                <w:highlight w:val="none"/>
              </w:rPr>
              <w:t>年</w:t>
            </w: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 xml:space="preserve">10 </w:t>
            </w:r>
            <w:r>
              <w:rPr>
                <w:rFonts w:ascii="宋体" w:hAnsi="宋体" w:eastAsia="宋体"/>
                <w:b w:val="0"/>
                <w:color w:val="auto"/>
                <w:sz w:val="24"/>
                <w:highlight w:val="none"/>
              </w:rPr>
              <w:t>月</w:t>
            </w: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 xml:space="preserve">29 </w:t>
            </w:r>
            <w:r>
              <w:rPr>
                <w:rFonts w:ascii="宋体" w:hAnsi="宋体" w:eastAsia="宋体"/>
                <w:b w:val="0"/>
                <w:color w:val="auto"/>
                <w:sz w:val="24"/>
                <w:highlight w:val="none"/>
              </w:rPr>
              <w:t>日</w:t>
            </w: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u w:val="single"/>
              </w:rPr>
              <w:t xml:space="preserve"> </w:t>
            </w:r>
            <w:r>
              <w:rPr>
                <w:rFonts w:ascii="宋体" w:hAnsi="宋体" w:eastAsia="宋体"/>
                <w:b w:val="0"/>
                <w:color w:val="auto"/>
                <w:sz w:val="24"/>
                <w:highlight w:val="none"/>
              </w:rPr>
              <w:t>时</w:t>
            </w: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30</w:t>
            </w:r>
            <w:r>
              <w:rPr>
                <w:rFonts w:ascii="宋体" w:hAnsi="宋体" w:eastAsia="宋体"/>
                <w:b w:val="0"/>
                <w:color w:val="auto"/>
                <w:sz w:val="24"/>
                <w:highlight w:val="none"/>
                <w:u w:val="single"/>
              </w:rPr>
              <w:t xml:space="preserve"> </w:t>
            </w:r>
            <w:r>
              <w:rPr>
                <w:rFonts w:hint="eastAsia" w:ascii="宋体" w:hAnsi="宋体" w:eastAsia="宋体"/>
                <w:b w:val="0"/>
                <w:color w:val="auto"/>
                <w:sz w:val="24"/>
                <w:highlight w:val="none"/>
              </w:rPr>
              <w:t>分</w:t>
            </w:r>
          </w:p>
        </w:tc>
      </w:tr>
      <w:tr w14:paraId="6CC07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E74F79D">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1F30F044">
            <w:pPr>
              <w:pStyle w:val="46"/>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4C34D5F3">
            <w:pPr>
              <w:pStyle w:val="46"/>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highlight w:val="none"/>
                <w:lang w:eastAsia="zh-CN"/>
              </w:rPr>
              <w:t>☑</w:t>
            </w:r>
            <w:r>
              <w:rPr>
                <w:rFonts w:hint="eastAsia" w:ascii="宋体" w:hAnsi="宋体" w:eastAsia="宋体"/>
                <w:b w:val="0"/>
                <w:color w:val="auto"/>
                <w:sz w:val="24"/>
                <w:highlight w:val="none"/>
              </w:rPr>
              <w:t xml:space="preserve">不分包     </w:t>
            </w:r>
            <w:r>
              <w:rPr>
                <w:rFonts w:hint="eastAsia" w:ascii="宋体" w:hAnsi="宋体" w:eastAsia="宋体"/>
                <w:b w:val="0"/>
                <w:color w:val="auto"/>
                <w:sz w:val="24"/>
                <w:highlight w:val="none"/>
                <w:lang w:eastAsia="zh-CN"/>
              </w:rPr>
              <w:t>□</w:t>
            </w:r>
            <w:r>
              <w:rPr>
                <w:rFonts w:hint="eastAsia" w:ascii="宋体" w:hAnsi="宋体" w:eastAsia="宋体"/>
                <w:b w:val="0"/>
                <w:color w:val="auto"/>
                <w:sz w:val="24"/>
                <w:highlight w:val="none"/>
              </w:rPr>
              <w:t>分为</w:t>
            </w:r>
            <w:r>
              <w:rPr>
                <w:rFonts w:hint="eastAsia" w:ascii="宋体" w:hAnsi="宋体" w:eastAsia="宋体"/>
                <w:b w:val="0"/>
                <w:color w:val="auto"/>
                <w:sz w:val="24"/>
                <w:highlight w:val="none"/>
                <w:lang w:val="en-US" w:eastAsia="zh-CN"/>
              </w:rPr>
              <w:t>/</w:t>
            </w:r>
            <w:r>
              <w:rPr>
                <w:rFonts w:hint="eastAsia" w:ascii="宋体" w:hAnsi="宋体" w:eastAsia="宋体"/>
                <w:b w:val="0"/>
                <w:color w:val="auto"/>
                <w:sz w:val="24"/>
                <w:highlight w:val="none"/>
              </w:rPr>
              <w:t>个包</w:t>
            </w:r>
          </w:p>
        </w:tc>
      </w:tr>
      <w:tr w14:paraId="1663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81" w:type="pct"/>
            <w:vAlign w:val="center"/>
          </w:tcPr>
          <w:p w14:paraId="7FEAB9FA">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5BE82A5F">
            <w:pPr>
              <w:pStyle w:val="46"/>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465396D2">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714E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1B6250B">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8569000">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39CB9793">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 xml:space="preserve">90 </w:t>
            </w:r>
            <w:r>
              <w:rPr>
                <w:rFonts w:hint="eastAsia" w:ascii="宋体" w:hAnsi="宋体" w:eastAsia="宋体"/>
                <w:b w:val="0"/>
                <w:color w:val="auto"/>
                <w:sz w:val="24"/>
                <w:highlight w:val="none"/>
              </w:rPr>
              <w:t>日历日</w:t>
            </w:r>
          </w:p>
        </w:tc>
      </w:tr>
      <w:tr w14:paraId="085B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1" w:type="pct"/>
            <w:vAlign w:val="center"/>
          </w:tcPr>
          <w:p w14:paraId="04FBD00B">
            <w:pPr>
              <w:pStyle w:val="47"/>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5579464C">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5DFA7C38">
            <w:pPr>
              <w:pStyle w:val="46"/>
              <w:widowControl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 xml:space="preserve">  60  </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18F3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1A4C22E">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75BE4193">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16D7E660">
            <w:pPr>
              <w:pStyle w:val="46"/>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57352B4E">
            <w:pPr>
              <w:pStyle w:val="46"/>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3844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C5A3674">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47808C02">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20DF0127">
            <w:pPr>
              <w:pStyle w:val="46"/>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7F68349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val="0"/>
                <w:color w:val="auto"/>
                <w:sz w:val="24"/>
                <w:highlight w:val="none"/>
              </w:rPr>
            </w:pPr>
            <w:r>
              <w:rPr>
                <w:rFonts w:hint="eastAsia" w:ascii="宋体" w:hAnsi="宋体" w:eastAsia="宋体"/>
                <w:bCs/>
                <w:color w:val="auto"/>
                <w:sz w:val="24"/>
                <w:szCs w:val="24"/>
                <w:highlight w:val="none"/>
                <w:lang w:eastAsia="zh-CN"/>
              </w:rPr>
              <w:t>☑综合评分法</w:t>
            </w:r>
          </w:p>
        </w:tc>
      </w:tr>
      <w:tr w14:paraId="4DE0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6C9FC6F">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1174" w:type="pct"/>
            <w:vAlign w:val="center"/>
          </w:tcPr>
          <w:p w14:paraId="07DE19FC">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5C2F37BA">
            <w:pPr>
              <w:pStyle w:val="46"/>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val="0"/>
                <w:iCs/>
                <w:color w:val="auto"/>
                <w:sz w:val="24"/>
                <w:highlight w:val="none"/>
              </w:rPr>
              <w:t>（非专门面向中小企业采购项目适用）</w:t>
            </w:r>
          </w:p>
        </w:tc>
        <w:tc>
          <w:tcPr>
            <w:tcW w:w="3244" w:type="pct"/>
            <w:vAlign w:val="center"/>
          </w:tcPr>
          <w:p w14:paraId="6814AA38">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对小型和微型企业产品的价格给予10%的扣除后参与评审；其评审价=最后报价*90%</w:t>
            </w:r>
            <w:r>
              <w:rPr>
                <w:rFonts w:hint="eastAsia" w:ascii="宋体" w:hAnsi="宋体" w:eastAsia="宋体"/>
                <w:b w:val="0"/>
                <w:color w:val="auto"/>
                <w:sz w:val="24"/>
                <w:highlight w:val="none"/>
              </w:rPr>
              <w:t>。</w:t>
            </w:r>
          </w:p>
          <w:p w14:paraId="4EC525E9">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316D3ABB">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49FCD0E6">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联合体参加的，小型、微型企业的协议合同金额占联合体协议合同总金额30%以上的，价格给予联合体4%的扣除后参与评审；其评审价=最后报价*96%；联合体各方均为小型、微型企业的，联合体视同为小型、微型企业，其评审价按（1）款执行</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w:t>
            </w:r>
            <w:r>
              <w:rPr>
                <w:rFonts w:hint="eastAsia" w:ascii="宋体" w:hAnsi="宋体" w:eastAsia="宋体"/>
                <w:b w:val="0"/>
                <w:i/>
                <w:color w:val="auto"/>
                <w:sz w:val="24"/>
                <w:highlight w:val="none"/>
                <w:lang w:val="en-US" w:eastAsia="zh-CN"/>
              </w:rPr>
              <w:t>联合体</w:t>
            </w:r>
            <w:r>
              <w:rPr>
                <w:rFonts w:hint="eastAsia" w:ascii="宋体" w:hAnsi="宋体" w:eastAsia="宋体"/>
                <w:b w:val="0"/>
                <w:i/>
                <w:color w:val="auto"/>
                <w:sz w:val="24"/>
                <w:highlight w:val="none"/>
              </w:rPr>
              <w:t>项目适用）</w:t>
            </w:r>
          </w:p>
          <w:p w14:paraId="75494A10">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允许大中型企业向一家或者多家小微企业分包的，对于分包意向协议约定小微企业的合同份额占到合同总金额30%以上的，给予大中型企业的响应报价按照4%标准扣除后的价格参与评审；其评审价=最后报价*96%</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58DE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280A95E">
            <w:pPr>
              <w:pStyle w:val="47"/>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1174" w:type="pct"/>
            <w:vAlign w:val="center"/>
          </w:tcPr>
          <w:p w14:paraId="37EB33F4">
            <w:pPr>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p>
        </w:tc>
        <w:tc>
          <w:tcPr>
            <w:tcW w:w="3244" w:type="pct"/>
            <w:vAlign w:val="center"/>
          </w:tcPr>
          <w:p w14:paraId="7252BFCD">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6C02D56D">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u w:val="none"/>
                <w:lang w:val="en-US" w:eastAsia="zh-CN"/>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p w14:paraId="22851285">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宋体" w:hAnsi="宋体" w:eastAsia="宋体"/>
                <w:b w:val="0"/>
                <w:i w:val="0"/>
                <w:iCs w:val="0"/>
                <w:color w:val="auto"/>
                <w:sz w:val="24"/>
                <w:highlight w:val="none"/>
                <w:u w:val="none"/>
                <w:lang w:val="en-US" w:eastAsia="zh-CN"/>
              </w:rPr>
            </w:pPr>
            <w:r>
              <w:rPr>
                <w:rFonts w:hint="eastAsia" w:ascii="宋体" w:hAnsi="宋体" w:eastAsia="宋体"/>
                <w:b w:val="0"/>
                <w:i w:val="0"/>
                <w:iCs w:val="0"/>
                <w:color w:val="auto"/>
                <w:sz w:val="24"/>
                <w:highlight w:val="none"/>
                <w:u w:val="none"/>
                <w:lang w:val="en-US" w:eastAsia="zh-CN"/>
              </w:rPr>
              <w:t>注：本项目不适用。</w:t>
            </w:r>
          </w:p>
        </w:tc>
      </w:tr>
      <w:tr w14:paraId="38BA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9A6D3E3">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452C30EC">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2F835BBA">
            <w:pPr>
              <w:pStyle w:val="46"/>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评标委员会推荐3名中标候选人</w:t>
            </w:r>
          </w:p>
        </w:tc>
      </w:tr>
      <w:tr w14:paraId="1EB4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31AA2E1">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2E9F1A2F">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065EFAEF">
            <w:pPr>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71B8B88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4AA4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C9EF7E5">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1353E31A">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7A4775B1">
            <w:pPr>
              <w:pStyle w:val="46"/>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ascii="宋体" w:hAnsi="宋体" w:eastAsia="宋体"/>
                <w:b w:val="0"/>
                <w:i w:val="0"/>
                <w:iCs w:val="0"/>
                <w:color w:val="auto"/>
                <w:sz w:val="24"/>
                <w:highlight w:val="none"/>
                <w:u w:val="none"/>
              </w:rPr>
              <w:t>（如有）</w:t>
            </w:r>
          </w:p>
          <w:p w14:paraId="2207A3EB">
            <w:pPr>
              <w:pStyle w:val="46"/>
              <w:widowControl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20ED29C8">
            <w:pPr>
              <w:pStyle w:val="46"/>
              <w:widowControl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r>
              <w:rPr>
                <w:rFonts w:hint="eastAsia" w:ascii="宋体" w:hAnsi="宋体" w:eastAsia="宋体"/>
                <w:b w:val="0"/>
                <w:color w:val="auto"/>
                <w:sz w:val="24"/>
                <w:highlight w:val="none"/>
                <w:u w:val="none"/>
                <w:lang w:eastAsia="zh-CN"/>
              </w:rPr>
              <w:t>；</w:t>
            </w:r>
          </w:p>
          <w:p w14:paraId="115BAA46">
            <w:pPr>
              <w:pStyle w:val="46"/>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1A8B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80D2629">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7EE28B20">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4DF45210">
            <w:pPr>
              <w:pStyle w:val="46"/>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w:t>
            </w:r>
            <w:bookmarkStart w:id="238" w:name="_GoBack"/>
            <w:bookmarkEnd w:id="238"/>
            <w:r>
              <w:rPr>
                <w:rFonts w:hint="eastAsia" w:ascii="宋体" w:hAnsi="宋体" w:eastAsia="宋体"/>
                <w:b w:val="0"/>
                <w:bCs w:val="0"/>
                <w:color w:val="auto"/>
                <w:sz w:val="24"/>
                <w:szCs w:val="24"/>
                <w:highlight w:val="none"/>
              </w:rPr>
              <w:t>电文</w:t>
            </w:r>
          </w:p>
        </w:tc>
      </w:tr>
      <w:tr w14:paraId="31DA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D41A838">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39D7F59E">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2C622C5A">
            <w:pPr>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652F2F7A">
            <w:pPr>
              <w:pStyle w:val="46"/>
              <w:widowControl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261C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81" w:type="pct"/>
            <w:vAlign w:val="center"/>
          </w:tcPr>
          <w:p w14:paraId="5ED28D1D">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03938041">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26AFCF76">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687D11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Cs/>
                <w:color w:val="auto"/>
                <w:sz w:val="24"/>
                <w:szCs w:val="24"/>
                <w:highlight w:val="none"/>
                <w:lang w:eastAsia="zh-CN"/>
              </w:rPr>
            </w:pPr>
            <w:r>
              <w:rPr>
                <w:rFonts w:hint="eastAsia" w:ascii="宋体" w:hAnsi="宋体" w:eastAsia="宋体"/>
                <w:bCs/>
                <w:color w:val="auto"/>
                <w:sz w:val="24"/>
                <w:szCs w:val="24"/>
                <w:highlight w:val="none"/>
                <w:lang w:eastAsia="zh-CN"/>
              </w:rPr>
              <w:t>☑免收</w:t>
            </w:r>
          </w:p>
          <w:p w14:paraId="3CB462C3">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29AF4944">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4C8A522E">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62F64C6B">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59A07522">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52415826">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u w:val="single"/>
              </w:rPr>
              <w:t xml:space="preserve">        </w:t>
            </w:r>
          </w:p>
          <w:p w14:paraId="25B28D88">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u w:val="single"/>
              </w:rPr>
              <w:t xml:space="preserve">       </w:t>
            </w:r>
          </w:p>
          <w:p w14:paraId="33B3BCEA">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65A4DFD1">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49F05DDB">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CFE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4E22DCB6">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19C38593">
            <w:pPr>
              <w:pStyle w:val="46"/>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0EE5627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54100CC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64F6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1540821">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042A9572">
            <w:pPr>
              <w:pStyle w:val="46"/>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shd w:val="clear" w:color="auto" w:fill="auto"/>
            <w:vAlign w:val="center"/>
          </w:tcPr>
          <w:p w14:paraId="25DF8838">
            <w:pPr>
              <w:spacing w:before="39" w:line="360" w:lineRule="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中标人</w:t>
            </w:r>
          </w:p>
          <w:p w14:paraId="5346611F">
            <w:pPr>
              <w:spacing w:before="24"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w:t>
            </w:r>
          </w:p>
          <w:p w14:paraId="292D9C88">
            <w:pPr>
              <w:pStyle w:val="46"/>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b w:val="0"/>
                <w:bCs w:val="0"/>
                <w:color w:val="auto"/>
                <w:kern w:val="2"/>
                <w:sz w:val="24"/>
                <w:szCs w:val="24"/>
                <w:highlight w:val="none"/>
                <w:u w:val="single"/>
                <w:lang w:val="en-US" w:eastAsia="zh-CN"/>
              </w:rPr>
              <w:t>参照</w:t>
            </w:r>
            <w:r>
              <w:rPr>
                <w:rFonts w:hint="eastAsia" w:ascii="宋体" w:hAnsi="宋体" w:eastAsia="宋体" w:cs="宋体"/>
                <w:b w:val="0"/>
                <w:bCs w:val="0"/>
                <w:color w:val="auto"/>
                <w:kern w:val="2"/>
                <w:sz w:val="24"/>
                <w:szCs w:val="24"/>
                <w:highlight w:val="none"/>
                <w:u w:val="single"/>
              </w:rPr>
              <w:t>《滁州市公共资源交易代理机构及从业人员管理办法》(滁公管〔2025〕1 号)执行</w:t>
            </w:r>
            <w:r>
              <w:rPr>
                <w:rFonts w:hint="eastAsia" w:ascii="宋体" w:hAnsi="宋体" w:eastAsia="宋体" w:cs="宋体"/>
                <w:b w:val="0"/>
                <w:bCs w:val="0"/>
                <w:color w:val="auto"/>
                <w:kern w:val="2"/>
                <w:sz w:val="24"/>
                <w:szCs w:val="24"/>
                <w:highlight w:val="none"/>
                <w:u w:val="single"/>
                <w:lang w:eastAsia="zh-CN"/>
              </w:rPr>
              <w:t>，16352</w:t>
            </w:r>
            <w:r>
              <w:rPr>
                <w:rFonts w:hint="eastAsia" w:ascii="宋体" w:hAnsi="宋体" w:eastAsia="宋体" w:cs="宋体"/>
                <w:b w:val="0"/>
                <w:bCs w:val="0"/>
                <w:color w:val="auto"/>
                <w:kern w:val="2"/>
                <w:sz w:val="24"/>
                <w:szCs w:val="24"/>
                <w:highlight w:val="none"/>
                <w:u w:val="single"/>
                <w:lang w:val="en-US" w:eastAsia="zh-CN"/>
              </w:rPr>
              <w:t>元</w:t>
            </w:r>
            <w:r>
              <w:rPr>
                <w:rFonts w:hint="eastAsia" w:ascii="宋体" w:hAnsi="宋体" w:eastAsia="宋体" w:cs="宋体"/>
                <w:b w:val="0"/>
                <w:bCs w:val="0"/>
                <w:color w:val="auto"/>
                <w:kern w:val="2"/>
                <w:sz w:val="24"/>
                <w:szCs w:val="24"/>
                <w:highlight w:val="none"/>
                <w:u w:val="single"/>
                <w:lang w:eastAsia="zh-CN"/>
              </w:rPr>
              <w:t>。</w:t>
            </w:r>
          </w:p>
        </w:tc>
      </w:tr>
      <w:tr w14:paraId="59C1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A4A140E">
            <w:pPr>
              <w:pStyle w:val="47"/>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619F073C">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58BB4B53">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r>
              <w:rPr>
                <w:rFonts w:hint="eastAsia" w:ascii="宋体" w:hAnsi="宋体" w:eastAsia="宋体"/>
                <w:bCs/>
                <w:color w:val="auto"/>
                <w:kern w:val="0"/>
                <w:sz w:val="24"/>
                <w:szCs w:val="28"/>
                <w:highlight w:val="none"/>
                <w:u w:val="single"/>
              </w:rPr>
              <w:t xml:space="preserve"> </w:t>
            </w:r>
          </w:p>
          <w:p w14:paraId="2DD3198A">
            <w:pPr>
              <w:pStyle w:val="46"/>
              <w:widowControl w:val="0"/>
              <w:spacing w:before="0" w:beforeAutospacing="0" w:after="0" w:afterAutospacing="0" w:line="360" w:lineRule="auto"/>
              <w:jc w:val="both"/>
              <w:rPr>
                <w:rFonts w:ascii="宋体" w:hAnsi="宋体" w:eastAsia="宋体"/>
                <w:b w:val="0"/>
                <w:bCs/>
                <w:color w:val="auto"/>
                <w:sz w:val="24"/>
                <w:szCs w:val="18"/>
                <w:highlight w:val="none"/>
              </w:rPr>
            </w:pPr>
            <w:r>
              <w:rPr>
                <w:rFonts w:hint="eastAsia" w:ascii="宋体" w:hAnsi="宋体" w:eastAsia="宋体"/>
                <w:b w:val="0"/>
                <w:bCs/>
                <w:color w:val="auto"/>
                <w:sz w:val="24"/>
                <w:highlight w:val="none"/>
              </w:rPr>
              <w:t>接收部门：</w:t>
            </w:r>
            <w:r>
              <w:rPr>
                <w:rFonts w:hint="eastAsia" w:ascii="宋体" w:hAnsi="宋体" w:eastAsia="宋体" w:cs="宋体"/>
                <w:b w:val="0"/>
                <w:bCs/>
                <w:color w:val="auto"/>
                <w:sz w:val="24"/>
                <w:highlight w:val="none"/>
                <w:u w:val="single"/>
                <w:lang w:eastAsia="zh-CN"/>
              </w:rPr>
              <w:t>滁州市地震局、滁州市政府采购中心</w:t>
            </w:r>
            <w:r>
              <w:rPr>
                <w:rFonts w:hint="eastAsia" w:ascii="宋体" w:hAnsi="宋体" w:eastAsia="宋体" w:cs="宋体"/>
                <w:b w:val="0"/>
                <w:bCs/>
                <w:color w:val="auto"/>
                <w:sz w:val="24"/>
                <w:highlight w:val="none"/>
                <w:u w:val="single"/>
              </w:rPr>
              <w:t>；</w:t>
            </w:r>
          </w:p>
          <w:p w14:paraId="5C79B1CE">
            <w:pPr>
              <w:pStyle w:val="46"/>
              <w:widowControl w:val="0"/>
              <w:spacing w:before="0" w:beforeAutospacing="0" w:after="0" w:afterAutospacing="0" w:line="500" w:lineRule="exact"/>
              <w:jc w:val="both"/>
              <w:rPr>
                <w:rFonts w:hint="eastAsia" w:ascii="宋体" w:hAnsi="宋体" w:eastAsia="宋体" w:cs="宋体"/>
                <w:b w:val="0"/>
                <w:bCs/>
                <w:color w:val="auto"/>
                <w:sz w:val="24"/>
                <w:highlight w:val="none"/>
                <w:u w:val="single"/>
              </w:rPr>
            </w:pPr>
            <w:r>
              <w:rPr>
                <w:rFonts w:hint="eastAsia" w:ascii="宋体" w:hAnsi="宋体" w:eastAsia="宋体" w:cs="宋体"/>
                <w:b w:val="0"/>
                <w:bCs/>
                <w:color w:val="auto"/>
                <w:sz w:val="24"/>
                <w:highlight w:val="none"/>
              </w:rPr>
              <w:t>联系电话：</w:t>
            </w:r>
            <w:r>
              <w:rPr>
                <w:rFonts w:hint="eastAsia" w:ascii="宋体" w:hAnsi="宋体" w:eastAsia="宋体" w:cs="宋体"/>
                <w:b w:val="0"/>
                <w:bCs/>
                <w:color w:val="auto"/>
                <w:sz w:val="24"/>
                <w:highlight w:val="none"/>
                <w:u w:val="single"/>
                <w:lang w:val="en-US" w:eastAsia="zh-CN"/>
              </w:rPr>
              <w:t>0550-3063640</w:t>
            </w:r>
            <w:r>
              <w:rPr>
                <w:rFonts w:hint="eastAsia" w:ascii="宋体" w:hAnsi="宋体" w:eastAsia="宋体" w:cs="宋体"/>
                <w:b w:val="0"/>
                <w:bCs/>
                <w:color w:val="auto"/>
                <w:sz w:val="24"/>
                <w:highlight w:val="none"/>
                <w:u w:val="single"/>
              </w:rPr>
              <w:t>、</w:t>
            </w:r>
            <w:r>
              <w:rPr>
                <w:rFonts w:hint="eastAsia" w:ascii="宋体" w:hAnsi="宋体" w:eastAsia="宋体" w:cs="宋体"/>
                <w:b w:val="0"/>
                <w:bCs/>
                <w:color w:val="auto"/>
                <w:sz w:val="24"/>
                <w:highlight w:val="none"/>
                <w:u w:val="single"/>
                <w:lang w:eastAsia="zh-CN"/>
              </w:rPr>
              <w:t>0550-3519516</w:t>
            </w:r>
            <w:r>
              <w:rPr>
                <w:rFonts w:hint="eastAsia" w:ascii="宋体" w:hAnsi="宋体" w:eastAsia="宋体" w:cs="宋体"/>
                <w:b w:val="0"/>
                <w:bCs/>
                <w:color w:val="auto"/>
                <w:sz w:val="24"/>
                <w:highlight w:val="none"/>
                <w:u w:val="single"/>
              </w:rPr>
              <w:t>；</w:t>
            </w:r>
          </w:p>
          <w:p w14:paraId="393EB899">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bCs/>
                <w:color w:val="auto"/>
                <w:sz w:val="24"/>
                <w:highlight w:val="none"/>
              </w:rPr>
              <w:t>通讯地址：</w:t>
            </w:r>
            <w:r>
              <w:rPr>
                <w:rFonts w:hint="eastAsia" w:ascii="宋体" w:hAnsi="宋体" w:eastAsia="宋体" w:cs="宋体"/>
                <w:b w:val="0"/>
                <w:bCs/>
                <w:color w:val="auto"/>
                <w:sz w:val="24"/>
                <w:highlight w:val="none"/>
                <w:u w:val="single"/>
                <w:lang w:val="en-US" w:eastAsia="zh-CN"/>
              </w:rPr>
              <w:t xml:space="preserve"> 滁州市琅琊区西涧中路4288号 </w:t>
            </w:r>
            <w:r>
              <w:rPr>
                <w:rFonts w:hint="eastAsia" w:ascii="宋体" w:hAnsi="宋体" w:eastAsia="宋体" w:cs="宋体"/>
                <w:b w:val="0"/>
                <w:bCs/>
                <w:color w:val="auto"/>
                <w:sz w:val="24"/>
                <w:highlight w:val="none"/>
                <w:u w:val="single"/>
                <w:lang w:eastAsia="zh-CN"/>
              </w:rPr>
              <w:t>、滁州市龙蟠大道109号房产商务大厦二楼</w:t>
            </w:r>
            <w:r>
              <w:rPr>
                <w:rFonts w:hint="eastAsia" w:ascii="宋体" w:hAnsi="宋体" w:eastAsia="宋体" w:cs="宋体"/>
                <w:b w:val="0"/>
                <w:bCs/>
                <w:color w:val="auto"/>
                <w:sz w:val="24"/>
                <w:highlight w:val="none"/>
                <w:u w:val="single"/>
              </w:rPr>
              <w:t>。</w:t>
            </w:r>
          </w:p>
        </w:tc>
      </w:tr>
      <w:tr w14:paraId="4D63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97E118A">
            <w:pPr>
              <w:pStyle w:val="47"/>
              <w:pBdr>
                <w:bottom w:val="none" w:color="auto" w:sz="0" w:space="0"/>
              </w:pBdr>
              <w:tabs>
                <w:tab w:val="clear" w:pos="4153"/>
                <w:tab w:val="clear" w:pos="8306"/>
              </w:tabs>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4E54E710">
            <w:pPr>
              <w:pStyle w:val="46"/>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22902C2A">
            <w:pPr>
              <w:pStyle w:val="46"/>
              <w:widowControl w:val="0"/>
              <w:numPr>
                <w:ilvl w:val="0"/>
                <w:numId w:val="0"/>
              </w:numPr>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61361C25">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427E2B43">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1D9CB0CF">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30957C84">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4A02DA8A">
            <w:pPr>
              <w:pStyle w:val="46"/>
              <w:widowControl w:val="0"/>
              <w:numPr>
                <w:ilvl w:val="0"/>
                <w:numId w:val="0"/>
              </w:numPr>
              <w:spacing w:before="0" w:beforeAutospacing="0" w:after="0" w:afterAutospacing="0" w:line="360" w:lineRule="auto"/>
              <w:jc w:val="both"/>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18B7711B">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7857515D">
            <w:pPr>
              <w:pStyle w:val="46"/>
              <w:widowControl w:val="0"/>
              <w:numPr>
                <w:ilvl w:val="0"/>
                <w:numId w:val="0"/>
              </w:numPr>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1A54B1E9">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1B19EF4E">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2E4B77F4">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4F90305D">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319F6429">
            <w:pPr>
              <w:pStyle w:val="46"/>
              <w:widowControl w:val="0"/>
              <w:spacing w:before="0" w:beforeAutospacing="0" w:after="0" w:afterAutospacing="0" w:line="500" w:lineRule="exact"/>
              <w:jc w:val="both"/>
              <w:rPr>
                <w:rFonts w:hint="eastAsia" w:asciiTheme="minorEastAsia" w:hAnsiTheme="minorEastAsia" w:eastAsiaTheme="minorEastAsia" w:cstheme="minorBidi"/>
                <w:b w:val="0"/>
                <w:bCs/>
                <w:color w:val="auto"/>
                <w:sz w:val="24"/>
                <w:szCs w:val="24"/>
                <w:highlight w:val="none"/>
                <w:lang w:val="en-US" w:eastAsia="zh-CN" w:bidi="ar-SA"/>
              </w:rPr>
            </w:pPr>
            <w:r>
              <w:rPr>
                <w:rFonts w:hint="eastAsia" w:asciiTheme="minorEastAsia" w:hAnsiTheme="minorEastAsia" w:eastAsiaTheme="minorEastAsia" w:cstheme="minorBidi"/>
                <w:b w:val="0"/>
                <w:bCs/>
                <w:color w:val="auto"/>
                <w:sz w:val="24"/>
                <w:szCs w:val="24"/>
                <w:highlight w:val="none"/>
                <w:lang w:val="en-US" w:eastAsia="zh-CN" w:bidi="ar-SA"/>
              </w:rPr>
              <w:t>俞冉：18256950224</w:t>
            </w:r>
          </w:p>
          <w:p w14:paraId="78546F85">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73E92BC9">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400C7EA9">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26B00D43">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eastAsia="zh-CN"/>
              </w:rPr>
              <w:t>0512-58188516</w:t>
            </w:r>
            <w:r>
              <w:rPr>
                <w:rFonts w:hint="eastAsia" w:ascii="宋体" w:hAnsi="宋体" w:eastAsia="宋体" w:cs="宋体"/>
                <w:b w:val="0"/>
                <w:color w:val="auto"/>
                <w:kern w:val="2"/>
                <w:sz w:val="24"/>
                <w:szCs w:val="24"/>
                <w:highlight w:val="none"/>
              </w:rPr>
              <w:t>。</w:t>
            </w:r>
          </w:p>
          <w:p w14:paraId="73F18CC7">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B489126">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60AA47F9">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11F27086">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7D30FCDF">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63CC1994">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366EB24C">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2F4F15B">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74AB0E90">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4EF3605">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51DBAE5F">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47CB0635">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7.同义词语：</w:t>
            </w:r>
          </w:p>
          <w:p w14:paraId="29FC5997">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招标文件第六章投标文件格式等章节中“招标人”、“供应商”，等同于“采购人”、“投标人”。</w:t>
            </w:r>
          </w:p>
          <w:p w14:paraId="5150D960">
            <w:pPr>
              <w:pStyle w:val="46"/>
              <w:widowControl w:val="0"/>
              <w:spacing w:before="0" w:beforeAutospacing="0" w:after="0" w:afterAutospacing="0" w:line="500" w:lineRule="exact"/>
              <w:jc w:val="both"/>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落实政府采购支持节能产品、环境标志产品政策。</w:t>
            </w:r>
          </w:p>
          <w:p w14:paraId="469034B9">
            <w:pPr>
              <w:pStyle w:val="46"/>
              <w:widowControl w:val="0"/>
              <w:spacing w:before="0" w:beforeAutospacing="0" w:after="0" w:afterAutospacing="0" w:line="500" w:lineRule="exact"/>
              <w:jc w:val="both"/>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9.</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034DD074">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24882"/>
      <w:bookmarkStart w:id="31" w:name="_Toc9427"/>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364FA3F4">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29C2E5A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243312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005ACBC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0A4BB33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6D02A95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20BF3A4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6C818BC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7786E23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77C5CF8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0A40F6D1">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28CF80A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994033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22F3BE0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6374E9A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6323ECF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2D52950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08A0672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01DD716D">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15273A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0F3EBE69">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26065AC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758FCCD">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0228984A">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4E0FA2AD">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33992A1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5BFF7970">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21DAA309">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48CD830A">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16716E2C">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7DD23CFE">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440C5DB5">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7E061A25">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782665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40A0AA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28A00F2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0ED1FE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7CB36B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1D4E737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4BFF78F9">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3C81ECB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53749B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7BC62A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1731B5B">
      <w:pPr>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5810BC6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134FA1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35F132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64F76C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33F69436">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35025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7B1E568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5092A99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622C60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3D3E15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163269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8AE79F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7B1092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02AFC5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07EDA1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18EDD0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4A4E3B7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95EFD9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558CC7C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95AFB9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70FA26F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8F5007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65BD58F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310E18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087529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083DAC01">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66B9DA1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0964A7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6226E548">
      <w:pPr>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2732551D">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45ABDA1F">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3D9C980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763E394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76DD4B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0CD8FD2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E36309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5D04959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877F1D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3B3CA90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0833DFF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06B0B582">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530AF3C8">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7C5DD6DD">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355ACE5C">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71515D40">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9EB9457">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0C30266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7BC841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29DB68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17B95E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F067A9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7350FE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4F4472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F242B6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11C4BED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4F00E301">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594381E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0694171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4A996CB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1E70305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4F3CEE0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7EC013B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 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0985440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6DDAD7C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7DB002A5">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74702138">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24B6F708">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B86B1D3">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21410A9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57ABE3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5CA14AA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41D5D19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0E207A3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411C69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56DC64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1E386E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1A4AA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674ADD0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5EA2E08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65F3ECB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051AE09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742D849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5B8542C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4E09E7DB">
      <w:pPr>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6345C6F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41E5029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0302300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77A24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7286C1A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6C2531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69F1CAF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3118528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67E55ED0">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2B9176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w:t>
      </w:r>
      <w:r>
        <w:rPr>
          <w:rFonts w:hint="eastAsia" w:ascii="宋体" w:hAnsi="宋体" w:eastAsia="宋体" w:cs="宋体"/>
          <w:color w:val="auto"/>
          <w:sz w:val="24"/>
          <w:highlight w:val="none"/>
        </w:rPr>
        <w:t>服务范围</w:t>
      </w:r>
      <w:r>
        <w:rPr>
          <w:rFonts w:asciiTheme="minorEastAsia" w:hAnsiTheme="minorEastAsia" w:eastAsiaTheme="minorEastAsia"/>
          <w:color w:val="auto"/>
          <w:sz w:val="24"/>
          <w:highlight w:val="none"/>
        </w:rPr>
        <w:t>、服务要求</w:t>
      </w:r>
      <w:r>
        <w:rPr>
          <w:rFonts w:hint="eastAsia" w:asciiTheme="minorEastAsia" w:hAnsiTheme="minorEastAsia" w:eastAsiaTheme="minorEastAsia"/>
          <w:color w:val="auto"/>
          <w:sz w:val="24"/>
          <w:highlight w:val="none"/>
          <w:lang w:eastAsia="zh-CN"/>
        </w:rPr>
        <w:t>、</w:t>
      </w:r>
      <w:r>
        <w:rPr>
          <w:rFonts w:hint="eastAsia" w:ascii="宋体" w:hAnsi="宋体" w:eastAsia="宋体" w:cs="宋体"/>
          <w:color w:val="auto"/>
          <w:sz w:val="24"/>
          <w:highlight w:val="none"/>
        </w:rPr>
        <w:t>服务时间、服务标准</w:t>
      </w:r>
      <w:r>
        <w:rPr>
          <w:rFonts w:asciiTheme="minorEastAsia" w:hAnsiTheme="minorEastAsia" w:eastAsiaTheme="minorEastAsia"/>
          <w:color w:val="auto"/>
          <w:sz w:val="24"/>
          <w:highlight w:val="none"/>
        </w:rPr>
        <w:t>，中标公告期限、评审专家名单</w:t>
      </w:r>
      <w:r>
        <w:rPr>
          <w:rFonts w:hint="eastAsia" w:asciiTheme="minorEastAsia" w:hAnsiTheme="minorEastAsia" w:eastAsiaTheme="minorEastAsia"/>
          <w:color w:val="auto"/>
          <w:sz w:val="24"/>
          <w:highlight w:val="none"/>
          <w:lang w:val="en-US" w:eastAsia="zh-CN"/>
        </w:rPr>
        <w:t>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19531C1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6CD82BC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54C75A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01C9978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7C0D7D5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5AFFEA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2FDD490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4746D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4ED41A9C">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00C1EFE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55669BE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0C86BB9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28BB8B4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0E24451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468C9CDF">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40C2587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70217CD4">
      <w:pPr>
        <w:spacing w:line="360" w:lineRule="auto"/>
        <w:ind w:firstLine="437"/>
        <w:outlineLvl w:val="2"/>
        <w:rPr>
          <w:rFonts w:asciiTheme="minorEastAsia" w:hAnsiTheme="minorEastAsia" w:eastAsiaTheme="minorEastAsia"/>
          <w:b/>
          <w:color w:val="auto"/>
          <w:sz w:val="24"/>
          <w:highlight w:val="none"/>
        </w:rPr>
      </w:pPr>
      <w:bookmarkStart w:id="35" w:name="_Toc518923100"/>
      <w:bookmarkStart w:id="36" w:name="_Toc2583661"/>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14872AD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00256F6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42029F36">
      <w:pPr>
        <w:spacing w:line="360" w:lineRule="auto"/>
        <w:ind w:firstLine="437"/>
        <w:outlineLvl w:val="2"/>
        <w:rPr>
          <w:rFonts w:asciiTheme="minorEastAsia" w:hAnsiTheme="minorEastAsia" w:eastAsiaTheme="minorEastAsia"/>
          <w:b/>
          <w:color w:val="auto"/>
          <w:sz w:val="24"/>
          <w:highlight w:val="none"/>
        </w:rPr>
      </w:pPr>
      <w:bookmarkStart w:id="37" w:name="_Toc2583662"/>
      <w:bookmarkStart w:id="38" w:name="_Toc518923101"/>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5F4316D9">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3DAA5D1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7E6F952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725B7C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5220A2B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3A99644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09801AB3">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32.投诉</w:t>
      </w:r>
    </w:p>
    <w:p w14:paraId="26F0B1E4">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6BAB9FFE">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144AAD9D">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32.3政府采购监督管理部门在处理投诉事项期间，可以视具体情况书面通知采购人暂停采购活动，但暂停时间最长不得超过30日。</w:t>
      </w:r>
    </w:p>
    <w:p w14:paraId="791D14DF">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33.需要补充的其他内容</w:t>
      </w:r>
    </w:p>
    <w:p w14:paraId="34D744E1">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需要补充的其他内容，见投标人须知前附表。</w:t>
      </w:r>
    </w:p>
    <w:p w14:paraId="0F2FC669">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11CFB285">
      <w:pPr>
        <w:numPr>
          <w:ilvl w:val="0"/>
          <w:numId w:val="1"/>
        </w:num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rPr>
        <w:t xml:space="preserve"> </w:t>
      </w:r>
      <w:bookmarkStart w:id="39" w:name="_Toc22605"/>
      <w:r>
        <w:rPr>
          <w:rFonts w:hint="eastAsia" w:asciiTheme="minorEastAsia" w:hAnsiTheme="minorEastAsia" w:eastAsiaTheme="minorEastAsia"/>
          <w:b/>
          <w:color w:val="auto"/>
          <w:sz w:val="28"/>
          <w:highlight w:val="none"/>
        </w:rPr>
        <w:t>采购需求</w:t>
      </w:r>
      <w:bookmarkEnd w:id="39"/>
    </w:p>
    <w:p w14:paraId="55436052">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3EB889FF">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可以进行优化，提供满足采购人实际需要的更优（或者性能实质上不低于的）服务方案，且此方案须经评标委员会评审认可。</w:t>
      </w:r>
    </w:p>
    <w:p w14:paraId="2D1EF0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6C5747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所投产品须具有市场监管总局公布的《参与实施政府采购节能产品认证机构目录》中的认证机构出具的、处于有效期内的节能产品认证证书。</w:t>
      </w:r>
    </w:p>
    <w:p w14:paraId="566271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3195B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2DA894B">
      <w:pPr>
        <w:spacing w:line="360" w:lineRule="auto"/>
        <w:ind w:firstLine="437"/>
        <w:jc w:val="left"/>
        <w:outlineLvl w:val="1"/>
        <w:rPr>
          <w:rFonts w:hint="default" w:ascii="宋体" w:hAnsi="宋体" w:eastAsia="宋体"/>
          <w:b/>
          <w:color w:val="auto"/>
          <w:sz w:val="24"/>
          <w:szCs w:val="18"/>
          <w:highlight w:val="none"/>
          <w:lang w:val="en-US" w:eastAsia="zh-CN"/>
        </w:rPr>
      </w:pPr>
      <w:bookmarkStart w:id="40" w:name="_Toc21798"/>
      <w:bookmarkStart w:id="41" w:name="_Toc4148"/>
      <w:bookmarkStart w:id="42" w:name="_Hlk23621890"/>
      <w:r>
        <w:rPr>
          <w:rFonts w:hint="eastAsia" w:ascii="宋体" w:hAnsi="宋体" w:eastAsia="宋体"/>
          <w:b/>
          <w:color w:val="auto"/>
          <w:sz w:val="24"/>
          <w:szCs w:val="18"/>
          <w:highlight w:val="none"/>
          <w:lang w:val="en-US" w:eastAsia="zh-CN"/>
        </w:rPr>
        <w:t>一、</w:t>
      </w:r>
      <w:r>
        <w:rPr>
          <w:rFonts w:hint="eastAsia" w:ascii="宋体" w:hAnsi="宋体" w:eastAsia="宋体"/>
          <w:b/>
          <w:color w:val="auto"/>
          <w:sz w:val="24"/>
          <w:szCs w:val="18"/>
          <w:highlight w:val="none"/>
        </w:rPr>
        <w:t>采购需求前附表</w:t>
      </w:r>
      <w:bookmarkEnd w:id="40"/>
      <w:bookmarkEnd w:id="41"/>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7B5F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9EC241D">
            <w:pPr>
              <w:pStyle w:val="47"/>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4209D4B6">
            <w:pPr>
              <w:pStyle w:val="46"/>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2C18AB4A">
            <w:pPr>
              <w:pStyle w:val="46"/>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45E1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70F879C">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40BCE1C6">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31ADDA3E">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合同签订生效、具备实施条件且乙方提供合规等额发票和等额的见索即付保函后，支付合同价款的40%作为预付款；项目总验收通过后一次性付清合同剩余价款。</w:t>
            </w:r>
          </w:p>
        </w:tc>
      </w:tr>
      <w:tr w14:paraId="3DFA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5131182">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36F5290">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79E161C9">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滁州市内，采购人指定地点</w:t>
            </w:r>
          </w:p>
        </w:tc>
      </w:tr>
      <w:tr w14:paraId="095C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A68ACD6">
            <w:pPr>
              <w:pStyle w:val="4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3D3F538">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0" w:firstLineChars="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服务期限</w:t>
            </w:r>
          </w:p>
        </w:tc>
        <w:tc>
          <w:tcPr>
            <w:tcW w:w="3217" w:type="pct"/>
            <w:vAlign w:val="center"/>
          </w:tcPr>
          <w:p w14:paraId="6469E6EA">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项目建设总周期不超过365个日历天，自签订合同之日算起</w:t>
            </w:r>
          </w:p>
        </w:tc>
      </w:tr>
      <w:tr w14:paraId="7520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35B3A9A">
            <w:pPr>
              <w:pStyle w:val="47"/>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D2D4170">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0" w:firstLineChars="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本项目采购标的名称及所属行业</w:t>
            </w:r>
          </w:p>
        </w:tc>
        <w:tc>
          <w:tcPr>
            <w:tcW w:w="3217" w:type="pct"/>
            <w:vAlign w:val="center"/>
          </w:tcPr>
          <w:p w14:paraId="4FEEB400">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标的名称：滁州市“智慧防震减灾”服务平台二期项目</w:t>
            </w:r>
          </w:p>
          <w:p w14:paraId="765D93DF">
            <w:pPr>
              <w:pStyle w:val="46"/>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kern w:val="0"/>
                <w:sz w:val="24"/>
                <w:szCs w:val="20"/>
                <w:highlight w:val="none"/>
                <w:lang w:val="en-US" w:eastAsia="zh-CN" w:bidi="ar-SA"/>
              </w:rPr>
            </w:pPr>
            <w:r>
              <w:rPr>
                <w:rFonts w:hint="eastAsia" w:ascii="宋体" w:hAnsi="宋体" w:eastAsia="宋体" w:cs="宋体"/>
                <w:b w:val="0"/>
                <w:bCs w:val="0"/>
                <w:color w:val="auto"/>
                <w:kern w:val="0"/>
                <w:sz w:val="24"/>
                <w:szCs w:val="20"/>
                <w:highlight w:val="none"/>
                <w:lang w:val="en-US" w:eastAsia="zh-CN" w:bidi="ar-SA"/>
              </w:rPr>
              <w:t>所属行业：软件和信息技术服务业</w:t>
            </w:r>
          </w:p>
        </w:tc>
      </w:tr>
    </w:tbl>
    <w:p w14:paraId="7D489707">
      <w:pPr>
        <w:spacing w:line="360" w:lineRule="auto"/>
        <w:ind w:firstLine="437"/>
        <w:jc w:val="left"/>
        <w:outlineLvl w:val="1"/>
        <w:rPr>
          <w:rFonts w:hint="eastAsia" w:ascii="黑体" w:hAnsi="黑体" w:eastAsia="黑体" w:cs="黑体"/>
          <w:sz w:val="44"/>
          <w:szCs w:val="36"/>
          <w:highlight w:val="yellow"/>
          <w:lang w:val="en-US" w:eastAsia="zh-CN"/>
        </w:rPr>
      </w:pPr>
      <w:bookmarkStart w:id="43" w:name="_Toc16543"/>
      <w:bookmarkStart w:id="44" w:name="_Hlk16461016"/>
      <w:r>
        <w:rPr>
          <w:rFonts w:hint="eastAsia" w:ascii="宋体" w:hAnsi="宋体" w:eastAsia="宋体"/>
          <w:b/>
          <w:color w:val="auto"/>
          <w:sz w:val="24"/>
          <w:szCs w:val="18"/>
          <w:highlight w:val="none"/>
          <w:lang w:val="en-US" w:eastAsia="zh-CN"/>
        </w:rPr>
        <w:t>二、采购需求</w:t>
      </w:r>
      <w:bookmarkEnd w:id="42"/>
      <w:bookmarkEnd w:id="43"/>
      <w:bookmarkEnd w:id="44"/>
      <w:bookmarkStart w:id="45" w:name="_Toc30824"/>
    </w:p>
    <w:p w14:paraId="3539D1C7">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sz w:val="28"/>
          <w:szCs w:val="22"/>
        </w:rPr>
      </w:pPr>
    </w:p>
    <w:p w14:paraId="6610A1CA">
      <w:pPr>
        <w:pStyle w:val="2"/>
        <w:numPr>
          <w:ilvl w:val="0"/>
          <w:numId w:val="0"/>
        </w:numPr>
        <w:bidi w:val="0"/>
        <w:ind w:left="420"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1、项目概述</w:t>
      </w:r>
    </w:p>
    <w:p w14:paraId="254DBE0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本项目在滁州市“智慧防震减灾”服务平台一期项目的基础上全面迭代升级，</w:t>
      </w:r>
      <w:r>
        <w:rPr>
          <w:rFonts w:hint="eastAsia" w:ascii="宋体" w:hAnsi="宋体" w:eastAsia="宋体" w:cs="宋体"/>
          <w:sz w:val="24"/>
          <w:szCs w:val="24"/>
          <w:lang w:val="en-US" w:eastAsia="zh-CN"/>
        </w:rPr>
        <w:t>坚持实用性、科学性、先进性原则，立足市、县防震减灾工作需求，充分利用大数据、人工智能、物联网等先进技术，衔接集成省、市级专业系统，融入市、县防震减灾专有成果数据和行业数据，建设覆盖防震减灾全业务场景的数智化平台，重点突出“静态可视化”向“动态智能化”演变，打造地市级行业标杆，满足“十五五”时期防震减灾数智化发展总体要求，为市、县防震减灾事业高质量发展构建数智赋能底座。</w:t>
      </w:r>
    </w:p>
    <w:p w14:paraId="524F84AF">
      <w:pPr>
        <w:pStyle w:val="2"/>
        <w:numPr>
          <w:ilvl w:val="0"/>
          <w:numId w:val="0"/>
        </w:numPr>
        <w:bidi w:val="0"/>
        <w:ind w:left="420" w:leftChars="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2、平台一期项目情况简述</w:t>
      </w:r>
    </w:p>
    <w:p w14:paraId="2E029A2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平台一期项目</w:t>
      </w:r>
      <w:r>
        <w:rPr>
          <w:rFonts w:hint="eastAsia" w:ascii="宋体" w:hAnsi="宋体" w:eastAsia="宋体" w:cs="宋体"/>
          <w:sz w:val="24"/>
          <w:szCs w:val="24"/>
          <w:lang w:val="en-US" w:eastAsia="zh-CN"/>
        </w:rPr>
        <w:t>初步完成了智慧防震减灾数据中心建设，建设了智慧震防基础平台，以及地震综合应用系统、地震数字孪生决策可视化系统、地震公共服务信息系统共4个应用子系统。</w:t>
      </w:r>
    </w:p>
    <w:p w14:paraId="201B09E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震综合应用系统主要包含地震构造信息查询、三维地质空间分析、灾害风险评估与区划、震害预测综合评估等功能模块。地震构造信息查询模块支持查询本地区基本地震地质背景、地震断裂带、活动断层分布及走向，以及对应的详细信息。三维地质空间分析模块可展示指定位置的三维地质模型剖切信息。灾害风险评估与区划模块主要基于地震灾害风险普查中的区划与评估成果，查询展示地震危险性、地震灾害损失评估等信息，并提供针对性风险对策建议。震害预测综合评估模块中，可展示建筑物、生命线设施、次生灾害等基础统计资料，查询不同烈度下对不同工程的震害预测情况。</w:t>
      </w:r>
    </w:p>
    <w:p w14:paraId="745F6E3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地震数字孪生决策可视化系统主要包含态势展示、规划选址、抗震设防、情景模拟等实用场景。态势展示主要用于将断裂带、地震台站、宏观观测点、历史震情等信息通过可视化呈现的效果予以展示，</w:t>
      </w:r>
      <w:r>
        <w:rPr>
          <w:rFonts w:hint="eastAsia" w:ascii="宋体" w:hAnsi="宋体" w:eastAsia="宋体" w:cs="宋体"/>
          <w:color w:val="auto"/>
          <w:sz w:val="24"/>
          <w:szCs w:val="24"/>
          <w:lang w:val="en-US" w:eastAsia="zh-CN"/>
        </w:rPr>
        <w:t>达到一屏总览的效果。规划选址主要用于新建拟建工程的前期选址，通过比对拟建工程周边断裂带、抗震设防区划、周边历史地震、邻近地震台站和观测点等一系列信息，对工程选址进行初步分析评估，提供拟建工程防震减灾相关意见建议。抗震设防主要用于对已确定工程选址的新建建设工程，根据本地区抗震设防烈度和工程抗震设防要求，提供相关参数和抗震防灾建议。情景模拟模块可以提供对地震震后受灾情况的模拟，分为烈度统计、建构物损坏统计和生命线设施损毁统计三大部分。</w:t>
      </w:r>
    </w:p>
    <w:p w14:paraId="65443D2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地震公共服务信息系统</w:t>
      </w:r>
      <w:r>
        <w:rPr>
          <w:rFonts w:hint="eastAsia" w:ascii="宋体" w:hAnsi="宋体" w:eastAsia="宋体" w:cs="宋体"/>
          <w:strike w:val="0"/>
          <w:dstrike w:val="0"/>
          <w:color w:val="auto"/>
          <w:sz w:val="24"/>
          <w:szCs w:val="24"/>
          <w:lang w:val="en-US" w:eastAsia="zh-CN"/>
        </w:rPr>
        <w:t>主要</w:t>
      </w:r>
      <w:r>
        <w:rPr>
          <w:rFonts w:hint="eastAsia" w:ascii="宋体" w:hAnsi="宋体" w:eastAsia="宋体" w:cs="宋体"/>
          <w:color w:val="auto"/>
          <w:sz w:val="24"/>
          <w:szCs w:val="24"/>
          <w:lang w:val="en-US" w:eastAsia="zh-CN"/>
        </w:rPr>
        <w:t>包括震情推送、信息浏览、信息查询、安全评价、政策法规等功能模块。</w:t>
      </w:r>
      <w:r>
        <w:rPr>
          <w:rFonts w:hint="eastAsia" w:ascii="宋体" w:hAnsi="宋体" w:eastAsia="宋体" w:cs="宋体"/>
          <w:strike w:val="0"/>
          <w:dstrike w:val="0"/>
          <w:color w:val="auto"/>
          <w:sz w:val="24"/>
          <w:szCs w:val="24"/>
          <w:lang w:val="en-US" w:eastAsia="zh-CN"/>
        </w:rPr>
        <w:t>信息查询模块</w:t>
      </w:r>
      <w:r>
        <w:rPr>
          <w:rFonts w:hint="eastAsia" w:ascii="宋体" w:hAnsi="宋体" w:eastAsia="宋体" w:cs="宋体"/>
          <w:color w:val="auto"/>
          <w:sz w:val="24"/>
          <w:szCs w:val="24"/>
          <w:lang w:val="en-US" w:eastAsia="zh-CN"/>
        </w:rPr>
        <w:t>融合</w:t>
      </w:r>
      <w:r>
        <w:rPr>
          <w:rFonts w:hint="eastAsia" w:ascii="宋体" w:hAnsi="宋体" w:eastAsia="宋体" w:cs="宋体"/>
          <w:strike w:val="0"/>
          <w:dstrike w:val="0"/>
          <w:color w:val="auto"/>
          <w:sz w:val="24"/>
          <w:szCs w:val="24"/>
          <w:lang w:val="en-US" w:eastAsia="zh-CN"/>
        </w:rPr>
        <w:t>了</w:t>
      </w:r>
      <w:r>
        <w:rPr>
          <w:rFonts w:hint="eastAsia" w:ascii="宋体" w:hAnsi="宋体" w:eastAsia="宋体" w:cs="宋体"/>
          <w:color w:val="auto"/>
          <w:sz w:val="24"/>
          <w:szCs w:val="24"/>
          <w:lang w:val="en-US" w:eastAsia="zh-CN"/>
        </w:rPr>
        <w:t>历史地震分布图与基于《中国地震动参数区划图》的地震动参数可视化查询功能，支持按市、县、乡镇乃至经纬度进行多维度空间检索安全评价模块</w:t>
      </w:r>
      <w:r>
        <w:rPr>
          <w:rFonts w:hint="eastAsia" w:ascii="宋体" w:hAnsi="宋体" w:eastAsia="宋体" w:cs="宋体"/>
          <w:strike w:val="0"/>
          <w:dstrike w:val="0"/>
          <w:color w:val="auto"/>
          <w:sz w:val="24"/>
          <w:szCs w:val="24"/>
          <w:lang w:val="en-US" w:eastAsia="zh-CN"/>
        </w:rPr>
        <w:t>可</w:t>
      </w:r>
      <w:r>
        <w:rPr>
          <w:rFonts w:hint="eastAsia" w:ascii="宋体" w:hAnsi="宋体" w:eastAsia="宋体" w:cs="宋体"/>
          <w:color w:val="auto"/>
          <w:sz w:val="24"/>
          <w:szCs w:val="24"/>
          <w:lang w:val="en-US" w:eastAsia="zh-CN"/>
        </w:rPr>
        <w:t>提供权威的区域性地震安评报告查询与下载政策法规模块以清单化、关联化的方式系统展示现行有效的防震减灾法规及</w:t>
      </w:r>
      <w:r>
        <w:rPr>
          <w:rFonts w:hint="eastAsia" w:ascii="宋体" w:hAnsi="宋体" w:eastAsia="宋体" w:cs="宋体"/>
          <w:strike w:val="0"/>
          <w:dstrike w:val="0"/>
          <w:color w:val="auto"/>
          <w:sz w:val="24"/>
          <w:szCs w:val="24"/>
          <w:lang w:val="en-US" w:eastAsia="zh-CN"/>
        </w:rPr>
        <w:t>政策</w:t>
      </w:r>
      <w:r>
        <w:rPr>
          <w:rFonts w:hint="eastAsia" w:ascii="宋体" w:hAnsi="宋体" w:eastAsia="宋体" w:cs="宋体"/>
          <w:color w:val="auto"/>
          <w:sz w:val="24"/>
          <w:szCs w:val="24"/>
          <w:lang w:val="en-US" w:eastAsia="zh-CN"/>
        </w:rPr>
        <w:t>解读。</w:t>
      </w:r>
    </w:p>
    <w:p w14:paraId="5F1371A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智慧震防基础平台为上述3个子系统提供统一、高效、安全的基础性配置与支撑服务。该平台构建了统一的身份认证与权限管理体系，对不同层级、不同角色的用户及系统管理员进行功能访问控制与操作范围界定，内置了全面的日志审计与监控追踪机制，可对系统内的所有关键操作行为、用户登录记录、数据交互过程及异常事件进行</w:t>
      </w:r>
      <w:r>
        <w:rPr>
          <w:rFonts w:hint="eastAsia" w:ascii="宋体" w:hAnsi="宋体" w:eastAsia="宋体" w:cs="宋体"/>
          <w:sz w:val="24"/>
          <w:szCs w:val="24"/>
          <w:lang w:val="en-US" w:eastAsia="zh-CN"/>
        </w:rPr>
        <w:t>实时采集、归档存储与可视化呈现。</w:t>
      </w:r>
    </w:p>
    <w:p w14:paraId="3CAB16DE">
      <w:pPr>
        <w:pStyle w:val="2"/>
        <w:numPr>
          <w:ilvl w:val="0"/>
          <w:numId w:val="0"/>
        </w:numPr>
        <w:bidi w:val="0"/>
        <w:ind w:left="420" w:leftChars="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3、平台二期项目功能需求</w:t>
      </w:r>
    </w:p>
    <w:p w14:paraId="2F9E1A2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主要包含九大核心业务子系统、AI智慧问答统一交互入口及移动端公众服务端口，全面覆盖地震监测运维、震情趋势研判、地震预警管控、地震构造管理、震灾风险评估、工程抗震设防、震害情景模拟、应急指挥调度、社会公共服务等全业务场景，构建全流程、智能化、闭环式的地震业务数智化体系。</w:t>
      </w:r>
    </w:p>
    <w:p w14:paraId="0767CE88">
      <w:pPr>
        <w:pStyle w:val="3"/>
        <w:numPr>
          <w:ilvl w:val="0"/>
          <w:numId w:val="2"/>
        </w:numPr>
        <w:bidi w:val="0"/>
        <w:ind w:left="425" w:leftChars="0" w:hanging="425" w:firstLineChars="0"/>
        <w:rPr>
          <w:rFonts w:hint="eastAsia" w:ascii="宋体" w:hAnsi="宋体" w:eastAsia="宋体" w:cs="宋体"/>
          <w:sz w:val="24"/>
          <w:szCs w:val="24"/>
          <w:lang w:eastAsia="zh-CN"/>
        </w:rPr>
      </w:pPr>
      <w:r>
        <w:rPr>
          <w:rFonts w:hint="eastAsia" w:ascii="宋体" w:hAnsi="宋体" w:eastAsia="宋体" w:cs="宋体"/>
          <w:sz w:val="24"/>
          <w:szCs w:val="24"/>
        </w:rPr>
        <w:t>地震监测</w:t>
      </w:r>
      <w:r>
        <w:rPr>
          <w:rFonts w:hint="eastAsia" w:ascii="宋体" w:hAnsi="宋体" w:eastAsia="宋体" w:cs="宋体"/>
          <w:sz w:val="24"/>
          <w:szCs w:val="24"/>
          <w:lang w:val="en-US" w:eastAsia="zh-CN"/>
        </w:rPr>
        <w:t>综合管理</w:t>
      </w:r>
      <w:r>
        <w:rPr>
          <w:rFonts w:hint="eastAsia" w:ascii="宋体" w:hAnsi="宋体" w:eastAsia="宋体" w:cs="宋体"/>
          <w:sz w:val="24"/>
          <w:szCs w:val="24"/>
        </w:rPr>
        <w:t>子系统</w:t>
      </w:r>
    </w:p>
    <w:p w14:paraId="32BEE8F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搭建地震监测台站与宏观观测点全生命周期数字化运维</w:t>
      </w:r>
      <w:r>
        <w:rPr>
          <w:rFonts w:hint="eastAsia" w:ascii="宋体" w:hAnsi="宋体" w:eastAsia="宋体" w:cs="宋体"/>
          <w:strike w:val="0"/>
          <w:dstrike w:val="0"/>
          <w:color w:val="auto"/>
          <w:sz w:val="24"/>
          <w:szCs w:val="24"/>
          <w:lang w:eastAsia="zh-CN"/>
        </w:rPr>
        <w:t>体系，归集</w:t>
      </w:r>
      <w:r>
        <w:rPr>
          <w:rFonts w:hint="eastAsia" w:ascii="宋体" w:hAnsi="宋体" w:eastAsia="宋体" w:cs="宋体"/>
          <w:color w:val="auto"/>
          <w:sz w:val="24"/>
          <w:szCs w:val="24"/>
          <w:lang w:val="en-US" w:eastAsia="zh-CN"/>
        </w:rPr>
        <w:t>滁州</w:t>
      </w:r>
      <w:r>
        <w:rPr>
          <w:rFonts w:hint="eastAsia" w:ascii="宋体" w:hAnsi="宋体" w:eastAsia="宋体" w:cs="宋体"/>
          <w:color w:val="auto"/>
          <w:sz w:val="24"/>
          <w:szCs w:val="24"/>
        </w:rPr>
        <w:t>市辖区内</w:t>
      </w:r>
      <w:r>
        <w:rPr>
          <w:rFonts w:hint="eastAsia" w:ascii="宋体" w:hAnsi="宋体" w:eastAsia="宋体" w:cs="宋体"/>
          <w:color w:val="auto"/>
          <w:sz w:val="24"/>
          <w:szCs w:val="24"/>
          <w:lang w:val="en-US" w:eastAsia="zh-CN"/>
        </w:rPr>
        <w:t>所有</w:t>
      </w:r>
      <w:r>
        <w:rPr>
          <w:rFonts w:hint="eastAsia" w:ascii="宋体" w:hAnsi="宋体" w:eastAsia="宋体" w:cs="宋体"/>
          <w:color w:val="auto"/>
          <w:sz w:val="24"/>
          <w:szCs w:val="24"/>
        </w:rPr>
        <w:t>地震监测台站及各类测项</w:t>
      </w:r>
      <w:r>
        <w:rPr>
          <w:rFonts w:hint="eastAsia" w:ascii="宋体" w:hAnsi="宋体" w:eastAsia="宋体" w:cs="宋体"/>
          <w:color w:val="auto"/>
          <w:sz w:val="24"/>
          <w:szCs w:val="24"/>
          <w:lang w:eastAsia="zh-CN"/>
        </w:rPr>
        <w:t>数据，</w:t>
      </w:r>
      <w:r>
        <w:rPr>
          <w:rFonts w:hint="eastAsia" w:ascii="宋体" w:hAnsi="宋体" w:eastAsia="宋体" w:cs="宋体"/>
          <w:color w:val="auto"/>
          <w:sz w:val="24"/>
          <w:szCs w:val="24"/>
        </w:rPr>
        <w:t>提供数据预处理、智能异常识别、映震关联分析</w:t>
      </w:r>
      <w:r>
        <w:rPr>
          <w:rFonts w:hint="eastAsia" w:ascii="宋体" w:hAnsi="宋体" w:eastAsia="宋体" w:cs="宋体"/>
          <w:color w:val="auto"/>
          <w:sz w:val="24"/>
          <w:szCs w:val="24"/>
          <w:lang w:eastAsia="zh-CN"/>
        </w:rPr>
        <w:t>服务</w:t>
      </w:r>
      <w:r>
        <w:rPr>
          <w:rFonts w:hint="eastAsia" w:ascii="宋体" w:hAnsi="宋体" w:eastAsia="宋体" w:cs="宋体"/>
          <w:color w:val="auto"/>
          <w:sz w:val="24"/>
          <w:szCs w:val="24"/>
        </w:rPr>
        <w:t>。配套建设地震宏观观测点专项管理模块，</w:t>
      </w:r>
      <w:r>
        <w:rPr>
          <w:rFonts w:hint="eastAsia" w:ascii="宋体" w:hAnsi="宋体" w:eastAsia="宋体" w:cs="宋体"/>
          <w:color w:val="auto"/>
          <w:sz w:val="24"/>
          <w:szCs w:val="24"/>
          <w:lang w:eastAsia="zh-CN"/>
        </w:rPr>
        <w:t>衔</w:t>
      </w:r>
      <w:r>
        <w:rPr>
          <w:rFonts w:hint="eastAsia" w:ascii="宋体" w:hAnsi="宋体" w:eastAsia="宋体" w:cs="宋体"/>
          <w:color w:val="auto"/>
          <w:sz w:val="24"/>
          <w:szCs w:val="24"/>
        </w:rPr>
        <w:t>接</w:t>
      </w:r>
      <w:r>
        <w:rPr>
          <w:rFonts w:hint="eastAsia" w:ascii="宋体" w:hAnsi="宋体" w:eastAsia="宋体" w:cs="宋体"/>
          <w:color w:val="auto"/>
          <w:sz w:val="24"/>
          <w:szCs w:val="24"/>
          <w:lang w:val="en-US" w:eastAsia="zh-CN"/>
        </w:rPr>
        <w:t>省级</w:t>
      </w:r>
      <w:r>
        <w:rPr>
          <w:rFonts w:hint="eastAsia" w:ascii="宋体" w:hAnsi="宋体" w:eastAsia="宋体" w:cs="宋体"/>
          <w:color w:val="auto"/>
          <w:sz w:val="24"/>
          <w:szCs w:val="24"/>
        </w:rPr>
        <w:t>宏观异常上报系统</w:t>
      </w:r>
      <w:r>
        <w:rPr>
          <w:rFonts w:hint="eastAsia" w:ascii="宋体" w:hAnsi="宋体" w:eastAsia="宋体" w:cs="宋体"/>
          <w:strike w:val="0"/>
          <w:dstrike w:val="0"/>
          <w:color w:val="auto"/>
          <w:sz w:val="24"/>
          <w:szCs w:val="24"/>
          <w:lang w:eastAsia="zh-CN"/>
        </w:rPr>
        <w:t>和</w:t>
      </w:r>
      <w:r>
        <w:rPr>
          <w:rFonts w:hint="eastAsia" w:ascii="宋体" w:hAnsi="宋体" w:eastAsia="宋体" w:cs="宋体"/>
          <w:color w:val="auto"/>
          <w:sz w:val="24"/>
          <w:szCs w:val="24"/>
          <w:lang w:val="en-US" w:eastAsia="zh-CN"/>
        </w:rPr>
        <w:t>市县</w:t>
      </w:r>
      <w:r>
        <w:rPr>
          <w:rFonts w:hint="eastAsia" w:ascii="宋体" w:hAnsi="宋体" w:eastAsia="宋体" w:cs="宋体"/>
          <w:color w:val="auto"/>
          <w:sz w:val="24"/>
          <w:szCs w:val="24"/>
        </w:rPr>
        <w:t>观测点智能化改造产出数据，实现点位空间可视化管</w:t>
      </w:r>
      <w:r>
        <w:rPr>
          <w:rFonts w:hint="eastAsia" w:ascii="宋体" w:hAnsi="宋体" w:eastAsia="宋体" w:cs="宋体"/>
          <w:color w:val="auto"/>
          <w:sz w:val="24"/>
          <w:szCs w:val="24"/>
          <w:lang w:eastAsia="zh-CN"/>
        </w:rPr>
        <w:t>理</w:t>
      </w:r>
      <w:r>
        <w:rPr>
          <w:rFonts w:hint="eastAsia" w:ascii="宋体" w:hAnsi="宋体" w:eastAsia="宋体" w:cs="宋体"/>
          <w:color w:val="auto"/>
          <w:sz w:val="24"/>
          <w:szCs w:val="24"/>
        </w:rPr>
        <w:t>、日常数据接入、异常核验及结构化简报自动生成</w:t>
      </w:r>
      <w:r>
        <w:rPr>
          <w:rFonts w:hint="eastAsia" w:ascii="宋体" w:hAnsi="宋体" w:eastAsia="宋体" w:cs="宋体"/>
          <w:color w:val="auto"/>
          <w:sz w:val="24"/>
          <w:szCs w:val="24"/>
          <w:lang w:val="en-US" w:eastAsia="zh-CN"/>
        </w:rPr>
        <w:t>等功能</w:t>
      </w:r>
      <w:r>
        <w:rPr>
          <w:rFonts w:hint="eastAsia" w:ascii="宋体" w:hAnsi="宋体" w:eastAsia="宋体" w:cs="宋体"/>
          <w:color w:val="auto"/>
          <w:sz w:val="24"/>
          <w:szCs w:val="24"/>
        </w:rPr>
        <w:t>。</w:t>
      </w:r>
    </w:p>
    <w:p w14:paraId="53958DC7">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rPr>
      </w:pPr>
      <w:r>
        <w:rPr>
          <w:rFonts w:hint="eastAsia" w:ascii="宋体" w:hAnsi="宋体" w:eastAsia="宋体" w:cs="宋体"/>
          <w:b/>
          <w:sz w:val="24"/>
          <w:szCs w:val="24"/>
        </w:rPr>
        <w:t>地震监测台站运维</w:t>
      </w:r>
    </w:p>
    <w:p w14:paraId="11923111">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sz w:val="24"/>
          <w:szCs w:val="24"/>
        </w:rPr>
      </w:pPr>
      <w:r>
        <w:rPr>
          <w:rFonts w:hint="eastAsia" w:ascii="宋体" w:hAnsi="宋体" w:eastAsia="宋体" w:cs="宋体"/>
          <w:sz w:val="24"/>
          <w:szCs w:val="24"/>
        </w:rPr>
        <w:t>地震监测台站</w:t>
      </w:r>
      <w:r>
        <w:rPr>
          <w:rFonts w:hint="eastAsia" w:ascii="宋体" w:hAnsi="宋体" w:eastAsia="宋体" w:cs="宋体"/>
          <w:sz w:val="24"/>
          <w:szCs w:val="24"/>
          <w:lang w:val="en-US" w:eastAsia="zh-CN"/>
        </w:rPr>
        <w:t>态势感知</w:t>
      </w:r>
    </w:p>
    <w:p w14:paraId="6792A83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台站</w:t>
      </w:r>
      <w:r>
        <w:rPr>
          <w:rFonts w:hint="eastAsia" w:ascii="宋体" w:hAnsi="宋体" w:eastAsia="宋体" w:cs="宋体"/>
          <w:sz w:val="24"/>
          <w:szCs w:val="24"/>
          <w:lang w:val="en-US" w:eastAsia="zh-CN"/>
        </w:rPr>
        <w:t>布局管理</w:t>
      </w:r>
      <w:r>
        <w:rPr>
          <w:rFonts w:hint="eastAsia" w:ascii="宋体" w:hAnsi="宋体" w:eastAsia="宋体" w:cs="宋体"/>
          <w:sz w:val="24"/>
          <w:szCs w:val="24"/>
          <w:lang w:eastAsia="zh-CN"/>
        </w:rPr>
        <w:t>。</w:t>
      </w:r>
      <w:r>
        <w:rPr>
          <w:rFonts w:hint="eastAsia" w:ascii="宋体" w:hAnsi="宋体" w:eastAsia="宋体" w:cs="宋体"/>
          <w:sz w:val="24"/>
          <w:szCs w:val="24"/>
        </w:rPr>
        <w:t>系统应同步对接实时监测模块，获取台站实时运行状态；支持</w:t>
      </w:r>
      <w:r>
        <w:rPr>
          <w:rFonts w:hint="eastAsia" w:ascii="宋体" w:hAnsi="宋体" w:eastAsia="宋体" w:cs="宋体"/>
          <w:sz w:val="24"/>
          <w:szCs w:val="24"/>
          <w:lang w:val="en-US" w:eastAsia="zh-CN"/>
        </w:rPr>
        <w:t>对</w:t>
      </w:r>
      <w:r>
        <w:rPr>
          <w:rFonts w:hint="eastAsia" w:ascii="宋体" w:hAnsi="宋体" w:eastAsia="宋体" w:cs="宋体"/>
          <w:sz w:val="24"/>
          <w:szCs w:val="24"/>
        </w:rPr>
        <w:t>台站点位</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运行状态等信息进行渲染展示；</w:t>
      </w:r>
      <w:r>
        <w:rPr>
          <w:rFonts w:hint="eastAsia" w:ascii="宋体" w:hAnsi="宋体" w:eastAsia="宋体" w:cs="宋体"/>
          <w:sz w:val="24"/>
          <w:szCs w:val="24"/>
        </w:rPr>
        <w:t>支持台站检索、定位</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信息查看</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运行状态和</w:t>
      </w:r>
      <w:r>
        <w:rPr>
          <w:rFonts w:hint="eastAsia" w:ascii="宋体" w:hAnsi="宋体" w:eastAsia="宋体" w:cs="宋体"/>
          <w:sz w:val="24"/>
          <w:szCs w:val="24"/>
        </w:rPr>
        <w:t>明细数据</w:t>
      </w:r>
      <w:r>
        <w:rPr>
          <w:rFonts w:hint="eastAsia" w:ascii="宋体" w:hAnsi="宋体" w:eastAsia="宋体" w:cs="宋体"/>
          <w:sz w:val="24"/>
          <w:szCs w:val="24"/>
          <w:lang w:val="en-US" w:eastAsia="zh-CN"/>
        </w:rPr>
        <w:t>等基础交互功能</w:t>
      </w:r>
      <w:r>
        <w:rPr>
          <w:rFonts w:hint="eastAsia" w:ascii="宋体" w:hAnsi="宋体" w:eastAsia="宋体" w:cs="宋体"/>
          <w:sz w:val="24"/>
          <w:szCs w:val="24"/>
          <w:lang w:eastAsia="zh-CN"/>
        </w:rPr>
        <w:t>；</w:t>
      </w:r>
      <w:r>
        <w:rPr>
          <w:rFonts w:hint="eastAsia" w:ascii="宋体" w:hAnsi="宋体" w:eastAsia="宋体" w:cs="宋体"/>
          <w:sz w:val="24"/>
          <w:szCs w:val="24"/>
        </w:rPr>
        <w:t>系统应支持对接外部GIS服务提供的行政区划地理底图数据。</w:t>
      </w:r>
    </w:p>
    <w:p w14:paraId="2EB152C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台站基础</w:t>
      </w:r>
      <w:r>
        <w:rPr>
          <w:rFonts w:hint="eastAsia" w:ascii="宋体" w:hAnsi="宋体" w:eastAsia="宋体" w:cs="宋体"/>
          <w:color w:val="auto"/>
          <w:sz w:val="24"/>
          <w:szCs w:val="24"/>
          <w:lang w:val="en-US" w:eastAsia="zh-CN"/>
        </w:rPr>
        <w:t>信息</w:t>
      </w:r>
      <w:r>
        <w:rPr>
          <w:rFonts w:hint="eastAsia" w:ascii="宋体" w:hAnsi="宋体" w:eastAsia="宋体" w:cs="宋体"/>
          <w:color w:val="auto"/>
          <w:sz w:val="24"/>
          <w:szCs w:val="24"/>
        </w:rPr>
        <w:t>管理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w:t>
      </w:r>
      <w:r>
        <w:rPr>
          <w:rFonts w:hint="eastAsia" w:ascii="宋体" w:hAnsi="宋体" w:eastAsia="宋体" w:cs="宋体"/>
          <w:color w:val="auto"/>
          <w:sz w:val="24"/>
          <w:szCs w:val="24"/>
          <w:lang w:val="en-US" w:eastAsia="zh-CN"/>
        </w:rPr>
        <w:t>包含全市</w:t>
      </w:r>
      <w:r>
        <w:rPr>
          <w:rFonts w:hint="eastAsia" w:ascii="宋体" w:hAnsi="宋体" w:eastAsia="宋体" w:cs="宋体"/>
          <w:color w:val="auto"/>
          <w:sz w:val="24"/>
          <w:szCs w:val="24"/>
        </w:rPr>
        <w:t>监测台站编号、经纬度坐标、建站资料、权属辖区、建设年份、监测业务类型等核心主数据；支持台站信息新增、导入、编辑</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删除、筛选检索等管理</w:t>
      </w:r>
      <w:r>
        <w:rPr>
          <w:rFonts w:hint="eastAsia" w:ascii="宋体" w:hAnsi="宋体" w:eastAsia="宋体" w:cs="宋体"/>
          <w:color w:val="auto"/>
          <w:sz w:val="24"/>
          <w:szCs w:val="24"/>
          <w:lang w:val="en-US" w:eastAsia="zh-CN"/>
        </w:rPr>
        <w:t>功能</w:t>
      </w:r>
      <w:r>
        <w:rPr>
          <w:rFonts w:hint="eastAsia" w:ascii="宋体" w:hAnsi="宋体" w:eastAsia="宋体" w:cs="宋体"/>
          <w:color w:val="auto"/>
          <w:sz w:val="24"/>
          <w:szCs w:val="24"/>
        </w:rPr>
        <w:t>。</w:t>
      </w:r>
    </w:p>
    <w:p w14:paraId="23BD1B2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3.地震监测</w:t>
      </w:r>
      <w:r>
        <w:rPr>
          <w:rFonts w:hint="eastAsia" w:ascii="宋体" w:hAnsi="宋体" w:eastAsia="宋体" w:cs="宋体"/>
          <w:color w:val="auto"/>
          <w:sz w:val="24"/>
          <w:szCs w:val="24"/>
        </w:rPr>
        <w:t>设备管理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系统应支持存储各台站</w:t>
      </w:r>
      <w:r>
        <w:rPr>
          <w:rFonts w:hint="eastAsia" w:ascii="宋体" w:hAnsi="宋体" w:eastAsia="宋体" w:cs="宋体"/>
          <w:color w:val="auto"/>
          <w:sz w:val="24"/>
          <w:szCs w:val="24"/>
          <w:lang w:val="en-US" w:eastAsia="zh-CN"/>
        </w:rPr>
        <w:t>各观测</w:t>
      </w:r>
      <w:r>
        <w:rPr>
          <w:rFonts w:hint="eastAsia" w:ascii="宋体" w:hAnsi="宋体" w:eastAsia="宋体" w:cs="宋体"/>
          <w:color w:val="auto"/>
          <w:sz w:val="24"/>
          <w:szCs w:val="24"/>
        </w:rPr>
        <w:t>设备数据，并与对应台站关联；支持设备信息新增、编辑、删除、明细查询、专项台账导出</w:t>
      </w:r>
      <w:r>
        <w:rPr>
          <w:rFonts w:hint="eastAsia" w:ascii="宋体" w:hAnsi="宋体" w:eastAsia="宋体" w:cs="宋体"/>
          <w:color w:val="auto"/>
          <w:sz w:val="24"/>
          <w:szCs w:val="24"/>
          <w:lang w:val="en-US" w:eastAsia="zh-CN"/>
        </w:rPr>
        <w:t>等功能</w:t>
      </w:r>
      <w:r>
        <w:rPr>
          <w:rFonts w:hint="eastAsia" w:ascii="宋体" w:hAnsi="宋体" w:eastAsia="宋体" w:cs="宋体"/>
          <w:color w:val="auto"/>
          <w:sz w:val="24"/>
          <w:szCs w:val="24"/>
        </w:rPr>
        <w:t>。</w:t>
      </w:r>
    </w:p>
    <w:p w14:paraId="4A59824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台站档案操作日志管理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系统应支持存储台站档案新增、编辑、</w:t>
      </w:r>
      <w:r>
        <w:rPr>
          <w:rFonts w:hint="eastAsia" w:ascii="宋体" w:hAnsi="宋体" w:eastAsia="宋体" w:cs="宋体"/>
          <w:sz w:val="24"/>
          <w:szCs w:val="24"/>
        </w:rPr>
        <w:t>删除、归档、恢复等操作变更记录；支持日志查询、审计追溯、日志导出。</w:t>
      </w:r>
    </w:p>
    <w:p w14:paraId="7568248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5.业务系统接入。系统应支持有效衔接滁州市震情速报系统、紧急会商系统、应急决策辅助系统、地球物理前兆管理系统、测震台网等系统。</w:t>
      </w:r>
    </w:p>
    <w:p w14:paraId="2D670561">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地震监测</w:t>
      </w:r>
      <w:r>
        <w:rPr>
          <w:rFonts w:hint="eastAsia" w:ascii="宋体" w:hAnsi="宋体" w:eastAsia="宋体" w:cs="宋体"/>
          <w:b/>
          <w:sz w:val="24"/>
          <w:szCs w:val="24"/>
        </w:rPr>
        <w:t>实时数据处理</w:t>
      </w:r>
      <w:r>
        <w:rPr>
          <w:rFonts w:hint="eastAsia" w:ascii="宋体" w:hAnsi="宋体" w:eastAsia="宋体" w:cs="宋体"/>
          <w:b/>
          <w:sz w:val="24"/>
          <w:szCs w:val="24"/>
          <w:lang w:val="en-US" w:eastAsia="zh-CN"/>
        </w:rPr>
        <w:t>分析</w:t>
      </w:r>
    </w:p>
    <w:p w14:paraId="2603A12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监测设备实时数据管理</w:t>
      </w:r>
      <w:r>
        <w:rPr>
          <w:rFonts w:hint="eastAsia" w:ascii="宋体" w:hAnsi="宋体" w:eastAsia="宋体" w:cs="宋体"/>
          <w:sz w:val="24"/>
          <w:szCs w:val="24"/>
          <w:lang w:eastAsia="zh-CN"/>
        </w:rPr>
        <w:t>。</w:t>
      </w:r>
      <w:r>
        <w:rPr>
          <w:rFonts w:hint="eastAsia" w:ascii="宋体" w:hAnsi="宋体" w:eastAsia="宋体" w:cs="宋体"/>
          <w:sz w:val="24"/>
          <w:szCs w:val="24"/>
        </w:rPr>
        <w:t>系统应支持</w:t>
      </w:r>
      <w:r>
        <w:rPr>
          <w:rFonts w:hint="eastAsia" w:ascii="宋体" w:hAnsi="宋体" w:eastAsia="宋体" w:cs="宋体"/>
          <w:sz w:val="24"/>
          <w:szCs w:val="24"/>
          <w:lang w:val="en-US" w:eastAsia="zh-CN"/>
        </w:rPr>
        <w:t>有效</w:t>
      </w:r>
      <w:r>
        <w:rPr>
          <w:rFonts w:hint="eastAsia" w:ascii="宋体" w:hAnsi="宋体" w:eastAsia="宋体" w:cs="宋体"/>
          <w:sz w:val="24"/>
          <w:szCs w:val="24"/>
        </w:rPr>
        <w:t>对接全市</w:t>
      </w:r>
      <w:r>
        <w:rPr>
          <w:rFonts w:hint="eastAsia" w:ascii="宋体" w:hAnsi="宋体" w:eastAsia="宋体" w:cs="宋体"/>
          <w:sz w:val="24"/>
          <w:szCs w:val="24"/>
          <w:lang w:val="en-US" w:eastAsia="zh-CN"/>
        </w:rPr>
        <w:t>所有地震监测台站及各类</w:t>
      </w:r>
      <w:r>
        <w:rPr>
          <w:rFonts w:hint="eastAsia" w:ascii="宋体" w:hAnsi="宋体" w:eastAsia="宋体" w:cs="宋体"/>
          <w:sz w:val="24"/>
          <w:szCs w:val="24"/>
        </w:rPr>
        <w:t>监测设备传输的实时原始监测数据流，为实时监测、数据预处理、异常识别提供核心外部数据源。</w:t>
      </w:r>
    </w:p>
    <w:p w14:paraId="0357AEC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2.监测</w:t>
      </w:r>
      <w:r>
        <w:rPr>
          <w:rFonts w:hint="eastAsia" w:ascii="宋体" w:hAnsi="宋体" w:eastAsia="宋体" w:cs="宋体"/>
          <w:sz w:val="24"/>
          <w:szCs w:val="24"/>
        </w:rPr>
        <w:t>数据</w:t>
      </w:r>
      <w:r>
        <w:rPr>
          <w:rFonts w:hint="eastAsia" w:ascii="宋体" w:hAnsi="宋体" w:eastAsia="宋体" w:cs="宋体"/>
          <w:sz w:val="24"/>
          <w:szCs w:val="24"/>
          <w:lang w:val="en-US" w:eastAsia="zh-CN"/>
        </w:rPr>
        <w:t>统计</w:t>
      </w:r>
      <w:r>
        <w:rPr>
          <w:rFonts w:hint="eastAsia" w:ascii="宋体" w:hAnsi="宋体" w:eastAsia="宋体" w:cs="宋体"/>
          <w:sz w:val="24"/>
          <w:szCs w:val="24"/>
          <w:lang w:eastAsia="zh-CN"/>
        </w:rPr>
        <w:t>。</w:t>
      </w:r>
      <w:r>
        <w:rPr>
          <w:rFonts w:hint="eastAsia" w:ascii="宋体" w:hAnsi="宋体" w:eastAsia="宋体" w:cs="宋体"/>
          <w:sz w:val="24"/>
          <w:szCs w:val="24"/>
        </w:rPr>
        <w:t>系统应支持统计各类</w:t>
      </w:r>
      <w:r>
        <w:rPr>
          <w:rFonts w:hint="eastAsia" w:ascii="宋体" w:hAnsi="宋体" w:eastAsia="宋体" w:cs="宋体"/>
          <w:sz w:val="24"/>
          <w:szCs w:val="24"/>
          <w:lang w:val="en-US" w:eastAsia="zh-CN"/>
        </w:rPr>
        <w:t>监测</w:t>
      </w:r>
      <w:r>
        <w:rPr>
          <w:rFonts w:hint="eastAsia" w:ascii="宋体" w:hAnsi="宋体" w:eastAsia="宋体" w:cs="宋体"/>
          <w:sz w:val="24"/>
          <w:szCs w:val="24"/>
        </w:rPr>
        <w:t>数据传输异常情况；支持</w:t>
      </w:r>
      <w:r>
        <w:rPr>
          <w:rFonts w:hint="eastAsia" w:ascii="宋体" w:hAnsi="宋体" w:eastAsia="宋体" w:cs="宋体"/>
          <w:sz w:val="24"/>
          <w:szCs w:val="24"/>
          <w:lang w:val="en-US" w:eastAsia="zh-CN"/>
        </w:rPr>
        <w:t>按条件</w:t>
      </w:r>
      <w:r>
        <w:rPr>
          <w:rFonts w:hint="eastAsia" w:ascii="宋体" w:hAnsi="宋体" w:eastAsia="宋体" w:cs="宋体"/>
          <w:sz w:val="24"/>
          <w:szCs w:val="24"/>
        </w:rPr>
        <w:t>回溯查询历史原始监测数据，</w:t>
      </w:r>
      <w:r>
        <w:rPr>
          <w:rFonts w:hint="eastAsia" w:ascii="宋体" w:hAnsi="宋体" w:eastAsia="宋体" w:cs="宋体"/>
          <w:sz w:val="24"/>
          <w:szCs w:val="24"/>
          <w:lang w:val="en-US" w:eastAsia="zh-CN"/>
        </w:rPr>
        <w:t>包括但不限于</w:t>
      </w:r>
      <w:r>
        <w:rPr>
          <w:rFonts w:hint="eastAsia" w:ascii="宋体" w:hAnsi="宋体" w:eastAsia="宋体" w:cs="宋体"/>
          <w:sz w:val="24"/>
          <w:szCs w:val="24"/>
        </w:rPr>
        <w:t>数据明细</w:t>
      </w:r>
      <w:r>
        <w:rPr>
          <w:rFonts w:hint="eastAsia" w:ascii="宋体" w:hAnsi="宋体" w:eastAsia="宋体" w:cs="宋体"/>
          <w:sz w:val="24"/>
          <w:szCs w:val="24"/>
          <w:lang w:eastAsia="zh-CN"/>
        </w:rPr>
        <w:t>、</w:t>
      </w:r>
      <w:r>
        <w:rPr>
          <w:rFonts w:hint="eastAsia" w:ascii="宋体" w:hAnsi="宋体" w:eastAsia="宋体" w:cs="宋体"/>
          <w:sz w:val="24"/>
          <w:szCs w:val="24"/>
        </w:rPr>
        <w:t>波形曲线</w:t>
      </w:r>
      <w:r>
        <w:rPr>
          <w:rFonts w:hint="eastAsia" w:ascii="宋体" w:hAnsi="宋体" w:eastAsia="宋体" w:cs="宋体"/>
          <w:sz w:val="24"/>
          <w:szCs w:val="24"/>
          <w:lang w:val="en-US" w:eastAsia="zh-CN"/>
        </w:rPr>
        <w:t>等</w:t>
      </w:r>
      <w:r>
        <w:rPr>
          <w:rFonts w:hint="eastAsia" w:ascii="宋体" w:hAnsi="宋体" w:eastAsia="宋体" w:cs="宋体"/>
          <w:sz w:val="24"/>
          <w:szCs w:val="24"/>
        </w:rPr>
        <w:t>；支持按</w:t>
      </w:r>
      <w:r>
        <w:rPr>
          <w:rFonts w:hint="eastAsia" w:ascii="宋体" w:hAnsi="宋体" w:eastAsia="宋体" w:cs="宋体"/>
          <w:sz w:val="24"/>
          <w:szCs w:val="24"/>
          <w:lang w:val="en-US" w:eastAsia="zh-CN"/>
        </w:rPr>
        <w:t>指定</w:t>
      </w:r>
      <w:r>
        <w:rPr>
          <w:rFonts w:hint="eastAsia" w:ascii="宋体" w:hAnsi="宋体" w:eastAsia="宋体" w:cs="宋体"/>
          <w:sz w:val="24"/>
          <w:szCs w:val="24"/>
        </w:rPr>
        <w:t>周期自动生成数据完整性、传输时效统计报表，并支持报表一键导出归档</w:t>
      </w:r>
      <w:r>
        <w:rPr>
          <w:rFonts w:hint="eastAsia" w:ascii="宋体" w:hAnsi="宋体" w:eastAsia="宋体" w:cs="宋体"/>
          <w:sz w:val="24"/>
          <w:szCs w:val="24"/>
          <w:lang w:val="en-US" w:eastAsia="zh-CN"/>
        </w:rPr>
        <w:t>等功能</w:t>
      </w:r>
      <w:r>
        <w:rPr>
          <w:rFonts w:hint="eastAsia" w:ascii="宋体" w:hAnsi="宋体" w:eastAsia="宋体" w:cs="宋体"/>
          <w:sz w:val="24"/>
          <w:szCs w:val="24"/>
        </w:rPr>
        <w:t>。</w:t>
      </w:r>
    </w:p>
    <w:p w14:paraId="765B2EE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监测数据</w:t>
      </w:r>
      <w:r>
        <w:rPr>
          <w:rFonts w:hint="eastAsia" w:ascii="宋体" w:hAnsi="宋体" w:eastAsia="宋体" w:cs="宋体"/>
          <w:sz w:val="24"/>
          <w:szCs w:val="24"/>
          <w:lang w:val="en-US" w:eastAsia="zh-CN"/>
        </w:rPr>
        <w:t>智能</w:t>
      </w:r>
      <w:r>
        <w:rPr>
          <w:rFonts w:hint="eastAsia" w:ascii="宋体" w:hAnsi="宋体" w:eastAsia="宋体" w:cs="宋体"/>
          <w:sz w:val="24"/>
          <w:szCs w:val="24"/>
        </w:rPr>
        <w:t>分析</w:t>
      </w:r>
      <w:r>
        <w:rPr>
          <w:rFonts w:hint="eastAsia" w:ascii="宋体" w:hAnsi="宋体" w:eastAsia="宋体" w:cs="宋体"/>
          <w:sz w:val="24"/>
          <w:szCs w:val="24"/>
          <w:lang w:eastAsia="zh-CN"/>
        </w:rPr>
        <w:t>。</w:t>
      </w:r>
      <w:r>
        <w:rPr>
          <w:rFonts w:hint="eastAsia" w:ascii="宋体" w:hAnsi="宋体" w:eastAsia="宋体" w:cs="宋体"/>
          <w:sz w:val="24"/>
          <w:szCs w:val="24"/>
        </w:rPr>
        <w:t>系统应支持</w:t>
      </w:r>
      <w:r>
        <w:rPr>
          <w:rFonts w:hint="eastAsia" w:ascii="宋体" w:hAnsi="宋体" w:eastAsia="宋体" w:cs="宋体"/>
          <w:sz w:val="24"/>
          <w:szCs w:val="24"/>
          <w:lang w:val="en-US" w:eastAsia="zh-CN"/>
        </w:rPr>
        <w:t>对台站监测数据进行智能化差异化分析，包括但不限于：</w:t>
      </w:r>
      <w:r>
        <w:rPr>
          <w:rFonts w:hint="eastAsia" w:ascii="宋体" w:hAnsi="宋体" w:eastAsia="宋体" w:cs="宋体"/>
          <w:sz w:val="24"/>
          <w:szCs w:val="24"/>
        </w:rPr>
        <w:t>单台站、多台站的实时波形曲线动态</w:t>
      </w:r>
      <w:r>
        <w:rPr>
          <w:rFonts w:hint="eastAsia" w:ascii="宋体" w:hAnsi="宋体" w:eastAsia="宋体" w:cs="宋体"/>
          <w:sz w:val="24"/>
          <w:szCs w:val="24"/>
          <w:lang w:val="en-US" w:eastAsia="zh-CN"/>
        </w:rPr>
        <w:t>展示</w:t>
      </w:r>
      <w:r>
        <w:rPr>
          <w:rFonts w:hint="eastAsia" w:ascii="宋体" w:hAnsi="宋体" w:eastAsia="宋体" w:cs="宋体"/>
          <w:sz w:val="24"/>
          <w:szCs w:val="24"/>
        </w:rPr>
        <w:t>；支持自定义数据波动阈值、异常高亮标记规则，识别并可视化标记数据实时异常波动；支持自动生成监测数据同比、环比</w:t>
      </w:r>
      <w:r>
        <w:rPr>
          <w:rFonts w:hint="eastAsia" w:ascii="宋体" w:hAnsi="宋体" w:eastAsia="宋体" w:cs="宋体"/>
          <w:sz w:val="24"/>
          <w:szCs w:val="24"/>
          <w:lang w:eastAsia="zh-CN"/>
        </w:rPr>
        <w:t>，</w:t>
      </w:r>
      <w:r>
        <w:rPr>
          <w:rFonts w:hint="eastAsia" w:ascii="宋体" w:hAnsi="宋体" w:eastAsia="宋体" w:cs="宋体"/>
          <w:sz w:val="24"/>
          <w:szCs w:val="24"/>
        </w:rPr>
        <w:t>以及多台站横向差异对比曲线；支持所有分析</w:t>
      </w:r>
      <w:r>
        <w:rPr>
          <w:rFonts w:hint="eastAsia" w:ascii="宋体" w:hAnsi="宋体" w:eastAsia="宋体" w:cs="宋体"/>
          <w:sz w:val="24"/>
          <w:szCs w:val="24"/>
          <w:lang w:val="en-US" w:eastAsia="zh-CN"/>
        </w:rPr>
        <w:t>高清</w:t>
      </w:r>
      <w:r>
        <w:rPr>
          <w:rFonts w:hint="eastAsia" w:ascii="宋体" w:hAnsi="宋体" w:eastAsia="宋体" w:cs="宋体"/>
          <w:sz w:val="24"/>
          <w:szCs w:val="24"/>
        </w:rPr>
        <w:t>图表导出</w:t>
      </w:r>
      <w:r>
        <w:rPr>
          <w:rFonts w:hint="eastAsia" w:ascii="宋体" w:hAnsi="宋体" w:eastAsia="宋体" w:cs="宋体"/>
          <w:sz w:val="24"/>
          <w:szCs w:val="24"/>
          <w:lang w:val="en-US" w:eastAsia="zh-CN"/>
        </w:rPr>
        <w:t>等功能</w:t>
      </w:r>
      <w:r>
        <w:rPr>
          <w:rFonts w:hint="eastAsia" w:ascii="宋体" w:hAnsi="宋体" w:eastAsia="宋体" w:cs="宋体"/>
          <w:sz w:val="24"/>
          <w:szCs w:val="24"/>
        </w:rPr>
        <w:t>。</w:t>
      </w:r>
    </w:p>
    <w:p w14:paraId="513C341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rPr>
      </w:pPr>
      <w:r>
        <w:rPr>
          <w:rFonts w:hint="eastAsia" w:ascii="宋体" w:hAnsi="宋体" w:eastAsia="宋体" w:cs="宋体"/>
          <w:sz w:val="24"/>
          <w:szCs w:val="24"/>
          <w:lang w:val="en-US" w:eastAsia="zh-CN"/>
        </w:rPr>
        <w:t>4.</w:t>
      </w:r>
      <w:r>
        <w:rPr>
          <w:rFonts w:hint="eastAsia" w:ascii="宋体" w:hAnsi="宋体" w:eastAsia="宋体" w:cs="宋体"/>
          <w:sz w:val="24"/>
          <w:szCs w:val="24"/>
        </w:rPr>
        <w:t>监测时序数据管理</w:t>
      </w:r>
      <w:r>
        <w:rPr>
          <w:rFonts w:hint="eastAsia" w:ascii="宋体" w:hAnsi="宋体" w:eastAsia="宋体" w:cs="宋体"/>
          <w:sz w:val="24"/>
          <w:szCs w:val="24"/>
          <w:lang w:eastAsia="zh-CN"/>
        </w:rPr>
        <w:t>。</w:t>
      </w:r>
      <w:r>
        <w:rPr>
          <w:rFonts w:hint="eastAsia" w:ascii="宋体" w:hAnsi="宋体" w:eastAsia="宋体" w:cs="宋体"/>
          <w:sz w:val="24"/>
          <w:szCs w:val="24"/>
        </w:rPr>
        <w:t>系统应支持统一</w:t>
      </w:r>
      <w:r>
        <w:rPr>
          <w:rFonts w:hint="eastAsia" w:ascii="宋体" w:hAnsi="宋体" w:eastAsia="宋体" w:cs="宋体"/>
          <w:sz w:val="24"/>
          <w:szCs w:val="24"/>
          <w:lang w:val="en-US" w:eastAsia="zh-CN"/>
        </w:rPr>
        <w:t>管理全市</w:t>
      </w:r>
      <w:r>
        <w:rPr>
          <w:rFonts w:hint="eastAsia" w:ascii="宋体" w:hAnsi="宋体" w:eastAsia="宋体" w:cs="宋体"/>
          <w:sz w:val="24"/>
          <w:szCs w:val="24"/>
        </w:rPr>
        <w:t>台站原始监测时序数据流、预处理标准化数据集、震期分段专项分析数据；支持规则配置、历史数据回溯、数据对比校验、分析计算、数据批量导出</w:t>
      </w:r>
      <w:r>
        <w:rPr>
          <w:rFonts w:hint="eastAsia" w:ascii="宋体" w:hAnsi="宋体" w:eastAsia="宋体" w:cs="宋体"/>
          <w:sz w:val="24"/>
          <w:szCs w:val="24"/>
          <w:lang w:val="en-US" w:eastAsia="zh-CN"/>
        </w:rPr>
        <w:t>等功能。</w:t>
      </w:r>
    </w:p>
    <w:p w14:paraId="2E6216A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异常告警处置</w:t>
      </w:r>
      <w:r>
        <w:rPr>
          <w:rFonts w:hint="eastAsia" w:ascii="宋体" w:hAnsi="宋体" w:eastAsia="宋体" w:cs="宋体"/>
          <w:sz w:val="24"/>
          <w:szCs w:val="24"/>
          <w:lang w:eastAsia="zh-CN"/>
        </w:rPr>
        <w:t>。</w:t>
      </w:r>
      <w:r>
        <w:rPr>
          <w:rFonts w:hint="eastAsia" w:ascii="宋体" w:hAnsi="宋体" w:eastAsia="宋体" w:cs="宋体"/>
          <w:sz w:val="24"/>
          <w:szCs w:val="24"/>
        </w:rPr>
        <w:t>系统应支持存储系统自动识别的异常事件信息、快照凭证、分级告警记录、人工复核研判结果、无效告警标记等处置数据；支持异常规则配置、告警展示、溯源检索、台账查询、映震联动分析</w:t>
      </w:r>
      <w:r>
        <w:rPr>
          <w:rFonts w:hint="eastAsia" w:ascii="宋体" w:hAnsi="宋体" w:eastAsia="宋体" w:cs="宋体"/>
          <w:sz w:val="24"/>
          <w:szCs w:val="24"/>
          <w:lang w:val="en-US" w:eastAsia="zh-CN"/>
        </w:rPr>
        <w:t>等功能</w:t>
      </w:r>
      <w:r>
        <w:rPr>
          <w:rFonts w:hint="eastAsia" w:ascii="宋体" w:hAnsi="宋体" w:eastAsia="宋体" w:cs="宋体"/>
          <w:sz w:val="24"/>
          <w:szCs w:val="24"/>
        </w:rPr>
        <w:t>。</w:t>
      </w:r>
    </w:p>
    <w:p w14:paraId="72D0EA07">
      <w:pPr>
        <w:pStyle w:val="5"/>
        <w:numPr>
          <w:ilvl w:val="2"/>
          <w:numId w:val="3"/>
        </w:numPr>
        <w:bidi w:val="0"/>
        <w:ind w:left="709" w:leftChars="0" w:hanging="709" w:firstLineChars="0"/>
        <w:rPr>
          <w:rFonts w:hint="eastAsia" w:ascii="宋体" w:hAnsi="宋体" w:eastAsia="宋体" w:cs="宋体"/>
          <w:b/>
          <w:sz w:val="24"/>
          <w:szCs w:val="24"/>
        </w:rPr>
      </w:pPr>
      <w:r>
        <w:rPr>
          <w:rFonts w:hint="eastAsia" w:ascii="宋体" w:hAnsi="宋体" w:eastAsia="宋体" w:cs="宋体"/>
          <w:b/>
          <w:sz w:val="24"/>
          <w:szCs w:val="24"/>
        </w:rPr>
        <w:t>台站监测设备运行状况</w:t>
      </w:r>
    </w:p>
    <w:p w14:paraId="63F02D2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台站设备运维管理</w:t>
      </w:r>
      <w:r>
        <w:rPr>
          <w:rFonts w:hint="eastAsia" w:ascii="宋体" w:hAnsi="宋体" w:eastAsia="宋体" w:cs="宋体"/>
          <w:sz w:val="24"/>
          <w:szCs w:val="24"/>
          <w:lang w:eastAsia="zh-CN"/>
        </w:rPr>
        <w:t>。</w:t>
      </w:r>
      <w:r>
        <w:rPr>
          <w:rFonts w:hint="eastAsia" w:ascii="宋体" w:hAnsi="宋体" w:eastAsia="宋体" w:cs="宋体"/>
          <w:sz w:val="24"/>
          <w:szCs w:val="24"/>
        </w:rPr>
        <w:t>系统应支持存储台站设备日常巡检、运维日志、故障记录等运维数据；支持运维数据填报、编辑、删除、查询检索、多维度故障统计、台账审核、资料导出</w:t>
      </w:r>
      <w:r>
        <w:rPr>
          <w:rFonts w:hint="eastAsia" w:ascii="宋体" w:hAnsi="宋体" w:eastAsia="宋体" w:cs="宋体"/>
          <w:sz w:val="24"/>
          <w:szCs w:val="24"/>
          <w:lang w:val="en-US" w:eastAsia="zh-CN"/>
        </w:rPr>
        <w:t>等功能</w:t>
      </w:r>
      <w:r>
        <w:rPr>
          <w:rFonts w:hint="eastAsia" w:ascii="宋体" w:hAnsi="宋体" w:eastAsia="宋体" w:cs="宋体"/>
          <w:sz w:val="24"/>
          <w:szCs w:val="24"/>
        </w:rPr>
        <w:t>。</w:t>
      </w:r>
    </w:p>
    <w:p w14:paraId="3F497F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运维简报智能生成</w:t>
      </w:r>
      <w:r>
        <w:rPr>
          <w:rFonts w:hint="eastAsia" w:ascii="宋体" w:hAnsi="宋体" w:eastAsia="宋体" w:cs="宋体"/>
          <w:sz w:val="24"/>
          <w:szCs w:val="24"/>
          <w:lang w:eastAsia="zh-CN"/>
        </w:rPr>
        <w:t>。</w:t>
      </w:r>
      <w:r>
        <w:rPr>
          <w:rFonts w:hint="eastAsia" w:ascii="宋体" w:hAnsi="宋体" w:eastAsia="宋体" w:cs="宋体"/>
          <w:sz w:val="24"/>
          <w:szCs w:val="24"/>
        </w:rPr>
        <w:t>系统应支持自定义周期性运维简报生成规则与模板参数；支持根据运维台账数据自动汇总统计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支持</w:t>
      </w:r>
      <w:r>
        <w:rPr>
          <w:rFonts w:hint="eastAsia" w:ascii="宋体" w:hAnsi="宋体" w:eastAsia="宋体" w:cs="宋体"/>
          <w:sz w:val="24"/>
          <w:szCs w:val="24"/>
        </w:rPr>
        <w:t>运维简报</w:t>
      </w:r>
      <w:r>
        <w:rPr>
          <w:rFonts w:hint="eastAsia" w:ascii="宋体" w:hAnsi="宋体" w:eastAsia="宋体" w:cs="宋体"/>
          <w:sz w:val="24"/>
          <w:szCs w:val="24"/>
          <w:lang w:val="en-US" w:eastAsia="zh-CN"/>
        </w:rPr>
        <w:t>产出、编辑、导出等基础功能</w:t>
      </w:r>
      <w:r>
        <w:rPr>
          <w:rFonts w:hint="eastAsia" w:ascii="宋体" w:hAnsi="宋体" w:eastAsia="宋体" w:cs="宋体"/>
          <w:sz w:val="24"/>
          <w:szCs w:val="24"/>
        </w:rPr>
        <w:t>。</w:t>
      </w:r>
    </w:p>
    <w:p w14:paraId="638A13D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sz w:val="24"/>
          <w:szCs w:val="24"/>
          <w:lang w:val="en-US" w:eastAsia="zh-CN"/>
        </w:rPr>
        <w:t>3.</w:t>
      </w:r>
      <w:r>
        <w:rPr>
          <w:rFonts w:hint="eastAsia" w:ascii="宋体" w:hAnsi="宋体" w:eastAsia="宋体" w:cs="宋体"/>
          <w:color w:val="auto"/>
          <w:sz w:val="24"/>
          <w:szCs w:val="24"/>
        </w:rPr>
        <w:t>故障统计分析</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系统应支持按故障类型、所属台站、发生时段、设备</w:t>
      </w:r>
      <w:r>
        <w:rPr>
          <w:rFonts w:hint="eastAsia" w:ascii="宋体" w:hAnsi="宋体" w:eastAsia="宋体" w:cs="宋体"/>
          <w:color w:val="auto"/>
          <w:sz w:val="24"/>
          <w:szCs w:val="24"/>
          <w:lang w:val="en-US" w:eastAsia="zh-CN"/>
        </w:rPr>
        <w:t>类型</w:t>
      </w:r>
      <w:r>
        <w:rPr>
          <w:rFonts w:hint="eastAsia" w:ascii="宋体" w:hAnsi="宋体" w:eastAsia="宋体" w:cs="宋体"/>
          <w:color w:val="auto"/>
          <w:sz w:val="24"/>
          <w:szCs w:val="24"/>
        </w:rPr>
        <w:t>等多维度条件汇总设备故障数据；支持自动生成各类可视化统计图表；支持精准定位单条故障明细、处置记录与运维信息；支持各类故障统计报表批量导出</w:t>
      </w:r>
      <w:r>
        <w:rPr>
          <w:rFonts w:hint="eastAsia" w:ascii="宋体" w:hAnsi="宋体" w:eastAsia="宋体" w:cs="宋体"/>
          <w:color w:val="auto"/>
          <w:sz w:val="24"/>
          <w:szCs w:val="24"/>
          <w:lang w:val="en-US" w:eastAsia="zh-CN"/>
        </w:rPr>
        <w:t>等功能</w:t>
      </w:r>
      <w:r>
        <w:rPr>
          <w:rFonts w:hint="eastAsia" w:ascii="宋体" w:hAnsi="宋体" w:eastAsia="宋体" w:cs="宋体"/>
          <w:color w:val="auto"/>
          <w:sz w:val="24"/>
          <w:szCs w:val="24"/>
        </w:rPr>
        <w:t>。</w:t>
      </w:r>
    </w:p>
    <w:p w14:paraId="4E7BEF0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数据断继管理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系统应支持存储周期运维简报、修订归档记录、全台站数据中断/断续统计、异常明细、专项简报成果数据；支持简报规则配置、自动生成、人工修订、导出归档、数据断续汇总分析</w:t>
      </w:r>
      <w:r>
        <w:rPr>
          <w:rFonts w:hint="eastAsia" w:ascii="宋体" w:hAnsi="宋体" w:eastAsia="宋体" w:cs="宋体"/>
          <w:color w:val="auto"/>
          <w:sz w:val="24"/>
          <w:szCs w:val="24"/>
          <w:lang w:val="en-US" w:eastAsia="zh-CN"/>
        </w:rPr>
        <w:t>等功能；支持数据中断后告警及提示功能。</w:t>
      </w:r>
    </w:p>
    <w:p w14:paraId="317D653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运维上报管理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系统应支持对接现场巡检、运维填报、凭证上传</w:t>
      </w:r>
      <w:r>
        <w:rPr>
          <w:rFonts w:hint="eastAsia" w:ascii="宋体" w:hAnsi="宋体" w:eastAsia="宋体" w:cs="宋体"/>
          <w:sz w:val="24"/>
          <w:szCs w:val="24"/>
        </w:rPr>
        <w:t>等原始数据；支持运维台账数据归集汇总。</w:t>
      </w:r>
    </w:p>
    <w:p w14:paraId="122D8549">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rPr>
        <w:t>台站观测环境保护</w:t>
      </w:r>
      <w:r>
        <w:rPr>
          <w:rFonts w:hint="eastAsia" w:ascii="宋体" w:hAnsi="宋体" w:eastAsia="宋体" w:cs="宋体"/>
          <w:b/>
          <w:sz w:val="24"/>
          <w:szCs w:val="24"/>
          <w:lang w:val="en-US" w:eastAsia="zh-CN"/>
        </w:rPr>
        <w:t>管理</w:t>
      </w:r>
    </w:p>
    <w:p w14:paraId="54DE989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系统应支持</w:t>
      </w:r>
      <w:r>
        <w:rPr>
          <w:rFonts w:hint="eastAsia" w:ascii="宋体" w:hAnsi="宋体" w:eastAsia="宋体" w:cs="宋体"/>
          <w:color w:val="auto"/>
          <w:sz w:val="24"/>
          <w:szCs w:val="24"/>
          <w:lang w:val="en-US" w:eastAsia="zh-CN"/>
        </w:rPr>
        <w:t>自定义</w:t>
      </w:r>
      <w:r>
        <w:rPr>
          <w:rFonts w:hint="eastAsia" w:ascii="宋体" w:hAnsi="宋体" w:eastAsia="宋体" w:cs="宋体"/>
          <w:color w:val="auto"/>
          <w:sz w:val="24"/>
          <w:szCs w:val="24"/>
        </w:rPr>
        <w:t>地震台站观测环境保护区边界</w:t>
      </w:r>
      <w:r>
        <w:rPr>
          <w:rFonts w:hint="eastAsia" w:ascii="宋体" w:hAnsi="宋体" w:eastAsia="宋体" w:cs="宋体"/>
          <w:color w:val="auto"/>
          <w:sz w:val="24"/>
          <w:szCs w:val="24"/>
          <w:lang w:val="en-US" w:eastAsia="zh-CN"/>
        </w:rPr>
        <w:t>并存储成果数据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支持边界</w:t>
      </w:r>
      <w:r>
        <w:rPr>
          <w:rFonts w:hint="eastAsia" w:ascii="宋体" w:hAnsi="宋体" w:eastAsia="宋体" w:cs="宋体"/>
          <w:color w:val="auto"/>
          <w:sz w:val="24"/>
          <w:szCs w:val="24"/>
        </w:rPr>
        <w:t>参数配置、编辑更新、成果归档、专题图生成导出等管理</w:t>
      </w:r>
      <w:r>
        <w:rPr>
          <w:rFonts w:hint="eastAsia" w:ascii="宋体" w:hAnsi="宋体" w:eastAsia="宋体" w:cs="宋体"/>
          <w:color w:val="auto"/>
          <w:sz w:val="24"/>
          <w:szCs w:val="24"/>
          <w:lang w:val="en-US" w:eastAsia="zh-CN"/>
        </w:rPr>
        <w:t>功能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支持自动生成台站观测环境</w:t>
      </w:r>
      <w:r>
        <w:rPr>
          <w:rFonts w:hint="eastAsia" w:ascii="宋体" w:hAnsi="宋体" w:eastAsia="宋体" w:cs="宋体"/>
          <w:color w:val="auto"/>
          <w:sz w:val="24"/>
          <w:szCs w:val="24"/>
          <w:lang w:val="en-US" w:eastAsia="zh-CN"/>
        </w:rPr>
        <w:t>情况简报</w:t>
      </w:r>
      <w:r>
        <w:rPr>
          <w:rFonts w:hint="eastAsia" w:ascii="宋体" w:hAnsi="宋体" w:eastAsia="宋体" w:cs="宋体"/>
          <w:color w:val="auto"/>
          <w:sz w:val="24"/>
          <w:szCs w:val="24"/>
        </w:rPr>
        <w:t>；支持</w:t>
      </w:r>
      <w:r>
        <w:rPr>
          <w:rFonts w:hint="eastAsia" w:ascii="宋体" w:hAnsi="宋体" w:eastAsia="宋体" w:cs="宋体"/>
          <w:color w:val="auto"/>
          <w:sz w:val="24"/>
          <w:szCs w:val="24"/>
          <w:lang w:val="en-US" w:eastAsia="zh-CN"/>
        </w:rPr>
        <w:t>简报预览、编辑、导出等功能</w:t>
      </w:r>
      <w:r>
        <w:rPr>
          <w:rFonts w:hint="eastAsia" w:ascii="宋体" w:hAnsi="宋体" w:eastAsia="宋体" w:cs="宋体"/>
          <w:color w:val="auto"/>
          <w:sz w:val="24"/>
          <w:szCs w:val="24"/>
        </w:rPr>
        <w:t>。</w:t>
      </w:r>
    </w:p>
    <w:p w14:paraId="5EA8ECCE">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地震宏观观测点运维</w:t>
      </w:r>
    </w:p>
    <w:p w14:paraId="49EB7365">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宏观观测点位综合管理</w:t>
      </w:r>
    </w:p>
    <w:p w14:paraId="75578EC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系统应</w:t>
      </w:r>
      <w:r>
        <w:rPr>
          <w:rFonts w:hint="eastAsia" w:ascii="宋体" w:hAnsi="宋体" w:eastAsia="宋体" w:cs="宋体"/>
          <w:color w:val="auto"/>
          <w:sz w:val="24"/>
          <w:szCs w:val="24"/>
          <w:lang w:val="en-US" w:eastAsia="zh-CN"/>
        </w:rPr>
        <w:t>包含</w:t>
      </w:r>
      <w:r>
        <w:rPr>
          <w:rFonts w:hint="eastAsia" w:ascii="宋体" w:hAnsi="宋体" w:eastAsia="宋体" w:cs="宋体"/>
          <w:color w:val="auto"/>
          <w:sz w:val="24"/>
          <w:szCs w:val="24"/>
        </w:rPr>
        <w:t>宏观观测点位基础信息、运行状态、保护范围、专题图成果、版本归档</w:t>
      </w:r>
      <w:r>
        <w:rPr>
          <w:rFonts w:hint="eastAsia" w:ascii="宋体" w:hAnsi="宋体" w:eastAsia="宋体" w:cs="宋体"/>
          <w:color w:val="auto"/>
          <w:sz w:val="24"/>
          <w:szCs w:val="24"/>
          <w:lang w:val="en-US" w:eastAsia="zh-CN"/>
        </w:rPr>
        <w:t>等</w:t>
      </w:r>
      <w:r>
        <w:rPr>
          <w:rFonts w:hint="eastAsia" w:ascii="宋体" w:hAnsi="宋体" w:eastAsia="宋体" w:cs="宋体"/>
          <w:color w:val="auto"/>
          <w:sz w:val="24"/>
          <w:szCs w:val="24"/>
        </w:rPr>
        <w:t>数据；支持点位GIS可视化、精准定位、状态筛选、边界管控配置、专题图制作归档导出</w:t>
      </w:r>
      <w:r>
        <w:rPr>
          <w:rFonts w:hint="eastAsia" w:ascii="宋体" w:hAnsi="宋体" w:eastAsia="宋体" w:cs="宋体"/>
          <w:color w:val="auto"/>
          <w:sz w:val="24"/>
          <w:szCs w:val="24"/>
          <w:lang w:val="en-US" w:eastAsia="zh-CN"/>
        </w:rPr>
        <w:t>等功能</w:t>
      </w:r>
      <w:r>
        <w:rPr>
          <w:rFonts w:hint="eastAsia" w:ascii="宋体" w:hAnsi="宋体" w:eastAsia="宋体" w:cs="宋体"/>
          <w:color w:val="auto"/>
          <w:sz w:val="24"/>
          <w:szCs w:val="24"/>
        </w:rPr>
        <w:t>。</w:t>
      </w:r>
    </w:p>
    <w:p w14:paraId="5F851859">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val="en-US" w:eastAsia="zh-CN"/>
        </w:rPr>
        <w:t>观测点运行</w:t>
      </w:r>
      <w:r>
        <w:rPr>
          <w:rFonts w:hint="eastAsia" w:ascii="宋体" w:hAnsi="宋体" w:eastAsia="宋体" w:cs="宋体"/>
          <w:b/>
          <w:color w:val="auto"/>
          <w:sz w:val="24"/>
          <w:szCs w:val="24"/>
        </w:rPr>
        <w:t>简报生成</w:t>
      </w:r>
    </w:p>
    <w:p w14:paraId="3022AD1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系统应有效衔接省地震局宏观异常业务</w:t>
      </w:r>
      <w:r>
        <w:rPr>
          <w:rFonts w:hint="eastAsia" w:ascii="宋体" w:hAnsi="宋体" w:eastAsia="宋体" w:cs="宋体"/>
          <w:color w:val="auto"/>
          <w:sz w:val="24"/>
          <w:szCs w:val="24"/>
        </w:rPr>
        <w:t>系统</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在取得授权的情况下，同步相关数据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应接入已完成数字化改造的观测点数据；</w:t>
      </w:r>
      <w:r>
        <w:rPr>
          <w:rFonts w:hint="eastAsia" w:ascii="宋体" w:hAnsi="宋体" w:eastAsia="宋体" w:cs="宋体"/>
          <w:color w:val="auto"/>
          <w:sz w:val="24"/>
          <w:szCs w:val="24"/>
        </w:rPr>
        <w:t>应支持日常常态化简报与异常</w:t>
      </w:r>
      <w:r>
        <w:rPr>
          <w:rFonts w:hint="eastAsia" w:ascii="宋体" w:hAnsi="宋体" w:eastAsia="宋体" w:cs="宋体"/>
          <w:color w:val="auto"/>
          <w:sz w:val="24"/>
          <w:szCs w:val="24"/>
          <w:lang w:val="en-US" w:eastAsia="zh-CN"/>
        </w:rPr>
        <w:t>分析</w:t>
      </w:r>
      <w:r>
        <w:rPr>
          <w:rFonts w:hint="eastAsia" w:ascii="宋体" w:hAnsi="宋体" w:eastAsia="宋体" w:cs="宋体"/>
          <w:color w:val="auto"/>
          <w:sz w:val="24"/>
          <w:szCs w:val="24"/>
        </w:rPr>
        <w:t>专项简报智能编制管理；日常模式</w:t>
      </w:r>
      <w:r>
        <w:rPr>
          <w:rFonts w:hint="eastAsia" w:ascii="宋体" w:hAnsi="宋体" w:eastAsia="宋体" w:cs="宋体"/>
          <w:color w:val="auto"/>
          <w:sz w:val="24"/>
          <w:szCs w:val="24"/>
          <w:lang w:val="en-US" w:eastAsia="zh-CN"/>
        </w:rPr>
        <w:t>可</w:t>
      </w:r>
      <w:r>
        <w:rPr>
          <w:rFonts w:hint="eastAsia" w:ascii="宋体" w:hAnsi="宋体" w:eastAsia="宋体" w:cs="宋体"/>
          <w:color w:val="auto"/>
          <w:sz w:val="24"/>
          <w:szCs w:val="24"/>
        </w:rPr>
        <w:t>自动汇总全域宏观观测点位运行状态、日常值守情况、观测台账等基础数据，生成日常观测工作简报；异常</w:t>
      </w:r>
      <w:r>
        <w:rPr>
          <w:rFonts w:hint="eastAsia" w:ascii="宋体" w:hAnsi="宋体" w:eastAsia="宋体" w:cs="宋体"/>
          <w:color w:val="auto"/>
          <w:sz w:val="24"/>
          <w:szCs w:val="24"/>
          <w:lang w:val="en-US" w:eastAsia="zh-CN"/>
        </w:rPr>
        <w:t>分析</w:t>
      </w:r>
      <w:r>
        <w:rPr>
          <w:rFonts w:hint="eastAsia" w:ascii="宋体" w:hAnsi="宋体" w:eastAsia="宋体" w:cs="宋体"/>
          <w:color w:val="auto"/>
          <w:sz w:val="24"/>
          <w:szCs w:val="24"/>
        </w:rPr>
        <w:t>模式</w:t>
      </w:r>
      <w:r>
        <w:rPr>
          <w:rFonts w:hint="eastAsia" w:ascii="宋体" w:hAnsi="宋体" w:eastAsia="宋体" w:cs="宋体"/>
          <w:color w:val="auto"/>
          <w:sz w:val="24"/>
          <w:szCs w:val="24"/>
          <w:lang w:val="en-US" w:eastAsia="zh-CN"/>
        </w:rPr>
        <w:t>可</w:t>
      </w:r>
      <w:r>
        <w:rPr>
          <w:rFonts w:hint="eastAsia" w:ascii="宋体" w:hAnsi="宋体" w:eastAsia="宋体" w:cs="宋体"/>
          <w:color w:val="auto"/>
          <w:sz w:val="24"/>
          <w:szCs w:val="24"/>
        </w:rPr>
        <w:t>自动归集各类宏观异常信息、现场核查情况及研判处置结果，生成</w:t>
      </w:r>
      <w:r>
        <w:rPr>
          <w:rFonts w:hint="eastAsia" w:ascii="宋体" w:hAnsi="宋体" w:eastAsia="宋体" w:cs="宋体"/>
          <w:color w:val="auto"/>
          <w:sz w:val="24"/>
          <w:szCs w:val="24"/>
          <w:lang w:val="en-US" w:eastAsia="zh-CN"/>
        </w:rPr>
        <w:t>宏观</w:t>
      </w:r>
      <w:r>
        <w:rPr>
          <w:rFonts w:hint="eastAsia" w:ascii="宋体" w:hAnsi="宋体" w:eastAsia="宋体" w:cs="宋体"/>
          <w:color w:val="auto"/>
          <w:sz w:val="24"/>
          <w:szCs w:val="24"/>
        </w:rPr>
        <w:t>异常</w:t>
      </w:r>
      <w:r>
        <w:rPr>
          <w:rFonts w:hint="eastAsia" w:ascii="宋体" w:hAnsi="宋体" w:eastAsia="宋体" w:cs="宋体"/>
          <w:color w:val="auto"/>
          <w:sz w:val="24"/>
          <w:szCs w:val="24"/>
          <w:lang w:val="en-US" w:eastAsia="zh-CN"/>
        </w:rPr>
        <w:t>分析</w:t>
      </w:r>
      <w:r>
        <w:rPr>
          <w:rFonts w:hint="eastAsia" w:ascii="宋体" w:hAnsi="宋体" w:eastAsia="宋体" w:cs="宋体"/>
          <w:color w:val="auto"/>
          <w:sz w:val="24"/>
          <w:szCs w:val="24"/>
        </w:rPr>
        <w:t>专项简报；两类简报均支持在线预览、人工校核校验、内容</w:t>
      </w:r>
      <w:r>
        <w:rPr>
          <w:rFonts w:hint="eastAsia" w:ascii="宋体" w:hAnsi="宋体" w:eastAsia="宋体" w:cs="宋体"/>
          <w:color w:val="auto"/>
          <w:sz w:val="24"/>
          <w:szCs w:val="24"/>
          <w:lang w:val="en-US" w:eastAsia="zh-CN"/>
        </w:rPr>
        <w:t>编辑、定稿及导出等功能</w:t>
      </w:r>
      <w:r>
        <w:rPr>
          <w:rFonts w:hint="eastAsia" w:ascii="宋体" w:hAnsi="宋体" w:eastAsia="宋体" w:cs="宋体"/>
          <w:color w:val="auto"/>
          <w:sz w:val="24"/>
          <w:szCs w:val="24"/>
        </w:rPr>
        <w:t>。</w:t>
      </w:r>
    </w:p>
    <w:p w14:paraId="280724FB">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rPr>
      </w:pPr>
      <w:r>
        <w:rPr>
          <w:rFonts w:hint="eastAsia" w:ascii="宋体" w:hAnsi="宋体" w:eastAsia="宋体" w:cs="宋体"/>
          <w:b/>
          <w:sz w:val="24"/>
          <w:szCs w:val="24"/>
        </w:rPr>
        <w:t>宏观异常处置管理</w:t>
      </w:r>
    </w:p>
    <w:p w14:paraId="43609E5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系统应支持统一存储</w:t>
      </w:r>
      <w:r>
        <w:rPr>
          <w:rFonts w:hint="eastAsia" w:ascii="宋体" w:hAnsi="宋体" w:eastAsia="宋体" w:cs="宋体"/>
          <w:color w:val="auto"/>
          <w:sz w:val="24"/>
          <w:szCs w:val="24"/>
          <w:lang w:val="en-US" w:eastAsia="zh-CN"/>
        </w:rPr>
        <w:t>各类</w:t>
      </w:r>
      <w:r>
        <w:rPr>
          <w:rFonts w:hint="eastAsia" w:ascii="宋体" w:hAnsi="宋体" w:eastAsia="宋体" w:cs="宋体"/>
          <w:color w:val="auto"/>
          <w:sz w:val="24"/>
          <w:szCs w:val="24"/>
        </w:rPr>
        <w:t>宏观异常上报信息、核查任务、反馈结果、复核研判、闭环归档、简报编制修订、报送归档等全流程数据；支持异常工单全生命周期管理。</w:t>
      </w:r>
    </w:p>
    <w:p w14:paraId="659628D9">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rPr>
      </w:pPr>
      <w:r>
        <w:rPr>
          <w:rFonts w:hint="eastAsia" w:ascii="宋体" w:hAnsi="宋体" w:eastAsia="宋体" w:cs="宋体"/>
          <w:b/>
          <w:sz w:val="24"/>
          <w:szCs w:val="24"/>
        </w:rPr>
        <w:t>观测人员综合管理</w:t>
      </w:r>
    </w:p>
    <w:p w14:paraId="1456962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系统应支持存储观测人员基础信息、值守点位、调班记录、履职状态等人员台账数据；支持</w:t>
      </w:r>
      <w:r>
        <w:rPr>
          <w:rFonts w:hint="eastAsia" w:ascii="宋体" w:hAnsi="宋体" w:eastAsia="宋体" w:cs="宋体"/>
          <w:sz w:val="24"/>
          <w:szCs w:val="24"/>
          <w:lang w:val="en-US" w:eastAsia="zh-CN"/>
        </w:rPr>
        <w:t>台账数据预览、编辑、检索、</w:t>
      </w:r>
      <w:r>
        <w:rPr>
          <w:rFonts w:hint="eastAsia" w:ascii="宋体" w:hAnsi="宋体" w:eastAsia="宋体" w:cs="宋体"/>
          <w:sz w:val="24"/>
          <w:szCs w:val="24"/>
        </w:rPr>
        <w:t>导出</w:t>
      </w:r>
      <w:r>
        <w:rPr>
          <w:rFonts w:hint="eastAsia" w:ascii="宋体" w:hAnsi="宋体" w:eastAsia="宋体" w:cs="宋体"/>
          <w:sz w:val="24"/>
          <w:szCs w:val="24"/>
          <w:lang w:val="en-US" w:eastAsia="zh-CN"/>
        </w:rPr>
        <w:t>等功能</w:t>
      </w:r>
      <w:r>
        <w:rPr>
          <w:rFonts w:hint="eastAsia" w:ascii="宋体" w:hAnsi="宋体" w:eastAsia="宋体" w:cs="宋体"/>
          <w:sz w:val="24"/>
          <w:szCs w:val="24"/>
        </w:rPr>
        <w:t>。</w:t>
      </w:r>
    </w:p>
    <w:p w14:paraId="7E03A6EF">
      <w:pPr>
        <w:pStyle w:val="3"/>
        <w:numPr>
          <w:ilvl w:val="0"/>
          <w:numId w:val="3"/>
        </w:numPr>
        <w:bidi w:val="0"/>
        <w:ind w:left="425" w:leftChars="0" w:hanging="425" w:firstLineChars="0"/>
        <w:rPr>
          <w:rFonts w:hint="eastAsia" w:ascii="宋体" w:hAnsi="宋体" w:eastAsia="宋体" w:cs="宋体"/>
          <w:sz w:val="24"/>
          <w:szCs w:val="24"/>
        </w:rPr>
      </w:pPr>
      <w:r>
        <w:rPr>
          <w:rFonts w:hint="eastAsia" w:ascii="宋体" w:hAnsi="宋体" w:eastAsia="宋体" w:cs="宋体"/>
          <w:sz w:val="24"/>
          <w:szCs w:val="24"/>
        </w:rPr>
        <w:t>地震趋势</w:t>
      </w:r>
      <w:r>
        <w:rPr>
          <w:rFonts w:hint="eastAsia" w:ascii="宋体" w:hAnsi="宋体" w:eastAsia="宋体" w:cs="宋体"/>
          <w:sz w:val="24"/>
          <w:szCs w:val="24"/>
          <w:lang w:val="en-US" w:eastAsia="zh-CN"/>
        </w:rPr>
        <w:t>分析</w:t>
      </w:r>
      <w:r>
        <w:rPr>
          <w:rFonts w:hint="eastAsia" w:ascii="宋体" w:hAnsi="宋体" w:eastAsia="宋体" w:cs="宋体"/>
          <w:sz w:val="24"/>
          <w:szCs w:val="24"/>
        </w:rPr>
        <w:t>子系统</w:t>
      </w:r>
    </w:p>
    <w:p w14:paraId="3680CD4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聚焦地震前兆分析与震情研判核心业务，依托AI技术精准识别微弱前兆异常信号并生成标准化异常报告</w:t>
      </w:r>
      <w:r>
        <w:rPr>
          <w:rFonts w:hint="eastAsia" w:ascii="宋体" w:hAnsi="宋体" w:eastAsia="宋体" w:cs="宋体"/>
          <w:sz w:val="24"/>
          <w:szCs w:val="24"/>
          <w:lang w:eastAsia="zh-CN"/>
        </w:rPr>
        <w:t>；</w:t>
      </w:r>
      <w:r>
        <w:rPr>
          <w:rFonts w:hint="eastAsia" w:ascii="宋体" w:hAnsi="宋体" w:eastAsia="宋体" w:cs="宋体"/>
          <w:sz w:val="24"/>
          <w:szCs w:val="24"/>
        </w:rPr>
        <w:t>自动批量测算b值、C值等各类测震学核心指标并输出专业分析报告</w:t>
      </w:r>
      <w:r>
        <w:rPr>
          <w:rFonts w:hint="eastAsia" w:ascii="宋体" w:hAnsi="宋体" w:eastAsia="宋体" w:cs="宋体"/>
          <w:sz w:val="24"/>
          <w:szCs w:val="24"/>
          <w:lang w:eastAsia="zh-CN"/>
        </w:rPr>
        <w:t>；</w:t>
      </w:r>
      <w:r>
        <w:rPr>
          <w:rFonts w:hint="eastAsia" w:ascii="宋体" w:hAnsi="宋体" w:eastAsia="宋体" w:cs="宋体"/>
          <w:sz w:val="24"/>
          <w:szCs w:val="24"/>
        </w:rPr>
        <w:t>可整合多源数据和历史报告数据完成区域中长期震情趋势评估与会商报告编制；对接官方震情速报信息，快速汇聚各类监测研判数据，发生地震后通过智能模型自动产出震后趋势研判简报等快速会商研判产品，为震情趋势判定、震后应急研判提供专业数据支撑与决策依据。</w:t>
      </w:r>
    </w:p>
    <w:p w14:paraId="00DE6207">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rPr>
      </w:pPr>
      <w:r>
        <w:rPr>
          <w:rFonts w:hint="eastAsia" w:ascii="宋体" w:hAnsi="宋体" w:eastAsia="宋体" w:cs="宋体"/>
          <w:b/>
          <w:sz w:val="24"/>
          <w:szCs w:val="24"/>
        </w:rPr>
        <w:t>地震趋势AI智能分析研判</w:t>
      </w:r>
    </w:p>
    <w:p w14:paraId="3D3436B6">
      <w:pPr>
        <w:pStyle w:val="5"/>
        <w:numPr>
          <w:ilvl w:val="2"/>
          <w:numId w:val="3"/>
        </w:numPr>
        <w:bidi w:val="0"/>
        <w:ind w:left="709" w:leftChars="0" w:hanging="709" w:firstLineChars="0"/>
        <w:rPr>
          <w:rFonts w:hint="eastAsia" w:ascii="宋体" w:hAnsi="宋体" w:eastAsia="宋体" w:cs="宋体"/>
          <w:sz w:val="24"/>
          <w:szCs w:val="24"/>
        </w:rPr>
      </w:pPr>
      <w:r>
        <w:rPr>
          <w:rFonts w:hint="eastAsia" w:ascii="宋体" w:hAnsi="宋体" w:eastAsia="宋体" w:cs="宋体"/>
          <w:sz w:val="24"/>
          <w:szCs w:val="24"/>
        </w:rPr>
        <w:t>测震学指标智能批量运算</w:t>
      </w:r>
    </w:p>
    <w:p w14:paraId="0378CA7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rPr>
        <w:t>多类型测震学指标专项计算</w:t>
      </w:r>
      <w:r>
        <w:rPr>
          <w:rFonts w:hint="eastAsia" w:ascii="宋体" w:hAnsi="宋体" w:eastAsia="宋体" w:cs="宋体"/>
          <w:sz w:val="24"/>
          <w:szCs w:val="24"/>
          <w:lang w:eastAsia="zh-CN"/>
        </w:rPr>
        <w:t>。</w:t>
      </w:r>
      <w:r>
        <w:rPr>
          <w:rFonts w:hint="eastAsia" w:ascii="宋体" w:hAnsi="宋体" w:eastAsia="宋体" w:cs="宋体"/>
          <w:sz w:val="24"/>
          <w:szCs w:val="24"/>
        </w:rPr>
        <w:t>系统应支持a值、b值、C值、D值、Mf值、GL值、缺震等</w:t>
      </w:r>
      <w:r>
        <w:rPr>
          <w:rFonts w:hint="eastAsia" w:ascii="宋体" w:hAnsi="宋体" w:eastAsia="宋体" w:cs="宋体"/>
          <w:sz w:val="24"/>
          <w:szCs w:val="24"/>
          <w:lang w:val="en-US" w:eastAsia="zh-CN"/>
        </w:rPr>
        <w:t>测震学</w:t>
      </w:r>
      <w:r>
        <w:rPr>
          <w:rFonts w:hint="eastAsia" w:ascii="宋体" w:hAnsi="宋体" w:eastAsia="宋体" w:cs="宋体"/>
          <w:sz w:val="24"/>
          <w:szCs w:val="24"/>
        </w:rPr>
        <w:t>指标的专项计算</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计算规则应符合国家、行业有关规范和标准。</w:t>
      </w:r>
    </w:p>
    <w:p w14:paraId="3360E15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测震学指标数据</w:t>
      </w:r>
      <w:r>
        <w:rPr>
          <w:rFonts w:hint="eastAsia" w:ascii="宋体" w:hAnsi="宋体" w:eastAsia="宋体" w:cs="宋体"/>
          <w:sz w:val="24"/>
          <w:szCs w:val="24"/>
          <w:lang w:val="en-US" w:eastAsia="zh-CN"/>
        </w:rPr>
        <w:t>库</w:t>
      </w:r>
      <w:r>
        <w:rPr>
          <w:rFonts w:hint="eastAsia" w:ascii="宋体" w:hAnsi="宋体" w:eastAsia="宋体" w:cs="宋体"/>
          <w:sz w:val="24"/>
          <w:szCs w:val="24"/>
          <w:lang w:eastAsia="zh-CN"/>
        </w:rPr>
        <w:t>。</w:t>
      </w:r>
      <w:r>
        <w:rPr>
          <w:rFonts w:hint="eastAsia" w:ascii="宋体" w:hAnsi="宋体" w:eastAsia="宋体" w:cs="宋体"/>
          <w:sz w:val="24"/>
          <w:szCs w:val="24"/>
        </w:rPr>
        <w:t>系统应</w:t>
      </w:r>
      <w:r>
        <w:rPr>
          <w:rFonts w:hint="eastAsia" w:ascii="宋体" w:hAnsi="宋体" w:eastAsia="宋体" w:cs="宋体"/>
          <w:sz w:val="24"/>
          <w:szCs w:val="24"/>
          <w:lang w:val="en-US" w:eastAsia="zh-CN"/>
        </w:rPr>
        <w:t>建立</w:t>
      </w:r>
      <w:r>
        <w:rPr>
          <w:rFonts w:hint="eastAsia" w:ascii="宋体" w:hAnsi="宋体" w:eastAsia="宋体" w:cs="宋体"/>
          <w:sz w:val="24"/>
          <w:szCs w:val="24"/>
        </w:rPr>
        <w:t>测震学指标运算</w:t>
      </w:r>
      <w:r>
        <w:rPr>
          <w:rFonts w:hint="eastAsia" w:ascii="宋体" w:hAnsi="宋体" w:eastAsia="宋体" w:cs="宋体"/>
          <w:sz w:val="24"/>
          <w:szCs w:val="24"/>
          <w:lang w:val="en-US" w:eastAsia="zh-CN"/>
        </w:rPr>
        <w:t>所需相关数据库</w:t>
      </w:r>
      <w:r>
        <w:rPr>
          <w:rFonts w:hint="eastAsia" w:ascii="宋体" w:hAnsi="宋体" w:eastAsia="宋体" w:cs="宋体"/>
          <w:sz w:val="24"/>
          <w:szCs w:val="24"/>
        </w:rPr>
        <w:t>；</w:t>
      </w:r>
      <w:r>
        <w:rPr>
          <w:rFonts w:hint="eastAsia" w:ascii="宋体" w:hAnsi="宋体" w:eastAsia="宋体" w:cs="宋体"/>
          <w:sz w:val="24"/>
          <w:szCs w:val="24"/>
          <w:lang w:val="en-US" w:eastAsia="zh-CN"/>
        </w:rPr>
        <w:t>支持</w:t>
      </w:r>
      <w:r>
        <w:rPr>
          <w:rFonts w:hint="eastAsia" w:ascii="宋体" w:hAnsi="宋体" w:eastAsia="宋体" w:cs="宋体"/>
          <w:sz w:val="24"/>
          <w:szCs w:val="24"/>
        </w:rPr>
        <w:t>存储</w:t>
      </w:r>
      <w:r>
        <w:rPr>
          <w:rFonts w:hint="eastAsia" w:ascii="宋体" w:hAnsi="宋体" w:eastAsia="宋体" w:cs="宋体"/>
          <w:sz w:val="24"/>
          <w:szCs w:val="24"/>
          <w:lang w:val="en-US" w:eastAsia="zh-CN"/>
        </w:rPr>
        <w:t>各类</w:t>
      </w:r>
      <w:r>
        <w:rPr>
          <w:rFonts w:hint="eastAsia" w:ascii="宋体" w:hAnsi="宋体" w:eastAsia="宋体" w:cs="宋体"/>
          <w:sz w:val="24"/>
          <w:szCs w:val="24"/>
        </w:rPr>
        <w:t>测震专项指标对应的结果、参数、时间范围、版本、台站范围等核心数据。</w:t>
      </w:r>
    </w:p>
    <w:p w14:paraId="622061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测震运算参数自定义配置管理。系统应支持自主配置和更新运算参数规则，适配不同运算场景需求。</w:t>
      </w:r>
    </w:p>
    <w:p w14:paraId="18E068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智能</w:t>
      </w:r>
      <w:r>
        <w:rPr>
          <w:rFonts w:hint="eastAsia" w:ascii="宋体" w:hAnsi="宋体" w:eastAsia="宋体" w:cs="宋体"/>
          <w:sz w:val="24"/>
          <w:szCs w:val="24"/>
          <w:lang w:val="en-US" w:eastAsia="zh-CN"/>
        </w:rPr>
        <w:t>化</w:t>
      </w:r>
      <w:r>
        <w:rPr>
          <w:rFonts w:hint="eastAsia" w:ascii="宋体" w:hAnsi="宋体" w:eastAsia="宋体" w:cs="宋体"/>
          <w:sz w:val="24"/>
          <w:szCs w:val="24"/>
          <w:lang w:eastAsia="zh-CN"/>
        </w:rPr>
        <w:t>批量运算及全流程记录追溯查询。系统应支持通过触发指令自动完成全部测震学专项指标的批量计算，接入实测时序数据并整合输出运算结果；支持查看单批次运算的指标结果、参数配置、计算时间、覆盖范围等详情；支持按时间、台站范围、指标类型等单一或组合条件筛选查询历史运算批次记录，分页展示运算清单，实现运算全过程可追溯、可核查。</w:t>
      </w:r>
    </w:p>
    <w:p w14:paraId="2163FB5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测震</w:t>
      </w:r>
      <w:r>
        <w:rPr>
          <w:rFonts w:hint="eastAsia" w:ascii="宋体" w:hAnsi="宋体" w:eastAsia="宋体" w:cs="宋体"/>
          <w:sz w:val="24"/>
          <w:szCs w:val="24"/>
          <w:lang w:val="en-US" w:eastAsia="zh-CN"/>
        </w:rPr>
        <w:t>学指标</w:t>
      </w:r>
      <w:r>
        <w:rPr>
          <w:rFonts w:hint="eastAsia" w:ascii="宋体" w:hAnsi="宋体" w:eastAsia="宋体" w:cs="宋体"/>
          <w:sz w:val="24"/>
          <w:szCs w:val="24"/>
          <w:lang w:eastAsia="zh-CN"/>
        </w:rPr>
        <w:t>分析报告管理。系统应支持基于固定报告模板自动回填运算数据，生成标准化分析报告并支持在线预览、</w:t>
      </w:r>
      <w:r>
        <w:rPr>
          <w:rFonts w:hint="eastAsia" w:ascii="宋体" w:hAnsi="宋体" w:eastAsia="宋体" w:cs="宋体"/>
          <w:sz w:val="24"/>
          <w:szCs w:val="24"/>
          <w:lang w:val="en-US" w:eastAsia="zh-CN"/>
        </w:rPr>
        <w:t>编辑、导出、归档等功能</w:t>
      </w:r>
      <w:r>
        <w:rPr>
          <w:rFonts w:hint="eastAsia" w:ascii="宋体" w:hAnsi="宋体" w:eastAsia="宋体" w:cs="宋体"/>
          <w:sz w:val="24"/>
          <w:szCs w:val="24"/>
          <w:lang w:eastAsia="zh-CN"/>
        </w:rPr>
        <w:t>。</w:t>
      </w:r>
    </w:p>
    <w:p w14:paraId="7140BE78">
      <w:pPr>
        <w:pStyle w:val="5"/>
        <w:numPr>
          <w:ilvl w:val="2"/>
          <w:numId w:val="3"/>
        </w:numPr>
        <w:bidi w:val="0"/>
        <w:ind w:left="709" w:leftChars="0" w:hanging="709" w:firstLineChars="0"/>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地球物理</w:t>
      </w:r>
      <w:r>
        <w:rPr>
          <w:rFonts w:hint="eastAsia" w:ascii="宋体" w:hAnsi="宋体" w:eastAsia="宋体" w:cs="宋体"/>
          <w:b/>
          <w:sz w:val="24"/>
          <w:szCs w:val="24"/>
          <w:lang w:eastAsia="zh-CN"/>
        </w:rPr>
        <w:t>多学科异常指标分析</w:t>
      </w:r>
    </w:p>
    <w:p w14:paraId="4FCA813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异常</w:t>
      </w:r>
      <w:r>
        <w:rPr>
          <w:rFonts w:hint="eastAsia" w:ascii="宋体" w:hAnsi="宋体" w:eastAsia="宋体" w:cs="宋体"/>
          <w:sz w:val="24"/>
          <w:szCs w:val="24"/>
          <w:lang w:val="en-US" w:eastAsia="zh-CN"/>
        </w:rPr>
        <w:t>指标智能</w:t>
      </w:r>
      <w:r>
        <w:rPr>
          <w:rFonts w:hint="eastAsia" w:ascii="宋体" w:hAnsi="宋体" w:eastAsia="宋体" w:cs="宋体"/>
          <w:sz w:val="24"/>
          <w:szCs w:val="24"/>
          <w:lang w:eastAsia="zh-CN"/>
        </w:rPr>
        <w:t>分析。系统</w:t>
      </w:r>
      <w:r>
        <w:rPr>
          <w:rFonts w:hint="eastAsia" w:ascii="宋体" w:hAnsi="宋体" w:eastAsia="宋体" w:cs="宋体"/>
          <w:sz w:val="24"/>
          <w:szCs w:val="24"/>
          <w:lang w:val="en-US" w:eastAsia="zh-CN"/>
        </w:rPr>
        <w:t>支持</w:t>
      </w:r>
      <w:r>
        <w:rPr>
          <w:rFonts w:hint="eastAsia" w:ascii="宋体" w:hAnsi="宋体" w:eastAsia="宋体" w:cs="宋体"/>
          <w:sz w:val="24"/>
          <w:szCs w:val="24"/>
          <w:lang w:eastAsia="zh-CN"/>
        </w:rPr>
        <w:t>开展</w:t>
      </w:r>
      <w:r>
        <w:rPr>
          <w:rFonts w:hint="eastAsia" w:ascii="宋体" w:hAnsi="宋体" w:eastAsia="宋体" w:cs="宋体"/>
          <w:sz w:val="24"/>
          <w:szCs w:val="24"/>
          <w:lang w:val="en-US" w:eastAsia="zh-CN"/>
        </w:rPr>
        <w:t>全域</w:t>
      </w:r>
      <w:r>
        <w:rPr>
          <w:rFonts w:hint="eastAsia" w:ascii="宋体" w:hAnsi="宋体" w:eastAsia="宋体" w:cs="宋体"/>
          <w:sz w:val="24"/>
          <w:szCs w:val="24"/>
          <w:lang w:eastAsia="zh-CN"/>
        </w:rPr>
        <w:t>多学科地震异常自动化识别、地震异常</w:t>
      </w:r>
      <w:r>
        <w:rPr>
          <w:rFonts w:hint="eastAsia" w:ascii="宋体" w:hAnsi="宋体" w:eastAsia="宋体" w:cs="宋体"/>
          <w:sz w:val="24"/>
          <w:szCs w:val="24"/>
          <w:lang w:val="en-US" w:eastAsia="zh-CN"/>
        </w:rPr>
        <w:t>指标</w:t>
      </w:r>
      <w:r>
        <w:rPr>
          <w:rFonts w:hint="eastAsia" w:ascii="宋体" w:hAnsi="宋体" w:eastAsia="宋体" w:cs="宋体"/>
          <w:sz w:val="24"/>
          <w:szCs w:val="24"/>
          <w:lang w:eastAsia="zh-CN"/>
        </w:rPr>
        <w:t>智能筛查、</w:t>
      </w:r>
      <w:r>
        <w:rPr>
          <w:rFonts w:hint="eastAsia" w:ascii="宋体" w:hAnsi="宋体" w:eastAsia="宋体" w:cs="宋体"/>
          <w:sz w:val="24"/>
          <w:szCs w:val="24"/>
          <w:lang w:val="en-US" w:eastAsia="zh-CN"/>
        </w:rPr>
        <w:t>统计，</w:t>
      </w:r>
      <w:r>
        <w:rPr>
          <w:rFonts w:hint="eastAsia" w:ascii="宋体" w:hAnsi="宋体" w:eastAsia="宋体" w:cs="宋体"/>
          <w:sz w:val="24"/>
          <w:szCs w:val="24"/>
          <w:lang w:eastAsia="zh-CN"/>
        </w:rPr>
        <w:t>测算区域异常相关数据，输出</w:t>
      </w:r>
      <w:r>
        <w:rPr>
          <w:rFonts w:hint="eastAsia" w:ascii="宋体" w:hAnsi="宋体" w:eastAsia="宋体" w:cs="宋体"/>
          <w:sz w:val="24"/>
          <w:szCs w:val="24"/>
          <w:lang w:val="en-US" w:eastAsia="zh-CN"/>
        </w:rPr>
        <w:t>有关</w:t>
      </w:r>
      <w:r>
        <w:rPr>
          <w:rFonts w:hint="eastAsia" w:ascii="宋体" w:hAnsi="宋体" w:eastAsia="宋体" w:cs="宋体"/>
          <w:sz w:val="24"/>
          <w:szCs w:val="24"/>
          <w:lang w:eastAsia="zh-CN"/>
        </w:rPr>
        <w:t>结果。</w:t>
      </w:r>
    </w:p>
    <w:p w14:paraId="6166EB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多类型成果输出。系统</w:t>
      </w:r>
      <w:r>
        <w:rPr>
          <w:rFonts w:hint="eastAsia" w:ascii="宋体" w:hAnsi="宋体" w:eastAsia="宋体" w:cs="宋体"/>
          <w:color w:val="auto"/>
          <w:sz w:val="24"/>
          <w:szCs w:val="24"/>
          <w:lang w:eastAsia="zh-CN"/>
        </w:rPr>
        <w:t>应自动渲染生成地震危险性分布图、M-t分布图、前兆变化对比图、监测指标异常分布图等专业图件；</w:t>
      </w:r>
      <w:r>
        <w:rPr>
          <w:rFonts w:hint="eastAsia" w:ascii="宋体" w:hAnsi="宋体" w:eastAsia="宋体" w:cs="宋体"/>
          <w:color w:val="auto"/>
          <w:sz w:val="24"/>
          <w:szCs w:val="24"/>
          <w:lang w:val="en-US" w:eastAsia="zh-CN"/>
        </w:rPr>
        <w:t>支持同轴绘制历年观测数据（如年变规律等）图件功能；</w:t>
      </w:r>
      <w:r>
        <w:rPr>
          <w:rFonts w:hint="eastAsia" w:ascii="宋体" w:hAnsi="宋体" w:eastAsia="宋体" w:cs="宋体"/>
          <w:color w:val="auto"/>
          <w:sz w:val="24"/>
          <w:szCs w:val="24"/>
          <w:lang w:eastAsia="zh-CN"/>
        </w:rPr>
        <w:t>支持</w:t>
      </w:r>
      <w:r>
        <w:rPr>
          <w:rFonts w:hint="eastAsia" w:ascii="宋体" w:hAnsi="宋体" w:eastAsia="宋体" w:cs="宋体"/>
          <w:color w:val="auto"/>
          <w:sz w:val="24"/>
          <w:szCs w:val="24"/>
          <w:lang w:val="en-US" w:eastAsia="zh-CN"/>
        </w:rPr>
        <w:t>指标</w:t>
      </w:r>
      <w:r>
        <w:rPr>
          <w:rFonts w:hint="eastAsia" w:ascii="宋体" w:hAnsi="宋体" w:eastAsia="宋体" w:cs="宋体"/>
          <w:color w:val="auto"/>
          <w:sz w:val="24"/>
          <w:szCs w:val="24"/>
          <w:lang w:eastAsia="zh-CN"/>
        </w:rPr>
        <w:t>异常图层叠加展示，直观呈现</w:t>
      </w:r>
      <w:r>
        <w:rPr>
          <w:rFonts w:hint="eastAsia" w:ascii="宋体" w:hAnsi="宋体" w:eastAsia="宋体" w:cs="宋体"/>
          <w:color w:val="auto"/>
          <w:sz w:val="24"/>
          <w:szCs w:val="24"/>
          <w:lang w:val="en-US" w:eastAsia="zh-CN"/>
        </w:rPr>
        <w:t>不同学科指标</w:t>
      </w:r>
      <w:r>
        <w:rPr>
          <w:rFonts w:hint="eastAsia" w:ascii="宋体" w:hAnsi="宋体" w:eastAsia="宋体" w:cs="宋体"/>
          <w:color w:val="auto"/>
          <w:sz w:val="24"/>
          <w:szCs w:val="24"/>
          <w:lang w:eastAsia="zh-CN"/>
        </w:rPr>
        <w:t>异常与宏观观测异常的时空匹配关系。</w:t>
      </w:r>
    </w:p>
    <w:p w14:paraId="605DB64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分析结果管理。系统应支持</w:t>
      </w:r>
      <w:r>
        <w:rPr>
          <w:rFonts w:hint="eastAsia" w:ascii="宋体" w:hAnsi="宋体" w:eastAsia="宋体" w:cs="宋体"/>
          <w:color w:val="auto"/>
          <w:sz w:val="24"/>
          <w:szCs w:val="24"/>
          <w:lang w:val="en-US" w:eastAsia="zh-CN"/>
        </w:rPr>
        <w:t>对</w:t>
      </w:r>
      <w:r>
        <w:rPr>
          <w:rFonts w:hint="eastAsia" w:ascii="宋体" w:hAnsi="宋体" w:eastAsia="宋体" w:cs="宋体"/>
          <w:color w:val="auto"/>
          <w:sz w:val="24"/>
          <w:szCs w:val="24"/>
          <w:lang w:eastAsia="zh-CN"/>
        </w:rPr>
        <w:t>所有生成的多学科专业分析图件</w:t>
      </w:r>
      <w:r>
        <w:rPr>
          <w:rFonts w:hint="eastAsia" w:ascii="宋体" w:hAnsi="宋体" w:eastAsia="宋体" w:cs="宋体"/>
          <w:color w:val="auto"/>
          <w:sz w:val="24"/>
          <w:szCs w:val="24"/>
          <w:lang w:val="en-US" w:eastAsia="zh-CN"/>
        </w:rPr>
        <w:t>成果进行智能化标准化管理，支持</w:t>
      </w:r>
      <w:r>
        <w:rPr>
          <w:rFonts w:hint="eastAsia" w:ascii="宋体" w:hAnsi="宋体" w:eastAsia="宋体" w:cs="宋体"/>
          <w:color w:val="auto"/>
          <w:sz w:val="24"/>
          <w:szCs w:val="24"/>
          <w:lang w:eastAsia="zh-CN"/>
        </w:rPr>
        <w:t>导出为通用</w:t>
      </w:r>
      <w:r>
        <w:rPr>
          <w:rFonts w:hint="eastAsia" w:ascii="宋体" w:hAnsi="宋体" w:eastAsia="宋体" w:cs="宋体"/>
          <w:color w:val="auto"/>
          <w:sz w:val="24"/>
          <w:szCs w:val="24"/>
          <w:lang w:val="en-US" w:eastAsia="zh-CN"/>
        </w:rPr>
        <w:t>高清</w:t>
      </w:r>
      <w:r>
        <w:rPr>
          <w:rFonts w:hint="eastAsia" w:ascii="宋体" w:hAnsi="宋体" w:eastAsia="宋体" w:cs="宋体"/>
          <w:color w:val="auto"/>
          <w:sz w:val="24"/>
          <w:szCs w:val="24"/>
          <w:lang w:eastAsia="zh-CN"/>
        </w:rPr>
        <w:t>图片格式或矢量格式文件。</w:t>
      </w:r>
    </w:p>
    <w:p w14:paraId="48A73375">
      <w:pPr>
        <w:pStyle w:val="5"/>
        <w:numPr>
          <w:ilvl w:val="2"/>
          <w:numId w:val="3"/>
        </w:numPr>
        <w:bidi w:val="0"/>
        <w:ind w:left="709" w:leftChars="0" w:hanging="709" w:firstLineChars="0"/>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智能会商研判辅助分析</w:t>
      </w:r>
    </w:p>
    <w:p w14:paraId="13229D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震情智能研判。系统应</w:t>
      </w:r>
      <w:r>
        <w:rPr>
          <w:rFonts w:hint="eastAsia" w:ascii="宋体" w:hAnsi="宋体" w:eastAsia="宋体" w:cs="宋体"/>
          <w:color w:val="auto"/>
          <w:sz w:val="24"/>
          <w:szCs w:val="24"/>
          <w:lang w:val="en-US" w:eastAsia="zh-CN"/>
        </w:rPr>
        <w:t>支持</w:t>
      </w:r>
      <w:r>
        <w:rPr>
          <w:rFonts w:hint="eastAsia" w:ascii="宋体" w:hAnsi="宋体" w:eastAsia="宋体" w:cs="宋体"/>
          <w:color w:val="auto"/>
          <w:sz w:val="24"/>
          <w:szCs w:val="24"/>
          <w:lang w:eastAsia="zh-CN"/>
        </w:rPr>
        <w:t>全自动、智能化地震趋势综合研判分析，</w:t>
      </w:r>
      <w:r>
        <w:rPr>
          <w:rFonts w:hint="eastAsia" w:ascii="宋体" w:hAnsi="宋体" w:eastAsia="宋体" w:cs="宋体"/>
          <w:color w:val="auto"/>
          <w:sz w:val="24"/>
          <w:szCs w:val="24"/>
          <w:lang w:val="en-US" w:eastAsia="zh-CN"/>
        </w:rPr>
        <w:t>能够对设定时间范围内的地震趋势进行</w:t>
      </w:r>
      <w:r>
        <w:rPr>
          <w:rFonts w:hint="eastAsia" w:ascii="宋体" w:hAnsi="宋体" w:eastAsia="宋体" w:cs="宋体"/>
          <w:color w:val="auto"/>
          <w:sz w:val="24"/>
          <w:szCs w:val="24"/>
          <w:lang w:eastAsia="zh-CN"/>
        </w:rPr>
        <w:t>综合推理、异常梳理、证据加权等全自动智能研判运算；</w:t>
      </w:r>
      <w:r>
        <w:rPr>
          <w:rFonts w:hint="eastAsia" w:ascii="宋体" w:hAnsi="宋体" w:eastAsia="宋体" w:cs="宋体"/>
          <w:color w:val="auto"/>
          <w:sz w:val="24"/>
          <w:szCs w:val="24"/>
          <w:lang w:val="en-US" w:eastAsia="zh-CN"/>
        </w:rPr>
        <w:t>应</w:t>
      </w:r>
      <w:r>
        <w:rPr>
          <w:rFonts w:hint="eastAsia" w:ascii="宋体" w:hAnsi="宋体" w:eastAsia="宋体" w:cs="宋体"/>
          <w:color w:val="auto"/>
          <w:sz w:val="24"/>
          <w:szCs w:val="24"/>
          <w:lang w:eastAsia="zh-CN"/>
        </w:rPr>
        <w:t>支持</w:t>
      </w:r>
      <w:r>
        <w:rPr>
          <w:rFonts w:hint="eastAsia" w:ascii="宋体" w:hAnsi="宋体" w:eastAsia="宋体" w:cs="宋体"/>
          <w:color w:val="auto"/>
          <w:sz w:val="24"/>
          <w:szCs w:val="24"/>
          <w:lang w:val="en-US" w:eastAsia="zh-CN"/>
        </w:rPr>
        <w:t>智能</w:t>
      </w:r>
      <w:r>
        <w:rPr>
          <w:rFonts w:hint="eastAsia" w:ascii="宋体" w:hAnsi="宋体" w:eastAsia="宋体" w:cs="宋体"/>
          <w:color w:val="auto"/>
          <w:sz w:val="24"/>
          <w:szCs w:val="24"/>
          <w:lang w:eastAsia="zh-CN"/>
        </w:rPr>
        <w:t>模型新增、编辑、参数调整等配置维护；</w:t>
      </w:r>
      <w:r>
        <w:rPr>
          <w:rFonts w:hint="eastAsia" w:ascii="宋体" w:hAnsi="宋体" w:eastAsia="宋体" w:cs="宋体"/>
          <w:color w:val="auto"/>
          <w:sz w:val="24"/>
          <w:szCs w:val="24"/>
          <w:lang w:val="en-US" w:eastAsia="zh-CN"/>
        </w:rPr>
        <w:t>支持接入省地震局相关业务系统。</w:t>
      </w:r>
    </w:p>
    <w:p w14:paraId="67B1A0A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2.震情会商</w:t>
      </w:r>
      <w:r>
        <w:rPr>
          <w:rFonts w:hint="eastAsia" w:ascii="宋体" w:hAnsi="宋体" w:eastAsia="宋体" w:cs="宋体"/>
          <w:color w:val="auto"/>
          <w:sz w:val="24"/>
          <w:szCs w:val="24"/>
          <w:lang w:eastAsia="zh-CN"/>
        </w:rPr>
        <w:t>成果</w:t>
      </w:r>
      <w:r>
        <w:rPr>
          <w:rFonts w:hint="eastAsia" w:ascii="宋体" w:hAnsi="宋体" w:eastAsia="宋体" w:cs="宋体"/>
          <w:color w:val="auto"/>
          <w:sz w:val="24"/>
          <w:szCs w:val="24"/>
          <w:lang w:val="en-US" w:eastAsia="zh-CN"/>
        </w:rPr>
        <w:t>产出</w:t>
      </w:r>
      <w:r>
        <w:rPr>
          <w:rFonts w:hint="eastAsia" w:ascii="宋体" w:hAnsi="宋体" w:eastAsia="宋体" w:cs="宋体"/>
          <w:color w:val="auto"/>
          <w:sz w:val="24"/>
          <w:szCs w:val="24"/>
          <w:lang w:eastAsia="zh-CN"/>
        </w:rPr>
        <w:t>。系统应</w:t>
      </w:r>
      <w:r>
        <w:rPr>
          <w:rFonts w:hint="eastAsia" w:ascii="宋体" w:hAnsi="宋体" w:eastAsia="宋体" w:cs="宋体"/>
          <w:color w:val="auto"/>
          <w:sz w:val="24"/>
          <w:szCs w:val="24"/>
          <w:lang w:val="en-US" w:eastAsia="zh-CN"/>
        </w:rPr>
        <w:t>支持</w:t>
      </w:r>
      <w:r>
        <w:rPr>
          <w:rFonts w:hint="eastAsia" w:ascii="宋体" w:hAnsi="宋体" w:eastAsia="宋体" w:cs="宋体"/>
          <w:color w:val="auto"/>
          <w:sz w:val="24"/>
          <w:szCs w:val="24"/>
          <w:lang w:eastAsia="zh-CN"/>
        </w:rPr>
        <w:t>输出规范化、标准化的中长期地震趋势预测</w:t>
      </w:r>
      <w:r>
        <w:rPr>
          <w:rFonts w:hint="eastAsia" w:ascii="宋体" w:hAnsi="宋体" w:eastAsia="宋体" w:cs="宋体"/>
          <w:color w:val="auto"/>
          <w:sz w:val="24"/>
          <w:szCs w:val="24"/>
          <w:lang w:val="en-US" w:eastAsia="zh-CN"/>
        </w:rPr>
        <w:t>参考资料及参考</w:t>
      </w:r>
      <w:r>
        <w:rPr>
          <w:rFonts w:hint="eastAsia" w:ascii="宋体" w:hAnsi="宋体" w:eastAsia="宋体" w:cs="宋体"/>
          <w:color w:val="auto"/>
          <w:sz w:val="24"/>
          <w:szCs w:val="24"/>
          <w:lang w:eastAsia="zh-CN"/>
        </w:rPr>
        <w:t>意见；</w:t>
      </w:r>
      <w:r>
        <w:rPr>
          <w:rFonts w:hint="eastAsia" w:ascii="宋体" w:hAnsi="宋体" w:eastAsia="宋体" w:cs="宋体"/>
          <w:color w:val="auto"/>
          <w:sz w:val="24"/>
          <w:szCs w:val="24"/>
          <w:lang w:val="en-US" w:eastAsia="zh-CN"/>
        </w:rPr>
        <w:t>支持输出用于会商分析的各类专题图件；</w:t>
      </w:r>
      <w:r>
        <w:rPr>
          <w:rFonts w:hint="eastAsia" w:ascii="宋体" w:hAnsi="宋体" w:eastAsia="宋体" w:cs="宋体"/>
          <w:color w:val="auto"/>
          <w:sz w:val="24"/>
          <w:szCs w:val="24"/>
          <w:lang w:eastAsia="zh-CN"/>
        </w:rPr>
        <w:t>支持用户完整查阅最终地震趋势预测结论、完整研判推理依据、结果置信度等核心信息。</w:t>
      </w:r>
    </w:p>
    <w:p w14:paraId="5B1122C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震情研判成果数据管理。系统应存储自动研判生成的地震趋势预测意见、推理依据、置信度等全量研判结果数据；支撑研判结果查询展示、会商报告数据回填。</w:t>
      </w:r>
    </w:p>
    <w:p w14:paraId="48FC17C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4.会商研判资料综合管理。</w:t>
      </w:r>
      <w:r>
        <w:rPr>
          <w:rFonts w:hint="eastAsia" w:ascii="宋体" w:hAnsi="宋体" w:eastAsia="宋体" w:cs="宋体"/>
          <w:color w:val="auto"/>
          <w:sz w:val="24"/>
          <w:szCs w:val="24"/>
          <w:lang w:eastAsia="zh-CN"/>
        </w:rPr>
        <w:t>系统应统一管理会商报告、专题图件档案及图件标准化规则，存储已过保密期的地震趋势会商报告文稿</w:t>
      </w:r>
      <w:r>
        <w:rPr>
          <w:rFonts w:hint="eastAsia" w:ascii="宋体" w:hAnsi="宋体" w:eastAsia="宋体" w:cs="宋体"/>
          <w:color w:val="auto"/>
          <w:sz w:val="24"/>
          <w:szCs w:val="24"/>
          <w:lang w:val="en-US" w:eastAsia="zh-CN"/>
        </w:rPr>
        <w:t>及有关归档信息；支持</w:t>
      </w:r>
      <w:r>
        <w:rPr>
          <w:rFonts w:hint="eastAsia" w:ascii="宋体" w:hAnsi="宋体" w:eastAsia="宋体" w:cs="宋体"/>
          <w:color w:val="auto"/>
          <w:sz w:val="24"/>
          <w:szCs w:val="24"/>
          <w:lang w:eastAsia="zh-CN"/>
        </w:rPr>
        <w:t>报告</w:t>
      </w:r>
      <w:r>
        <w:rPr>
          <w:rFonts w:hint="eastAsia" w:ascii="宋体" w:hAnsi="宋体" w:eastAsia="宋体" w:cs="宋体"/>
          <w:color w:val="auto"/>
          <w:sz w:val="24"/>
          <w:szCs w:val="24"/>
          <w:lang w:val="en-US" w:eastAsia="zh-CN"/>
        </w:rPr>
        <w:t>和图件的</w:t>
      </w:r>
      <w:r>
        <w:rPr>
          <w:rFonts w:hint="eastAsia" w:ascii="宋体" w:hAnsi="宋体" w:eastAsia="宋体" w:cs="宋体"/>
          <w:color w:val="auto"/>
          <w:sz w:val="24"/>
          <w:szCs w:val="24"/>
          <w:lang w:eastAsia="zh-CN"/>
        </w:rPr>
        <w:t>预览、</w:t>
      </w:r>
      <w:r>
        <w:rPr>
          <w:rFonts w:hint="eastAsia" w:ascii="宋体" w:hAnsi="宋体" w:eastAsia="宋体" w:cs="宋体"/>
          <w:color w:val="auto"/>
          <w:sz w:val="24"/>
          <w:szCs w:val="24"/>
          <w:lang w:val="en-US" w:eastAsia="zh-CN"/>
        </w:rPr>
        <w:t>编辑、</w:t>
      </w:r>
      <w:r>
        <w:rPr>
          <w:rFonts w:hint="eastAsia" w:ascii="宋体" w:hAnsi="宋体" w:eastAsia="宋体" w:cs="宋体"/>
          <w:color w:val="auto"/>
          <w:sz w:val="24"/>
          <w:szCs w:val="24"/>
          <w:lang w:eastAsia="zh-CN"/>
        </w:rPr>
        <w:t>归档、导出。</w:t>
      </w:r>
    </w:p>
    <w:p w14:paraId="55FBB235">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震后快速分析研判</w:t>
      </w:r>
    </w:p>
    <w:p w14:paraId="4F4592DD">
      <w:pPr>
        <w:pStyle w:val="5"/>
        <w:numPr>
          <w:ilvl w:val="2"/>
          <w:numId w:val="3"/>
        </w:numPr>
        <w:bidi w:val="0"/>
        <w:ind w:left="709" w:leftChars="0" w:hanging="709"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震情速报数据对接同步</w:t>
      </w:r>
    </w:p>
    <w:p w14:paraId="1BCD2EB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系统应对接</w:t>
      </w:r>
      <w:r>
        <w:rPr>
          <w:rFonts w:hint="eastAsia" w:ascii="宋体" w:hAnsi="宋体" w:eastAsia="宋体" w:cs="宋体"/>
          <w:color w:val="auto"/>
          <w:sz w:val="24"/>
          <w:szCs w:val="24"/>
          <w:lang w:val="en-US" w:eastAsia="zh-CN"/>
        </w:rPr>
        <w:t>滁州市智慧地震信息发布系统</w:t>
      </w:r>
      <w:r>
        <w:rPr>
          <w:rFonts w:hint="eastAsia" w:ascii="宋体" w:hAnsi="宋体" w:eastAsia="宋体" w:cs="宋体"/>
          <w:color w:val="auto"/>
          <w:sz w:val="24"/>
          <w:szCs w:val="24"/>
          <w:lang w:eastAsia="zh-CN"/>
        </w:rPr>
        <w:t>数据，用于支撑震后研判、数据查询、历史追溯、简报生成等基础业务，作为震情分析的核心外部权威数据源。</w:t>
      </w:r>
    </w:p>
    <w:p w14:paraId="5873EB31">
      <w:pPr>
        <w:pStyle w:val="5"/>
        <w:numPr>
          <w:ilvl w:val="2"/>
          <w:numId w:val="3"/>
        </w:numPr>
        <w:bidi w:val="0"/>
        <w:ind w:left="709" w:leftChars="0" w:hanging="709" w:firstLineChars="0"/>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震后快速分析研判</w:t>
      </w:r>
    </w:p>
    <w:p w14:paraId="71A7341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震前异常数据回溯。震前异常数据回溯。系统应支持回溯震前各类监测观测数据，识别震前异常信号；支持数据的时空匹配、核验与甄别；支持输出震前异常结论、震情关联性研判结果、异常甄别明细；支持调用历史地震震例参考数据，智能比对当前震情与历史典型震例特征相似度，输出参考结论。</w:t>
      </w:r>
    </w:p>
    <w:p w14:paraId="5ACEA10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震后研判数据调用。系统应针对指定地震事件触发震后研判业务流程，</w:t>
      </w:r>
      <w:r>
        <w:rPr>
          <w:rFonts w:hint="eastAsia" w:ascii="宋体" w:hAnsi="宋体" w:eastAsia="宋体" w:cs="宋体"/>
          <w:color w:val="auto"/>
          <w:sz w:val="24"/>
          <w:szCs w:val="24"/>
          <w:lang w:val="en-US" w:eastAsia="zh-CN"/>
        </w:rPr>
        <w:t>自动</w:t>
      </w:r>
      <w:r>
        <w:rPr>
          <w:rFonts w:hint="eastAsia" w:ascii="宋体" w:hAnsi="宋体" w:eastAsia="宋体" w:cs="宋体"/>
          <w:color w:val="auto"/>
          <w:sz w:val="24"/>
          <w:szCs w:val="24"/>
          <w:lang w:eastAsia="zh-CN"/>
        </w:rPr>
        <w:t>启动数据调取、整合与分析运算；自动聚合震前、震后台站监测数据与宏观观测</w:t>
      </w:r>
      <w:r>
        <w:rPr>
          <w:rFonts w:hint="eastAsia" w:ascii="宋体" w:hAnsi="宋体" w:eastAsia="宋体" w:cs="宋体"/>
          <w:color w:val="auto"/>
          <w:sz w:val="24"/>
          <w:szCs w:val="24"/>
          <w:lang w:val="en-US" w:eastAsia="zh-CN"/>
        </w:rPr>
        <w:t>有关</w:t>
      </w:r>
      <w:r>
        <w:rPr>
          <w:rFonts w:hint="eastAsia" w:ascii="宋体" w:hAnsi="宋体" w:eastAsia="宋体" w:cs="宋体"/>
          <w:color w:val="auto"/>
          <w:sz w:val="24"/>
          <w:szCs w:val="24"/>
          <w:lang w:eastAsia="zh-CN"/>
        </w:rPr>
        <w:t>数据。</w:t>
      </w:r>
    </w:p>
    <w:p w14:paraId="490EEDB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台站映震联动分析。系统应支持研判</w:t>
      </w:r>
      <w:r>
        <w:rPr>
          <w:rFonts w:hint="eastAsia" w:ascii="宋体" w:hAnsi="宋体" w:eastAsia="宋体" w:cs="宋体"/>
          <w:color w:val="auto"/>
          <w:sz w:val="24"/>
          <w:szCs w:val="24"/>
          <w:lang w:val="en-US" w:eastAsia="zh-CN"/>
        </w:rPr>
        <w:t>滁州市</w:t>
      </w:r>
      <w:r>
        <w:rPr>
          <w:rFonts w:hint="eastAsia" w:ascii="宋体" w:hAnsi="宋体" w:eastAsia="宋体" w:cs="宋体"/>
          <w:color w:val="auto"/>
          <w:sz w:val="24"/>
          <w:szCs w:val="24"/>
          <w:lang w:eastAsia="zh-CN"/>
        </w:rPr>
        <w:t>辖区内监测台站映震响应同步性，自动生成台站联动趋势图；</w:t>
      </w:r>
      <w:r>
        <w:rPr>
          <w:rFonts w:hint="eastAsia" w:ascii="宋体" w:hAnsi="宋体" w:eastAsia="宋体" w:cs="宋体"/>
          <w:color w:val="auto"/>
          <w:sz w:val="24"/>
          <w:szCs w:val="24"/>
          <w:lang w:val="en-US" w:eastAsia="zh-CN"/>
        </w:rPr>
        <w:t>支持统计分析区域</w:t>
      </w:r>
      <w:r>
        <w:rPr>
          <w:rFonts w:hint="eastAsia" w:ascii="宋体" w:hAnsi="宋体" w:eastAsia="宋体" w:cs="宋体"/>
          <w:color w:val="auto"/>
          <w:sz w:val="24"/>
          <w:szCs w:val="24"/>
          <w:lang w:eastAsia="zh-CN"/>
        </w:rPr>
        <w:t>台站映震数据相关性，</w:t>
      </w:r>
      <w:r>
        <w:rPr>
          <w:rFonts w:hint="eastAsia" w:ascii="宋体" w:hAnsi="宋体" w:eastAsia="宋体" w:cs="宋体"/>
          <w:color w:val="auto"/>
          <w:sz w:val="24"/>
          <w:szCs w:val="24"/>
          <w:lang w:val="en-US" w:eastAsia="zh-CN"/>
        </w:rPr>
        <w:t>总结有关规律，</w:t>
      </w:r>
      <w:r>
        <w:rPr>
          <w:rFonts w:hint="eastAsia" w:ascii="宋体" w:hAnsi="宋体" w:eastAsia="宋体" w:cs="宋体"/>
          <w:color w:val="auto"/>
          <w:sz w:val="24"/>
          <w:szCs w:val="24"/>
          <w:lang w:eastAsia="zh-CN"/>
        </w:rPr>
        <w:t>生成</w:t>
      </w:r>
      <w:r>
        <w:rPr>
          <w:rFonts w:hint="eastAsia" w:ascii="宋体" w:hAnsi="宋体" w:eastAsia="宋体" w:cs="宋体"/>
          <w:color w:val="auto"/>
          <w:sz w:val="24"/>
          <w:szCs w:val="24"/>
          <w:lang w:val="en-US" w:eastAsia="zh-CN"/>
        </w:rPr>
        <w:t>专题图件</w:t>
      </w:r>
      <w:r>
        <w:rPr>
          <w:rFonts w:hint="eastAsia" w:ascii="宋体" w:hAnsi="宋体" w:eastAsia="宋体" w:cs="宋体"/>
          <w:color w:val="auto"/>
          <w:sz w:val="24"/>
          <w:szCs w:val="24"/>
          <w:lang w:eastAsia="zh-CN"/>
        </w:rPr>
        <w:t>；支持自动整合生成专项分析报告，支持预览、</w:t>
      </w:r>
      <w:r>
        <w:rPr>
          <w:rFonts w:hint="eastAsia" w:ascii="宋体" w:hAnsi="宋体" w:eastAsia="宋体" w:cs="宋体"/>
          <w:color w:val="auto"/>
          <w:sz w:val="24"/>
          <w:szCs w:val="24"/>
          <w:lang w:val="en-US" w:eastAsia="zh-CN"/>
        </w:rPr>
        <w:t>编辑、归档、导出等功能</w:t>
      </w:r>
      <w:r>
        <w:rPr>
          <w:rFonts w:hint="eastAsia" w:ascii="宋体" w:hAnsi="宋体" w:eastAsia="宋体" w:cs="宋体"/>
          <w:color w:val="auto"/>
          <w:sz w:val="24"/>
          <w:szCs w:val="24"/>
          <w:lang w:eastAsia="zh-CN"/>
        </w:rPr>
        <w:t>。</w:t>
      </w:r>
    </w:p>
    <w:p w14:paraId="55BA578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研判简报自动生成。系统应自动整合地震官方速报信息、双源融合研判结论、历史震例比对成果等核心业务数据，快速生成震后趋势快速研判简报，</w:t>
      </w:r>
      <w:r>
        <w:rPr>
          <w:rFonts w:hint="eastAsia" w:ascii="宋体" w:hAnsi="宋体" w:eastAsia="宋体" w:cs="宋体"/>
          <w:color w:val="auto"/>
          <w:sz w:val="24"/>
          <w:szCs w:val="24"/>
          <w:lang w:val="en-US" w:eastAsia="zh-CN"/>
        </w:rPr>
        <w:t>应包含但不限于：地震三要素、震源机制、破裂方向、余震序列、震前各指标异常回顾及震后变化、构造背景、历史地震、余震活动趋势、地震风险概率、会商结论等内容；</w:t>
      </w:r>
      <w:r>
        <w:rPr>
          <w:rFonts w:hint="eastAsia" w:ascii="宋体" w:hAnsi="宋体" w:eastAsia="宋体" w:cs="宋体"/>
          <w:color w:val="auto"/>
          <w:sz w:val="24"/>
          <w:szCs w:val="24"/>
          <w:lang w:eastAsia="zh-CN"/>
        </w:rPr>
        <w:t>支持预览、</w:t>
      </w:r>
      <w:r>
        <w:rPr>
          <w:rFonts w:hint="eastAsia" w:ascii="宋体" w:hAnsi="宋体" w:eastAsia="宋体" w:cs="宋体"/>
          <w:color w:val="auto"/>
          <w:sz w:val="24"/>
          <w:szCs w:val="24"/>
          <w:lang w:val="en-US" w:eastAsia="zh-CN"/>
        </w:rPr>
        <w:t>编辑、归档、导出等功能</w:t>
      </w:r>
      <w:r>
        <w:rPr>
          <w:rFonts w:hint="eastAsia" w:ascii="宋体" w:hAnsi="宋体" w:eastAsia="宋体" w:cs="宋体"/>
          <w:color w:val="auto"/>
          <w:sz w:val="24"/>
          <w:szCs w:val="24"/>
          <w:lang w:eastAsia="zh-CN"/>
        </w:rPr>
        <w:t>。</w:t>
      </w:r>
    </w:p>
    <w:p w14:paraId="6AB432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eastAsia="zh-CN"/>
        </w:rPr>
        <w:t>震后研判简报档案管理。系统应统一存储震后快速研判简报文稿档案数据；</w:t>
      </w:r>
      <w:r>
        <w:rPr>
          <w:rFonts w:hint="eastAsia" w:ascii="宋体" w:hAnsi="宋体" w:eastAsia="宋体" w:cs="宋体"/>
          <w:color w:val="auto"/>
          <w:sz w:val="24"/>
          <w:szCs w:val="24"/>
          <w:lang w:val="en-US" w:eastAsia="zh-CN"/>
        </w:rPr>
        <w:t>支持</w:t>
      </w:r>
      <w:r>
        <w:rPr>
          <w:rFonts w:hint="eastAsia" w:ascii="宋体" w:hAnsi="宋体" w:eastAsia="宋体" w:cs="宋体"/>
          <w:color w:val="auto"/>
          <w:sz w:val="24"/>
          <w:szCs w:val="24"/>
          <w:lang w:eastAsia="zh-CN"/>
        </w:rPr>
        <w:t>简报预览、</w:t>
      </w:r>
      <w:r>
        <w:rPr>
          <w:rFonts w:hint="eastAsia" w:ascii="宋体" w:hAnsi="宋体" w:eastAsia="宋体" w:cs="宋体"/>
          <w:color w:val="auto"/>
          <w:sz w:val="24"/>
          <w:szCs w:val="24"/>
          <w:lang w:val="en-US" w:eastAsia="zh-CN"/>
        </w:rPr>
        <w:t>编辑、归档、导出等功能</w:t>
      </w:r>
      <w:r>
        <w:rPr>
          <w:rFonts w:hint="eastAsia" w:ascii="宋体" w:hAnsi="宋体" w:eastAsia="宋体" w:cs="宋体"/>
          <w:color w:val="auto"/>
          <w:sz w:val="24"/>
          <w:szCs w:val="24"/>
          <w:lang w:eastAsia="zh-CN"/>
        </w:rPr>
        <w:t>。</w:t>
      </w:r>
    </w:p>
    <w:p w14:paraId="2C12651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震情异常识别规则配置。系统应</w:t>
      </w:r>
      <w:r>
        <w:rPr>
          <w:rFonts w:hint="eastAsia" w:ascii="宋体" w:hAnsi="宋体" w:eastAsia="宋体" w:cs="宋体"/>
          <w:color w:val="auto"/>
          <w:sz w:val="24"/>
          <w:szCs w:val="24"/>
          <w:lang w:val="en-US" w:eastAsia="zh-CN"/>
        </w:rPr>
        <w:t>包含</w:t>
      </w:r>
      <w:r>
        <w:rPr>
          <w:rFonts w:hint="eastAsia" w:ascii="宋体" w:hAnsi="宋体" w:eastAsia="宋体" w:cs="宋体"/>
          <w:color w:val="auto"/>
          <w:sz w:val="24"/>
          <w:szCs w:val="24"/>
          <w:lang w:eastAsia="zh-CN"/>
        </w:rPr>
        <w:t>数据波动阈值、波形畸变、数据跳变、数据中断等数值识别规则，以及</w:t>
      </w:r>
      <w:r>
        <w:rPr>
          <w:rFonts w:hint="eastAsia" w:ascii="宋体" w:hAnsi="宋体" w:eastAsia="宋体" w:cs="宋体"/>
          <w:color w:val="auto"/>
          <w:sz w:val="24"/>
          <w:szCs w:val="24"/>
          <w:lang w:val="en-US" w:eastAsia="zh-CN"/>
        </w:rPr>
        <w:t>异常</w:t>
      </w:r>
      <w:r>
        <w:rPr>
          <w:rFonts w:hint="eastAsia" w:ascii="宋体" w:hAnsi="宋体" w:eastAsia="宋体" w:cs="宋体"/>
          <w:color w:val="auto"/>
          <w:sz w:val="24"/>
          <w:szCs w:val="24"/>
          <w:lang w:eastAsia="zh-CN"/>
        </w:rPr>
        <w:t>判定标准。</w:t>
      </w:r>
    </w:p>
    <w:p w14:paraId="586A418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异常告警推送规则配置。系统应</w:t>
      </w:r>
      <w:r>
        <w:rPr>
          <w:rFonts w:hint="eastAsia" w:ascii="宋体" w:hAnsi="宋体" w:eastAsia="宋体" w:cs="宋体"/>
          <w:color w:val="auto"/>
          <w:sz w:val="24"/>
          <w:szCs w:val="24"/>
          <w:lang w:val="en-US" w:eastAsia="zh-CN"/>
        </w:rPr>
        <w:t>包含</w:t>
      </w:r>
      <w:r>
        <w:rPr>
          <w:rFonts w:hint="eastAsia" w:ascii="宋体" w:hAnsi="宋体" w:eastAsia="宋体" w:cs="宋体"/>
          <w:color w:val="auto"/>
          <w:sz w:val="24"/>
          <w:szCs w:val="24"/>
          <w:lang w:eastAsia="zh-CN"/>
        </w:rPr>
        <w:t>不同等级异常对应的告警方式、通知对象、弹窗展示规则。</w:t>
      </w:r>
    </w:p>
    <w:p w14:paraId="72B8976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lang w:eastAsia="zh-CN"/>
        </w:rPr>
        <w:t>异常研判复核台账管理。系统应</w:t>
      </w:r>
      <w:r>
        <w:rPr>
          <w:rFonts w:hint="eastAsia" w:ascii="宋体" w:hAnsi="宋体" w:eastAsia="宋体" w:cs="宋体"/>
          <w:color w:val="auto"/>
          <w:sz w:val="24"/>
          <w:szCs w:val="24"/>
          <w:lang w:val="en-US" w:eastAsia="zh-CN"/>
        </w:rPr>
        <w:t>包含</w:t>
      </w:r>
      <w:r>
        <w:rPr>
          <w:rFonts w:hint="eastAsia" w:ascii="宋体" w:hAnsi="宋体" w:eastAsia="宋体" w:cs="宋体"/>
          <w:color w:val="auto"/>
          <w:sz w:val="24"/>
          <w:szCs w:val="24"/>
          <w:lang w:eastAsia="zh-CN"/>
        </w:rPr>
        <w:t>异常事件快照、设备/环境/传输日志、人工研判结论、复核意见、无效告警标记、全流程处置台账数据。</w:t>
      </w:r>
    </w:p>
    <w:p w14:paraId="2F2AE8A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eastAsia="zh-CN"/>
        </w:rPr>
        <w:t>地震事件时序数据管理。系统应</w:t>
      </w:r>
      <w:r>
        <w:rPr>
          <w:rFonts w:hint="eastAsia" w:ascii="宋体" w:hAnsi="宋体" w:eastAsia="宋体" w:cs="宋体"/>
          <w:color w:val="auto"/>
          <w:sz w:val="24"/>
          <w:szCs w:val="24"/>
          <w:lang w:val="en-US" w:eastAsia="zh-CN"/>
        </w:rPr>
        <w:t>包含</w:t>
      </w:r>
      <w:r>
        <w:rPr>
          <w:rFonts w:hint="eastAsia" w:ascii="宋体" w:hAnsi="宋体" w:eastAsia="宋体" w:cs="宋体"/>
          <w:color w:val="auto"/>
          <w:sz w:val="24"/>
          <w:szCs w:val="24"/>
          <w:lang w:eastAsia="zh-CN"/>
        </w:rPr>
        <w:t>地震“</w:t>
      </w:r>
      <w:r>
        <w:rPr>
          <w:rFonts w:hint="eastAsia" w:ascii="宋体" w:hAnsi="宋体" w:eastAsia="宋体" w:cs="宋体"/>
          <w:color w:val="auto"/>
          <w:sz w:val="24"/>
          <w:szCs w:val="24"/>
          <w:lang w:val="en-US" w:eastAsia="zh-CN"/>
        </w:rPr>
        <w:t>三要素</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等</w:t>
      </w:r>
      <w:r>
        <w:rPr>
          <w:rFonts w:hint="eastAsia" w:ascii="宋体" w:hAnsi="宋体" w:eastAsia="宋体" w:cs="宋体"/>
          <w:color w:val="auto"/>
          <w:sz w:val="24"/>
          <w:szCs w:val="24"/>
          <w:lang w:eastAsia="zh-CN"/>
        </w:rPr>
        <w:t>基础信息，关联归档震前、震时、震后全时段监测时序数据。</w:t>
      </w:r>
    </w:p>
    <w:p w14:paraId="5E9037D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eastAsia="zh-CN"/>
        </w:rPr>
        <w:t>历史地震震例参考数据管理。系统应</w:t>
      </w:r>
      <w:r>
        <w:rPr>
          <w:rFonts w:hint="eastAsia" w:ascii="宋体" w:hAnsi="宋体" w:eastAsia="宋体" w:cs="宋体"/>
          <w:color w:val="auto"/>
          <w:sz w:val="24"/>
          <w:szCs w:val="24"/>
          <w:lang w:val="en-US" w:eastAsia="zh-CN"/>
        </w:rPr>
        <w:t>支持</w:t>
      </w:r>
      <w:r>
        <w:rPr>
          <w:rFonts w:hint="eastAsia" w:ascii="宋体" w:hAnsi="宋体" w:eastAsia="宋体" w:cs="宋体"/>
          <w:color w:val="auto"/>
          <w:sz w:val="24"/>
          <w:szCs w:val="24"/>
          <w:lang w:eastAsia="zh-CN"/>
        </w:rPr>
        <w:t>历史震例、震情参数、前兆特征等参考数据的入库、存储、更新与维护管理；相关数据专用于震情比对分析和震例相似度研判。</w:t>
      </w:r>
    </w:p>
    <w:p w14:paraId="108F528A">
      <w:pPr>
        <w:pStyle w:val="3"/>
        <w:numPr>
          <w:ilvl w:val="0"/>
          <w:numId w:val="3"/>
        </w:numPr>
        <w:bidi w:val="0"/>
        <w:ind w:left="425" w:leftChars="0" w:hanging="425" w:firstLineChars="0"/>
        <w:rPr>
          <w:rFonts w:hint="eastAsia" w:ascii="宋体" w:hAnsi="宋体" w:eastAsia="宋体" w:cs="宋体"/>
          <w:color w:val="auto"/>
          <w:sz w:val="24"/>
          <w:szCs w:val="24"/>
        </w:rPr>
      </w:pPr>
      <w:r>
        <w:rPr>
          <w:rFonts w:hint="eastAsia" w:ascii="宋体" w:hAnsi="宋体" w:eastAsia="宋体" w:cs="宋体"/>
          <w:color w:val="auto"/>
          <w:sz w:val="24"/>
          <w:szCs w:val="24"/>
        </w:rPr>
        <w:t>地震预警</w:t>
      </w:r>
      <w:r>
        <w:rPr>
          <w:rFonts w:hint="eastAsia" w:ascii="宋体" w:hAnsi="宋体" w:eastAsia="宋体" w:cs="宋体"/>
          <w:color w:val="auto"/>
          <w:sz w:val="24"/>
          <w:szCs w:val="24"/>
          <w:lang w:val="en-US" w:eastAsia="zh-CN"/>
        </w:rPr>
        <w:t>终端管理</w:t>
      </w:r>
      <w:r>
        <w:rPr>
          <w:rFonts w:hint="eastAsia" w:ascii="宋体" w:hAnsi="宋体" w:eastAsia="宋体" w:cs="宋体"/>
          <w:color w:val="auto"/>
          <w:sz w:val="24"/>
          <w:szCs w:val="24"/>
        </w:rPr>
        <w:t>子系统</w:t>
      </w:r>
    </w:p>
    <w:p w14:paraId="625BDDD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主要服务于重点企业预警保障与全域预警终端管控，依托地震预警终端可视化一张图，实时监测全域预警终端在线状态、信号等运行参数，针对设备故障、离线等异常情况自动告警。</w:t>
      </w:r>
    </w:p>
    <w:p w14:paraId="425942FF">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全域终端可视化管控</w:t>
      </w:r>
    </w:p>
    <w:p w14:paraId="16371B4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系统应</w:t>
      </w:r>
      <w:r>
        <w:rPr>
          <w:rFonts w:hint="eastAsia" w:ascii="宋体" w:hAnsi="宋体" w:eastAsia="宋体" w:cs="宋体"/>
          <w:color w:val="auto"/>
          <w:sz w:val="24"/>
          <w:szCs w:val="24"/>
          <w:lang w:val="en-US" w:eastAsia="zh-CN"/>
        </w:rPr>
        <w:t>有效衔接不同厂家、不同规格、不同型号的地震预警信息发布终端，对其进行统一管理并自动生成和导出管理简报；支持远程推送震情模拟、地震科普等功能；支持</w:t>
      </w:r>
      <w:r>
        <w:rPr>
          <w:rFonts w:hint="eastAsia" w:ascii="宋体" w:hAnsi="宋体" w:eastAsia="宋体" w:cs="宋体"/>
          <w:color w:val="auto"/>
          <w:sz w:val="24"/>
          <w:szCs w:val="24"/>
        </w:rPr>
        <w:t>预警终端设备编码、型号参数、厂商、布设地址、空间坐标、</w:t>
      </w:r>
      <w:r>
        <w:rPr>
          <w:rFonts w:hint="eastAsia" w:ascii="宋体" w:hAnsi="宋体" w:eastAsia="宋体" w:cs="宋体"/>
          <w:color w:val="auto"/>
          <w:sz w:val="24"/>
          <w:szCs w:val="24"/>
          <w:lang w:val="en-US" w:eastAsia="zh-CN"/>
        </w:rPr>
        <w:t>行政区划分布、</w:t>
      </w:r>
      <w:r>
        <w:rPr>
          <w:rFonts w:hint="eastAsia" w:ascii="宋体" w:hAnsi="宋体" w:eastAsia="宋体" w:cs="宋体"/>
          <w:color w:val="auto"/>
          <w:sz w:val="24"/>
          <w:szCs w:val="24"/>
        </w:rPr>
        <w:t>权属单位、验收维保记录、运行状态等</w:t>
      </w:r>
      <w:r>
        <w:rPr>
          <w:rFonts w:hint="eastAsia" w:ascii="宋体" w:hAnsi="宋体" w:eastAsia="宋体" w:cs="宋体"/>
          <w:color w:val="auto"/>
          <w:sz w:val="24"/>
          <w:szCs w:val="24"/>
          <w:lang w:val="en-US" w:eastAsia="zh-CN"/>
        </w:rPr>
        <w:t>信息管理；</w:t>
      </w:r>
      <w:r>
        <w:rPr>
          <w:rFonts w:hint="eastAsia" w:ascii="宋体" w:hAnsi="宋体" w:eastAsia="宋体" w:cs="宋体"/>
          <w:color w:val="auto"/>
          <w:sz w:val="24"/>
          <w:szCs w:val="24"/>
        </w:rPr>
        <w:t>支持终端全域态势展示，展示布设位置、设备型号、覆盖范围，支持多维筛选、高亮定位，叠加行政区划、断裂带、重点企业图层，辅助布局分析和点位优化；支持地图</w:t>
      </w:r>
      <w:r>
        <w:rPr>
          <w:rFonts w:hint="eastAsia" w:ascii="宋体" w:hAnsi="宋体" w:eastAsia="宋体" w:cs="宋体"/>
          <w:color w:val="auto"/>
          <w:sz w:val="24"/>
          <w:szCs w:val="24"/>
          <w:lang w:val="en-US" w:eastAsia="zh-CN"/>
        </w:rPr>
        <w:t>交互，预警终端状态信息查看等功能；支持</w:t>
      </w:r>
      <w:r>
        <w:rPr>
          <w:rFonts w:hint="eastAsia" w:ascii="宋体" w:hAnsi="宋体" w:eastAsia="宋体" w:cs="宋体"/>
          <w:color w:val="auto"/>
          <w:sz w:val="24"/>
          <w:szCs w:val="24"/>
        </w:rPr>
        <w:t>生成分布密度热力图</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系统应支撑7×24小时态势感知、异常识别、超时告警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远程报停</w:t>
      </w:r>
      <w:r>
        <w:rPr>
          <w:rFonts w:hint="eastAsia" w:ascii="宋体" w:hAnsi="宋体" w:eastAsia="宋体" w:cs="宋体"/>
          <w:color w:val="auto"/>
          <w:sz w:val="24"/>
          <w:szCs w:val="24"/>
        </w:rPr>
        <w:t>和状态更新</w:t>
      </w:r>
      <w:r>
        <w:rPr>
          <w:rFonts w:hint="eastAsia" w:ascii="宋体" w:hAnsi="宋体" w:eastAsia="宋体" w:cs="宋体"/>
          <w:color w:val="auto"/>
          <w:sz w:val="24"/>
          <w:szCs w:val="24"/>
          <w:lang w:val="en-US" w:eastAsia="zh-CN"/>
        </w:rPr>
        <w:t>等功能，支持向管理人员发送信息功能</w:t>
      </w:r>
      <w:r>
        <w:rPr>
          <w:rFonts w:hint="eastAsia" w:ascii="宋体" w:hAnsi="宋体" w:eastAsia="宋体" w:cs="宋体"/>
          <w:color w:val="auto"/>
          <w:sz w:val="24"/>
          <w:szCs w:val="24"/>
        </w:rPr>
        <w:t>。</w:t>
      </w:r>
    </w:p>
    <w:p w14:paraId="0EB07633">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企业专题</w:t>
      </w:r>
      <w:r>
        <w:rPr>
          <w:rFonts w:hint="eastAsia" w:ascii="宋体" w:hAnsi="宋体" w:eastAsia="宋体" w:cs="宋体"/>
          <w:b/>
          <w:color w:val="auto"/>
          <w:sz w:val="24"/>
          <w:szCs w:val="24"/>
          <w:lang w:val="en-US" w:eastAsia="zh-CN"/>
        </w:rPr>
        <w:t>地震</w:t>
      </w:r>
      <w:r>
        <w:rPr>
          <w:rFonts w:hint="eastAsia" w:ascii="宋体" w:hAnsi="宋体" w:eastAsia="宋体" w:cs="宋体"/>
          <w:b/>
          <w:color w:val="auto"/>
          <w:sz w:val="24"/>
          <w:szCs w:val="24"/>
        </w:rPr>
        <w:t>预警服务</w:t>
      </w:r>
    </w:p>
    <w:p w14:paraId="1E2AEE2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 外部地震预警数据源接入</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系统应对接外部权威地震预警服务数据源，接收并引用预警震级、预估烈度、发震参数等核心预警数据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系统应支持接口状态监测、数据接收日志与异常告警</w:t>
      </w:r>
      <w:r>
        <w:rPr>
          <w:rFonts w:hint="eastAsia" w:ascii="宋体" w:hAnsi="宋体" w:eastAsia="宋体" w:cs="宋体"/>
          <w:color w:val="auto"/>
          <w:sz w:val="24"/>
          <w:szCs w:val="24"/>
          <w:lang w:eastAsia="zh-CN"/>
        </w:rPr>
        <w:t>。</w:t>
      </w:r>
    </w:p>
    <w:p w14:paraId="27689DB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重点企业预警服务</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系统应支持重点企业地震预警信息服务的后台管理，支持远场大震等定制化预警信息服务场景的配置与管理；应支持对已部署的企业地震预警终端进行统一后台管理，包括终端台账、在线状态、规则版本、联动能力等；支持配置不同企业、不同产线、不同预警等级对应的联动规则，并下发至终端；支持接收终端自主联动产生的触发记录、执行结果与异常信息，并纳入预警日志库；支持联动效果统计。</w:t>
      </w:r>
    </w:p>
    <w:p w14:paraId="63C1E3B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重点企业预警服务台账管理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应包含</w:t>
      </w:r>
      <w:r>
        <w:rPr>
          <w:rFonts w:hint="eastAsia" w:ascii="宋体" w:hAnsi="宋体" w:eastAsia="宋体" w:cs="宋体"/>
          <w:color w:val="auto"/>
          <w:sz w:val="24"/>
          <w:szCs w:val="24"/>
        </w:rPr>
        <w:t>重点企业基础信息、行业分类、风险等级、厂区范围、预警终端清单、应急联系人、预警预案等数据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支持增删改查、批量导入、规则绑定、台账检索</w:t>
      </w:r>
      <w:r>
        <w:rPr>
          <w:rFonts w:hint="eastAsia" w:ascii="宋体" w:hAnsi="宋体" w:eastAsia="宋体" w:cs="宋体"/>
          <w:color w:val="auto"/>
          <w:sz w:val="24"/>
          <w:szCs w:val="24"/>
          <w:lang w:eastAsia="zh-CN"/>
        </w:rPr>
        <w:t>。</w:t>
      </w:r>
    </w:p>
    <w:p w14:paraId="13DC5DC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 预警日志</w:t>
      </w:r>
      <w:r>
        <w:rPr>
          <w:rFonts w:hint="eastAsia" w:ascii="宋体" w:hAnsi="宋体" w:eastAsia="宋体" w:cs="宋体"/>
          <w:color w:val="auto"/>
          <w:sz w:val="24"/>
          <w:szCs w:val="24"/>
          <w:lang w:val="en-US" w:eastAsia="zh-CN"/>
        </w:rPr>
        <w:t>及简报</w:t>
      </w:r>
      <w:r>
        <w:rPr>
          <w:rFonts w:hint="eastAsia" w:ascii="宋体" w:hAnsi="宋体" w:eastAsia="宋体" w:cs="宋体"/>
          <w:color w:val="auto"/>
          <w:sz w:val="24"/>
          <w:szCs w:val="24"/>
        </w:rPr>
        <w:t>管理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系统应建设预警信息服务全流程日志库，存储外部数据接收、终端状态、规则版本、联动触发、执行结果、异常标签等全链路留痕信息，支持日志回溯和异常溯源；支持企业预警服务简报的生成、在线预览、编辑、归档、导出；支持简报版本锁定与留痕管理，满足业务存档、上级报送和阶段性复盘需求。</w:t>
      </w:r>
    </w:p>
    <w:p w14:paraId="59FDC3D7">
      <w:pPr>
        <w:pStyle w:val="3"/>
        <w:numPr>
          <w:ilvl w:val="0"/>
          <w:numId w:val="3"/>
        </w:numPr>
        <w:bidi w:val="0"/>
        <w:ind w:left="425" w:leftChars="0" w:hanging="425" w:firstLineChars="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地震</w:t>
      </w:r>
      <w:r>
        <w:rPr>
          <w:rFonts w:hint="eastAsia" w:ascii="宋体" w:hAnsi="宋体" w:eastAsia="宋体" w:cs="宋体"/>
          <w:color w:val="auto"/>
          <w:sz w:val="24"/>
          <w:szCs w:val="24"/>
        </w:rPr>
        <w:t>构造探查子系统</w:t>
      </w:r>
    </w:p>
    <w:p w14:paraId="2B67A7E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主要承担区域地震构造探查数据归集、断裂带风险源建模分析与全域断裂带可视化管理等功能。融入滁州市活动断层探测、精细化探查等成果，全新升级重要断裂带</w:t>
      </w:r>
      <w:r>
        <w:rPr>
          <w:rFonts w:hint="eastAsia" w:ascii="宋体" w:hAnsi="宋体" w:eastAsia="宋体" w:cs="宋体"/>
          <w:sz w:val="24"/>
          <w:szCs w:val="24"/>
          <w:lang w:val="en-US" w:eastAsia="zh-CN"/>
        </w:rPr>
        <w:t>可视化管理功能；分步实现郯庐断裂带池河-太湖断裂等重点断层精细填图及三维交互建模，提供地震灾害风险源智能化分析功能；完成滁州主城区三维地质体模型构建，耦合地下速度结构、地震动参数等重要属性；统筹归集各类地震构造探查原始资料，搭建智能资料库，实现资料快速检索、下载复用及全操作日志追溯。</w:t>
      </w:r>
    </w:p>
    <w:p w14:paraId="47474559">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rPr>
      </w:pPr>
      <w:r>
        <w:rPr>
          <w:rFonts w:hint="eastAsia" w:ascii="宋体" w:hAnsi="宋体" w:eastAsia="宋体" w:cs="宋体"/>
          <w:b/>
          <w:sz w:val="24"/>
          <w:szCs w:val="24"/>
        </w:rPr>
        <w:t>断裂带与活动断层管理模块</w:t>
      </w:r>
    </w:p>
    <w:p w14:paraId="6DD0CD15">
      <w:pPr>
        <w:pStyle w:val="5"/>
        <w:numPr>
          <w:ilvl w:val="2"/>
          <w:numId w:val="3"/>
        </w:numPr>
        <w:bidi w:val="0"/>
        <w:ind w:left="709" w:leftChars="0" w:hanging="709" w:firstLineChars="0"/>
        <w:rPr>
          <w:rFonts w:hint="eastAsia" w:ascii="宋体" w:hAnsi="宋体" w:eastAsia="宋体" w:cs="宋体"/>
          <w:sz w:val="24"/>
          <w:szCs w:val="24"/>
        </w:rPr>
      </w:pPr>
      <w:r>
        <w:rPr>
          <w:rFonts w:hint="eastAsia" w:ascii="宋体" w:hAnsi="宋体" w:eastAsia="宋体" w:cs="宋体"/>
          <w:sz w:val="24"/>
          <w:szCs w:val="24"/>
        </w:rPr>
        <w:t>全域断裂带</w:t>
      </w:r>
      <w:r>
        <w:rPr>
          <w:rFonts w:hint="eastAsia" w:ascii="宋体" w:hAnsi="宋体" w:eastAsia="宋体" w:cs="宋体"/>
          <w:sz w:val="24"/>
          <w:szCs w:val="24"/>
          <w:lang w:val="en-US" w:eastAsia="zh-CN"/>
        </w:rPr>
        <w:t>智能交互</w:t>
      </w:r>
    </w:p>
    <w:p w14:paraId="37EA35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1.深化断裂带智能</w:t>
      </w:r>
      <w:r>
        <w:rPr>
          <w:rFonts w:hint="eastAsia" w:ascii="宋体" w:hAnsi="宋体" w:eastAsia="宋体" w:cs="宋体"/>
          <w:sz w:val="24"/>
          <w:szCs w:val="24"/>
        </w:rPr>
        <w:t>交互</w:t>
      </w:r>
      <w:r>
        <w:rPr>
          <w:rFonts w:hint="eastAsia" w:ascii="宋体" w:hAnsi="宋体" w:eastAsia="宋体" w:cs="宋体"/>
          <w:sz w:val="24"/>
          <w:szCs w:val="24"/>
          <w:lang w:eastAsia="zh-CN"/>
        </w:rPr>
        <w:t>。</w:t>
      </w:r>
      <w:r>
        <w:rPr>
          <w:rFonts w:hint="eastAsia" w:ascii="宋体" w:hAnsi="宋体" w:eastAsia="宋体" w:cs="宋体"/>
          <w:sz w:val="24"/>
          <w:szCs w:val="24"/>
        </w:rPr>
        <w:t>系统</w:t>
      </w:r>
      <w:r>
        <w:rPr>
          <w:rFonts w:hint="eastAsia" w:ascii="宋体" w:hAnsi="宋体" w:eastAsia="宋体" w:cs="宋体"/>
          <w:sz w:val="24"/>
          <w:szCs w:val="24"/>
          <w:lang w:val="en-US" w:eastAsia="zh-CN"/>
        </w:rPr>
        <w:t>升级</w:t>
      </w:r>
      <w:r>
        <w:rPr>
          <w:rFonts w:hint="eastAsia" w:ascii="宋体" w:hAnsi="宋体" w:eastAsia="宋体" w:cs="宋体"/>
          <w:sz w:val="24"/>
          <w:szCs w:val="24"/>
        </w:rPr>
        <w:t>多图层融合可视化与灵活地图交互</w:t>
      </w:r>
      <w:r>
        <w:rPr>
          <w:rFonts w:hint="eastAsia" w:ascii="宋体" w:hAnsi="宋体" w:eastAsia="宋体" w:cs="宋体"/>
          <w:sz w:val="24"/>
          <w:szCs w:val="24"/>
          <w:lang w:val="en-US" w:eastAsia="zh-CN"/>
        </w:rPr>
        <w:t>功能</w:t>
      </w:r>
      <w:r>
        <w:rPr>
          <w:rFonts w:hint="eastAsia" w:ascii="宋体" w:hAnsi="宋体" w:eastAsia="宋体" w:cs="宋体"/>
          <w:sz w:val="24"/>
          <w:szCs w:val="24"/>
        </w:rPr>
        <w:t>，</w:t>
      </w:r>
      <w:r>
        <w:rPr>
          <w:rFonts w:hint="eastAsia" w:ascii="宋体" w:hAnsi="宋体" w:eastAsia="宋体" w:cs="宋体"/>
          <w:sz w:val="24"/>
          <w:szCs w:val="24"/>
          <w:lang w:val="en-US" w:eastAsia="zh-CN"/>
        </w:rPr>
        <w:t>加入更多地震构造环境</w:t>
      </w:r>
      <w:r>
        <w:rPr>
          <w:rFonts w:hint="eastAsia" w:ascii="宋体" w:hAnsi="宋体" w:eastAsia="宋体" w:cs="宋体"/>
          <w:sz w:val="24"/>
          <w:szCs w:val="24"/>
        </w:rPr>
        <w:t>特征</w:t>
      </w:r>
      <w:r>
        <w:rPr>
          <w:rFonts w:hint="eastAsia" w:ascii="宋体" w:hAnsi="宋体" w:eastAsia="宋体" w:cs="宋体"/>
          <w:sz w:val="24"/>
          <w:szCs w:val="24"/>
          <w:lang w:val="en-US" w:eastAsia="zh-CN"/>
        </w:rPr>
        <w:t>及细节；增加</w:t>
      </w:r>
      <w:r>
        <w:rPr>
          <w:rFonts w:hint="eastAsia" w:ascii="宋体" w:hAnsi="宋体" w:eastAsia="宋体" w:cs="宋体"/>
          <w:sz w:val="24"/>
          <w:szCs w:val="24"/>
        </w:rPr>
        <w:t>浅震</w:t>
      </w:r>
      <w:r>
        <w:rPr>
          <w:rFonts w:hint="eastAsia" w:ascii="宋体" w:hAnsi="宋体" w:eastAsia="宋体" w:cs="宋体"/>
          <w:sz w:val="24"/>
          <w:szCs w:val="24"/>
          <w:lang w:val="en-US" w:eastAsia="zh-CN"/>
        </w:rPr>
        <w:t>勘探</w:t>
      </w:r>
      <w:r>
        <w:rPr>
          <w:rFonts w:hint="eastAsia" w:ascii="宋体" w:hAnsi="宋体" w:eastAsia="宋体" w:cs="宋体"/>
          <w:sz w:val="24"/>
          <w:szCs w:val="24"/>
        </w:rPr>
        <w:t>测线、地质调查点、探槽点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联排钻</w:t>
      </w:r>
      <w:r>
        <w:rPr>
          <w:rFonts w:hint="eastAsia" w:ascii="宋体" w:hAnsi="宋体" w:eastAsia="宋体" w:cs="宋体"/>
          <w:sz w:val="24"/>
          <w:szCs w:val="24"/>
        </w:rPr>
        <w:t>等多类</w:t>
      </w:r>
      <w:r>
        <w:rPr>
          <w:rFonts w:hint="eastAsia" w:ascii="宋体" w:hAnsi="宋体" w:eastAsia="宋体" w:cs="宋体"/>
          <w:sz w:val="24"/>
          <w:szCs w:val="24"/>
          <w:lang w:val="en-US" w:eastAsia="zh-CN"/>
        </w:rPr>
        <w:t>探查</w:t>
      </w:r>
      <w:r>
        <w:rPr>
          <w:rFonts w:hint="eastAsia" w:ascii="宋体" w:hAnsi="宋体" w:eastAsia="宋体" w:cs="宋体"/>
          <w:sz w:val="24"/>
          <w:szCs w:val="24"/>
        </w:rPr>
        <w:t>专项</w:t>
      </w:r>
      <w:r>
        <w:rPr>
          <w:rFonts w:hint="eastAsia" w:ascii="宋体" w:hAnsi="宋体" w:eastAsia="宋体" w:cs="宋体"/>
          <w:sz w:val="24"/>
          <w:szCs w:val="24"/>
          <w:lang w:val="en-US" w:eastAsia="zh-CN"/>
        </w:rPr>
        <w:t>数据；系统应支持</w:t>
      </w:r>
      <w:r>
        <w:rPr>
          <w:rFonts w:hint="eastAsia" w:ascii="宋体" w:hAnsi="宋体" w:eastAsia="宋体" w:cs="宋体"/>
          <w:sz w:val="24"/>
          <w:szCs w:val="24"/>
        </w:rPr>
        <w:t>精细化图层管控能力，具备</w:t>
      </w:r>
      <w:r>
        <w:rPr>
          <w:rFonts w:hint="eastAsia" w:ascii="宋体" w:hAnsi="宋体" w:eastAsia="宋体" w:cs="宋体"/>
          <w:sz w:val="24"/>
          <w:szCs w:val="24"/>
          <w:lang w:val="en-US" w:eastAsia="zh-CN"/>
        </w:rPr>
        <w:t>多种</w:t>
      </w:r>
      <w:r>
        <w:rPr>
          <w:rFonts w:hint="eastAsia" w:ascii="宋体" w:hAnsi="宋体" w:eastAsia="宋体" w:cs="宋体"/>
          <w:sz w:val="24"/>
          <w:szCs w:val="24"/>
        </w:rPr>
        <w:t>图层交互</w:t>
      </w:r>
      <w:r>
        <w:rPr>
          <w:rFonts w:hint="eastAsia" w:ascii="宋体" w:hAnsi="宋体" w:eastAsia="宋体" w:cs="宋体"/>
          <w:sz w:val="24"/>
          <w:szCs w:val="24"/>
          <w:lang w:val="en-US" w:eastAsia="zh-CN"/>
        </w:rPr>
        <w:t>功能</w:t>
      </w:r>
      <w:r>
        <w:rPr>
          <w:rFonts w:hint="eastAsia" w:ascii="宋体" w:hAnsi="宋体" w:eastAsia="宋体" w:cs="宋体"/>
          <w:sz w:val="24"/>
          <w:szCs w:val="24"/>
        </w:rPr>
        <w:t>。</w:t>
      </w:r>
    </w:p>
    <w:p w14:paraId="7C27D79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自定义标绘</w:t>
      </w:r>
      <w:r>
        <w:rPr>
          <w:rFonts w:hint="eastAsia" w:ascii="宋体" w:hAnsi="宋体" w:eastAsia="宋体" w:cs="宋体"/>
          <w:sz w:val="24"/>
          <w:szCs w:val="24"/>
          <w:lang w:val="en-US" w:eastAsia="zh-CN"/>
        </w:rPr>
        <w:t>功能</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系统应支持</w:t>
      </w:r>
      <w:r>
        <w:rPr>
          <w:rFonts w:hint="eastAsia" w:ascii="宋体" w:hAnsi="宋体" w:eastAsia="宋体" w:cs="宋体"/>
          <w:sz w:val="24"/>
          <w:szCs w:val="24"/>
        </w:rPr>
        <w:t>地图标绘、空间测量与自定义编辑功能，支持用户标记点位、绘制线段、圈选圆形及多边形区域，可自动精准测算空间距离、周长与面积</w:t>
      </w:r>
      <w:r>
        <w:rPr>
          <w:rFonts w:hint="eastAsia" w:ascii="宋体" w:hAnsi="宋体" w:eastAsia="宋体" w:cs="宋体"/>
          <w:sz w:val="24"/>
          <w:szCs w:val="24"/>
          <w:lang w:eastAsia="zh-CN"/>
        </w:rPr>
        <w:t>；</w:t>
      </w:r>
      <w:r>
        <w:rPr>
          <w:rFonts w:hint="eastAsia" w:ascii="宋体" w:hAnsi="宋体" w:eastAsia="宋体" w:cs="宋体"/>
          <w:sz w:val="24"/>
          <w:szCs w:val="24"/>
        </w:rPr>
        <w:t>支持自定义添加文字备注、调整标绘颜色与样式，所有标绘成果支持实时预览、保存、编辑</w:t>
      </w:r>
      <w:r>
        <w:rPr>
          <w:rFonts w:hint="eastAsia" w:ascii="宋体" w:hAnsi="宋体" w:eastAsia="宋体" w:cs="宋体"/>
          <w:sz w:val="24"/>
          <w:szCs w:val="24"/>
          <w:lang w:eastAsia="zh-CN"/>
        </w:rPr>
        <w:t>、</w:t>
      </w:r>
      <w:r>
        <w:rPr>
          <w:rFonts w:hint="eastAsia" w:ascii="宋体" w:hAnsi="宋体" w:eastAsia="宋体" w:cs="宋体"/>
          <w:sz w:val="24"/>
          <w:szCs w:val="24"/>
        </w:rPr>
        <w:t>删除</w:t>
      </w:r>
      <w:r>
        <w:rPr>
          <w:rFonts w:hint="eastAsia" w:ascii="宋体" w:hAnsi="宋体" w:eastAsia="宋体" w:cs="宋体"/>
          <w:sz w:val="24"/>
          <w:szCs w:val="24"/>
          <w:lang w:val="en-US" w:eastAsia="zh-CN"/>
        </w:rPr>
        <w:t>等功能</w:t>
      </w:r>
      <w:r>
        <w:rPr>
          <w:rFonts w:hint="eastAsia" w:ascii="宋体" w:hAnsi="宋体" w:eastAsia="宋体" w:cs="宋体"/>
          <w:sz w:val="24"/>
          <w:szCs w:val="24"/>
        </w:rPr>
        <w:t>。</w:t>
      </w:r>
    </w:p>
    <w:p w14:paraId="28EF89D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全域断裂带矢量属性台账管理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系统应</w:t>
      </w:r>
      <w:r>
        <w:rPr>
          <w:rFonts w:hint="eastAsia" w:ascii="宋体" w:hAnsi="宋体" w:eastAsia="宋体" w:cs="宋体"/>
          <w:sz w:val="24"/>
          <w:szCs w:val="24"/>
          <w:lang w:eastAsia="zh-CN"/>
        </w:rPr>
        <w:t>建设全域断裂带矢量属性台账、专项探查要素空间数据、标绘成果档案、专题图成果及数据管理日志，支持多维检索分析、版本管理、导出打印</w:t>
      </w:r>
      <w:r>
        <w:rPr>
          <w:rFonts w:hint="eastAsia" w:ascii="宋体" w:hAnsi="宋体" w:eastAsia="宋体" w:cs="宋体"/>
          <w:sz w:val="24"/>
          <w:szCs w:val="24"/>
          <w:lang w:val="en-US" w:eastAsia="zh-CN"/>
        </w:rPr>
        <w:t>等功能</w:t>
      </w:r>
      <w:r>
        <w:rPr>
          <w:rFonts w:hint="eastAsia" w:ascii="宋体" w:hAnsi="宋体" w:eastAsia="宋体" w:cs="宋体"/>
          <w:sz w:val="24"/>
          <w:szCs w:val="24"/>
          <w:lang w:eastAsia="zh-CN"/>
        </w:rPr>
        <w:t>。</w:t>
      </w:r>
    </w:p>
    <w:p w14:paraId="5CEC1F36">
      <w:pPr>
        <w:pStyle w:val="5"/>
        <w:numPr>
          <w:ilvl w:val="2"/>
          <w:numId w:val="3"/>
        </w:numPr>
        <w:bidi w:val="0"/>
        <w:ind w:left="709" w:leftChars="0" w:hanging="709" w:firstLineChars="0"/>
        <w:rPr>
          <w:rFonts w:hint="eastAsia" w:ascii="宋体" w:hAnsi="宋体" w:eastAsia="宋体" w:cs="宋体"/>
          <w:b/>
          <w:sz w:val="24"/>
          <w:szCs w:val="24"/>
        </w:rPr>
      </w:pPr>
      <w:r>
        <w:rPr>
          <w:rFonts w:hint="eastAsia" w:ascii="宋体" w:hAnsi="宋体" w:eastAsia="宋体" w:cs="宋体"/>
          <w:b/>
          <w:sz w:val="24"/>
          <w:szCs w:val="24"/>
        </w:rPr>
        <w:t>重点活动断层精细填图</w:t>
      </w:r>
    </w:p>
    <w:p w14:paraId="7FB9536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支持</w:t>
      </w:r>
      <w:r>
        <w:rPr>
          <w:rFonts w:hint="eastAsia" w:ascii="宋体" w:hAnsi="宋体" w:eastAsia="宋体" w:cs="宋体"/>
          <w:sz w:val="24"/>
          <w:szCs w:val="24"/>
          <w:lang w:eastAsia="zh-CN"/>
        </w:rPr>
        <w:t>管理</w:t>
      </w:r>
      <w:r>
        <w:rPr>
          <w:rFonts w:hint="eastAsia" w:ascii="宋体" w:hAnsi="宋体" w:eastAsia="宋体" w:cs="宋体"/>
          <w:sz w:val="24"/>
          <w:szCs w:val="24"/>
          <w:lang w:val="en-US" w:eastAsia="zh-CN"/>
        </w:rPr>
        <w:t>郯庐断裂带滁州段</w:t>
      </w:r>
      <w:r>
        <w:rPr>
          <w:rFonts w:hint="eastAsia" w:ascii="宋体" w:hAnsi="宋体" w:eastAsia="宋体" w:cs="宋体"/>
          <w:sz w:val="24"/>
          <w:szCs w:val="24"/>
          <w:lang w:eastAsia="zh-CN"/>
        </w:rPr>
        <w:t>活动断层</w:t>
      </w:r>
      <w:r>
        <w:rPr>
          <w:rFonts w:hint="eastAsia" w:ascii="宋体" w:hAnsi="宋体" w:eastAsia="宋体" w:cs="宋体"/>
          <w:sz w:val="24"/>
          <w:szCs w:val="24"/>
          <w:lang w:val="en-US" w:eastAsia="zh-CN"/>
        </w:rPr>
        <w:t>等</w:t>
      </w:r>
      <w:r>
        <w:rPr>
          <w:rFonts w:hint="eastAsia" w:ascii="宋体" w:hAnsi="宋体" w:eastAsia="宋体" w:cs="宋体"/>
          <w:sz w:val="24"/>
          <w:szCs w:val="24"/>
          <w:lang w:eastAsia="zh-CN"/>
        </w:rPr>
        <w:t>高精度填图成果，支持分段空间展示和标准化数据产品输出；对</w:t>
      </w:r>
      <w:r>
        <w:rPr>
          <w:rFonts w:hint="eastAsia" w:ascii="宋体" w:hAnsi="宋体" w:eastAsia="宋体" w:cs="宋体"/>
          <w:sz w:val="24"/>
          <w:szCs w:val="24"/>
          <w:lang w:val="en-US" w:eastAsia="zh-CN"/>
        </w:rPr>
        <w:t>活动断层</w:t>
      </w:r>
      <w:r>
        <w:rPr>
          <w:rFonts w:hint="eastAsia" w:ascii="宋体" w:hAnsi="宋体" w:eastAsia="宋体" w:cs="宋体"/>
          <w:sz w:val="24"/>
          <w:szCs w:val="24"/>
          <w:lang w:eastAsia="zh-CN"/>
        </w:rPr>
        <w:t>进行分段精细可视化，展示整体形态与局部延展特征，并将纸质、零散填图成果转换为标准化结构化空间数据。</w:t>
      </w:r>
    </w:p>
    <w:p w14:paraId="25B03B09">
      <w:pPr>
        <w:pStyle w:val="5"/>
        <w:numPr>
          <w:ilvl w:val="2"/>
          <w:numId w:val="3"/>
        </w:numPr>
        <w:bidi w:val="0"/>
        <w:ind w:left="709" w:leftChars="0" w:hanging="709" w:firstLineChars="0"/>
        <w:rPr>
          <w:rFonts w:hint="eastAsia" w:ascii="宋体" w:hAnsi="宋体" w:eastAsia="宋体" w:cs="宋体"/>
          <w:b/>
          <w:sz w:val="24"/>
          <w:szCs w:val="24"/>
        </w:rPr>
      </w:pPr>
      <w:r>
        <w:rPr>
          <w:rFonts w:hint="eastAsia" w:ascii="宋体" w:hAnsi="宋体" w:eastAsia="宋体" w:cs="宋体"/>
          <w:b/>
          <w:sz w:val="24"/>
          <w:szCs w:val="24"/>
        </w:rPr>
        <w:t>重点断裂带三维建模展示</w:t>
      </w:r>
    </w:p>
    <w:p w14:paraId="69F745C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针对</w:t>
      </w:r>
      <w:r>
        <w:rPr>
          <w:rFonts w:hint="eastAsia" w:ascii="宋体" w:hAnsi="宋体" w:eastAsia="宋体" w:cs="宋体"/>
          <w:sz w:val="24"/>
          <w:szCs w:val="24"/>
          <w:lang w:val="en-US" w:eastAsia="zh-CN"/>
        </w:rPr>
        <w:t>郯庐断裂带滁州段活动断层</w:t>
      </w:r>
      <w:r>
        <w:rPr>
          <w:rFonts w:hint="eastAsia" w:ascii="宋体" w:hAnsi="宋体" w:eastAsia="宋体" w:cs="宋体"/>
          <w:sz w:val="24"/>
          <w:szCs w:val="24"/>
        </w:rPr>
        <w:t>进行三维建模，支持多层次、精准化查看断裂构造细节与地下结构差异</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系统应</w:t>
      </w:r>
      <w:r>
        <w:rPr>
          <w:rFonts w:hint="eastAsia" w:ascii="宋体" w:hAnsi="宋体" w:eastAsia="宋体" w:cs="宋体"/>
          <w:sz w:val="24"/>
          <w:szCs w:val="24"/>
        </w:rPr>
        <w:t>存储重点断裂带三维模型成果，</w:t>
      </w:r>
      <w:r>
        <w:rPr>
          <w:rFonts w:hint="eastAsia" w:ascii="宋体" w:hAnsi="宋体" w:eastAsia="宋体" w:cs="宋体"/>
          <w:sz w:val="24"/>
          <w:szCs w:val="24"/>
          <w:lang w:val="en-US" w:eastAsia="zh-CN"/>
        </w:rPr>
        <w:t>支持</w:t>
      </w:r>
      <w:r>
        <w:rPr>
          <w:rFonts w:hint="eastAsia" w:ascii="宋体" w:hAnsi="宋体" w:eastAsia="宋体" w:cs="宋体"/>
          <w:sz w:val="24"/>
          <w:szCs w:val="24"/>
        </w:rPr>
        <w:t>立体构造展示、剖切分析及三维专题图导出</w:t>
      </w:r>
      <w:r>
        <w:rPr>
          <w:rFonts w:hint="eastAsia" w:ascii="宋体" w:hAnsi="宋体" w:eastAsia="宋体" w:cs="宋体"/>
          <w:sz w:val="24"/>
          <w:szCs w:val="24"/>
          <w:lang w:val="en-US" w:eastAsia="zh-CN"/>
        </w:rPr>
        <w:t>等功能</w:t>
      </w:r>
      <w:r>
        <w:rPr>
          <w:rFonts w:hint="eastAsia" w:ascii="宋体" w:hAnsi="宋体" w:eastAsia="宋体" w:cs="宋体"/>
          <w:sz w:val="24"/>
          <w:szCs w:val="24"/>
        </w:rPr>
        <w:t>。</w:t>
      </w:r>
    </w:p>
    <w:p w14:paraId="39E97458">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rPr>
      </w:pPr>
      <w:r>
        <w:rPr>
          <w:rFonts w:hint="eastAsia" w:ascii="宋体" w:hAnsi="宋体" w:eastAsia="宋体" w:cs="宋体"/>
          <w:b/>
          <w:sz w:val="24"/>
          <w:szCs w:val="24"/>
        </w:rPr>
        <w:t>主城区地质体管理模块</w:t>
      </w:r>
    </w:p>
    <w:p w14:paraId="5A2EA9FD">
      <w:pPr>
        <w:pStyle w:val="5"/>
        <w:numPr>
          <w:ilvl w:val="2"/>
          <w:numId w:val="3"/>
        </w:numPr>
        <w:bidi w:val="0"/>
        <w:ind w:left="709" w:leftChars="0" w:hanging="709" w:firstLineChars="0"/>
        <w:rPr>
          <w:rFonts w:hint="eastAsia" w:ascii="宋体" w:hAnsi="宋体" w:eastAsia="宋体" w:cs="宋体"/>
          <w:b/>
          <w:sz w:val="24"/>
          <w:szCs w:val="24"/>
        </w:rPr>
      </w:pPr>
      <w:r>
        <w:rPr>
          <w:rFonts w:hint="eastAsia" w:ascii="宋体" w:hAnsi="宋体" w:eastAsia="宋体" w:cs="宋体"/>
          <w:b/>
          <w:sz w:val="24"/>
          <w:szCs w:val="24"/>
        </w:rPr>
        <w:t>钻孔数据处理</w:t>
      </w:r>
    </w:p>
    <w:p w14:paraId="4C63A6B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汇聚滁州市本级主要建成区内</w:t>
      </w:r>
      <w:r>
        <w:rPr>
          <w:rFonts w:hint="eastAsia" w:ascii="宋体" w:hAnsi="宋体" w:eastAsia="宋体" w:cs="宋体"/>
          <w:sz w:val="24"/>
          <w:szCs w:val="24"/>
        </w:rPr>
        <w:t>各类地质钻孔原始数据，</w:t>
      </w:r>
      <w:r>
        <w:rPr>
          <w:rFonts w:hint="eastAsia" w:ascii="宋体" w:hAnsi="宋体" w:eastAsia="宋体" w:cs="宋体"/>
          <w:sz w:val="24"/>
          <w:szCs w:val="24"/>
          <w:lang w:val="en-US" w:eastAsia="zh-CN"/>
        </w:rPr>
        <w:t>包括但不限于建设工程钻孔、防震减灾项目钻孔等数据</w:t>
      </w:r>
      <w:r>
        <w:rPr>
          <w:rFonts w:hint="eastAsia" w:ascii="宋体" w:hAnsi="宋体" w:eastAsia="宋体" w:cs="宋体"/>
          <w:sz w:val="24"/>
          <w:szCs w:val="24"/>
          <w:lang w:eastAsia="zh-CN"/>
        </w:rPr>
        <w:t>；</w:t>
      </w:r>
      <w:r>
        <w:rPr>
          <w:rFonts w:hint="eastAsia" w:ascii="宋体" w:hAnsi="宋体" w:eastAsia="宋体" w:cs="宋体"/>
          <w:sz w:val="24"/>
          <w:szCs w:val="24"/>
        </w:rPr>
        <w:t>支持对原始钻孔数据自动化清洗等标准化预处理</w:t>
      </w:r>
      <w:r>
        <w:rPr>
          <w:rFonts w:hint="eastAsia" w:ascii="宋体" w:hAnsi="宋体" w:eastAsia="宋体" w:cs="宋体"/>
          <w:sz w:val="24"/>
          <w:szCs w:val="24"/>
          <w:lang w:val="en-US" w:eastAsia="zh-CN"/>
        </w:rPr>
        <w:t>及</w:t>
      </w:r>
      <w:r>
        <w:rPr>
          <w:rFonts w:hint="eastAsia" w:ascii="宋体" w:hAnsi="宋体" w:eastAsia="宋体" w:cs="宋体"/>
          <w:sz w:val="24"/>
          <w:szCs w:val="24"/>
        </w:rPr>
        <w:t>存储。</w:t>
      </w:r>
    </w:p>
    <w:p w14:paraId="335008C6">
      <w:pPr>
        <w:pStyle w:val="5"/>
        <w:numPr>
          <w:ilvl w:val="2"/>
          <w:numId w:val="3"/>
        </w:numPr>
        <w:bidi w:val="0"/>
        <w:ind w:left="709" w:leftChars="0" w:hanging="709" w:firstLineChars="0"/>
        <w:rPr>
          <w:rFonts w:hint="eastAsia" w:ascii="宋体" w:hAnsi="宋体" w:eastAsia="宋体" w:cs="宋体"/>
          <w:b/>
          <w:sz w:val="24"/>
          <w:szCs w:val="24"/>
        </w:rPr>
      </w:pPr>
      <w:r>
        <w:rPr>
          <w:rFonts w:hint="eastAsia" w:ascii="宋体" w:hAnsi="宋体" w:eastAsia="宋体" w:cs="宋体"/>
          <w:b/>
          <w:sz w:val="24"/>
          <w:szCs w:val="24"/>
        </w:rPr>
        <w:t>三维</w:t>
      </w:r>
      <w:r>
        <w:rPr>
          <w:rFonts w:hint="eastAsia" w:ascii="宋体" w:hAnsi="宋体" w:eastAsia="宋体" w:cs="宋体"/>
          <w:b/>
          <w:sz w:val="24"/>
          <w:szCs w:val="24"/>
          <w:lang w:val="en-US" w:eastAsia="zh-CN"/>
        </w:rPr>
        <w:t>地质体</w:t>
      </w:r>
      <w:r>
        <w:rPr>
          <w:rFonts w:hint="eastAsia" w:ascii="宋体" w:hAnsi="宋体" w:eastAsia="宋体" w:cs="宋体"/>
          <w:b/>
          <w:sz w:val="24"/>
          <w:szCs w:val="24"/>
        </w:rPr>
        <w:t>模型构建</w:t>
      </w:r>
    </w:p>
    <w:p w14:paraId="5CFAC16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系统应以滁州市本级主要建成区为目标区，</w:t>
      </w:r>
      <w:r>
        <w:rPr>
          <w:rFonts w:hint="eastAsia" w:ascii="宋体" w:hAnsi="宋体" w:eastAsia="宋体" w:cs="宋体"/>
          <w:sz w:val="24"/>
          <w:szCs w:val="24"/>
        </w:rPr>
        <w:t>构建完整的</w:t>
      </w:r>
      <w:r>
        <w:rPr>
          <w:rFonts w:hint="eastAsia" w:ascii="宋体" w:hAnsi="宋体" w:eastAsia="宋体" w:cs="宋体"/>
          <w:sz w:val="24"/>
          <w:szCs w:val="24"/>
          <w:lang w:val="en-US" w:eastAsia="zh-CN"/>
        </w:rPr>
        <w:t>城市地下</w:t>
      </w:r>
      <w:r>
        <w:rPr>
          <w:rFonts w:hint="eastAsia" w:ascii="宋体" w:hAnsi="宋体" w:eastAsia="宋体" w:cs="宋体"/>
          <w:sz w:val="24"/>
          <w:szCs w:val="24"/>
        </w:rPr>
        <w:t>三维地质</w:t>
      </w:r>
      <w:r>
        <w:rPr>
          <w:rFonts w:hint="eastAsia" w:ascii="宋体" w:hAnsi="宋体" w:eastAsia="宋体" w:cs="宋体"/>
          <w:sz w:val="24"/>
          <w:szCs w:val="24"/>
          <w:lang w:val="en-US" w:eastAsia="zh-CN"/>
        </w:rPr>
        <w:t>体</w:t>
      </w:r>
      <w:r>
        <w:rPr>
          <w:rFonts w:hint="eastAsia" w:ascii="宋体" w:hAnsi="宋体" w:eastAsia="宋体" w:cs="宋体"/>
          <w:sz w:val="24"/>
          <w:szCs w:val="24"/>
        </w:rPr>
        <w:t>建模数据体系</w:t>
      </w:r>
      <w:r>
        <w:rPr>
          <w:rFonts w:hint="eastAsia" w:ascii="宋体" w:hAnsi="宋体" w:eastAsia="宋体" w:cs="宋体"/>
          <w:sz w:val="24"/>
          <w:szCs w:val="24"/>
          <w:lang w:eastAsia="zh-CN"/>
        </w:rPr>
        <w:t>，</w:t>
      </w:r>
      <w:r>
        <w:rPr>
          <w:rFonts w:hint="eastAsia" w:ascii="宋体" w:hAnsi="宋体" w:eastAsia="宋体" w:cs="宋体"/>
          <w:sz w:val="24"/>
          <w:szCs w:val="24"/>
        </w:rPr>
        <w:t>搭建基础地质模型框架；</w:t>
      </w:r>
      <w:r>
        <w:rPr>
          <w:rFonts w:hint="eastAsia" w:ascii="宋体" w:hAnsi="宋体" w:eastAsia="宋体" w:cs="宋体"/>
          <w:sz w:val="24"/>
          <w:szCs w:val="24"/>
          <w:lang w:val="en-US" w:eastAsia="zh-CN"/>
        </w:rPr>
        <w:t>系统应</w:t>
      </w:r>
      <w:r>
        <w:rPr>
          <w:rFonts w:hint="eastAsia" w:ascii="宋体" w:hAnsi="宋体" w:eastAsia="宋体" w:cs="宋体"/>
          <w:sz w:val="24"/>
          <w:szCs w:val="24"/>
          <w:lang w:eastAsia="zh-CN"/>
        </w:rPr>
        <w:t>支持智能化建模参数自主配置，根据</w:t>
      </w:r>
      <w:r>
        <w:rPr>
          <w:rFonts w:hint="eastAsia" w:ascii="宋体" w:hAnsi="宋体" w:eastAsia="宋体" w:cs="宋体"/>
          <w:sz w:val="24"/>
          <w:szCs w:val="24"/>
          <w:lang w:val="en-US" w:eastAsia="zh-CN"/>
        </w:rPr>
        <w:t>区域</w:t>
      </w:r>
      <w:r>
        <w:rPr>
          <w:rFonts w:hint="eastAsia" w:ascii="宋体" w:hAnsi="宋体" w:eastAsia="宋体" w:cs="宋体"/>
          <w:sz w:val="24"/>
          <w:szCs w:val="24"/>
          <w:lang w:eastAsia="zh-CN"/>
        </w:rPr>
        <w:t>地质构造特征</w:t>
      </w:r>
      <w:r>
        <w:rPr>
          <w:rFonts w:hint="eastAsia" w:ascii="宋体" w:hAnsi="宋体" w:eastAsia="宋体" w:cs="宋体"/>
          <w:sz w:val="24"/>
          <w:szCs w:val="24"/>
          <w:lang w:val="en-US" w:eastAsia="zh-CN"/>
        </w:rPr>
        <w:t>调整</w:t>
      </w:r>
      <w:r>
        <w:rPr>
          <w:rFonts w:hint="eastAsia" w:ascii="宋体" w:hAnsi="宋体" w:eastAsia="宋体" w:cs="宋体"/>
          <w:sz w:val="24"/>
          <w:szCs w:val="24"/>
          <w:lang w:eastAsia="zh-CN"/>
        </w:rPr>
        <w:t>匹配建模精度；支持断层分区差异化、精细化建模；</w:t>
      </w:r>
      <w:r>
        <w:rPr>
          <w:rFonts w:hint="eastAsia" w:ascii="宋体" w:hAnsi="宋体" w:eastAsia="宋体" w:cs="宋体"/>
          <w:sz w:val="24"/>
          <w:szCs w:val="24"/>
        </w:rPr>
        <w:t>针对复杂特殊构造，还原地质体立体空间形态、延展特征及地层关联关系。</w:t>
      </w:r>
    </w:p>
    <w:p w14:paraId="24BA5EED">
      <w:pPr>
        <w:pStyle w:val="5"/>
        <w:numPr>
          <w:ilvl w:val="2"/>
          <w:numId w:val="3"/>
        </w:numPr>
        <w:bidi w:val="0"/>
        <w:ind w:left="709" w:leftChars="0" w:hanging="709" w:firstLineChars="0"/>
        <w:rPr>
          <w:rFonts w:hint="eastAsia" w:ascii="宋体" w:hAnsi="宋体" w:eastAsia="宋体" w:cs="宋体"/>
          <w:sz w:val="24"/>
          <w:szCs w:val="24"/>
        </w:rPr>
      </w:pPr>
      <w:r>
        <w:rPr>
          <w:rFonts w:hint="eastAsia" w:ascii="宋体" w:hAnsi="宋体" w:eastAsia="宋体" w:cs="宋体"/>
          <w:b/>
          <w:sz w:val="24"/>
          <w:szCs w:val="24"/>
        </w:rPr>
        <w:t>三维地质模型可视化</w:t>
      </w:r>
    </w:p>
    <w:p w14:paraId="3384695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支持三维地质模型全景高精度渲染，立体展现区域地质体空间分布、地层叠置、断裂延展及构造组合特征</w:t>
      </w:r>
      <w:r>
        <w:rPr>
          <w:rFonts w:hint="eastAsia" w:ascii="宋体" w:hAnsi="宋体" w:eastAsia="宋体" w:cs="宋体"/>
          <w:sz w:val="24"/>
          <w:szCs w:val="24"/>
          <w:lang w:eastAsia="zh-CN"/>
        </w:rPr>
        <w:t>；</w:t>
      </w:r>
      <w:r>
        <w:rPr>
          <w:rFonts w:hint="eastAsia" w:ascii="宋体" w:hAnsi="宋体" w:eastAsia="宋体" w:cs="宋体"/>
          <w:sz w:val="24"/>
          <w:szCs w:val="24"/>
        </w:rPr>
        <w:t>支持显示样式切换；支持对重点构造自定义标注</w:t>
      </w:r>
      <w:r>
        <w:rPr>
          <w:rFonts w:hint="eastAsia" w:ascii="宋体" w:hAnsi="宋体" w:eastAsia="宋体" w:cs="宋体"/>
          <w:sz w:val="24"/>
          <w:szCs w:val="24"/>
          <w:lang w:eastAsia="zh-CN"/>
        </w:rPr>
        <w:t>；</w:t>
      </w:r>
      <w:r>
        <w:rPr>
          <w:rFonts w:hint="eastAsia" w:ascii="宋体" w:hAnsi="宋体" w:eastAsia="宋体" w:cs="宋体"/>
          <w:sz w:val="24"/>
          <w:szCs w:val="24"/>
        </w:rPr>
        <w:t>支持</w:t>
      </w:r>
      <w:r>
        <w:rPr>
          <w:rFonts w:hint="eastAsia" w:ascii="宋体" w:hAnsi="宋体" w:eastAsia="宋体" w:cs="宋体"/>
          <w:sz w:val="24"/>
          <w:szCs w:val="24"/>
          <w:lang w:val="en-US" w:eastAsia="zh-CN"/>
        </w:rPr>
        <w:t>视角自由操作功能；</w:t>
      </w:r>
      <w:r>
        <w:rPr>
          <w:rFonts w:hint="eastAsia" w:ascii="宋体" w:hAnsi="宋体" w:eastAsia="宋体" w:cs="宋体"/>
          <w:sz w:val="24"/>
          <w:szCs w:val="24"/>
        </w:rPr>
        <w:t>支持自定义录制三维动画漫游视频。</w:t>
      </w:r>
    </w:p>
    <w:p w14:paraId="033907B1">
      <w:pPr>
        <w:pStyle w:val="5"/>
        <w:numPr>
          <w:ilvl w:val="2"/>
          <w:numId w:val="3"/>
        </w:numPr>
        <w:bidi w:val="0"/>
        <w:ind w:left="709" w:leftChars="0" w:hanging="709" w:firstLineChars="0"/>
        <w:rPr>
          <w:rFonts w:hint="eastAsia" w:ascii="宋体" w:hAnsi="宋体" w:eastAsia="宋体" w:cs="宋体"/>
          <w:b/>
          <w:sz w:val="24"/>
          <w:szCs w:val="24"/>
        </w:rPr>
      </w:pPr>
      <w:r>
        <w:rPr>
          <w:rFonts w:hint="eastAsia" w:ascii="宋体" w:hAnsi="宋体" w:eastAsia="宋体" w:cs="宋体"/>
          <w:b/>
          <w:sz w:val="24"/>
          <w:szCs w:val="24"/>
        </w:rPr>
        <w:t>地震动加速度</w:t>
      </w:r>
      <w:r>
        <w:rPr>
          <w:rFonts w:hint="eastAsia" w:ascii="宋体" w:hAnsi="宋体" w:eastAsia="宋体" w:cs="宋体"/>
          <w:b/>
          <w:sz w:val="24"/>
          <w:szCs w:val="24"/>
          <w:lang w:val="en-US" w:eastAsia="zh-CN"/>
        </w:rPr>
        <w:t>动态</w:t>
      </w:r>
      <w:r>
        <w:rPr>
          <w:rFonts w:hint="eastAsia" w:ascii="宋体" w:hAnsi="宋体" w:eastAsia="宋体" w:cs="宋体"/>
          <w:b/>
          <w:sz w:val="24"/>
          <w:szCs w:val="24"/>
        </w:rPr>
        <w:t>模拟</w:t>
      </w:r>
    </w:p>
    <w:p w14:paraId="12043D0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支持自定义地震场景参数，精准计算地表及不同地层深度的加速度时程变化、PGA峰值加速度，输出分层高精度地震动数值成果。可自动生成加速度等值线图、地震动影响等级分区图，直观展示区域地震动强度分布与梯度变化规律。支持模拟成果、场景配置参数全量存储，留存版本迭代记录，支持成果导出与历史数据溯源查询。</w:t>
      </w:r>
    </w:p>
    <w:p w14:paraId="16FC3BF9">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rPr>
      </w:pPr>
      <w:r>
        <w:rPr>
          <w:rFonts w:hint="eastAsia" w:ascii="宋体" w:hAnsi="宋体" w:eastAsia="宋体" w:cs="宋体"/>
          <w:b/>
          <w:sz w:val="24"/>
          <w:szCs w:val="24"/>
        </w:rPr>
        <w:t>构造探查资料库管理模块</w:t>
      </w:r>
    </w:p>
    <w:p w14:paraId="5FD220D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支持统一</w:t>
      </w:r>
      <w:r>
        <w:rPr>
          <w:rFonts w:hint="eastAsia" w:ascii="宋体" w:hAnsi="宋体" w:eastAsia="宋体" w:cs="宋体"/>
          <w:sz w:val="24"/>
          <w:szCs w:val="24"/>
          <w:lang w:val="en-US" w:eastAsia="zh-CN"/>
        </w:rPr>
        <w:t>存储</w:t>
      </w:r>
      <w:r>
        <w:rPr>
          <w:rFonts w:hint="eastAsia" w:ascii="宋体" w:hAnsi="宋体" w:eastAsia="宋体" w:cs="宋体"/>
          <w:sz w:val="24"/>
          <w:szCs w:val="24"/>
        </w:rPr>
        <w:t>滁州市地震构造环境探查成果数据，兼容图片、PDF、CAD图纸、矢量数据、报表、原始数据等格式；留存资料分类目录、版本信息、权限配置等元数据，记录上传、修改、预览、下载、归档等全流程操作轨迹及操作人、时间、内容，实现全生命周期可追溯管理</w:t>
      </w:r>
      <w:r>
        <w:rPr>
          <w:rFonts w:hint="eastAsia" w:ascii="宋体" w:hAnsi="宋体" w:eastAsia="宋体" w:cs="宋体"/>
          <w:sz w:val="24"/>
          <w:szCs w:val="24"/>
          <w:lang w:eastAsia="zh-CN"/>
        </w:rPr>
        <w:t>；</w:t>
      </w:r>
      <w:r>
        <w:rPr>
          <w:rFonts w:hint="eastAsia" w:ascii="宋体" w:hAnsi="宋体" w:eastAsia="宋体" w:cs="宋体"/>
          <w:sz w:val="24"/>
          <w:szCs w:val="24"/>
        </w:rPr>
        <w:t>建立资料操作日志台账，留存操作痕迹，支持安全审计</w:t>
      </w:r>
      <w:r>
        <w:rPr>
          <w:rFonts w:hint="eastAsia" w:ascii="宋体" w:hAnsi="宋体" w:eastAsia="宋体" w:cs="宋体"/>
          <w:sz w:val="24"/>
          <w:szCs w:val="24"/>
          <w:lang w:eastAsia="zh-CN"/>
        </w:rPr>
        <w:t>；</w:t>
      </w:r>
      <w:r>
        <w:rPr>
          <w:rFonts w:hint="eastAsia" w:ascii="宋体" w:hAnsi="宋体" w:eastAsia="宋体" w:cs="宋体"/>
          <w:sz w:val="24"/>
          <w:szCs w:val="24"/>
        </w:rPr>
        <w:t>应支持分级权限安全管控，按用户角色配置查看、下载、编辑、归档等权限，区分岗位操作范围，实现分级管控与安全隔离；支持查询用户权限清单</w:t>
      </w:r>
      <w:r>
        <w:rPr>
          <w:rFonts w:hint="eastAsia" w:ascii="宋体" w:hAnsi="宋体" w:eastAsia="宋体" w:cs="宋体"/>
          <w:sz w:val="24"/>
          <w:szCs w:val="24"/>
          <w:lang w:eastAsia="zh-CN"/>
        </w:rPr>
        <w:t>；</w:t>
      </w:r>
      <w:r>
        <w:rPr>
          <w:rFonts w:hint="eastAsia" w:ascii="宋体" w:hAnsi="宋体" w:eastAsia="宋体" w:cs="宋体"/>
          <w:sz w:val="24"/>
          <w:szCs w:val="24"/>
        </w:rPr>
        <w:t>应具备多维检索能力，支持按资料类型、所属区域、年份、关键词等组合检索；支持资料本地下载复用。</w:t>
      </w:r>
    </w:p>
    <w:p w14:paraId="1F4AA284">
      <w:pPr>
        <w:pStyle w:val="3"/>
        <w:numPr>
          <w:ilvl w:val="0"/>
          <w:numId w:val="3"/>
        </w:numPr>
        <w:bidi w:val="0"/>
        <w:ind w:left="425" w:leftChars="0" w:hanging="425" w:firstLineChars="0"/>
        <w:rPr>
          <w:rFonts w:hint="eastAsia" w:ascii="宋体" w:hAnsi="宋体" w:eastAsia="宋体" w:cs="宋体"/>
          <w:b/>
          <w:sz w:val="24"/>
          <w:szCs w:val="24"/>
        </w:rPr>
      </w:pPr>
      <w:r>
        <w:rPr>
          <w:rFonts w:hint="eastAsia" w:ascii="宋体" w:hAnsi="宋体" w:eastAsia="宋体" w:cs="宋体"/>
          <w:b/>
          <w:sz w:val="24"/>
          <w:szCs w:val="24"/>
          <w:lang w:val="en-US" w:eastAsia="zh-CN"/>
        </w:rPr>
        <w:t>地震灾害</w:t>
      </w:r>
      <w:r>
        <w:rPr>
          <w:rFonts w:hint="eastAsia" w:ascii="宋体" w:hAnsi="宋体" w:eastAsia="宋体" w:cs="宋体"/>
          <w:b/>
          <w:sz w:val="24"/>
          <w:szCs w:val="24"/>
        </w:rPr>
        <w:t>风险</w:t>
      </w:r>
      <w:r>
        <w:rPr>
          <w:rFonts w:hint="eastAsia" w:ascii="宋体" w:hAnsi="宋体" w:eastAsia="宋体" w:cs="宋体"/>
          <w:b/>
          <w:sz w:val="24"/>
          <w:szCs w:val="24"/>
          <w:lang w:val="en-US" w:eastAsia="zh-CN"/>
        </w:rPr>
        <w:t>识别</w:t>
      </w:r>
      <w:r>
        <w:rPr>
          <w:rFonts w:hint="eastAsia" w:ascii="宋体" w:hAnsi="宋体" w:eastAsia="宋体" w:cs="宋体"/>
          <w:b/>
          <w:sz w:val="24"/>
          <w:szCs w:val="24"/>
        </w:rPr>
        <w:t>子系统</w:t>
      </w:r>
    </w:p>
    <w:p w14:paraId="712AD5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聚焦全域地震风险底数梳理与灾害评估成果精细化智能化应用管理，融合滁州市地震灾害精细化评估、全市乡镇（街道）地震灾害预评估、地震灾害风险普查、城市地震小区划等成果，实现多层次地震灾害风险评估成果与防范对策建议输出，可自动生成风险隐患分布图、抗震参数分区图、液化土分布图等专题成果及简报</w:t>
      </w:r>
      <w:r>
        <w:rPr>
          <w:rFonts w:hint="eastAsia" w:ascii="宋体" w:hAnsi="宋体" w:eastAsia="宋体" w:cs="宋体"/>
          <w:sz w:val="24"/>
          <w:szCs w:val="24"/>
          <w:lang w:eastAsia="zh-CN"/>
        </w:rPr>
        <w:t>。</w:t>
      </w:r>
    </w:p>
    <w:p w14:paraId="07B80D16">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rPr>
      </w:pPr>
      <w:r>
        <w:rPr>
          <w:rFonts w:hint="eastAsia" w:ascii="宋体" w:hAnsi="宋体" w:eastAsia="宋体" w:cs="宋体"/>
          <w:b/>
          <w:sz w:val="24"/>
          <w:szCs w:val="24"/>
        </w:rPr>
        <w:t>全域地震</w:t>
      </w:r>
      <w:r>
        <w:rPr>
          <w:rFonts w:hint="eastAsia" w:ascii="宋体" w:hAnsi="宋体" w:eastAsia="宋体" w:cs="宋体"/>
          <w:b/>
          <w:sz w:val="24"/>
          <w:szCs w:val="24"/>
          <w:lang w:val="en-US" w:eastAsia="zh-CN"/>
        </w:rPr>
        <w:t>灾害</w:t>
      </w:r>
      <w:r>
        <w:rPr>
          <w:rFonts w:hint="eastAsia" w:ascii="宋体" w:hAnsi="宋体" w:eastAsia="宋体" w:cs="宋体"/>
          <w:b/>
          <w:sz w:val="24"/>
          <w:szCs w:val="24"/>
        </w:rPr>
        <w:t>风险普查</w:t>
      </w:r>
      <w:r>
        <w:rPr>
          <w:rFonts w:hint="eastAsia" w:ascii="宋体" w:hAnsi="宋体" w:eastAsia="宋体" w:cs="宋体"/>
          <w:b/>
          <w:sz w:val="24"/>
          <w:szCs w:val="24"/>
          <w:lang w:val="en-US" w:eastAsia="zh-CN"/>
        </w:rPr>
        <w:t>应用</w:t>
      </w:r>
    </w:p>
    <w:p w14:paraId="01596B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系统应包含</w:t>
      </w:r>
      <w:r>
        <w:rPr>
          <w:rFonts w:hint="eastAsia" w:ascii="宋体" w:hAnsi="宋体" w:eastAsia="宋体" w:cs="宋体"/>
          <w:sz w:val="24"/>
          <w:szCs w:val="24"/>
        </w:rPr>
        <w:t>滁州市全域</w:t>
      </w:r>
      <w:r>
        <w:rPr>
          <w:rFonts w:hint="eastAsia" w:ascii="宋体" w:hAnsi="宋体" w:eastAsia="宋体" w:cs="宋体"/>
          <w:sz w:val="24"/>
          <w:szCs w:val="24"/>
          <w:lang w:val="en-US" w:eastAsia="zh-CN"/>
        </w:rPr>
        <w:t>地震</w:t>
      </w:r>
      <w:r>
        <w:rPr>
          <w:rFonts w:hint="eastAsia" w:ascii="宋体" w:hAnsi="宋体" w:eastAsia="宋体" w:cs="宋体"/>
          <w:sz w:val="24"/>
          <w:szCs w:val="24"/>
        </w:rPr>
        <w:t>灾害风险普查成果数据</w:t>
      </w:r>
      <w:r>
        <w:rPr>
          <w:rFonts w:hint="eastAsia" w:ascii="宋体" w:hAnsi="宋体" w:eastAsia="宋体" w:cs="宋体"/>
          <w:sz w:val="24"/>
          <w:szCs w:val="24"/>
          <w:lang w:eastAsia="zh-CN"/>
        </w:rPr>
        <w:t>；将《滁州市地震动概率危险性分析及地震灾害风险评估区划图集》共31个图件全部纳入；</w:t>
      </w:r>
      <w:r>
        <w:rPr>
          <w:rFonts w:hint="eastAsia" w:ascii="宋体" w:hAnsi="宋体" w:eastAsia="宋体" w:cs="宋体"/>
          <w:sz w:val="24"/>
          <w:szCs w:val="24"/>
          <w:lang w:val="en-US" w:eastAsia="zh-CN"/>
        </w:rPr>
        <w:t>支持普查数据</w:t>
      </w:r>
      <w:r>
        <w:rPr>
          <w:rFonts w:hint="eastAsia" w:ascii="宋体" w:hAnsi="宋体" w:eastAsia="宋体" w:cs="宋体"/>
          <w:sz w:val="24"/>
          <w:szCs w:val="24"/>
        </w:rPr>
        <w:t>可视化渲染，直观呈现区域地震灾害空间分布格局、风险等级梯度与隐患聚集特征</w:t>
      </w:r>
      <w:r>
        <w:rPr>
          <w:rFonts w:hint="eastAsia" w:ascii="宋体" w:hAnsi="宋体" w:eastAsia="宋体" w:cs="宋体"/>
          <w:sz w:val="24"/>
          <w:szCs w:val="24"/>
          <w:lang w:eastAsia="zh-CN"/>
        </w:rPr>
        <w:t>；支持</w:t>
      </w:r>
      <w:r>
        <w:rPr>
          <w:rFonts w:hint="eastAsia" w:ascii="宋体" w:hAnsi="宋体" w:eastAsia="宋体" w:cs="宋体"/>
          <w:sz w:val="24"/>
          <w:szCs w:val="24"/>
        </w:rPr>
        <w:t>多维度筛选展示，差异化</w:t>
      </w:r>
      <w:r>
        <w:rPr>
          <w:rFonts w:hint="eastAsia" w:ascii="宋体" w:hAnsi="宋体" w:eastAsia="宋体" w:cs="宋体"/>
          <w:sz w:val="24"/>
          <w:szCs w:val="24"/>
          <w:lang w:val="en-US" w:eastAsia="zh-CN"/>
        </w:rPr>
        <w:t>区分</w:t>
      </w:r>
      <w:r>
        <w:rPr>
          <w:rFonts w:hint="eastAsia" w:ascii="宋体" w:hAnsi="宋体" w:eastAsia="宋体" w:cs="宋体"/>
          <w:sz w:val="24"/>
          <w:szCs w:val="24"/>
        </w:rPr>
        <w:t>标注</w:t>
      </w:r>
      <w:r>
        <w:rPr>
          <w:rFonts w:hint="eastAsia" w:ascii="宋体" w:hAnsi="宋体" w:eastAsia="宋体" w:cs="宋体"/>
          <w:sz w:val="24"/>
          <w:szCs w:val="24"/>
          <w:lang w:val="en-US" w:eastAsia="zh-CN"/>
        </w:rPr>
        <w:t>不同</w:t>
      </w:r>
      <w:r>
        <w:rPr>
          <w:rFonts w:hint="eastAsia" w:ascii="宋体" w:hAnsi="宋体" w:eastAsia="宋体" w:cs="宋体"/>
          <w:sz w:val="24"/>
          <w:szCs w:val="24"/>
        </w:rPr>
        <w:t>风险区域</w:t>
      </w:r>
      <w:r>
        <w:rPr>
          <w:rFonts w:hint="eastAsia" w:ascii="宋体" w:hAnsi="宋体" w:eastAsia="宋体" w:cs="宋体"/>
          <w:sz w:val="24"/>
          <w:szCs w:val="24"/>
          <w:lang w:eastAsia="zh-CN"/>
        </w:rPr>
        <w:t>；</w:t>
      </w:r>
      <w:r>
        <w:rPr>
          <w:rFonts w:hint="eastAsia" w:ascii="宋体" w:hAnsi="宋体" w:eastAsia="宋体" w:cs="宋体"/>
          <w:sz w:val="24"/>
          <w:szCs w:val="24"/>
        </w:rPr>
        <w:t>支持地图基础交互操作，点击查看区域普查参数、风险</w:t>
      </w:r>
      <w:r>
        <w:rPr>
          <w:rFonts w:hint="eastAsia" w:ascii="宋体" w:hAnsi="宋体" w:eastAsia="宋体" w:cs="宋体"/>
          <w:sz w:val="24"/>
          <w:szCs w:val="24"/>
          <w:lang w:val="en-US" w:eastAsia="zh-CN"/>
        </w:rPr>
        <w:t>程度</w:t>
      </w:r>
      <w:r>
        <w:rPr>
          <w:rFonts w:hint="eastAsia" w:ascii="宋体" w:hAnsi="宋体" w:eastAsia="宋体" w:cs="宋体"/>
          <w:sz w:val="24"/>
          <w:szCs w:val="24"/>
        </w:rPr>
        <w:t>、基础属性等详细信息</w:t>
      </w:r>
      <w:r>
        <w:rPr>
          <w:rFonts w:hint="eastAsia" w:ascii="宋体" w:hAnsi="宋体" w:eastAsia="宋体" w:cs="宋体"/>
          <w:sz w:val="24"/>
          <w:szCs w:val="24"/>
          <w:lang w:eastAsia="zh-CN"/>
        </w:rPr>
        <w:t>；</w:t>
      </w:r>
      <w:r>
        <w:rPr>
          <w:rFonts w:hint="eastAsia" w:ascii="宋体" w:hAnsi="宋体" w:eastAsia="宋体" w:cs="宋体"/>
          <w:sz w:val="24"/>
          <w:szCs w:val="24"/>
        </w:rPr>
        <w:t>可自动生成风险分布统计图、等级占比分析图表。</w:t>
      </w:r>
    </w:p>
    <w:p w14:paraId="026D716C">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rPr>
      </w:pPr>
      <w:r>
        <w:rPr>
          <w:rFonts w:hint="eastAsia" w:ascii="宋体" w:hAnsi="宋体" w:eastAsia="宋体" w:cs="宋体"/>
          <w:b/>
          <w:sz w:val="24"/>
          <w:szCs w:val="24"/>
        </w:rPr>
        <w:t>全域</w:t>
      </w:r>
      <w:r>
        <w:rPr>
          <w:rFonts w:hint="eastAsia" w:ascii="宋体" w:hAnsi="宋体" w:eastAsia="宋体" w:cs="宋体"/>
          <w:b/>
          <w:sz w:val="24"/>
          <w:szCs w:val="24"/>
          <w:lang w:val="en-US" w:eastAsia="zh-CN"/>
        </w:rPr>
        <w:t>地震灾害</w:t>
      </w:r>
      <w:r>
        <w:rPr>
          <w:rFonts w:hint="eastAsia" w:ascii="宋体" w:hAnsi="宋体" w:eastAsia="宋体" w:cs="宋体"/>
          <w:b/>
          <w:sz w:val="24"/>
          <w:szCs w:val="24"/>
        </w:rPr>
        <w:t>损失预评估</w:t>
      </w:r>
      <w:r>
        <w:rPr>
          <w:rFonts w:hint="eastAsia" w:ascii="宋体" w:hAnsi="宋体" w:eastAsia="宋体" w:cs="宋体"/>
          <w:b/>
          <w:sz w:val="24"/>
          <w:szCs w:val="24"/>
          <w:lang w:val="en-US" w:eastAsia="zh-CN"/>
        </w:rPr>
        <w:t>应用</w:t>
      </w:r>
    </w:p>
    <w:p w14:paraId="65DD522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接入</w:t>
      </w:r>
      <w:r>
        <w:rPr>
          <w:rFonts w:hint="eastAsia" w:ascii="宋体" w:hAnsi="宋体" w:eastAsia="宋体" w:cs="宋体"/>
          <w:sz w:val="24"/>
          <w:szCs w:val="24"/>
        </w:rPr>
        <w:t>全市116个乡镇街道的</w:t>
      </w:r>
      <w:r>
        <w:rPr>
          <w:rFonts w:hint="eastAsia" w:ascii="宋体" w:hAnsi="宋体" w:eastAsia="宋体" w:cs="宋体"/>
          <w:sz w:val="24"/>
          <w:szCs w:val="24"/>
          <w:lang w:val="en-US" w:eastAsia="zh-CN"/>
        </w:rPr>
        <w:t>地震灾害</w:t>
      </w:r>
      <w:r>
        <w:rPr>
          <w:rFonts w:hint="eastAsia" w:ascii="宋体" w:hAnsi="宋体" w:eastAsia="宋体" w:cs="宋体"/>
          <w:sz w:val="24"/>
          <w:szCs w:val="24"/>
        </w:rPr>
        <w:t>损失预评估成果数据，</w:t>
      </w:r>
      <w:r>
        <w:rPr>
          <w:rFonts w:hint="eastAsia" w:ascii="宋体" w:hAnsi="宋体" w:eastAsia="宋体" w:cs="宋体"/>
          <w:sz w:val="24"/>
          <w:szCs w:val="24"/>
          <w:lang w:val="en-US" w:eastAsia="zh-CN"/>
        </w:rPr>
        <w:t>支持</w:t>
      </w:r>
      <w:r>
        <w:rPr>
          <w:rFonts w:hint="eastAsia" w:ascii="宋体" w:hAnsi="宋体" w:eastAsia="宋体" w:cs="宋体"/>
          <w:sz w:val="24"/>
          <w:szCs w:val="24"/>
        </w:rPr>
        <w:t>成果</w:t>
      </w:r>
      <w:r>
        <w:rPr>
          <w:rFonts w:hint="eastAsia" w:ascii="宋体" w:hAnsi="宋体" w:eastAsia="宋体" w:cs="宋体"/>
          <w:sz w:val="24"/>
          <w:szCs w:val="24"/>
          <w:lang w:val="en-US" w:eastAsia="zh-CN"/>
        </w:rPr>
        <w:t>数据</w:t>
      </w:r>
      <w:r>
        <w:rPr>
          <w:rFonts w:hint="eastAsia" w:ascii="宋体" w:hAnsi="宋体" w:eastAsia="宋体" w:cs="宋体"/>
          <w:sz w:val="24"/>
          <w:szCs w:val="24"/>
        </w:rPr>
        <w:t>新增、编辑、</w:t>
      </w:r>
      <w:r>
        <w:rPr>
          <w:rFonts w:hint="eastAsia" w:ascii="宋体" w:hAnsi="宋体" w:eastAsia="宋体" w:cs="宋体"/>
          <w:sz w:val="24"/>
          <w:szCs w:val="24"/>
          <w:lang w:val="en-US" w:eastAsia="zh-CN"/>
        </w:rPr>
        <w:t>查询、</w:t>
      </w:r>
      <w:r>
        <w:rPr>
          <w:rFonts w:hint="eastAsia" w:ascii="宋体" w:hAnsi="宋体" w:eastAsia="宋体" w:cs="宋体"/>
          <w:sz w:val="24"/>
          <w:szCs w:val="24"/>
        </w:rPr>
        <w:t>删除等操作</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针对</w:t>
      </w:r>
      <w:r>
        <w:rPr>
          <w:rFonts w:hint="eastAsia" w:ascii="宋体" w:hAnsi="宋体" w:eastAsia="宋体" w:cs="宋体"/>
          <w:sz w:val="24"/>
          <w:szCs w:val="24"/>
        </w:rPr>
        <w:t>不同</w:t>
      </w:r>
      <w:r>
        <w:rPr>
          <w:rFonts w:hint="eastAsia" w:ascii="宋体" w:hAnsi="宋体" w:eastAsia="宋体" w:cs="宋体"/>
          <w:sz w:val="24"/>
          <w:szCs w:val="24"/>
          <w:lang w:val="en-US" w:eastAsia="zh-CN"/>
        </w:rPr>
        <w:t>预设</w:t>
      </w:r>
      <w:r>
        <w:rPr>
          <w:rFonts w:hint="eastAsia" w:ascii="宋体" w:hAnsi="宋体" w:eastAsia="宋体" w:cs="宋体"/>
          <w:sz w:val="24"/>
          <w:szCs w:val="24"/>
        </w:rPr>
        <w:t>震级下的灾害损失预估成果数据，</w:t>
      </w:r>
      <w:r>
        <w:rPr>
          <w:rFonts w:hint="eastAsia" w:ascii="宋体" w:hAnsi="宋体" w:eastAsia="宋体" w:cs="宋体"/>
          <w:sz w:val="24"/>
          <w:szCs w:val="24"/>
          <w:lang w:val="en-US" w:eastAsia="zh-CN"/>
        </w:rPr>
        <w:t>可视化展示</w:t>
      </w:r>
      <w:r>
        <w:rPr>
          <w:rFonts w:hint="eastAsia" w:ascii="宋体" w:hAnsi="宋体" w:eastAsia="宋体" w:cs="宋体"/>
          <w:sz w:val="24"/>
          <w:szCs w:val="24"/>
        </w:rPr>
        <w:t>人员伤亡、建筑损毁、经济损失、基础设施损毁等多类</w:t>
      </w:r>
      <w:r>
        <w:rPr>
          <w:rFonts w:hint="eastAsia" w:ascii="宋体" w:hAnsi="宋体" w:eastAsia="宋体" w:cs="宋体"/>
          <w:sz w:val="24"/>
          <w:szCs w:val="24"/>
          <w:lang w:val="en-US" w:eastAsia="zh-CN"/>
        </w:rPr>
        <w:t>预估</w:t>
      </w:r>
      <w:r>
        <w:rPr>
          <w:rFonts w:hint="eastAsia" w:ascii="宋体" w:hAnsi="宋体" w:eastAsia="宋体" w:cs="宋体"/>
          <w:sz w:val="24"/>
          <w:szCs w:val="24"/>
        </w:rPr>
        <w:t>指标，支持按照震级</w:t>
      </w:r>
      <w:r>
        <w:rPr>
          <w:rFonts w:hint="eastAsia" w:ascii="宋体" w:hAnsi="宋体" w:eastAsia="宋体" w:cs="宋体"/>
          <w:sz w:val="24"/>
          <w:szCs w:val="24"/>
          <w:lang w:val="en-US" w:eastAsia="zh-CN"/>
        </w:rPr>
        <w:t>强度</w:t>
      </w:r>
      <w:r>
        <w:rPr>
          <w:rFonts w:hint="eastAsia" w:ascii="宋体" w:hAnsi="宋体" w:eastAsia="宋体" w:cs="宋体"/>
          <w:sz w:val="24"/>
          <w:szCs w:val="24"/>
        </w:rPr>
        <w:t>、行政区域多维度精准</w:t>
      </w:r>
      <w:r>
        <w:rPr>
          <w:rFonts w:hint="eastAsia" w:ascii="宋体" w:hAnsi="宋体" w:eastAsia="宋体" w:cs="宋体"/>
          <w:sz w:val="24"/>
          <w:szCs w:val="24"/>
          <w:lang w:val="en-US" w:eastAsia="zh-CN"/>
        </w:rPr>
        <w:t>检索</w:t>
      </w:r>
      <w:r>
        <w:rPr>
          <w:rFonts w:hint="eastAsia" w:ascii="宋体" w:hAnsi="宋体" w:eastAsia="宋体" w:cs="宋体"/>
          <w:sz w:val="24"/>
          <w:szCs w:val="24"/>
        </w:rPr>
        <w:t>，能够对多场景灾害损失数据开展量化统计分析，综合可视化展示</w:t>
      </w:r>
      <w:r>
        <w:rPr>
          <w:rFonts w:hint="eastAsia" w:ascii="宋体" w:hAnsi="宋体" w:eastAsia="宋体" w:cs="宋体"/>
          <w:sz w:val="24"/>
          <w:szCs w:val="24"/>
          <w:lang w:val="en-US" w:eastAsia="zh-CN"/>
        </w:rPr>
        <w:t>不同情况下灾害损失差异</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支持在预评估数据基础上，自定义划定风险分区，提供统计分析功能并支持成果预览、编辑、归档、</w:t>
      </w:r>
      <w:r>
        <w:rPr>
          <w:rFonts w:hint="eastAsia" w:ascii="宋体" w:hAnsi="宋体" w:eastAsia="宋体" w:cs="宋体"/>
          <w:sz w:val="24"/>
          <w:szCs w:val="24"/>
        </w:rPr>
        <w:t>导出</w:t>
      </w:r>
      <w:r>
        <w:rPr>
          <w:rFonts w:hint="eastAsia" w:ascii="宋体" w:hAnsi="宋体" w:eastAsia="宋体" w:cs="宋体"/>
          <w:sz w:val="24"/>
          <w:szCs w:val="24"/>
          <w:lang w:val="en-US" w:eastAsia="zh-CN"/>
        </w:rPr>
        <w:t>等功能</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支持有效衔接省地震局有关业务系统。</w:t>
      </w:r>
    </w:p>
    <w:p w14:paraId="209D56BC">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rPr>
      </w:pPr>
      <w:r>
        <w:rPr>
          <w:rFonts w:hint="eastAsia" w:ascii="宋体" w:hAnsi="宋体" w:eastAsia="宋体" w:cs="宋体"/>
          <w:b/>
          <w:sz w:val="24"/>
          <w:szCs w:val="24"/>
          <w:lang w:val="en-US" w:eastAsia="zh-CN"/>
        </w:rPr>
        <w:t>市、县</w:t>
      </w:r>
      <w:r>
        <w:rPr>
          <w:rFonts w:hint="eastAsia" w:ascii="宋体" w:hAnsi="宋体" w:eastAsia="宋体" w:cs="宋体"/>
          <w:b/>
          <w:sz w:val="24"/>
          <w:szCs w:val="24"/>
        </w:rPr>
        <w:t>地震小区划</w:t>
      </w:r>
      <w:r>
        <w:rPr>
          <w:rFonts w:hint="eastAsia" w:ascii="宋体" w:hAnsi="宋体" w:eastAsia="宋体" w:cs="宋体"/>
          <w:b/>
          <w:sz w:val="24"/>
          <w:szCs w:val="24"/>
          <w:lang w:val="en-US" w:eastAsia="zh-CN"/>
        </w:rPr>
        <w:t>应用</w:t>
      </w:r>
    </w:p>
    <w:p w14:paraId="5108926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整合</w:t>
      </w:r>
      <w:r>
        <w:rPr>
          <w:rFonts w:hint="eastAsia" w:ascii="宋体" w:hAnsi="宋体" w:eastAsia="宋体" w:cs="宋体"/>
          <w:sz w:val="24"/>
          <w:szCs w:val="24"/>
        </w:rPr>
        <w:t>滁州市</w:t>
      </w:r>
      <w:r>
        <w:rPr>
          <w:rFonts w:hint="eastAsia" w:ascii="宋体" w:hAnsi="宋体" w:eastAsia="宋体" w:cs="宋体"/>
          <w:sz w:val="24"/>
          <w:szCs w:val="24"/>
          <w:lang w:val="en-US" w:eastAsia="zh-CN"/>
        </w:rPr>
        <w:t>各类</w:t>
      </w:r>
      <w:r>
        <w:rPr>
          <w:rFonts w:hint="eastAsia" w:ascii="宋体" w:hAnsi="宋体" w:eastAsia="宋体" w:cs="宋体"/>
          <w:sz w:val="24"/>
          <w:szCs w:val="24"/>
        </w:rPr>
        <w:t>地震小区划成果数据</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应补充增加基岩计算点峰值加速度分布图、场地钻孔布置图、工程场地地质剖面、场地第四系等厚图、地表水平向地震动峰值加速度分布图、地表水平向特征周期分布图等关键成果数据；应纳入小区划工作范围、地震危险性分析结果、场地地震工程地质条件、地震动参数小区划、地震地质灾害及小区划等关键成果；系统应</w:t>
      </w:r>
      <w:r>
        <w:rPr>
          <w:rFonts w:hint="eastAsia" w:ascii="宋体" w:hAnsi="宋体" w:eastAsia="宋体" w:cs="宋体"/>
          <w:sz w:val="24"/>
          <w:szCs w:val="24"/>
        </w:rPr>
        <w:t>实现地震小区划</w:t>
      </w:r>
      <w:r>
        <w:rPr>
          <w:rFonts w:hint="eastAsia" w:ascii="宋体" w:hAnsi="宋体" w:eastAsia="宋体" w:cs="宋体"/>
          <w:sz w:val="24"/>
          <w:szCs w:val="24"/>
          <w:lang w:val="en-US" w:eastAsia="zh-CN"/>
        </w:rPr>
        <w:t>核心</w:t>
      </w:r>
      <w:r>
        <w:rPr>
          <w:rFonts w:hint="eastAsia" w:ascii="宋体" w:hAnsi="宋体" w:eastAsia="宋体" w:cs="宋体"/>
          <w:sz w:val="24"/>
          <w:szCs w:val="24"/>
        </w:rPr>
        <w:t>成果可视化展示</w:t>
      </w:r>
      <w:r>
        <w:rPr>
          <w:rFonts w:hint="eastAsia" w:ascii="宋体" w:hAnsi="宋体" w:eastAsia="宋体" w:cs="宋体"/>
          <w:sz w:val="24"/>
          <w:szCs w:val="24"/>
          <w:lang w:val="en-US" w:eastAsia="zh-CN"/>
        </w:rPr>
        <w:t>和</w:t>
      </w:r>
      <w:r>
        <w:rPr>
          <w:rFonts w:hint="eastAsia" w:ascii="宋体" w:hAnsi="宋体" w:eastAsia="宋体" w:cs="宋体"/>
          <w:sz w:val="24"/>
          <w:szCs w:val="24"/>
        </w:rPr>
        <w:t>渲染</w:t>
      </w:r>
      <w:r>
        <w:rPr>
          <w:rFonts w:hint="eastAsia" w:ascii="宋体" w:hAnsi="宋体" w:eastAsia="宋体" w:cs="宋体"/>
          <w:sz w:val="24"/>
          <w:szCs w:val="24"/>
          <w:lang w:eastAsia="zh-CN"/>
        </w:rPr>
        <w:t>；</w:t>
      </w:r>
      <w:r>
        <w:rPr>
          <w:rFonts w:hint="eastAsia" w:ascii="宋体" w:hAnsi="宋体" w:eastAsia="宋体" w:cs="宋体"/>
          <w:sz w:val="24"/>
          <w:szCs w:val="24"/>
        </w:rPr>
        <w:t>支持多维度筛选，可对不同</w:t>
      </w:r>
      <w:r>
        <w:rPr>
          <w:rFonts w:hint="eastAsia" w:ascii="宋体" w:hAnsi="宋体" w:eastAsia="宋体" w:cs="宋体"/>
          <w:sz w:val="24"/>
          <w:szCs w:val="24"/>
          <w:lang w:val="en-US" w:eastAsia="zh-CN"/>
        </w:rPr>
        <w:t>成果</w:t>
      </w:r>
      <w:r>
        <w:rPr>
          <w:rFonts w:hint="eastAsia" w:ascii="宋体" w:hAnsi="宋体" w:eastAsia="宋体" w:cs="宋体"/>
          <w:sz w:val="24"/>
          <w:szCs w:val="24"/>
        </w:rPr>
        <w:t>进行差异化渲染</w:t>
      </w:r>
      <w:r>
        <w:rPr>
          <w:rFonts w:hint="eastAsia" w:ascii="宋体" w:hAnsi="宋体" w:eastAsia="宋体" w:cs="宋体"/>
          <w:sz w:val="24"/>
          <w:szCs w:val="24"/>
          <w:lang w:eastAsia="zh-CN"/>
        </w:rPr>
        <w:t>；</w:t>
      </w:r>
      <w:r>
        <w:rPr>
          <w:rFonts w:hint="eastAsia" w:ascii="宋体" w:hAnsi="宋体" w:eastAsia="宋体" w:cs="宋体"/>
          <w:sz w:val="24"/>
          <w:szCs w:val="24"/>
        </w:rPr>
        <w:t>支持地图交互操作，点击</w:t>
      </w:r>
      <w:r>
        <w:rPr>
          <w:rFonts w:hint="eastAsia" w:ascii="宋体" w:hAnsi="宋体" w:eastAsia="宋体" w:cs="宋体"/>
          <w:sz w:val="24"/>
          <w:szCs w:val="24"/>
          <w:lang w:val="en-US" w:eastAsia="zh-CN"/>
        </w:rPr>
        <w:t>查询</w:t>
      </w:r>
      <w:r>
        <w:rPr>
          <w:rFonts w:hint="eastAsia" w:ascii="宋体" w:hAnsi="宋体" w:eastAsia="宋体" w:cs="宋体"/>
          <w:sz w:val="24"/>
          <w:szCs w:val="24"/>
        </w:rPr>
        <w:t>展示对应详细信息</w:t>
      </w:r>
      <w:r>
        <w:rPr>
          <w:rFonts w:hint="eastAsia" w:ascii="宋体" w:hAnsi="宋体" w:eastAsia="宋体" w:cs="宋体"/>
          <w:sz w:val="24"/>
          <w:szCs w:val="24"/>
          <w:lang w:eastAsia="zh-CN"/>
        </w:rPr>
        <w:t>；</w:t>
      </w:r>
      <w:r>
        <w:rPr>
          <w:rFonts w:hint="eastAsia" w:ascii="宋体" w:hAnsi="宋体" w:eastAsia="宋体" w:cs="宋体"/>
          <w:sz w:val="24"/>
          <w:szCs w:val="24"/>
        </w:rPr>
        <w:t>支持</w:t>
      </w:r>
      <w:r>
        <w:rPr>
          <w:rFonts w:hint="eastAsia" w:ascii="宋体" w:hAnsi="宋体" w:eastAsia="宋体" w:cs="宋体"/>
          <w:sz w:val="24"/>
          <w:szCs w:val="24"/>
          <w:lang w:val="en-US" w:eastAsia="zh-CN"/>
        </w:rPr>
        <w:t>小区划</w:t>
      </w:r>
      <w:r>
        <w:rPr>
          <w:rFonts w:hint="eastAsia" w:ascii="宋体" w:hAnsi="宋体" w:eastAsia="宋体" w:cs="宋体"/>
          <w:sz w:val="24"/>
          <w:szCs w:val="24"/>
        </w:rPr>
        <w:t>成果图层叠加分析。</w:t>
      </w:r>
    </w:p>
    <w:p w14:paraId="3C960BC6">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地震安全性评价管理</w:t>
      </w:r>
    </w:p>
    <w:p w14:paraId="54B6D8B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归集全市重大工程地震安全性评价全套成果资料，实现安评资料录入、编辑、调阅、归档全流程留痕、可追溯管理。构建地震区评、重大工程安评成果“一张图”体系，分层叠加展示区划成果与工程安评点位信息，配备地图缩放、漫游、空间测距、面积测算、属性查询、视图导出等全套GIS功能。依托存量区划与安评成果实现智能联动预判，可根据工程选址位置，自动判别场地是否处于区划范围、是否具备可复用安评成果，并将研判结果同步纳入工程地震评估流程。</w:t>
      </w:r>
    </w:p>
    <w:p w14:paraId="1D3E2F4A">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rPr>
      </w:pPr>
      <w:r>
        <w:rPr>
          <w:rFonts w:hint="eastAsia" w:ascii="宋体" w:hAnsi="宋体" w:eastAsia="宋体" w:cs="宋体"/>
          <w:b/>
          <w:sz w:val="24"/>
          <w:szCs w:val="24"/>
        </w:rPr>
        <w:t>专题图生成</w:t>
      </w:r>
    </w:p>
    <w:p w14:paraId="3CDA803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可快速生成全域</w:t>
      </w:r>
      <w:r>
        <w:rPr>
          <w:rFonts w:hint="eastAsia" w:ascii="宋体" w:hAnsi="宋体" w:eastAsia="宋体" w:cs="宋体"/>
          <w:sz w:val="24"/>
          <w:szCs w:val="24"/>
          <w:lang w:val="en-US" w:eastAsia="zh-CN"/>
        </w:rPr>
        <w:t>地震灾害风险</w:t>
      </w:r>
      <w:r>
        <w:rPr>
          <w:rFonts w:hint="eastAsia" w:ascii="宋体" w:hAnsi="宋体" w:eastAsia="宋体" w:cs="宋体"/>
          <w:sz w:val="24"/>
          <w:szCs w:val="24"/>
        </w:rPr>
        <w:t>专题图</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支持</w:t>
      </w:r>
      <w:r>
        <w:rPr>
          <w:rFonts w:hint="eastAsia" w:ascii="宋体" w:hAnsi="宋体" w:eastAsia="宋体" w:cs="宋体"/>
          <w:sz w:val="24"/>
          <w:szCs w:val="24"/>
        </w:rPr>
        <w:t>呈现区域各类抗震设防核心参数、液化土层空间分布、风险等级划分及整体风险程度等关键信息</w:t>
      </w:r>
      <w:r>
        <w:rPr>
          <w:rFonts w:hint="eastAsia" w:ascii="宋体" w:hAnsi="宋体" w:eastAsia="宋体" w:cs="宋体"/>
          <w:sz w:val="24"/>
          <w:szCs w:val="24"/>
          <w:lang w:eastAsia="zh-CN"/>
        </w:rPr>
        <w:t>；</w:t>
      </w:r>
      <w:r>
        <w:rPr>
          <w:rFonts w:hint="eastAsia" w:ascii="宋体" w:hAnsi="宋体" w:eastAsia="宋体" w:cs="宋体"/>
          <w:sz w:val="24"/>
          <w:szCs w:val="24"/>
        </w:rPr>
        <w:t>制图成果画质清晰、要素规范，自带标准图例、分区边界、参数标注，符合地震地质专项图纸输出规范</w:t>
      </w:r>
      <w:r>
        <w:rPr>
          <w:rFonts w:hint="eastAsia" w:ascii="宋体" w:hAnsi="宋体" w:eastAsia="宋体" w:cs="宋体"/>
          <w:sz w:val="24"/>
          <w:szCs w:val="24"/>
          <w:lang w:eastAsia="zh-CN"/>
        </w:rPr>
        <w:t>；</w:t>
      </w:r>
      <w:r>
        <w:rPr>
          <w:rFonts w:hint="eastAsia" w:ascii="宋体" w:hAnsi="宋体" w:eastAsia="宋体" w:cs="宋体"/>
          <w:sz w:val="24"/>
          <w:szCs w:val="24"/>
        </w:rPr>
        <w:t>系统支持专题图高清无损导出，可保存为通用图片、PDF等标准格式，支持</w:t>
      </w:r>
      <w:r>
        <w:rPr>
          <w:rFonts w:hint="eastAsia" w:ascii="宋体" w:hAnsi="宋体" w:eastAsia="宋体" w:cs="宋体"/>
          <w:sz w:val="24"/>
          <w:szCs w:val="24"/>
          <w:lang w:val="en-US" w:eastAsia="zh-CN"/>
        </w:rPr>
        <w:t>预览、编辑、导出等基础功能；支持</w:t>
      </w:r>
      <w:r>
        <w:rPr>
          <w:rFonts w:hint="eastAsia" w:ascii="宋体" w:hAnsi="宋体" w:eastAsia="宋体" w:cs="宋体"/>
          <w:sz w:val="24"/>
          <w:szCs w:val="24"/>
        </w:rPr>
        <w:t>对所有生成的专题图进行统一归集留存，支持</w:t>
      </w:r>
      <w:r>
        <w:rPr>
          <w:rFonts w:hint="eastAsia" w:ascii="宋体" w:hAnsi="宋体" w:eastAsia="宋体" w:cs="宋体"/>
          <w:sz w:val="24"/>
          <w:szCs w:val="24"/>
          <w:lang w:val="en-US" w:eastAsia="zh-CN"/>
        </w:rPr>
        <w:t>按</w:t>
      </w:r>
      <w:r>
        <w:rPr>
          <w:rFonts w:hint="eastAsia" w:ascii="宋体" w:hAnsi="宋体" w:eastAsia="宋体" w:cs="宋体"/>
          <w:sz w:val="24"/>
          <w:szCs w:val="24"/>
        </w:rPr>
        <w:t>多条件查询检索，快速调取历史制图成果。</w:t>
      </w:r>
    </w:p>
    <w:p w14:paraId="2FE6D407">
      <w:pPr>
        <w:pStyle w:val="3"/>
        <w:numPr>
          <w:ilvl w:val="0"/>
          <w:numId w:val="3"/>
        </w:numPr>
        <w:bidi w:val="0"/>
        <w:ind w:left="425" w:leftChars="0" w:hanging="425" w:firstLineChars="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工程地震安全服务子系统</w:t>
      </w:r>
    </w:p>
    <w:p w14:paraId="0C273B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面向城乡规划选址、工程建设抗震设防管理业务，为党委政府部门、工程采购人提供智能化定制化地震灾害评估分析服务。在原有“规划选址”和“抗震设防”功能模块基础上进行升级，新增工程建设信息智能识别、重大工程地震安评范围自动判定、工程项目抗震档案全流程归集管理、专题图自动生成等新功能，实现各类工程“一键产出”相应的地震灾害分析评估报告。</w:t>
      </w:r>
    </w:p>
    <w:p w14:paraId="46D933D8">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工程地震灾害快速评估</w:t>
      </w:r>
    </w:p>
    <w:p w14:paraId="1692E157">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震害快速评估服务</w:t>
      </w:r>
    </w:p>
    <w:p w14:paraId="3634F23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面向房屋建筑、桥梁、道路、轨道交通、机场、管线、码头、输电工程、水利工程等新、改、扩建设工程，提供工程地震灾害快速分析与评估服务，依据活动断层探测、精细化探查、风险普查、地震小区划、地震区评、动参数区划图等成果，结合行业规范、法律法规，进行智能化综合分析评估。对已明确建设选址的工程，提供当前场地条件下的地震危险性快速分析、地震动参数与抗震设防参数建议、场地类别及场地效应评价、活动断层影响与避让距离核查、砂土液化、软土震陷、边坡失稳等地震地质灾害评估、地震灾害风险等级判定、防治对策及评估报告生成等服务；对尚未明确建设选址的工程，提供区域地震构造环境与地震危险性初步评估、候选场址地震安全比选、活动断层及不利地段避让、抗震有利场地推荐、规划选址地震风险快速筛查、选址方案优化建议等，并输出初步评估报告。 </w:t>
      </w:r>
    </w:p>
    <w:p w14:paraId="7C00182A">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重大工程自动判定</w:t>
      </w:r>
    </w:p>
    <w:p w14:paraId="2AF582C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支持智能化识别工程建设方案文本核心内容，依据法律法规、《安徽省重大工程场地地震安全性评价项目范围清单》等规定，智能判别项目是否应开展地震安全性评价，将判定结果嵌入评估过程。</w:t>
      </w:r>
    </w:p>
    <w:p w14:paraId="41D14AE1">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工程地震灾害评估档案库</w:t>
      </w:r>
    </w:p>
    <w:p w14:paraId="79814B8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存储工程基本情况、选点信息、评估报告、修改留痕等全生命周期数据；判定规则库预置重大工程判定、设防档位校验、抗震措施匹配等规则以支撑自动研判；评估报告及档案管理支持新增、编辑、删除、归档、导出等功能；支持历史档案及关联报告条件检索与详情查看、外部标准化档案数据批量导入生成记录、按指定格式导出档案及报告数据。</w:t>
      </w:r>
    </w:p>
    <w:p w14:paraId="45281835">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专题图件快速成图</w:t>
      </w:r>
    </w:p>
    <w:p w14:paraId="4794830E">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制图数据与模板支撑</w:t>
      </w:r>
    </w:p>
    <w:p w14:paraId="27F6AFD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建设专题图工程库、地图文档库和模板库，统一存储工程信息、地图文档、投影坐标、图层图形属性及制图范围、比例尺、图例、标注、指北针等模板配置；支持模板新增、修改、删除、查询与调用。</w:t>
      </w:r>
    </w:p>
    <w:p w14:paraId="258795F0">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地图文档与制图工具</w:t>
      </w:r>
    </w:p>
    <w:p w14:paraId="719FC34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地图文档新建、打开、保存、重命名、删除、查询、筛选和缩略图预览，支持基于模板或自定义投影、坐标系、图层配置创建文档；支持点、线、多边形等图形标绘、编辑、删除、撤销重做、样式与属性调整；支持图层添加、删除、排序、分组、显示控制及属性编辑，支持关联外部数据源。</w:t>
      </w:r>
    </w:p>
    <w:p w14:paraId="50BB7628">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地图输出</w:t>
      </w:r>
    </w:p>
    <w:p w14:paraId="65F9D6DB">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支持输出路径、分辨率、对齐方式、格式等参数设置，支持导出JPEG、PNG、PDF、SVG等格式。</w:t>
      </w:r>
    </w:p>
    <w:p w14:paraId="19CCDBFA">
      <w:pPr>
        <w:pStyle w:val="3"/>
        <w:numPr>
          <w:ilvl w:val="0"/>
          <w:numId w:val="3"/>
        </w:numPr>
        <w:bidi w:val="0"/>
        <w:ind w:left="425" w:leftChars="0" w:hanging="425" w:firstLineChars="0"/>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地震应急响应服务子系统</w:t>
      </w:r>
    </w:p>
    <w:p w14:paraId="337E15C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全面支撑地震应急指挥调度与震情、灾情研判工作。震后自动衔接地震速报系统，围绕地震“三要素”、震中断裂带分布、经济人口分布、建筑物及基础设施基础信息、初步估计烈度、初步测算损失等关键信息，“分钟级”快速自动编制震情快报、综合灾情研判报告等标准化应急文书，供决策使用；系统自动依据地震应急响应预案，快速转入地震应急响应服务状态，同步衔接地震现场工作队，接入断裂带沿线高清视频监控资源，同步汇聚流动监测数据和地震现场工作队人员定位及前方视频、音频画面，统筹管控地震应急装备。</w:t>
      </w:r>
    </w:p>
    <w:p w14:paraId="66EB87D2">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震后应急服务产品模块</w:t>
      </w:r>
    </w:p>
    <w:p w14:paraId="27EE5C2A">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震情快报产出</w:t>
      </w:r>
    </w:p>
    <w:p w14:paraId="3B65290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1．震情快报模板管理。系统应搭建标准化震情快报模板，支持模板新增、修改、删除等常态化编辑操作，可根据不同震情自动适配模板。</w:t>
      </w:r>
    </w:p>
    <w:p w14:paraId="50D3C2C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color w:val="auto"/>
          <w:sz w:val="24"/>
          <w:szCs w:val="24"/>
          <w:lang w:val="en-US" w:eastAsia="zh-CN"/>
        </w:rPr>
        <w:t>震情快报智能生成。系统应依据地震台网速报信息，快速自动生成标准化震情快报，符合相应报送文书格式；支持地震现场工作快报生成；支持震情快报预览、编辑、导出、归档等功能。</w:t>
      </w:r>
    </w:p>
    <w:p w14:paraId="2300010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震情快报档案管理。系统应搭建完善的电子化归档与报送台账体系，完整记录快报编制时间、报送状态、版本内容、操作人员等全流程信息；应具备完善的历史快报检索与溯源能力，支持多条件查询历史震情快报记录，可随时调取过往各级别震情快报完整内容、编制详情、报送台账信息，追溯历次震情快报编制情况与报送记录。</w:t>
      </w:r>
    </w:p>
    <w:p w14:paraId="5F1E08DD">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综合震情分析研判报告</w:t>
      </w:r>
    </w:p>
    <w:p w14:paraId="40B4255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智能化综合分析报告。系统应搭载智能化综合研判模型，在地震发生后，自动开展多维度灾情分析研判，3-5分钟内生成用于支撑灾情报告、趋势分析、应急处置等工作的综合分析报告，内容包括但不限于：地震“三要素”、震中地理位置图、预估地震烈度图、震中周边地震构造图、震源机制解（沙滩球）与破裂方向初判图、强震动观测峰值加速度等值线图、前兆观测回溯图、历史相似震例类比图、震中周边经济人口分布图、房屋设施受损情况总图、次生灾害图等；系统应支持自动形成系统化、数据化的地震趋势研判参考结论；支持对自动研判结果进行核对、修正、补充与优化；系统应支持根据用户的简略、详细等不同需求，自定义选择输出的图件。</w:t>
      </w:r>
    </w:p>
    <w:p w14:paraId="74E2214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2.报告归档与历史溯源。系统应具备完善的报告成果归档、检索、调阅报送与溯源管理功能。</w:t>
      </w:r>
    </w:p>
    <w:p w14:paraId="03D923B9">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地震应急指挥调度模块</w:t>
      </w:r>
    </w:p>
    <w:p w14:paraId="6CABF355">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地震现场工作队管理</w:t>
      </w:r>
    </w:p>
    <w:p w14:paraId="43B50D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系统应包含市、县地震部门地震应急工作队数字化档案，包含人员岗位分工、联系方式、专业技能、排班值守等全量基础信息。</w:t>
      </w:r>
    </w:p>
    <w:p w14:paraId="107FE2B4">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地震应急指挥调度管控</w:t>
      </w:r>
    </w:p>
    <w:p w14:paraId="204264C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现场位置上报与实时定位。系统应支持现场移动端数据联动上报，可实时接收现场人员上传的工作报文、现场位置坐标等动态信息，自动规整入库留存，完整记录现场工作动态与点位信息；支持现场人员分布状态展示；可按指定人员、自定义时间区间调取历史位置数据，复现人员行动轨迹、作业路径与活动范围。</w:t>
      </w:r>
    </w:p>
    <w:p w14:paraId="7C3F072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应急任务全流程闭环派发管控。系统应支持地震应急响应预案管理，并根据最新预案，在震后自动启动分级响应服务流程；支持构建地震应急响应任务从创建派发、执行跟进到办结归档的全流程闭环管理体系；指挥端可在线编制应急任务内容，明确任务工作要求、执行范围、责任队伍及人员，一键下发至现场执行终端；现场人员可通过移动端实时更新任务执行进度、填报工作状态，同步反馈现场处置情况；系统应支持后台实时跟踪任务推进动态，全程监控任务执行进度、运行状态与处置成效；任务处置完成后，支持线上办结确认、过程资料汇总、专项归档留存，同时可随时检索查询历史任务记录、调取任务详情与归档材料。</w:t>
      </w:r>
    </w:p>
    <w:p w14:paraId="20D07AD0">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地震应急物资装备管理</w:t>
      </w:r>
    </w:p>
    <w:p w14:paraId="439CE9A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系统应存储全市地震部门地震应急专有装备资源信息，包含仓储点位、存量底数、物资属性等完整台账数据；支持调阅、修改、删除、导出等基础操作功能。</w:t>
      </w:r>
    </w:p>
    <w:p w14:paraId="5357DA2A">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流动监测数据汇聚</w:t>
      </w:r>
    </w:p>
    <w:p w14:paraId="11A8A0D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应支持流动监测数据汇聚，对接已架设完成的流动监测数据源，实时采集原始数据并完成格式统一后入库；支持查询已接入监测点位的列表、分布及接入状态，可按监测时段、点位、观测类型检索观测数值与异常信息，对全域流动监测数据以图表、列表开展可视化展示；能够基于汇聚数据自动生成监测统计图表与标准化监测工作简报，可将监测成果同步推送至震情研判模块以支撑震后趋势研判，同时支持检索调阅历史监测图表、工作简报等成果文件。</w:t>
      </w:r>
    </w:p>
    <w:p w14:paraId="3A02D799">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视频设备资源管理</w:t>
      </w:r>
    </w:p>
    <w:p w14:paraId="725A7A3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应支持接入重要断裂带沿线、重点区域的视频点位；支持查询已接入视频设备的列表、点位分布与在线状态，实现视频实时预览、按点位和时间段回放历史录像，可抓拍保存监控现场画面；能够配置视频轮巡点位、间隔、布局等参数并自动开展多路画面轮巡播放，震后可一键批量调取点位实时视频，核查震后灾情，并记录留存。</w:t>
      </w:r>
    </w:p>
    <w:p w14:paraId="367E0DE4">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地震应急辅助决策系统集成</w:t>
      </w:r>
    </w:p>
    <w:p w14:paraId="40E7A16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系统应支持接入滁州市地震应急辅助决策系统。</w:t>
      </w:r>
    </w:p>
    <w:p w14:paraId="511FDA10">
      <w:pPr>
        <w:pStyle w:val="3"/>
        <w:numPr>
          <w:ilvl w:val="0"/>
          <w:numId w:val="3"/>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地震灾害情景动态推演子系统</w:t>
      </w:r>
    </w:p>
    <w:p w14:paraId="4D70AE8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专注地上承灾体地震灾害风险损失动态推演与专项预判，在任意设定地震下，实现滁州市重点区域地震烈度模拟、建筑群震害量化分析等情景构建模拟，自动输出标准化决策辅助报告；同时针对高精密、高风险重点企业或重大基础设施，搭建专属风险评估模型，生成专项地震安全监测评估报告。</w:t>
      </w:r>
    </w:p>
    <w:p w14:paraId="6DC40AE0">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地震烈度动态模拟</w:t>
      </w:r>
    </w:p>
    <w:p w14:paraId="1ACEC67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系统应支持耦合本地化场地效应及滁州市地形、地质等基础数据，搭建标准化地震烈度模拟模型；通过模拟设定地震场景参数运行模型，计算输出地震烈度影响场结果。</w:t>
      </w:r>
    </w:p>
    <w:p w14:paraId="7CEC5FF6">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城区震害情景构建模块</w:t>
      </w:r>
    </w:p>
    <w:p w14:paraId="0ED4200E">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建筑物震害动态推演</w:t>
      </w:r>
    </w:p>
    <w:p w14:paraId="01F4383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原有震害预测、情景模拟等功能基础上大幅度升级，归集滁州市主要断裂带沿线城镇住宅、学校、医院、养老院、福利院、公共场所等人员密集场所的建筑属性信息（名称、建设年代、规模、结构形式、抗震设防等信息）；依托高精度建筑震害损伤研判模型，配置科学的判定规则与运算参数，分级量化推演建筑损毁状态。同时搭载可视化展示能力，自动生成建筑群震害分布专题图，多维度统计损毁数据，直观量化呈现全域建筑震害情况。</w:t>
      </w:r>
    </w:p>
    <w:p w14:paraId="03840E06">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生命线工程动态推演</w:t>
      </w:r>
    </w:p>
    <w:p w14:paraId="43F0A4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归集道路、桥梁、隧道、供水、燃气、电力、通信、管廊等多源基础设施抗震参数，模拟推演不同烈度下基础设施受损、失效情况；支持配置震害损伤及功能失效判定规则；支持输出生命线工程震害专题图，精准标注受损点位、管线受损区段及功能瘫痪片区等信息，可统计生命线功能失效覆盖范围及受灾规模。</w:t>
      </w:r>
    </w:p>
    <w:p w14:paraId="771091E2">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震害情景决策辅助</w:t>
      </w:r>
    </w:p>
    <w:p w14:paraId="755F4D8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动地震烈度、建筑物、生命线工程三类推演成果，自动汇总计算受灾人口、伤亡阈值、建筑损失、市政瘫痪范围、直接经济损失等多项量化指标；支持自动生成标准化震害情景决策辅助报告；支持报告预览、编辑、定稿、归档、导出等功能；支持查询调阅历史归档报告及修订记录。</w:t>
      </w:r>
    </w:p>
    <w:p w14:paraId="36BD31EF">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重大单体工程精细化震害情景构建</w:t>
      </w:r>
    </w:p>
    <w:p w14:paraId="0542B0ED">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基础数据支撑</w:t>
      </w:r>
    </w:p>
    <w:p w14:paraId="71F3905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归集高精密生产企业基础信息、厂房参数、设备等级、生产线布局、危化品点位、抗震设防底数等数据；应包含重大基础设施基础信息、详细设计参数、结构类型、材料属</w:t>
      </w:r>
      <w:r>
        <w:rPr>
          <w:rFonts w:hint="eastAsia" w:ascii="宋体" w:hAnsi="宋体" w:eastAsia="宋体" w:cs="宋体"/>
          <w:color w:val="auto"/>
          <w:sz w:val="24"/>
          <w:szCs w:val="24"/>
          <w:lang w:val="en-US" w:eastAsia="zh-CN"/>
        </w:rPr>
        <w:t>性等数据；应支持导入并完成重大基础设施BIM模型；支持接入强震仪、加速度</w:t>
      </w:r>
      <w:r>
        <w:rPr>
          <w:rFonts w:hint="eastAsia" w:ascii="宋体" w:hAnsi="宋体" w:eastAsia="宋体" w:cs="宋体"/>
          <w:sz w:val="24"/>
          <w:szCs w:val="24"/>
          <w:lang w:val="en-US" w:eastAsia="zh-CN"/>
        </w:rPr>
        <w:t>计、应变计等外部传感器实时监测数据。</w:t>
      </w:r>
    </w:p>
    <w:p w14:paraId="329A4308">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高精密企业安全监测评估</w:t>
      </w:r>
    </w:p>
    <w:p w14:paraId="1766086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构建高精密企业安全监测评估体系，整合企业基础资料、设施参数及抗震设防数据信息档案；结合厂区条件、设备属性和生产组织方式，建立综合评估模型，将评估机制与地震烈度、场地效应等数据耦合关联，自动化输出联动分析结果。</w:t>
      </w:r>
    </w:p>
    <w:p w14:paraId="68AB7D21">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重大基础设施精细化评估</w:t>
      </w:r>
    </w:p>
    <w:p w14:paraId="545E2F5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引入桥梁等重大基础设施数据以及BIM模型，支持接入强震仪、加速度计、应变计等传感器数据，开展易损性分析计算与震害推演，生成相关结果；支持结果查询、修改、归档、导出等功能和三维可视化环境搭建展示。</w:t>
      </w:r>
    </w:p>
    <w:p w14:paraId="317F6530">
      <w:pPr>
        <w:pStyle w:val="3"/>
        <w:numPr>
          <w:ilvl w:val="0"/>
          <w:numId w:val="3"/>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防震减灾公共服务子系统</w:t>
      </w:r>
    </w:p>
    <w:p w14:paraId="2C5A8DEC">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整合地震科普与政务查询资源，依托AI科普大模型提供智能问答服务；打造图文视频一体化地震科普资源库，支持资源分类管理、便捷检索、配套科普场馆一张图可视化展示并面向社会公众开放。</w:t>
      </w:r>
    </w:p>
    <w:p w14:paraId="2C22F63D">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地震科普服务模块</w:t>
      </w:r>
    </w:p>
    <w:p w14:paraId="370CEFBF">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地震科普服务基础数据支撑</w:t>
      </w:r>
    </w:p>
    <w:p w14:paraId="37EE0F4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搭建标准化地震科普问答知识库，归集防震减灾常识、应急避险、自救互救、行业政策等问答素材与统一答复话术。建立公众问询服务台账库，完整保存公众咨询记录、交互日志、热点问题统计及科普服务台账，用于业务复盘与服务质量迭代优化。</w:t>
      </w:r>
    </w:p>
    <w:p w14:paraId="118AF811">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科普问答信息发布管控</w:t>
      </w:r>
    </w:p>
    <w:p w14:paraId="40F8F9E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应支持地震科普问答素材的新增、修改、删除；可对外发布启用7×24小时文字、语音在线答疑服务，后台支持按分类、关键词检索问答素材并查看详情与审核状态，公众可通过文字、语音发起咨询，系统匹配知识库输出答疑结果。</w:t>
      </w:r>
    </w:p>
    <w:p w14:paraId="4EA360B8">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问询日志留存溯源</w:t>
      </w:r>
    </w:p>
    <w:p w14:paraId="084398E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系统完整留存问询交互日志，自动汇总问询数据，统计高频问题并输出分类分析结果，实现公众咨询服务全流程可追溯。</w:t>
      </w:r>
    </w:p>
    <w:p w14:paraId="57C256B4">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地震科普场馆信息发布</w:t>
      </w:r>
    </w:p>
    <w:p w14:paraId="384078D8">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场馆信息基础数据支撑</w:t>
      </w:r>
    </w:p>
    <w:p w14:paraId="02373BB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系统应存储全市地震科普场馆的基础信息，包含地址、开放时段、预约渠道、展项、联系方式及发布状态等数据；支持场馆信息的新增录入、编辑更新以及失效撤档信息删除。</w:t>
      </w:r>
    </w:p>
    <w:p w14:paraId="494A3195">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场馆信息公开展示</w:t>
      </w:r>
    </w:p>
    <w:p w14:paraId="57D2C7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依托GIS空间数据生成场馆分布专题图，实现点位布局可视化；公众可按区域、类型检索场馆信息，查阅场馆介绍、开放及预约等详情，前端地图还可对场馆地理位置进行定位可视化展示。</w:t>
      </w:r>
    </w:p>
    <w:p w14:paraId="6E820A64">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发布信息动态运维</w:t>
      </w:r>
    </w:p>
    <w:p w14:paraId="097AFDB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系统应支持实时更新场馆开闭馆、改造、预约规则变更等动态信息，支持场馆信息的前端上架对外公开展示与下架停止对外展示操作，可查询场馆发布状态、上下架时间及相关运维记录。</w:t>
      </w:r>
    </w:p>
    <w:p w14:paraId="160E83E4">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地震科普资源集约化发布</w:t>
      </w:r>
    </w:p>
    <w:p w14:paraId="314D2A3E">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科普资源基础数据支撑</w:t>
      </w:r>
    </w:p>
    <w:p w14:paraId="67D79F0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应建立地震科普资源素材库，存储图文、短视频、手册、课件等各类科普资源文件及属性信息，支持分类归档管理；建立地震科普发布操作日志库，记录地震科普素材上架、编辑、下架全量操作日志，归集科普发布台账，支撑全流程溯源管理。</w:t>
      </w:r>
    </w:p>
    <w:p w14:paraId="082F5410">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科普素材采编审核</w:t>
      </w:r>
    </w:p>
    <w:p w14:paraId="068E436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上传科普资源文件并录入属性、受众分类信息，可编辑更新素材相关属性，删除违规、涉密及过时失效素材；对素材开展合规审核，剔除不合格内容，审核通过后纳入发布资源库，并按受众类型、资源形式完成分类归档，后台可依据分类、名称检索科普资源，查看资源详情及审核状态。</w:t>
      </w:r>
    </w:p>
    <w:p w14:paraId="4C2F1B63">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分级分类对外发布</w:t>
      </w:r>
    </w:p>
    <w:p w14:paraId="0919C3B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系统可针对社区、校园、企业等不同受众差异化编排科普素材，并按受众分类定向对外发布；公众可在线浏览科普资源，按资源类型、受众标签检索内容，支持公开电子资料下载与外部渠道分享。</w:t>
      </w:r>
    </w:p>
    <w:p w14:paraId="6CE49068">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全流程留痕</w:t>
      </w:r>
    </w:p>
    <w:p w14:paraId="4DC0F6F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完整记录素材上架、编辑、下架</w:t>
      </w:r>
      <w:r>
        <w:rPr>
          <w:rFonts w:hint="eastAsia" w:ascii="宋体" w:hAnsi="宋体" w:eastAsia="宋体" w:cs="宋体"/>
          <w:strike w:val="0"/>
          <w:dstrike w:val="0"/>
          <w:color w:val="auto"/>
          <w:sz w:val="24"/>
          <w:szCs w:val="24"/>
          <w:lang w:val="en-US" w:eastAsia="zh-CN"/>
        </w:rPr>
        <w:t>相关</w:t>
      </w:r>
      <w:r>
        <w:rPr>
          <w:rFonts w:hint="eastAsia" w:ascii="宋体" w:hAnsi="宋体" w:eastAsia="宋体" w:cs="宋体"/>
          <w:sz w:val="24"/>
          <w:szCs w:val="24"/>
          <w:lang w:val="en-US" w:eastAsia="zh-CN"/>
        </w:rPr>
        <w:t>信息，自动生成科普资源管理台账，可追溯单条素材从采编、审核、发布到下线的全生命周期，落实内容管理留痕要求。</w:t>
      </w:r>
    </w:p>
    <w:p w14:paraId="590EDBDC">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公共服务信息查询发布</w:t>
      </w:r>
    </w:p>
    <w:p w14:paraId="27595DA3">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基础数据支撑</w:t>
      </w:r>
    </w:p>
    <w:p w14:paraId="59517BF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汇聚可公开防震减灾信息资源，包含历史地震目录、地震动参数、地震安全性评价资料、政策法规等；</w:t>
      </w:r>
      <w:r>
        <w:rPr>
          <w:rFonts w:hint="eastAsia" w:ascii="宋体" w:hAnsi="宋体" w:eastAsia="宋体" w:cs="宋体"/>
          <w:strike w:val="0"/>
          <w:dstrike w:val="0"/>
          <w:color w:val="auto"/>
          <w:sz w:val="24"/>
          <w:szCs w:val="24"/>
          <w:lang w:val="en-US" w:eastAsia="zh-CN"/>
        </w:rPr>
        <w:t>各</w:t>
      </w:r>
      <w:r>
        <w:rPr>
          <w:rFonts w:hint="eastAsia" w:ascii="宋体" w:hAnsi="宋体" w:eastAsia="宋体" w:cs="宋体"/>
          <w:color w:val="auto"/>
          <w:sz w:val="24"/>
          <w:szCs w:val="24"/>
          <w:lang w:val="en-US" w:eastAsia="zh-CN"/>
        </w:rPr>
        <w:t>参数</w:t>
      </w:r>
      <w:r>
        <w:rPr>
          <w:rFonts w:hint="eastAsia" w:ascii="宋体" w:hAnsi="宋体" w:eastAsia="宋体" w:cs="宋体"/>
          <w:sz w:val="24"/>
          <w:szCs w:val="24"/>
          <w:lang w:val="en-US" w:eastAsia="zh-CN"/>
        </w:rPr>
        <w:t>需衔接国家、省级有关业务系统，保证数据源权威一致。</w:t>
      </w:r>
    </w:p>
    <w:p w14:paraId="161554F9">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历史地震目录信息</w:t>
      </w:r>
      <w:r>
        <w:rPr>
          <w:rFonts w:hint="eastAsia" w:ascii="宋体" w:hAnsi="宋体" w:eastAsia="宋体" w:cs="宋体"/>
          <w:sz w:val="24"/>
          <w:szCs w:val="24"/>
          <w:lang w:val="en-US" w:eastAsia="zh-CN"/>
        </w:rPr>
        <w:t>查询</w:t>
      </w:r>
    </w:p>
    <w:p w14:paraId="2F83632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提供历史地震目录查询服务，优化页面交互体验，可同步查询历史地震相关资料。</w:t>
      </w:r>
    </w:p>
    <w:p w14:paraId="6DCA4C6F">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sz w:val="24"/>
          <w:szCs w:val="24"/>
          <w:lang w:val="en-US" w:eastAsia="zh-CN"/>
        </w:rPr>
        <w:t>一般工程地震动参数查询</w:t>
      </w:r>
    </w:p>
    <w:p w14:paraId="54C344F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提供一般工程地震动参数查询功能，并优化界面和交互功能。</w:t>
      </w:r>
    </w:p>
    <w:p w14:paraId="2E46FFCD">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政策法规</w:t>
      </w:r>
      <w:r>
        <w:rPr>
          <w:rFonts w:hint="eastAsia" w:ascii="宋体" w:hAnsi="宋体" w:eastAsia="宋体" w:cs="宋体"/>
          <w:sz w:val="24"/>
          <w:szCs w:val="24"/>
          <w:lang w:val="en-US" w:eastAsia="zh-CN"/>
        </w:rPr>
        <w:t>查询</w:t>
      </w:r>
    </w:p>
    <w:p w14:paraId="12E752C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实现防震减灾法规政策检索、在线预览与文件下载。业务人员可在后台提交资料并开展合规审核，支持动态更新文件，对废止、修订文件及时下架。</w:t>
      </w:r>
    </w:p>
    <w:p w14:paraId="4237BA73">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全类型内容可视化采编</w:t>
      </w:r>
    </w:p>
    <w:p w14:paraId="015097E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可视化采编防震减灾政务信息功能，支持政务信息模板的新增、修改、删除与选用以快速套版生成稿件；可一键导入文档解析生成初稿，对稿件图片自动自适应压缩，能够配置稿件水印样式与排版参数，支持移动端效果预览校验适配情况，编辑完成的稿件可保存至系统，便于后续修改发布。</w:t>
      </w:r>
    </w:p>
    <w:p w14:paraId="39DAC4C0">
      <w:pPr>
        <w:pStyle w:val="3"/>
        <w:numPr>
          <w:ilvl w:val="0"/>
          <w:numId w:val="3"/>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AI智慧问答入口</w:t>
      </w:r>
    </w:p>
    <w:p w14:paraId="2BC4EB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平台配套搭建AI智慧问答统一交互入口，作为全系统智能化总调度枢纽，支持文字、语音自然语言智能交互，可一键调度监测查询、专题制图、报告生成、资料检索、风险评估等全平台功能，智能输出报表、图表、专业报告等各类成果，简化业务操作流程、打通各系统数据与功能壁垒。  </w:t>
      </w:r>
    </w:p>
    <w:p w14:paraId="2090A1F1">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交互入口管理</w:t>
      </w:r>
    </w:p>
    <w:p w14:paraId="6841B4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供AI智能问答的便捷接入与个性化交互配置，在主界面集成常驻问答悬浮窗，支持一键唤起、收起及快速开关；语音播报适配依托政务合规语音引擎，将答复文本转语音，支持语速音量调节、暂停继续、音色切换和播报前预览；同时支持窗口大小、停靠位置、主题配色、高频问题快捷入口、默认输入方式、语音播报开关及答复格式等个性化设置。</w:t>
      </w:r>
    </w:p>
    <w:p w14:paraId="014C77E1">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智能对话运维管理</w:t>
      </w:r>
    </w:p>
    <w:p w14:paraId="29BFAA66">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对话数据与台账归档管理</w:t>
      </w:r>
    </w:p>
    <w:p w14:paraId="0EE0893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建设会话交互台账库、反馈工单库、收藏标签库，存储全量问答日志、反馈工单及收藏标签；交互结束自动归档，支持按时间、账号、关键词检索溯源，收藏打标与筛选，单条/批量导出，批量删除过期会话。</w:t>
      </w:r>
    </w:p>
    <w:p w14:paraId="6AD02E32">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多轮对话与上下文解析</w:t>
      </w:r>
    </w:p>
    <w:p w14:paraId="0D4471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单次会话留存上下文，支持递进追问、打断重开、历史会话接续；自动记忆关键词、业务场景与历史提问，识别指代、补齐语义，识别重复同义问询，生成连贯精准的多轮答复。</w:t>
      </w:r>
    </w:p>
    <w:p w14:paraId="60BAB269">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反馈工单闭环管理</w:t>
      </w:r>
    </w:p>
    <w:p w14:paraId="793484E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内置反馈入口，用户提交文字反馈并自动绑定会话，系统生成整改工单；用户可查处理状态与结果，办结自动通知；运维可处置更新，支持流转记录查看与统计看板。</w:t>
      </w:r>
    </w:p>
    <w:p w14:paraId="7073F98A">
      <w:pPr>
        <w:pStyle w:val="5"/>
        <w:keepNext/>
        <w:keepLines/>
        <w:pageBreakBefore w:val="0"/>
        <w:widowControl w:val="0"/>
        <w:numPr>
          <w:ilvl w:val="2"/>
          <w:numId w:val="3"/>
        </w:numPr>
        <w:kinsoku/>
        <w:wordWrap/>
        <w:overflowPunct/>
        <w:topLinePunct w:val="0"/>
        <w:autoSpaceDE/>
        <w:autoSpaceDN/>
        <w:bidi w:val="0"/>
        <w:adjustRightInd/>
        <w:snapToGrid/>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会话辅助能力管理</w:t>
      </w:r>
    </w:p>
    <w:p w14:paraId="252B4E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输入时推荐相似高频问题，降低输入成本；页面刷新或异常退出后，自动恢复未结束会话，延续原有交互进程。</w:t>
      </w:r>
    </w:p>
    <w:p w14:paraId="6E2824E5">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地震业务自然语言理解</w:t>
      </w:r>
    </w:p>
    <w:p w14:paraId="774A5600">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语义模型基础数据支撑</w:t>
      </w:r>
    </w:p>
    <w:p w14:paraId="53FB3F3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应包含地震行业语料术语库与歧义处置规则库；地震行业语料术语库存放防震减灾专属语料、专业术语释义、业务意图识别规则及官方答复口径，支撑语义理解与意图识别；歧义处置规则库存储歧义提问判定规则、引导话术、人工兜底对接流程规则，实现复杂问询的合规处置。</w:t>
      </w:r>
    </w:p>
    <w:p w14:paraId="28B1F58D">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业务领域意图识别</w:t>
      </w:r>
    </w:p>
    <w:p w14:paraId="7736C48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应依托行业语料库精准识别各类地震业务问询意图，自动过滤无效及无关提问并返回引导提示，依据识别意图匹配官方答复口径，同时对答复开展置信度评估，对低置信度结果标注风险提示，提醒用户核实。</w:t>
      </w:r>
    </w:p>
    <w:p w14:paraId="1CBC120D">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复杂业务问题拆解解析</w:t>
      </w:r>
    </w:p>
    <w:p w14:paraId="6EC9AEB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可对复合型、长文本业务问询自动拆分多层业务诉求，梳理核心问询点；分步匹配知识库与业务接口，逐项生成答复并整合输出完整结果，避免答复碎片化。</w:t>
      </w:r>
    </w:p>
    <w:p w14:paraId="5152AAEF">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行业专属语义理解</w:t>
      </w:r>
    </w:p>
    <w:p w14:paraId="04BDC3B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可识别地震行业专有术语，规避通用AI解读偏差；答复涉及专业术语时可自动关联展示官方标准释义，方便非专业人员阅读理解。</w:t>
      </w:r>
    </w:p>
    <w:p w14:paraId="40DFAC6D">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问询歧义甄别处置</w:t>
      </w:r>
    </w:p>
    <w:p w14:paraId="630E73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可自动甄别多释义、模糊、简写类提问存在的语义偏差与歧义点，歧义无法自动判定时主动引导用户补充信息以明确诉求，复杂歧义问题兜底推送人工运维对接入口，保障问答合规准确。</w:t>
      </w:r>
    </w:p>
    <w:p w14:paraId="434D164F">
      <w:pPr>
        <w:pStyle w:val="4"/>
        <w:keepNext/>
        <w:keepLines/>
        <w:pageBreakBefore w:val="0"/>
        <w:widowControl w:val="0"/>
        <w:numPr>
          <w:ilvl w:val="2"/>
          <w:numId w:val="3"/>
        </w:numPr>
        <w:kinsoku/>
        <w:wordWrap/>
        <w:overflowPunct/>
        <w:topLinePunct w:val="0"/>
        <w:autoSpaceDE/>
        <w:autoSpaceDN/>
        <w:bidi w:val="0"/>
        <w:adjustRightInd/>
        <w:snapToGrid/>
        <w:spacing w:line="520" w:lineRule="exact"/>
        <w:ind w:left="709" w:leftChars="0" w:hanging="709"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语义能力运维管理</w:t>
      </w:r>
    </w:p>
    <w:p w14:paraId="4707C3E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语义能力运维管理支持在运维后台对行业语料问答样本进行新增、编辑、删除等操作；可动态对地震行业专业术语执行新增、编辑释义分类关联关系、废止过时术语、查询术语全量明细；支持对意图识别规则、歧义处置规则分别开展新增、编辑、删除及列表查询维护工作。</w:t>
      </w:r>
    </w:p>
    <w:p w14:paraId="7516BC52">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系统能力联动集成</w:t>
      </w:r>
    </w:p>
    <w:p w14:paraId="5F65561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系统应支持通过统一接口配置与授权调用，联通各业务子系统和GIS、制图引擎，可按自然语言问答诉求调取地震监测预报预警、探查区划评估、地震应急响应处置、公共服务等业务数据并触发后台功能联动；用户提问即可完成台账查询、统计图表生成、评估报告导出、资料下载、地图定位以及检索、导出、日志调取等轻量任务；系统还应支持将空间专题图、统计图表、台账清单与文字答复整合输出，并支持简报、公文、图表台账、通俗解读等格式自适应呈现，形成图文联动、多格式输出的完整问答服务。</w:t>
      </w:r>
    </w:p>
    <w:p w14:paraId="4B160428">
      <w:pPr>
        <w:pStyle w:val="3"/>
        <w:numPr>
          <w:ilvl w:val="0"/>
          <w:numId w:val="3"/>
        </w:num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公众服务移动端（皖事通）优化</w:t>
      </w:r>
    </w:p>
    <w:p w14:paraId="3E43BC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本模块面向皖事通移动端，聚焦轻量化便民服务，在原有的历史震情信息查询、地震动参数区划图查询、地震安评信息查询、政策法规查询等功能的基础上，新增地震科普问答、地震科普场馆导览及相关信息查询服务功能，并能实现与PC端后台数据同步和业务协同，进一步提升防震减灾公共服务便捷度与覆盖面。</w:t>
      </w:r>
    </w:p>
    <w:p w14:paraId="6D2D2751">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移动端科普问答服务</w:t>
      </w:r>
    </w:p>
    <w:p w14:paraId="67917A8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应实现移动端提供轻量化问答交互窗口作为公众问询入口，同步后台审核发布的科普知识库及标准化答疑内容，确保移动端与PC端答疑口径一致；支持公众通过文字、语音两种方式提交问询；应支持问询记录移动端同步，在移动端本地留存公众问询交互日志，并自动同步至业务后台；可接收后台更新的答疑内容完成本地问答口径同步；支持公众在移动端查询个人历史问询记录及对应答复。</w:t>
      </w:r>
    </w:p>
    <w:p w14:paraId="10A67A8F">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科普场馆移动端导览</w:t>
      </w:r>
    </w:p>
    <w:p w14:paraId="59B25B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应包含全市各类地震科普场馆基本信息，包括但不限于名称、位置、开放时间、预约方式、展项介绍等基础信息，场馆资源库由PC后台维护，移动端同步读取，服务公众查阅；支持调用导航服务，用于点位展示与路线规划，结合用户位置与场馆空间坐标生成导航路线；支持同步后台发布的场馆动态公告，并以合适的方式向用户推送提示。</w:t>
      </w:r>
    </w:p>
    <w:p w14:paraId="21766D6F">
      <w:pPr>
        <w:pStyle w:val="4"/>
        <w:keepNext/>
        <w:keepLines/>
        <w:pageBreakBefore w:val="0"/>
        <w:widowControl w:val="0"/>
        <w:numPr>
          <w:ilvl w:val="1"/>
          <w:numId w:val="3"/>
        </w:numPr>
        <w:kinsoku/>
        <w:wordWrap/>
        <w:overflowPunct/>
        <w:topLinePunct w:val="0"/>
        <w:autoSpaceDE/>
        <w:autoSpaceDN/>
        <w:bidi w:val="0"/>
        <w:adjustRightInd/>
        <w:snapToGrid/>
        <w:spacing w:line="520" w:lineRule="exact"/>
        <w:ind w:left="567" w:leftChars="0" w:hanging="567" w:firstLineChars="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移动端信息查询</w:t>
      </w:r>
    </w:p>
    <w:p w14:paraId="142F799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应支持移动端用户查询、检索历史地震目录、地震动参数、已公开的地震区评参数、防震减灾政策法规、工作动态资讯等资源，并对交互方式进行优化；支持用户订阅防震减灾政务信息；支持移动端下载查询检索结果。</w:t>
      </w:r>
    </w:p>
    <w:p w14:paraId="02683A0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采购需求清单</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4047"/>
        <w:gridCol w:w="1460"/>
        <w:gridCol w:w="2079"/>
      </w:tblGrid>
      <w:tr w14:paraId="54E9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8651A4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序号</w:t>
            </w:r>
          </w:p>
        </w:tc>
        <w:tc>
          <w:tcPr>
            <w:tcW w:w="4123" w:type="dxa"/>
            <w:noWrap w:val="0"/>
            <w:vAlign w:val="top"/>
          </w:tcPr>
          <w:p w14:paraId="5FB30BC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内容</w:t>
            </w:r>
          </w:p>
        </w:tc>
        <w:tc>
          <w:tcPr>
            <w:tcW w:w="1472" w:type="dxa"/>
            <w:noWrap w:val="0"/>
            <w:vAlign w:val="top"/>
          </w:tcPr>
          <w:p w14:paraId="684509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数量（套）</w:t>
            </w:r>
          </w:p>
        </w:tc>
        <w:tc>
          <w:tcPr>
            <w:tcW w:w="2111" w:type="dxa"/>
            <w:noWrap w:val="0"/>
            <w:vAlign w:val="top"/>
          </w:tcPr>
          <w:p w14:paraId="4CADCAB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备注</w:t>
            </w:r>
          </w:p>
        </w:tc>
      </w:tr>
      <w:tr w14:paraId="5194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33E243D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1.地震监测综合管理子系统</w:t>
            </w:r>
          </w:p>
        </w:tc>
      </w:tr>
      <w:tr w14:paraId="3A8D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FEC3B2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sz w:val="24"/>
                <w:szCs w:val="24"/>
                <w:vertAlign w:val="baseline"/>
                <w:lang w:val="en-US" w:eastAsia="zh-CN"/>
              </w:rPr>
              <w:t>1.1</w:t>
            </w:r>
          </w:p>
        </w:tc>
        <w:tc>
          <w:tcPr>
            <w:tcW w:w="4123" w:type="dxa"/>
            <w:noWrap w:val="0"/>
            <w:vAlign w:val="top"/>
          </w:tcPr>
          <w:p w14:paraId="190388B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地震监测台站运维</w:t>
            </w:r>
          </w:p>
        </w:tc>
        <w:tc>
          <w:tcPr>
            <w:tcW w:w="1472" w:type="dxa"/>
            <w:noWrap w:val="0"/>
            <w:vAlign w:val="top"/>
          </w:tcPr>
          <w:p w14:paraId="3C5B112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71196F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450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435E36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1.1.1</w:t>
            </w:r>
          </w:p>
        </w:tc>
        <w:tc>
          <w:tcPr>
            <w:tcW w:w="4123" w:type="dxa"/>
            <w:noWrap w:val="0"/>
            <w:vAlign w:val="top"/>
          </w:tcPr>
          <w:p w14:paraId="1324AE0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地震监测台站态势感知</w:t>
            </w:r>
          </w:p>
        </w:tc>
        <w:tc>
          <w:tcPr>
            <w:tcW w:w="1472" w:type="dxa"/>
            <w:noWrap w:val="0"/>
            <w:vAlign w:val="top"/>
          </w:tcPr>
          <w:p w14:paraId="2949194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3F1738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1404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670050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1.1.2</w:t>
            </w:r>
          </w:p>
        </w:tc>
        <w:tc>
          <w:tcPr>
            <w:tcW w:w="4123" w:type="dxa"/>
            <w:noWrap w:val="0"/>
            <w:vAlign w:val="top"/>
          </w:tcPr>
          <w:p w14:paraId="36B468E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地震监测实时数据处理分析</w:t>
            </w:r>
          </w:p>
        </w:tc>
        <w:tc>
          <w:tcPr>
            <w:tcW w:w="1472" w:type="dxa"/>
            <w:noWrap w:val="0"/>
            <w:vAlign w:val="top"/>
          </w:tcPr>
          <w:p w14:paraId="4231C86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2C65C2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4D52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6E7037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1.1.3</w:t>
            </w:r>
          </w:p>
        </w:tc>
        <w:tc>
          <w:tcPr>
            <w:tcW w:w="4123" w:type="dxa"/>
            <w:noWrap w:val="0"/>
            <w:vAlign w:val="top"/>
          </w:tcPr>
          <w:p w14:paraId="484C8EA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台站监测设备运行状况</w:t>
            </w:r>
          </w:p>
        </w:tc>
        <w:tc>
          <w:tcPr>
            <w:tcW w:w="1472" w:type="dxa"/>
            <w:noWrap w:val="0"/>
            <w:vAlign w:val="top"/>
          </w:tcPr>
          <w:p w14:paraId="6D1279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9AD809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11E5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7E73D8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1.1.4</w:t>
            </w:r>
          </w:p>
        </w:tc>
        <w:tc>
          <w:tcPr>
            <w:tcW w:w="4123" w:type="dxa"/>
            <w:noWrap w:val="0"/>
            <w:vAlign w:val="top"/>
          </w:tcPr>
          <w:p w14:paraId="63F0FA2F">
            <w:pPr>
              <w:pStyle w:val="5"/>
              <w:keepNext/>
              <w:keepLines/>
              <w:pageBreakBefore w:val="0"/>
              <w:widowControl w:val="0"/>
              <w:numPr>
                <w:ilvl w:val="0"/>
                <w:numId w:val="0"/>
              </w:numPr>
              <w:kinsoku/>
              <w:wordWrap/>
              <w:overflowPunct/>
              <w:topLinePunct w:val="0"/>
              <w:autoSpaceDE/>
              <w:autoSpaceDN/>
              <w:bidi w:val="0"/>
              <w:adjustRightInd/>
              <w:snapToGrid/>
              <w:ind w:leftChars="0"/>
              <w:jc w:val="center"/>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台站观测环境保护管理</w:t>
            </w:r>
          </w:p>
        </w:tc>
        <w:tc>
          <w:tcPr>
            <w:tcW w:w="1472" w:type="dxa"/>
            <w:noWrap w:val="0"/>
            <w:vAlign w:val="top"/>
          </w:tcPr>
          <w:p w14:paraId="2BE01B4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ECCD1F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58E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C09E9F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1.2</w:t>
            </w:r>
          </w:p>
        </w:tc>
        <w:tc>
          <w:tcPr>
            <w:tcW w:w="4123" w:type="dxa"/>
            <w:noWrap w:val="0"/>
            <w:vAlign w:val="top"/>
          </w:tcPr>
          <w:p w14:paraId="4A9E72E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地震宏观观测点运维</w:t>
            </w:r>
          </w:p>
        </w:tc>
        <w:tc>
          <w:tcPr>
            <w:tcW w:w="1472" w:type="dxa"/>
            <w:noWrap w:val="0"/>
            <w:vAlign w:val="top"/>
          </w:tcPr>
          <w:p w14:paraId="39F6209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302F03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53A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91AEBF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1.2.1</w:t>
            </w:r>
          </w:p>
        </w:tc>
        <w:tc>
          <w:tcPr>
            <w:tcW w:w="4123" w:type="dxa"/>
            <w:noWrap w:val="0"/>
            <w:vAlign w:val="top"/>
          </w:tcPr>
          <w:p w14:paraId="12F5F30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宏观观测点位综合管理</w:t>
            </w:r>
          </w:p>
        </w:tc>
        <w:tc>
          <w:tcPr>
            <w:tcW w:w="1472" w:type="dxa"/>
            <w:noWrap w:val="0"/>
            <w:vAlign w:val="top"/>
          </w:tcPr>
          <w:p w14:paraId="1DBA85C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8D18D0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3FA0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AC3B99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1.2.2</w:t>
            </w:r>
          </w:p>
        </w:tc>
        <w:tc>
          <w:tcPr>
            <w:tcW w:w="4123" w:type="dxa"/>
            <w:noWrap w:val="0"/>
            <w:vAlign w:val="top"/>
          </w:tcPr>
          <w:p w14:paraId="78939CD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观测点运行简报生成</w:t>
            </w:r>
          </w:p>
        </w:tc>
        <w:tc>
          <w:tcPr>
            <w:tcW w:w="1472" w:type="dxa"/>
            <w:noWrap w:val="0"/>
            <w:vAlign w:val="top"/>
          </w:tcPr>
          <w:p w14:paraId="3B27008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38D1D9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519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99F0EC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1.2.3</w:t>
            </w:r>
          </w:p>
        </w:tc>
        <w:tc>
          <w:tcPr>
            <w:tcW w:w="4123" w:type="dxa"/>
            <w:noWrap w:val="0"/>
            <w:vAlign w:val="top"/>
          </w:tcPr>
          <w:p w14:paraId="3A2642F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宏观异常处置管理</w:t>
            </w:r>
          </w:p>
        </w:tc>
        <w:tc>
          <w:tcPr>
            <w:tcW w:w="1472" w:type="dxa"/>
            <w:noWrap w:val="0"/>
            <w:vAlign w:val="top"/>
          </w:tcPr>
          <w:p w14:paraId="405F163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4ABC44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687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83785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1.2.4</w:t>
            </w:r>
          </w:p>
        </w:tc>
        <w:tc>
          <w:tcPr>
            <w:tcW w:w="4123" w:type="dxa"/>
            <w:noWrap w:val="0"/>
            <w:vAlign w:val="top"/>
          </w:tcPr>
          <w:p w14:paraId="7BECF63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kern w:val="2"/>
                <w:sz w:val="24"/>
                <w:szCs w:val="24"/>
                <w:vertAlign w:val="baseline"/>
                <w:lang w:val="en-US" w:eastAsia="zh-CN" w:bidi="ar-SA"/>
              </w:rPr>
            </w:pPr>
            <w:r>
              <w:rPr>
                <w:rFonts w:hint="eastAsia" w:ascii="宋体" w:hAnsi="宋体" w:eastAsia="宋体" w:cs="宋体"/>
                <w:b w:val="0"/>
                <w:bCs/>
                <w:kern w:val="2"/>
                <w:sz w:val="24"/>
                <w:szCs w:val="24"/>
                <w:vertAlign w:val="baseline"/>
                <w:lang w:val="en-US" w:eastAsia="zh-CN" w:bidi="ar-SA"/>
              </w:rPr>
              <w:t>观测人员综合管理</w:t>
            </w:r>
          </w:p>
        </w:tc>
        <w:tc>
          <w:tcPr>
            <w:tcW w:w="1472" w:type="dxa"/>
            <w:noWrap w:val="0"/>
            <w:vAlign w:val="top"/>
          </w:tcPr>
          <w:p w14:paraId="3CEEB03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99FC22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503A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43DE13A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2.地震趋势分析子系统</w:t>
            </w:r>
          </w:p>
        </w:tc>
      </w:tr>
      <w:tr w14:paraId="1E64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0D5144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2.1</w:t>
            </w:r>
          </w:p>
        </w:tc>
        <w:tc>
          <w:tcPr>
            <w:tcW w:w="4123" w:type="dxa"/>
            <w:noWrap w:val="0"/>
            <w:vAlign w:val="top"/>
          </w:tcPr>
          <w:p w14:paraId="0C25B941">
            <w:pPr>
              <w:pStyle w:val="4"/>
              <w:keepNext/>
              <w:keepLines/>
              <w:pageBreakBefore w:val="0"/>
              <w:widowControl w:val="0"/>
              <w:numPr>
                <w:ilvl w:val="0"/>
                <w:numId w:val="0"/>
              </w:numPr>
              <w:kinsoku/>
              <w:wordWrap/>
              <w:overflowPunct/>
              <w:topLinePunct w:val="0"/>
              <w:autoSpaceDE/>
              <w:autoSpaceDN/>
              <w:bidi w:val="0"/>
              <w:adjustRightInd/>
              <w:snapToGrid/>
              <w:spacing w:line="520" w:lineRule="exact"/>
              <w:ind w:leftChars="0"/>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kern w:val="2"/>
                <w:sz w:val="24"/>
                <w:szCs w:val="24"/>
                <w:vertAlign w:val="baseline"/>
                <w:lang w:val="en-US" w:eastAsia="zh-CN" w:bidi="ar-SA"/>
              </w:rPr>
              <w:t>地震趋势AI智能分析研判</w:t>
            </w:r>
          </w:p>
        </w:tc>
        <w:tc>
          <w:tcPr>
            <w:tcW w:w="1472" w:type="dxa"/>
            <w:noWrap w:val="0"/>
            <w:vAlign w:val="top"/>
          </w:tcPr>
          <w:p w14:paraId="00DF197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CCD421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372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B0D571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2.1.1</w:t>
            </w:r>
          </w:p>
        </w:tc>
        <w:tc>
          <w:tcPr>
            <w:tcW w:w="4123" w:type="dxa"/>
            <w:noWrap w:val="0"/>
            <w:vAlign w:val="top"/>
          </w:tcPr>
          <w:p w14:paraId="6772A8A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测震学指标智能批量运算</w:t>
            </w:r>
          </w:p>
        </w:tc>
        <w:tc>
          <w:tcPr>
            <w:tcW w:w="1472" w:type="dxa"/>
            <w:noWrap w:val="0"/>
            <w:vAlign w:val="top"/>
          </w:tcPr>
          <w:p w14:paraId="2624A0A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DD9F0B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43A3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69C413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2.1.2</w:t>
            </w:r>
          </w:p>
        </w:tc>
        <w:tc>
          <w:tcPr>
            <w:tcW w:w="4123" w:type="dxa"/>
            <w:noWrap w:val="0"/>
            <w:vAlign w:val="top"/>
          </w:tcPr>
          <w:p w14:paraId="44119AA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地球物理多学科异常指标分析</w:t>
            </w:r>
          </w:p>
        </w:tc>
        <w:tc>
          <w:tcPr>
            <w:tcW w:w="1472" w:type="dxa"/>
            <w:noWrap w:val="0"/>
            <w:vAlign w:val="top"/>
          </w:tcPr>
          <w:p w14:paraId="583F5D5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DE0BE6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0F9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06FD9F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2.1.3</w:t>
            </w:r>
          </w:p>
        </w:tc>
        <w:tc>
          <w:tcPr>
            <w:tcW w:w="4123" w:type="dxa"/>
            <w:noWrap w:val="0"/>
            <w:vAlign w:val="top"/>
          </w:tcPr>
          <w:p w14:paraId="713D337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智能会商研判辅助分析</w:t>
            </w:r>
          </w:p>
        </w:tc>
        <w:tc>
          <w:tcPr>
            <w:tcW w:w="1472" w:type="dxa"/>
            <w:noWrap w:val="0"/>
            <w:vAlign w:val="top"/>
          </w:tcPr>
          <w:p w14:paraId="4EEE2F8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7E9571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D37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1A57F6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2.2</w:t>
            </w:r>
          </w:p>
        </w:tc>
        <w:tc>
          <w:tcPr>
            <w:tcW w:w="4123" w:type="dxa"/>
            <w:noWrap w:val="0"/>
            <w:vAlign w:val="top"/>
          </w:tcPr>
          <w:p w14:paraId="6FB2846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震后快速分析研判</w:t>
            </w:r>
          </w:p>
        </w:tc>
        <w:tc>
          <w:tcPr>
            <w:tcW w:w="1472" w:type="dxa"/>
            <w:noWrap w:val="0"/>
            <w:vAlign w:val="top"/>
          </w:tcPr>
          <w:p w14:paraId="4F56DBB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2A599F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1F5A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A82856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2.2.1</w:t>
            </w:r>
          </w:p>
        </w:tc>
        <w:tc>
          <w:tcPr>
            <w:tcW w:w="4123" w:type="dxa"/>
            <w:noWrap w:val="0"/>
            <w:vAlign w:val="top"/>
          </w:tcPr>
          <w:p w14:paraId="73680DC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震情速报数据对接同步</w:t>
            </w:r>
          </w:p>
        </w:tc>
        <w:tc>
          <w:tcPr>
            <w:tcW w:w="1472" w:type="dxa"/>
            <w:noWrap w:val="0"/>
            <w:vAlign w:val="top"/>
          </w:tcPr>
          <w:p w14:paraId="74B6F9A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4133D4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3888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1FFED0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2.2.2</w:t>
            </w:r>
          </w:p>
        </w:tc>
        <w:tc>
          <w:tcPr>
            <w:tcW w:w="4123" w:type="dxa"/>
            <w:noWrap w:val="0"/>
            <w:vAlign w:val="top"/>
          </w:tcPr>
          <w:p w14:paraId="5906990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震后快速分析研判</w:t>
            </w:r>
          </w:p>
        </w:tc>
        <w:tc>
          <w:tcPr>
            <w:tcW w:w="1472" w:type="dxa"/>
            <w:noWrap w:val="0"/>
            <w:vAlign w:val="top"/>
          </w:tcPr>
          <w:p w14:paraId="4A90B20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DF758F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5F60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4F89244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3.地震预警终端管理子系统</w:t>
            </w:r>
          </w:p>
        </w:tc>
      </w:tr>
      <w:tr w14:paraId="2B0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2C432C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3.1</w:t>
            </w:r>
          </w:p>
        </w:tc>
        <w:tc>
          <w:tcPr>
            <w:tcW w:w="4123" w:type="dxa"/>
            <w:noWrap w:val="0"/>
            <w:vAlign w:val="top"/>
          </w:tcPr>
          <w:p w14:paraId="3BAF1D9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全域终端可视化管控</w:t>
            </w:r>
          </w:p>
        </w:tc>
        <w:tc>
          <w:tcPr>
            <w:tcW w:w="1472" w:type="dxa"/>
            <w:noWrap w:val="0"/>
            <w:vAlign w:val="top"/>
          </w:tcPr>
          <w:p w14:paraId="6D035D8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864BE2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3D21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6F72D2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3.2</w:t>
            </w:r>
          </w:p>
        </w:tc>
        <w:tc>
          <w:tcPr>
            <w:tcW w:w="4123" w:type="dxa"/>
            <w:noWrap w:val="0"/>
            <w:vAlign w:val="top"/>
          </w:tcPr>
          <w:p w14:paraId="02EAD38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企业专题地震预警服务</w:t>
            </w:r>
          </w:p>
        </w:tc>
        <w:tc>
          <w:tcPr>
            <w:tcW w:w="1472" w:type="dxa"/>
            <w:noWrap w:val="0"/>
            <w:vAlign w:val="top"/>
          </w:tcPr>
          <w:p w14:paraId="3763FA9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46378F5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A5D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135FD51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4.地震构造探查子系统</w:t>
            </w:r>
          </w:p>
        </w:tc>
      </w:tr>
      <w:tr w14:paraId="0185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088317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4.1</w:t>
            </w:r>
          </w:p>
        </w:tc>
        <w:tc>
          <w:tcPr>
            <w:tcW w:w="4123" w:type="dxa"/>
            <w:noWrap w:val="0"/>
            <w:vAlign w:val="top"/>
          </w:tcPr>
          <w:p w14:paraId="6F40D57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断裂带与活动断层管理模块</w:t>
            </w:r>
          </w:p>
        </w:tc>
        <w:tc>
          <w:tcPr>
            <w:tcW w:w="1472" w:type="dxa"/>
            <w:noWrap w:val="0"/>
            <w:vAlign w:val="top"/>
          </w:tcPr>
          <w:p w14:paraId="71A09A6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E9C1D6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新增、升级</w:t>
            </w:r>
          </w:p>
        </w:tc>
      </w:tr>
      <w:tr w14:paraId="2717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FC5EC3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4.1.1</w:t>
            </w:r>
          </w:p>
        </w:tc>
        <w:tc>
          <w:tcPr>
            <w:tcW w:w="4123" w:type="dxa"/>
            <w:noWrap w:val="0"/>
            <w:vAlign w:val="top"/>
          </w:tcPr>
          <w:p w14:paraId="33EFADC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全域断裂带智能交互</w:t>
            </w:r>
          </w:p>
        </w:tc>
        <w:tc>
          <w:tcPr>
            <w:tcW w:w="1472" w:type="dxa"/>
            <w:noWrap w:val="0"/>
            <w:vAlign w:val="top"/>
          </w:tcPr>
          <w:p w14:paraId="05DC8F2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0C2E1A7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1BFC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5407F4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4.1.2</w:t>
            </w:r>
          </w:p>
        </w:tc>
        <w:tc>
          <w:tcPr>
            <w:tcW w:w="4123" w:type="dxa"/>
            <w:noWrap w:val="0"/>
            <w:vAlign w:val="top"/>
          </w:tcPr>
          <w:p w14:paraId="0F75226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重点活动断层精细填图</w:t>
            </w:r>
          </w:p>
        </w:tc>
        <w:tc>
          <w:tcPr>
            <w:tcW w:w="1472" w:type="dxa"/>
            <w:noWrap w:val="0"/>
            <w:vAlign w:val="top"/>
          </w:tcPr>
          <w:p w14:paraId="3BFC4E4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0A8AC6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3CD6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564DAD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4.1.3</w:t>
            </w:r>
          </w:p>
        </w:tc>
        <w:tc>
          <w:tcPr>
            <w:tcW w:w="4123" w:type="dxa"/>
            <w:noWrap w:val="0"/>
            <w:vAlign w:val="top"/>
          </w:tcPr>
          <w:p w14:paraId="1AA6DE7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重点断裂带三维建模展示</w:t>
            </w:r>
          </w:p>
        </w:tc>
        <w:tc>
          <w:tcPr>
            <w:tcW w:w="1472" w:type="dxa"/>
            <w:noWrap w:val="0"/>
            <w:vAlign w:val="top"/>
          </w:tcPr>
          <w:p w14:paraId="192116F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77C111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C37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1D03C6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4.2</w:t>
            </w:r>
          </w:p>
        </w:tc>
        <w:tc>
          <w:tcPr>
            <w:tcW w:w="4123" w:type="dxa"/>
            <w:noWrap w:val="0"/>
            <w:vAlign w:val="top"/>
          </w:tcPr>
          <w:p w14:paraId="49687F1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主城区地质体管理模块</w:t>
            </w:r>
          </w:p>
        </w:tc>
        <w:tc>
          <w:tcPr>
            <w:tcW w:w="1472" w:type="dxa"/>
            <w:noWrap w:val="0"/>
            <w:vAlign w:val="top"/>
          </w:tcPr>
          <w:p w14:paraId="7E411F5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AD3B11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新增、升级</w:t>
            </w:r>
          </w:p>
        </w:tc>
      </w:tr>
      <w:tr w14:paraId="7793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B45D4B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4.2.1</w:t>
            </w:r>
          </w:p>
        </w:tc>
        <w:tc>
          <w:tcPr>
            <w:tcW w:w="4123" w:type="dxa"/>
            <w:noWrap w:val="0"/>
            <w:vAlign w:val="top"/>
          </w:tcPr>
          <w:p w14:paraId="718107E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钻孔数据处理</w:t>
            </w:r>
          </w:p>
        </w:tc>
        <w:tc>
          <w:tcPr>
            <w:tcW w:w="1472" w:type="dxa"/>
            <w:noWrap w:val="0"/>
            <w:vAlign w:val="top"/>
          </w:tcPr>
          <w:p w14:paraId="37DFC58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04F06D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1199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A51222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4.2.2</w:t>
            </w:r>
          </w:p>
        </w:tc>
        <w:tc>
          <w:tcPr>
            <w:tcW w:w="4123" w:type="dxa"/>
            <w:noWrap w:val="0"/>
            <w:vAlign w:val="top"/>
          </w:tcPr>
          <w:p w14:paraId="57A9EAF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三维地质体模型构建</w:t>
            </w:r>
          </w:p>
        </w:tc>
        <w:tc>
          <w:tcPr>
            <w:tcW w:w="1472" w:type="dxa"/>
            <w:noWrap w:val="0"/>
            <w:vAlign w:val="top"/>
          </w:tcPr>
          <w:p w14:paraId="4E7C7B5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3BE11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41AD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2D8A03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4.2.3</w:t>
            </w:r>
          </w:p>
        </w:tc>
        <w:tc>
          <w:tcPr>
            <w:tcW w:w="4123" w:type="dxa"/>
            <w:noWrap w:val="0"/>
            <w:vAlign w:val="top"/>
          </w:tcPr>
          <w:p w14:paraId="354EBE7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三维地质模型可视化</w:t>
            </w:r>
          </w:p>
        </w:tc>
        <w:tc>
          <w:tcPr>
            <w:tcW w:w="1472" w:type="dxa"/>
            <w:noWrap w:val="0"/>
            <w:vAlign w:val="top"/>
          </w:tcPr>
          <w:p w14:paraId="13DB483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C909A3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C78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C67412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4.2.4</w:t>
            </w:r>
          </w:p>
        </w:tc>
        <w:tc>
          <w:tcPr>
            <w:tcW w:w="4123" w:type="dxa"/>
            <w:noWrap w:val="0"/>
            <w:vAlign w:val="top"/>
          </w:tcPr>
          <w:p w14:paraId="10C8D67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地震动加速度动态模拟</w:t>
            </w:r>
          </w:p>
        </w:tc>
        <w:tc>
          <w:tcPr>
            <w:tcW w:w="1472" w:type="dxa"/>
            <w:noWrap w:val="0"/>
            <w:vAlign w:val="top"/>
          </w:tcPr>
          <w:p w14:paraId="144B7C9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AFAFE2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230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11A869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4.3</w:t>
            </w:r>
          </w:p>
        </w:tc>
        <w:tc>
          <w:tcPr>
            <w:tcW w:w="4123" w:type="dxa"/>
            <w:noWrap w:val="0"/>
            <w:vAlign w:val="top"/>
          </w:tcPr>
          <w:p w14:paraId="594B079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构造探查资料库管理模块</w:t>
            </w:r>
          </w:p>
        </w:tc>
        <w:tc>
          <w:tcPr>
            <w:tcW w:w="1472" w:type="dxa"/>
            <w:noWrap w:val="0"/>
            <w:vAlign w:val="top"/>
          </w:tcPr>
          <w:p w14:paraId="528D69A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4C266D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33FB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5DF053E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5.地震灾害风险识别子系统</w:t>
            </w:r>
          </w:p>
        </w:tc>
      </w:tr>
      <w:tr w14:paraId="1E47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396B6D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5.1</w:t>
            </w:r>
          </w:p>
        </w:tc>
        <w:tc>
          <w:tcPr>
            <w:tcW w:w="4123" w:type="dxa"/>
            <w:noWrap w:val="0"/>
            <w:vAlign w:val="top"/>
          </w:tcPr>
          <w:p w14:paraId="1F6D79A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全域地震灾害风险普查应用</w:t>
            </w:r>
          </w:p>
        </w:tc>
        <w:tc>
          <w:tcPr>
            <w:tcW w:w="1472" w:type="dxa"/>
            <w:noWrap w:val="0"/>
            <w:vAlign w:val="top"/>
          </w:tcPr>
          <w:p w14:paraId="0CF44C8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66ECC9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6062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B32191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5.2</w:t>
            </w:r>
          </w:p>
        </w:tc>
        <w:tc>
          <w:tcPr>
            <w:tcW w:w="4123" w:type="dxa"/>
            <w:noWrap w:val="0"/>
            <w:vAlign w:val="top"/>
          </w:tcPr>
          <w:p w14:paraId="63EECDF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全域地震灾害损失预评估应用</w:t>
            </w:r>
          </w:p>
        </w:tc>
        <w:tc>
          <w:tcPr>
            <w:tcW w:w="1472" w:type="dxa"/>
            <w:noWrap w:val="0"/>
            <w:vAlign w:val="top"/>
          </w:tcPr>
          <w:p w14:paraId="5C5C053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DE74B3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F93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F0F1E3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5.3</w:t>
            </w:r>
          </w:p>
        </w:tc>
        <w:tc>
          <w:tcPr>
            <w:tcW w:w="4123" w:type="dxa"/>
            <w:noWrap w:val="0"/>
            <w:vAlign w:val="top"/>
          </w:tcPr>
          <w:p w14:paraId="55AD686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市、县地震小区划应用</w:t>
            </w:r>
          </w:p>
        </w:tc>
        <w:tc>
          <w:tcPr>
            <w:tcW w:w="1472" w:type="dxa"/>
            <w:noWrap w:val="0"/>
            <w:vAlign w:val="top"/>
          </w:tcPr>
          <w:p w14:paraId="4789EEE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66EC28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新增、升级</w:t>
            </w:r>
          </w:p>
        </w:tc>
      </w:tr>
      <w:tr w14:paraId="0C57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11B4DF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5.4</w:t>
            </w:r>
          </w:p>
        </w:tc>
        <w:tc>
          <w:tcPr>
            <w:tcW w:w="4123" w:type="dxa"/>
            <w:noWrap w:val="0"/>
            <w:vAlign w:val="top"/>
          </w:tcPr>
          <w:p w14:paraId="61049F5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地震安全性评价管理</w:t>
            </w:r>
          </w:p>
        </w:tc>
        <w:tc>
          <w:tcPr>
            <w:tcW w:w="1472" w:type="dxa"/>
            <w:noWrap w:val="0"/>
            <w:vAlign w:val="top"/>
          </w:tcPr>
          <w:p w14:paraId="17ED115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E91908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0D39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3758BC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5.5</w:t>
            </w:r>
          </w:p>
        </w:tc>
        <w:tc>
          <w:tcPr>
            <w:tcW w:w="4123" w:type="dxa"/>
            <w:noWrap w:val="0"/>
            <w:vAlign w:val="top"/>
          </w:tcPr>
          <w:p w14:paraId="2186CAB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专题图生成</w:t>
            </w:r>
          </w:p>
        </w:tc>
        <w:tc>
          <w:tcPr>
            <w:tcW w:w="1472" w:type="dxa"/>
            <w:noWrap w:val="0"/>
            <w:vAlign w:val="top"/>
          </w:tcPr>
          <w:p w14:paraId="408EE7E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7412F6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48CB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1A6982F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6.工程地震安全服务子系统</w:t>
            </w:r>
          </w:p>
        </w:tc>
      </w:tr>
      <w:tr w14:paraId="2080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3E1E1C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6.1</w:t>
            </w:r>
          </w:p>
        </w:tc>
        <w:tc>
          <w:tcPr>
            <w:tcW w:w="4123" w:type="dxa"/>
            <w:noWrap w:val="0"/>
            <w:vAlign w:val="top"/>
          </w:tcPr>
          <w:p w14:paraId="26A5803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工程地震灾害快速评估</w:t>
            </w:r>
          </w:p>
        </w:tc>
        <w:tc>
          <w:tcPr>
            <w:tcW w:w="1472" w:type="dxa"/>
            <w:noWrap w:val="0"/>
            <w:vAlign w:val="top"/>
          </w:tcPr>
          <w:p w14:paraId="4371015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EE056D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新增、升级</w:t>
            </w:r>
          </w:p>
        </w:tc>
      </w:tr>
      <w:tr w14:paraId="37C7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FF2A5B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6.1.1</w:t>
            </w:r>
          </w:p>
        </w:tc>
        <w:tc>
          <w:tcPr>
            <w:tcW w:w="4123" w:type="dxa"/>
            <w:noWrap w:val="0"/>
            <w:vAlign w:val="top"/>
          </w:tcPr>
          <w:p w14:paraId="4A6E0DD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震害快速评估服务</w:t>
            </w:r>
          </w:p>
        </w:tc>
        <w:tc>
          <w:tcPr>
            <w:tcW w:w="1472" w:type="dxa"/>
            <w:noWrap w:val="0"/>
            <w:vAlign w:val="top"/>
          </w:tcPr>
          <w:p w14:paraId="09C9E7D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3CFC67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333A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A88CC0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6.1.2</w:t>
            </w:r>
          </w:p>
        </w:tc>
        <w:tc>
          <w:tcPr>
            <w:tcW w:w="4123" w:type="dxa"/>
            <w:noWrap w:val="0"/>
            <w:vAlign w:val="top"/>
          </w:tcPr>
          <w:p w14:paraId="099E769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重大工程自动判定</w:t>
            </w:r>
          </w:p>
        </w:tc>
        <w:tc>
          <w:tcPr>
            <w:tcW w:w="1472" w:type="dxa"/>
            <w:noWrap w:val="0"/>
            <w:vAlign w:val="top"/>
          </w:tcPr>
          <w:p w14:paraId="7CAE6C4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882108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092F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BC1013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6.1.3</w:t>
            </w:r>
          </w:p>
        </w:tc>
        <w:tc>
          <w:tcPr>
            <w:tcW w:w="4123" w:type="dxa"/>
            <w:noWrap w:val="0"/>
            <w:vAlign w:val="top"/>
          </w:tcPr>
          <w:p w14:paraId="1C2319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工程地震灾害评估档案库</w:t>
            </w:r>
          </w:p>
        </w:tc>
        <w:tc>
          <w:tcPr>
            <w:tcW w:w="1472" w:type="dxa"/>
            <w:noWrap w:val="0"/>
            <w:vAlign w:val="top"/>
          </w:tcPr>
          <w:p w14:paraId="27515F2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40F1690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BEA4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BE1336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6.2</w:t>
            </w:r>
          </w:p>
        </w:tc>
        <w:tc>
          <w:tcPr>
            <w:tcW w:w="4123" w:type="dxa"/>
            <w:noWrap w:val="0"/>
            <w:vAlign w:val="top"/>
          </w:tcPr>
          <w:p w14:paraId="33AE03F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专题图件快速成图</w:t>
            </w:r>
          </w:p>
        </w:tc>
        <w:tc>
          <w:tcPr>
            <w:tcW w:w="1472" w:type="dxa"/>
            <w:noWrap w:val="0"/>
            <w:vAlign w:val="top"/>
          </w:tcPr>
          <w:p w14:paraId="70CEB60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8094AD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AE5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FEE00A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6.2.1</w:t>
            </w:r>
          </w:p>
        </w:tc>
        <w:tc>
          <w:tcPr>
            <w:tcW w:w="4123" w:type="dxa"/>
            <w:noWrap w:val="0"/>
            <w:vAlign w:val="top"/>
          </w:tcPr>
          <w:p w14:paraId="089F784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制图数据与模板支撑</w:t>
            </w:r>
          </w:p>
        </w:tc>
        <w:tc>
          <w:tcPr>
            <w:tcW w:w="1472" w:type="dxa"/>
            <w:noWrap w:val="0"/>
            <w:vAlign w:val="top"/>
          </w:tcPr>
          <w:p w14:paraId="1584C5C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CDA97D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15B3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B65D0D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6.2.2</w:t>
            </w:r>
          </w:p>
        </w:tc>
        <w:tc>
          <w:tcPr>
            <w:tcW w:w="4123" w:type="dxa"/>
            <w:noWrap w:val="0"/>
            <w:vAlign w:val="top"/>
          </w:tcPr>
          <w:p w14:paraId="031C001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地图文档与制图工具</w:t>
            </w:r>
          </w:p>
        </w:tc>
        <w:tc>
          <w:tcPr>
            <w:tcW w:w="1472" w:type="dxa"/>
            <w:noWrap w:val="0"/>
            <w:vAlign w:val="top"/>
          </w:tcPr>
          <w:p w14:paraId="3E594E6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671782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1DC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08FBC3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6.2.3</w:t>
            </w:r>
          </w:p>
        </w:tc>
        <w:tc>
          <w:tcPr>
            <w:tcW w:w="4123" w:type="dxa"/>
            <w:noWrap w:val="0"/>
            <w:vAlign w:val="top"/>
          </w:tcPr>
          <w:p w14:paraId="368163B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地图输出</w:t>
            </w:r>
          </w:p>
        </w:tc>
        <w:tc>
          <w:tcPr>
            <w:tcW w:w="1472" w:type="dxa"/>
            <w:noWrap w:val="0"/>
            <w:vAlign w:val="top"/>
          </w:tcPr>
          <w:p w14:paraId="36EA2BB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B8707B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959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0FB7522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7.地震应急响应服务子系统</w:t>
            </w:r>
          </w:p>
        </w:tc>
      </w:tr>
      <w:tr w14:paraId="7556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D81D70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7.1</w:t>
            </w:r>
          </w:p>
        </w:tc>
        <w:tc>
          <w:tcPr>
            <w:tcW w:w="4123" w:type="dxa"/>
            <w:noWrap w:val="0"/>
            <w:vAlign w:val="top"/>
          </w:tcPr>
          <w:p w14:paraId="2ED06B4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震后应急服务产品模块</w:t>
            </w:r>
          </w:p>
        </w:tc>
        <w:tc>
          <w:tcPr>
            <w:tcW w:w="1472" w:type="dxa"/>
            <w:noWrap w:val="0"/>
            <w:vAlign w:val="top"/>
          </w:tcPr>
          <w:p w14:paraId="72C11AB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85D7B6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5DC2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A18AF4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7.1.1</w:t>
            </w:r>
          </w:p>
        </w:tc>
        <w:tc>
          <w:tcPr>
            <w:tcW w:w="4123" w:type="dxa"/>
            <w:noWrap w:val="0"/>
            <w:vAlign w:val="top"/>
          </w:tcPr>
          <w:p w14:paraId="3AC8E36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震情快报产出</w:t>
            </w:r>
          </w:p>
        </w:tc>
        <w:tc>
          <w:tcPr>
            <w:tcW w:w="1472" w:type="dxa"/>
            <w:noWrap w:val="0"/>
            <w:vAlign w:val="top"/>
          </w:tcPr>
          <w:p w14:paraId="69113E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23D6EC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3B5A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E48C8A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7.1.2</w:t>
            </w:r>
          </w:p>
        </w:tc>
        <w:tc>
          <w:tcPr>
            <w:tcW w:w="4123" w:type="dxa"/>
            <w:noWrap w:val="0"/>
            <w:vAlign w:val="top"/>
          </w:tcPr>
          <w:p w14:paraId="4E5ECD9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综合震情分析研判报告</w:t>
            </w:r>
          </w:p>
        </w:tc>
        <w:tc>
          <w:tcPr>
            <w:tcW w:w="1472" w:type="dxa"/>
            <w:noWrap w:val="0"/>
            <w:vAlign w:val="top"/>
          </w:tcPr>
          <w:p w14:paraId="0C2D5A6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4378AC4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39E0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3B2579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7.2</w:t>
            </w:r>
          </w:p>
        </w:tc>
        <w:tc>
          <w:tcPr>
            <w:tcW w:w="4123" w:type="dxa"/>
            <w:noWrap w:val="0"/>
            <w:vAlign w:val="top"/>
          </w:tcPr>
          <w:p w14:paraId="2AF69B9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地震应急指挥调度模块</w:t>
            </w:r>
          </w:p>
        </w:tc>
        <w:tc>
          <w:tcPr>
            <w:tcW w:w="1472" w:type="dxa"/>
            <w:noWrap w:val="0"/>
            <w:vAlign w:val="top"/>
          </w:tcPr>
          <w:p w14:paraId="1B8623D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E59E3B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新增、升级</w:t>
            </w:r>
          </w:p>
        </w:tc>
      </w:tr>
      <w:tr w14:paraId="289B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082F52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7.2.1</w:t>
            </w:r>
          </w:p>
        </w:tc>
        <w:tc>
          <w:tcPr>
            <w:tcW w:w="4123" w:type="dxa"/>
            <w:noWrap w:val="0"/>
            <w:vAlign w:val="top"/>
          </w:tcPr>
          <w:p w14:paraId="16F425B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地震现场工作队管理</w:t>
            </w:r>
          </w:p>
        </w:tc>
        <w:tc>
          <w:tcPr>
            <w:tcW w:w="1472" w:type="dxa"/>
            <w:noWrap w:val="0"/>
            <w:vAlign w:val="top"/>
          </w:tcPr>
          <w:p w14:paraId="7F7C3F3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DE58DC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1B7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4AA544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7.2.2</w:t>
            </w:r>
          </w:p>
        </w:tc>
        <w:tc>
          <w:tcPr>
            <w:tcW w:w="4123" w:type="dxa"/>
            <w:noWrap w:val="0"/>
            <w:vAlign w:val="top"/>
          </w:tcPr>
          <w:p w14:paraId="207A3CE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地震应急指挥调度管控</w:t>
            </w:r>
          </w:p>
        </w:tc>
        <w:tc>
          <w:tcPr>
            <w:tcW w:w="1472" w:type="dxa"/>
            <w:noWrap w:val="0"/>
            <w:vAlign w:val="top"/>
          </w:tcPr>
          <w:p w14:paraId="07B824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F2F829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66FD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4ACB07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7.2.3</w:t>
            </w:r>
          </w:p>
        </w:tc>
        <w:tc>
          <w:tcPr>
            <w:tcW w:w="4123" w:type="dxa"/>
            <w:noWrap w:val="0"/>
            <w:vAlign w:val="top"/>
          </w:tcPr>
          <w:p w14:paraId="2C34CF9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地震应急物资装备管理</w:t>
            </w:r>
          </w:p>
        </w:tc>
        <w:tc>
          <w:tcPr>
            <w:tcW w:w="1472" w:type="dxa"/>
            <w:noWrap w:val="0"/>
            <w:vAlign w:val="top"/>
          </w:tcPr>
          <w:p w14:paraId="0C9E4C5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6FCAA7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0F4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F2C158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7.2.4</w:t>
            </w:r>
          </w:p>
        </w:tc>
        <w:tc>
          <w:tcPr>
            <w:tcW w:w="4123" w:type="dxa"/>
            <w:noWrap w:val="0"/>
            <w:vAlign w:val="top"/>
          </w:tcPr>
          <w:p w14:paraId="29C9CA3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流动监测数据汇聚</w:t>
            </w:r>
          </w:p>
        </w:tc>
        <w:tc>
          <w:tcPr>
            <w:tcW w:w="1472" w:type="dxa"/>
            <w:noWrap w:val="0"/>
            <w:vAlign w:val="top"/>
          </w:tcPr>
          <w:p w14:paraId="555BEB1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99221F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4CC2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8447DF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7.2.5</w:t>
            </w:r>
          </w:p>
        </w:tc>
        <w:tc>
          <w:tcPr>
            <w:tcW w:w="4123" w:type="dxa"/>
            <w:noWrap w:val="0"/>
            <w:vAlign w:val="top"/>
          </w:tcPr>
          <w:p w14:paraId="621E68D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视频设备资源管理</w:t>
            </w:r>
          </w:p>
        </w:tc>
        <w:tc>
          <w:tcPr>
            <w:tcW w:w="1472" w:type="dxa"/>
            <w:noWrap w:val="0"/>
            <w:vAlign w:val="top"/>
          </w:tcPr>
          <w:p w14:paraId="5E1DAF4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482730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158E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47E0B2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7.3</w:t>
            </w:r>
          </w:p>
        </w:tc>
        <w:tc>
          <w:tcPr>
            <w:tcW w:w="4123" w:type="dxa"/>
            <w:noWrap w:val="0"/>
            <w:vAlign w:val="top"/>
          </w:tcPr>
          <w:p w14:paraId="3D33785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地震应急辅助决策系统集成</w:t>
            </w:r>
          </w:p>
        </w:tc>
        <w:tc>
          <w:tcPr>
            <w:tcW w:w="1472" w:type="dxa"/>
            <w:noWrap w:val="0"/>
            <w:vAlign w:val="top"/>
          </w:tcPr>
          <w:p w14:paraId="7553C32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3887D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C61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5387379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8.地震灾害情景动态推演子系统</w:t>
            </w:r>
          </w:p>
        </w:tc>
      </w:tr>
      <w:tr w14:paraId="6E2E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8D39F6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8.1</w:t>
            </w:r>
          </w:p>
        </w:tc>
        <w:tc>
          <w:tcPr>
            <w:tcW w:w="4123" w:type="dxa"/>
            <w:noWrap w:val="0"/>
            <w:vAlign w:val="top"/>
          </w:tcPr>
          <w:p w14:paraId="5C26E2F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地震烈度动态模拟</w:t>
            </w:r>
          </w:p>
        </w:tc>
        <w:tc>
          <w:tcPr>
            <w:tcW w:w="1472" w:type="dxa"/>
            <w:noWrap w:val="0"/>
            <w:vAlign w:val="top"/>
          </w:tcPr>
          <w:p w14:paraId="628FEB2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987855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4BC2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8412D3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8.2</w:t>
            </w:r>
          </w:p>
        </w:tc>
        <w:tc>
          <w:tcPr>
            <w:tcW w:w="4123" w:type="dxa"/>
            <w:noWrap w:val="0"/>
            <w:vAlign w:val="top"/>
          </w:tcPr>
          <w:p w14:paraId="1923423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城区震害情景构建模块</w:t>
            </w:r>
          </w:p>
        </w:tc>
        <w:tc>
          <w:tcPr>
            <w:tcW w:w="1472" w:type="dxa"/>
            <w:noWrap w:val="0"/>
            <w:vAlign w:val="top"/>
          </w:tcPr>
          <w:p w14:paraId="6B7AD3B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854D33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新增、升级</w:t>
            </w:r>
          </w:p>
        </w:tc>
      </w:tr>
      <w:tr w14:paraId="0989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309E38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8.2.1</w:t>
            </w:r>
          </w:p>
        </w:tc>
        <w:tc>
          <w:tcPr>
            <w:tcW w:w="4123" w:type="dxa"/>
            <w:noWrap w:val="0"/>
            <w:vAlign w:val="top"/>
          </w:tcPr>
          <w:p w14:paraId="2ABC91D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建筑物震害动态推演</w:t>
            </w:r>
          </w:p>
        </w:tc>
        <w:tc>
          <w:tcPr>
            <w:tcW w:w="1472" w:type="dxa"/>
            <w:noWrap w:val="0"/>
            <w:vAlign w:val="top"/>
          </w:tcPr>
          <w:p w14:paraId="4BABE74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98E817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新增、升级</w:t>
            </w:r>
          </w:p>
        </w:tc>
      </w:tr>
      <w:tr w14:paraId="0851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2743E3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8.2.2</w:t>
            </w:r>
          </w:p>
        </w:tc>
        <w:tc>
          <w:tcPr>
            <w:tcW w:w="4123" w:type="dxa"/>
            <w:noWrap w:val="0"/>
            <w:vAlign w:val="top"/>
          </w:tcPr>
          <w:p w14:paraId="3645D8B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生命线工程动态推演</w:t>
            </w:r>
          </w:p>
        </w:tc>
        <w:tc>
          <w:tcPr>
            <w:tcW w:w="1472" w:type="dxa"/>
            <w:noWrap w:val="0"/>
            <w:vAlign w:val="top"/>
          </w:tcPr>
          <w:p w14:paraId="4A4728B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B0EB23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新增、升级</w:t>
            </w:r>
          </w:p>
        </w:tc>
      </w:tr>
      <w:tr w14:paraId="417E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7822E4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8.2.3</w:t>
            </w:r>
          </w:p>
        </w:tc>
        <w:tc>
          <w:tcPr>
            <w:tcW w:w="4123" w:type="dxa"/>
            <w:noWrap w:val="0"/>
            <w:vAlign w:val="top"/>
          </w:tcPr>
          <w:p w14:paraId="18E474A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震害情景决策辅助</w:t>
            </w:r>
          </w:p>
        </w:tc>
        <w:tc>
          <w:tcPr>
            <w:tcW w:w="1472" w:type="dxa"/>
            <w:noWrap w:val="0"/>
            <w:vAlign w:val="top"/>
          </w:tcPr>
          <w:p w14:paraId="382D31E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0377F9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F8B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A8E649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8.3</w:t>
            </w:r>
          </w:p>
        </w:tc>
        <w:tc>
          <w:tcPr>
            <w:tcW w:w="4123" w:type="dxa"/>
            <w:noWrap w:val="0"/>
            <w:vAlign w:val="top"/>
          </w:tcPr>
          <w:p w14:paraId="1EA4EC9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重大单体工程精细化震害情景构建</w:t>
            </w:r>
          </w:p>
        </w:tc>
        <w:tc>
          <w:tcPr>
            <w:tcW w:w="1472" w:type="dxa"/>
            <w:noWrap w:val="0"/>
            <w:vAlign w:val="top"/>
          </w:tcPr>
          <w:p w14:paraId="0AC3773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A404D6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0336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F97323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8.3.1</w:t>
            </w:r>
          </w:p>
        </w:tc>
        <w:tc>
          <w:tcPr>
            <w:tcW w:w="4123" w:type="dxa"/>
            <w:noWrap w:val="0"/>
            <w:vAlign w:val="top"/>
          </w:tcPr>
          <w:p w14:paraId="58AF972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基础数据支撑</w:t>
            </w:r>
          </w:p>
        </w:tc>
        <w:tc>
          <w:tcPr>
            <w:tcW w:w="1472" w:type="dxa"/>
            <w:noWrap w:val="0"/>
            <w:vAlign w:val="top"/>
          </w:tcPr>
          <w:p w14:paraId="224D17B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B3A6D1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822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169C0A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8.3.2</w:t>
            </w:r>
          </w:p>
        </w:tc>
        <w:tc>
          <w:tcPr>
            <w:tcW w:w="4123" w:type="dxa"/>
            <w:noWrap w:val="0"/>
            <w:vAlign w:val="top"/>
          </w:tcPr>
          <w:p w14:paraId="7E64851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高精密企业安全监测评估</w:t>
            </w:r>
          </w:p>
        </w:tc>
        <w:tc>
          <w:tcPr>
            <w:tcW w:w="1472" w:type="dxa"/>
            <w:noWrap w:val="0"/>
            <w:vAlign w:val="top"/>
          </w:tcPr>
          <w:p w14:paraId="5D88654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CABCD4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5BB94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02D07B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8.3.3</w:t>
            </w:r>
          </w:p>
        </w:tc>
        <w:tc>
          <w:tcPr>
            <w:tcW w:w="4123" w:type="dxa"/>
            <w:noWrap w:val="0"/>
            <w:vAlign w:val="top"/>
          </w:tcPr>
          <w:p w14:paraId="27EA973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重大基础设施精细化评估</w:t>
            </w:r>
          </w:p>
        </w:tc>
        <w:tc>
          <w:tcPr>
            <w:tcW w:w="1472" w:type="dxa"/>
            <w:noWrap w:val="0"/>
            <w:vAlign w:val="top"/>
          </w:tcPr>
          <w:p w14:paraId="62AC489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C01FE8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8FB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62D312F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9.防震减灾公共服务子系统</w:t>
            </w:r>
          </w:p>
        </w:tc>
      </w:tr>
      <w:tr w14:paraId="7814F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7465CD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9.1</w:t>
            </w:r>
          </w:p>
        </w:tc>
        <w:tc>
          <w:tcPr>
            <w:tcW w:w="4123" w:type="dxa"/>
            <w:noWrap w:val="0"/>
            <w:vAlign w:val="top"/>
          </w:tcPr>
          <w:p w14:paraId="6ECEE77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地震科普服务模块</w:t>
            </w:r>
          </w:p>
        </w:tc>
        <w:tc>
          <w:tcPr>
            <w:tcW w:w="1472" w:type="dxa"/>
            <w:noWrap w:val="0"/>
            <w:vAlign w:val="top"/>
          </w:tcPr>
          <w:p w14:paraId="127ECF4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01E767F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F74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212454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9.1.1</w:t>
            </w:r>
          </w:p>
        </w:tc>
        <w:tc>
          <w:tcPr>
            <w:tcW w:w="4123" w:type="dxa"/>
            <w:noWrap w:val="0"/>
            <w:vAlign w:val="top"/>
          </w:tcPr>
          <w:p w14:paraId="3E133AF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地震科普服务基础数据支撑</w:t>
            </w:r>
          </w:p>
        </w:tc>
        <w:tc>
          <w:tcPr>
            <w:tcW w:w="1472" w:type="dxa"/>
            <w:noWrap w:val="0"/>
            <w:vAlign w:val="top"/>
          </w:tcPr>
          <w:p w14:paraId="1B9571E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CE5B73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DE6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1B8F1D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9.1.2</w:t>
            </w:r>
          </w:p>
        </w:tc>
        <w:tc>
          <w:tcPr>
            <w:tcW w:w="4123" w:type="dxa"/>
            <w:noWrap w:val="0"/>
            <w:vAlign w:val="top"/>
          </w:tcPr>
          <w:p w14:paraId="505A3B2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科普问答信息发布管控</w:t>
            </w:r>
          </w:p>
        </w:tc>
        <w:tc>
          <w:tcPr>
            <w:tcW w:w="1472" w:type="dxa"/>
            <w:noWrap w:val="0"/>
            <w:vAlign w:val="top"/>
          </w:tcPr>
          <w:p w14:paraId="17577E4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26F0C3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FD3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42C484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9.1.3</w:t>
            </w:r>
          </w:p>
        </w:tc>
        <w:tc>
          <w:tcPr>
            <w:tcW w:w="4123" w:type="dxa"/>
            <w:noWrap w:val="0"/>
            <w:vAlign w:val="top"/>
          </w:tcPr>
          <w:p w14:paraId="02EC2B1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问询日志留存溯源</w:t>
            </w:r>
          </w:p>
        </w:tc>
        <w:tc>
          <w:tcPr>
            <w:tcW w:w="1472" w:type="dxa"/>
            <w:noWrap w:val="0"/>
            <w:vAlign w:val="top"/>
          </w:tcPr>
          <w:p w14:paraId="5D45FC2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597001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7ED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F540C7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9.2</w:t>
            </w:r>
          </w:p>
        </w:tc>
        <w:tc>
          <w:tcPr>
            <w:tcW w:w="4123" w:type="dxa"/>
            <w:noWrap w:val="0"/>
            <w:vAlign w:val="top"/>
          </w:tcPr>
          <w:p w14:paraId="5AF28F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地震科普场馆信息发布</w:t>
            </w:r>
          </w:p>
        </w:tc>
        <w:tc>
          <w:tcPr>
            <w:tcW w:w="1472" w:type="dxa"/>
            <w:noWrap w:val="0"/>
            <w:vAlign w:val="top"/>
          </w:tcPr>
          <w:p w14:paraId="7D6A12B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4A4EFBA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897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215A18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9.2.1</w:t>
            </w:r>
          </w:p>
        </w:tc>
        <w:tc>
          <w:tcPr>
            <w:tcW w:w="4123" w:type="dxa"/>
            <w:noWrap w:val="0"/>
            <w:vAlign w:val="top"/>
          </w:tcPr>
          <w:p w14:paraId="392F4A1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场馆信息基础数据支撑</w:t>
            </w:r>
          </w:p>
        </w:tc>
        <w:tc>
          <w:tcPr>
            <w:tcW w:w="1472" w:type="dxa"/>
            <w:noWrap w:val="0"/>
            <w:vAlign w:val="top"/>
          </w:tcPr>
          <w:p w14:paraId="26B24EE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31013C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D21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A918E0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9.2.2</w:t>
            </w:r>
          </w:p>
        </w:tc>
        <w:tc>
          <w:tcPr>
            <w:tcW w:w="4123" w:type="dxa"/>
            <w:noWrap w:val="0"/>
            <w:vAlign w:val="top"/>
          </w:tcPr>
          <w:p w14:paraId="429C428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场馆信息公开展示</w:t>
            </w:r>
          </w:p>
        </w:tc>
        <w:tc>
          <w:tcPr>
            <w:tcW w:w="1472" w:type="dxa"/>
            <w:noWrap w:val="0"/>
            <w:vAlign w:val="top"/>
          </w:tcPr>
          <w:p w14:paraId="1B21104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9CDD2F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9E0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847865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9.2.3</w:t>
            </w:r>
          </w:p>
        </w:tc>
        <w:tc>
          <w:tcPr>
            <w:tcW w:w="4123" w:type="dxa"/>
            <w:noWrap w:val="0"/>
            <w:vAlign w:val="top"/>
          </w:tcPr>
          <w:p w14:paraId="0886967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发布信息动态运维</w:t>
            </w:r>
          </w:p>
        </w:tc>
        <w:tc>
          <w:tcPr>
            <w:tcW w:w="1472" w:type="dxa"/>
            <w:noWrap w:val="0"/>
            <w:vAlign w:val="top"/>
          </w:tcPr>
          <w:p w14:paraId="762A93F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D50243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6E0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CEC368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9.3</w:t>
            </w:r>
          </w:p>
        </w:tc>
        <w:tc>
          <w:tcPr>
            <w:tcW w:w="4123" w:type="dxa"/>
            <w:noWrap w:val="0"/>
            <w:vAlign w:val="top"/>
          </w:tcPr>
          <w:p w14:paraId="6E23D7E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地震科普资源集约化发布</w:t>
            </w:r>
          </w:p>
        </w:tc>
        <w:tc>
          <w:tcPr>
            <w:tcW w:w="1472" w:type="dxa"/>
            <w:noWrap w:val="0"/>
            <w:vAlign w:val="top"/>
          </w:tcPr>
          <w:p w14:paraId="28BD8FA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80F9E3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52BF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EC318C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9.3.1</w:t>
            </w:r>
          </w:p>
        </w:tc>
        <w:tc>
          <w:tcPr>
            <w:tcW w:w="4123" w:type="dxa"/>
            <w:noWrap w:val="0"/>
            <w:vAlign w:val="top"/>
          </w:tcPr>
          <w:p w14:paraId="294B311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科普资源基础数据支撑</w:t>
            </w:r>
          </w:p>
        </w:tc>
        <w:tc>
          <w:tcPr>
            <w:tcW w:w="1472" w:type="dxa"/>
            <w:noWrap w:val="0"/>
            <w:vAlign w:val="top"/>
          </w:tcPr>
          <w:p w14:paraId="77FEF7D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E46A4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07EC1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18B1A0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9.3.2</w:t>
            </w:r>
          </w:p>
        </w:tc>
        <w:tc>
          <w:tcPr>
            <w:tcW w:w="4123" w:type="dxa"/>
            <w:noWrap w:val="0"/>
            <w:vAlign w:val="top"/>
          </w:tcPr>
          <w:p w14:paraId="1B8D5A0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科普素材采编审核</w:t>
            </w:r>
          </w:p>
        </w:tc>
        <w:tc>
          <w:tcPr>
            <w:tcW w:w="1472" w:type="dxa"/>
            <w:noWrap w:val="0"/>
            <w:vAlign w:val="top"/>
          </w:tcPr>
          <w:p w14:paraId="3EC3D1B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02BDC36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564C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EDB88D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9.3.3</w:t>
            </w:r>
          </w:p>
        </w:tc>
        <w:tc>
          <w:tcPr>
            <w:tcW w:w="4123" w:type="dxa"/>
            <w:noWrap w:val="0"/>
            <w:vAlign w:val="top"/>
          </w:tcPr>
          <w:p w14:paraId="54F2A5A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分级分类对外发布</w:t>
            </w:r>
          </w:p>
        </w:tc>
        <w:tc>
          <w:tcPr>
            <w:tcW w:w="1472" w:type="dxa"/>
            <w:noWrap w:val="0"/>
            <w:vAlign w:val="top"/>
          </w:tcPr>
          <w:p w14:paraId="07A6A7B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4DFDF0B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FF7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99E45B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9.3.4</w:t>
            </w:r>
          </w:p>
        </w:tc>
        <w:tc>
          <w:tcPr>
            <w:tcW w:w="4123" w:type="dxa"/>
            <w:noWrap w:val="0"/>
            <w:vAlign w:val="top"/>
          </w:tcPr>
          <w:p w14:paraId="0A52A81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全流程留痕</w:t>
            </w:r>
          </w:p>
        </w:tc>
        <w:tc>
          <w:tcPr>
            <w:tcW w:w="1472" w:type="dxa"/>
            <w:noWrap w:val="0"/>
            <w:vAlign w:val="top"/>
          </w:tcPr>
          <w:p w14:paraId="2227656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E8F934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3797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6C640E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9.4</w:t>
            </w:r>
          </w:p>
        </w:tc>
        <w:tc>
          <w:tcPr>
            <w:tcW w:w="4123" w:type="dxa"/>
            <w:noWrap w:val="0"/>
            <w:vAlign w:val="top"/>
          </w:tcPr>
          <w:p w14:paraId="5FF12A0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公共服务信息查询发布</w:t>
            </w:r>
          </w:p>
        </w:tc>
        <w:tc>
          <w:tcPr>
            <w:tcW w:w="1472" w:type="dxa"/>
            <w:noWrap w:val="0"/>
            <w:vAlign w:val="top"/>
          </w:tcPr>
          <w:p w14:paraId="55FC3E1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304F2E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新增、升级</w:t>
            </w:r>
          </w:p>
        </w:tc>
      </w:tr>
      <w:tr w14:paraId="16C8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C4F3D3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9.4.1</w:t>
            </w:r>
          </w:p>
        </w:tc>
        <w:tc>
          <w:tcPr>
            <w:tcW w:w="4123" w:type="dxa"/>
            <w:noWrap w:val="0"/>
            <w:vAlign w:val="top"/>
          </w:tcPr>
          <w:p w14:paraId="7F3C0A1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基础数据支撑</w:t>
            </w:r>
          </w:p>
        </w:tc>
        <w:tc>
          <w:tcPr>
            <w:tcW w:w="1472" w:type="dxa"/>
            <w:noWrap w:val="0"/>
            <w:vAlign w:val="top"/>
          </w:tcPr>
          <w:p w14:paraId="7A29610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AA1B84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5464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597554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9.4.2</w:t>
            </w:r>
          </w:p>
        </w:tc>
        <w:tc>
          <w:tcPr>
            <w:tcW w:w="4123" w:type="dxa"/>
            <w:noWrap w:val="0"/>
            <w:vAlign w:val="top"/>
          </w:tcPr>
          <w:p w14:paraId="77DEE0F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历史地震目录信息查询</w:t>
            </w:r>
          </w:p>
        </w:tc>
        <w:tc>
          <w:tcPr>
            <w:tcW w:w="1472" w:type="dxa"/>
            <w:noWrap w:val="0"/>
            <w:vAlign w:val="top"/>
          </w:tcPr>
          <w:p w14:paraId="75743F1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CB52F7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7E3B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6F0D4F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9.4.3</w:t>
            </w:r>
          </w:p>
        </w:tc>
        <w:tc>
          <w:tcPr>
            <w:tcW w:w="4123" w:type="dxa"/>
            <w:noWrap w:val="0"/>
            <w:vAlign w:val="top"/>
          </w:tcPr>
          <w:p w14:paraId="6C82E1F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一般工程地震动参数查询</w:t>
            </w:r>
          </w:p>
        </w:tc>
        <w:tc>
          <w:tcPr>
            <w:tcW w:w="1472" w:type="dxa"/>
            <w:noWrap w:val="0"/>
            <w:vAlign w:val="top"/>
          </w:tcPr>
          <w:p w14:paraId="1C7A41D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8A9BBA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4FA6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ABE184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9.4.4</w:t>
            </w:r>
          </w:p>
        </w:tc>
        <w:tc>
          <w:tcPr>
            <w:tcW w:w="4123" w:type="dxa"/>
            <w:noWrap w:val="0"/>
            <w:vAlign w:val="top"/>
          </w:tcPr>
          <w:p w14:paraId="687ACDB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政策法规查询</w:t>
            </w:r>
          </w:p>
        </w:tc>
        <w:tc>
          <w:tcPr>
            <w:tcW w:w="1472" w:type="dxa"/>
            <w:noWrap w:val="0"/>
            <w:vAlign w:val="top"/>
          </w:tcPr>
          <w:p w14:paraId="10DEF4C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0A90D45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r w14:paraId="5DCB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2BEAF3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9.5</w:t>
            </w:r>
          </w:p>
        </w:tc>
        <w:tc>
          <w:tcPr>
            <w:tcW w:w="4123" w:type="dxa"/>
            <w:noWrap w:val="0"/>
            <w:vAlign w:val="top"/>
          </w:tcPr>
          <w:p w14:paraId="6076621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全类型内容可视化采编</w:t>
            </w:r>
          </w:p>
        </w:tc>
        <w:tc>
          <w:tcPr>
            <w:tcW w:w="1472" w:type="dxa"/>
            <w:noWrap w:val="0"/>
            <w:vAlign w:val="top"/>
          </w:tcPr>
          <w:p w14:paraId="3FE6E4E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49DAD9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10B1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51F1EDC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10.AI智慧问答入口</w:t>
            </w:r>
          </w:p>
        </w:tc>
      </w:tr>
      <w:tr w14:paraId="7721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AA4487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10.1</w:t>
            </w:r>
          </w:p>
        </w:tc>
        <w:tc>
          <w:tcPr>
            <w:tcW w:w="4123" w:type="dxa"/>
            <w:noWrap w:val="0"/>
            <w:vAlign w:val="top"/>
          </w:tcPr>
          <w:p w14:paraId="187A39E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交互入口管理</w:t>
            </w:r>
          </w:p>
        </w:tc>
        <w:tc>
          <w:tcPr>
            <w:tcW w:w="1472" w:type="dxa"/>
            <w:noWrap w:val="0"/>
            <w:vAlign w:val="top"/>
          </w:tcPr>
          <w:p w14:paraId="4CB6557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2B0A6D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1F6E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ECDA05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10.2</w:t>
            </w:r>
          </w:p>
        </w:tc>
        <w:tc>
          <w:tcPr>
            <w:tcW w:w="4123" w:type="dxa"/>
            <w:noWrap w:val="0"/>
            <w:vAlign w:val="top"/>
          </w:tcPr>
          <w:p w14:paraId="5ADE480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智能对话运维管理</w:t>
            </w:r>
          </w:p>
        </w:tc>
        <w:tc>
          <w:tcPr>
            <w:tcW w:w="1472" w:type="dxa"/>
            <w:noWrap w:val="0"/>
            <w:vAlign w:val="top"/>
          </w:tcPr>
          <w:p w14:paraId="1EF35E0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03DD18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034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945178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10.2.1</w:t>
            </w:r>
          </w:p>
        </w:tc>
        <w:tc>
          <w:tcPr>
            <w:tcW w:w="4123" w:type="dxa"/>
            <w:noWrap w:val="0"/>
            <w:vAlign w:val="top"/>
          </w:tcPr>
          <w:p w14:paraId="4BA67F8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对话数据与台账归档管理</w:t>
            </w:r>
          </w:p>
        </w:tc>
        <w:tc>
          <w:tcPr>
            <w:tcW w:w="1472" w:type="dxa"/>
            <w:noWrap w:val="0"/>
            <w:vAlign w:val="top"/>
          </w:tcPr>
          <w:p w14:paraId="3D26B63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7540DC0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EFF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915572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10.2.2</w:t>
            </w:r>
          </w:p>
        </w:tc>
        <w:tc>
          <w:tcPr>
            <w:tcW w:w="4123" w:type="dxa"/>
            <w:noWrap w:val="0"/>
            <w:vAlign w:val="top"/>
          </w:tcPr>
          <w:p w14:paraId="2609A4C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多轮对话与上下文解析</w:t>
            </w:r>
          </w:p>
        </w:tc>
        <w:tc>
          <w:tcPr>
            <w:tcW w:w="1472" w:type="dxa"/>
            <w:noWrap w:val="0"/>
            <w:vAlign w:val="top"/>
          </w:tcPr>
          <w:p w14:paraId="7F6CEB0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2DDF9C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14EE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CB53DF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10.2.3</w:t>
            </w:r>
          </w:p>
        </w:tc>
        <w:tc>
          <w:tcPr>
            <w:tcW w:w="4123" w:type="dxa"/>
            <w:noWrap w:val="0"/>
            <w:vAlign w:val="top"/>
          </w:tcPr>
          <w:p w14:paraId="29B28DE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反馈工单闭环管理</w:t>
            </w:r>
          </w:p>
        </w:tc>
        <w:tc>
          <w:tcPr>
            <w:tcW w:w="1472" w:type="dxa"/>
            <w:noWrap w:val="0"/>
            <w:vAlign w:val="top"/>
          </w:tcPr>
          <w:p w14:paraId="0554B01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4C200DD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0109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BF7A16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10.2.4</w:t>
            </w:r>
          </w:p>
        </w:tc>
        <w:tc>
          <w:tcPr>
            <w:tcW w:w="4123" w:type="dxa"/>
            <w:noWrap w:val="0"/>
            <w:vAlign w:val="top"/>
          </w:tcPr>
          <w:p w14:paraId="7ECDAB7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会话辅助能力管理</w:t>
            </w:r>
          </w:p>
        </w:tc>
        <w:tc>
          <w:tcPr>
            <w:tcW w:w="1472" w:type="dxa"/>
            <w:noWrap w:val="0"/>
            <w:vAlign w:val="top"/>
          </w:tcPr>
          <w:p w14:paraId="1DDA98D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2B4A75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63F2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A2CCE7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10.3</w:t>
            </w:r>
          </w:p>
        </w:tc>
        <w:tc>
          <w:tcPr>
            <w:tcW w:w="4123" w:type="dxa"/>
            <w:noWrap w:val="0"/>
            <w:vAlign w:val="top"/>
          </w:tcPr>
          <w:p w14:paraId="4B96225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地震业务自然语言理解</w:t>
            </w:r>
          </w:p>
        </w:tc>
        <w:tc>
          <w:tcPr>
            <w:tcW w:w="1472" w:type="dxa"/>
            <w:noWrap w:val="0"/>
            <w:vAlign w:val="top"/>
          </w:tcPr>
          <w:p w14:paraId="2ADA457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3E46CC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1A54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5DFDC9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10.3.1</w:t>
            </w:r>
          </w:p>
        </w:tc>
        <w:tc>
          <w:tcPr>
            <w:tcW w:w="4123" w:type="dxa"/>
            <w:noWrap w:val="0"/>
            <w:vAlign w:val="top"/>
          </w:tcPr>
          <w:p w14:paraId="0FA0772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语义模型基础数据支撑</w:t>
            </w:r>
          </w:p>
        </w:tc>
        <w:tc>
          <w:tcPr>
            <w:tcW w:w="1472" w:type="dxa"/>
            <w:noWrap w:val="0"/>
            <w:vAlign w:val="top"/>
          </w:tcPr>
          <w:p w14:paraId="4E3D55B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38A285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4B5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25E0B3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10.3.2</w:t>
            </w:r>
          </w:p>
        </w:tc>
        <w:tc>
          <w:tcPr>
            <w:tcW w:w="4123" w:type="dxa"/>
            <w:noWrap w:val="0"/>
            <w:vAlign w:val="top"/>
          </w:tcPr>
          <w:p w14:paraId="0EA3826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业务领域意图识别</w:t>
            </w:r>
          </w:p>
        </w:tc>
        <w:tc>
          <w:tcPr>
            <w:tcW w:w="1472" w:type="dxa"/>
            <w:noWrap w:val="0"/>
            <w:vAlign w:val="top"/>
          </w:tcPr>
          <w:p w14:paraId="28DA88A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53281D5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0263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A4EBF5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10.3.3</w:t>
            </w:r>
          </w:p>
        </w:tc>
        <w:tc>
          <w:tcPr>
            <w:tcW w:w="4123" w:type="dxa"/>
            <w:noWrap w:val="0"/>
            <w:vAlign w:val="top"/>
          </w:tcPr>
          <w:p w14:paraId="18BBBD9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复杂业务问题拆解解析</w:t>
            </w:r>
          </w:p>
        </w:tc>
        <w:tc>
          <w:tcPr>
            <w:tcW w:w="1472" w:type="dxa"/>
            <w:noWrap w:val="0"/>
            <w:vAlign w:val="top"/>
          </w:tcPr>
          <w:p w14:paraId="0221CCB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4D0D9FC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520C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6246A4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10.3.4</w:t>
            </w:r>
          </w:p>
        </w:tc>
        <w:tc>
          <w:tcPr>
            <w:tcW w:w="4123" w:type="dxa"/>
            <w:noWrap w:val="0"/>
            <w:vAlign w:val="top"/>
          </w:tcPr>
          <w:p w14:paraId="651E10B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行业专属语义理解</w:t>
            </w:r>
          </w:p>
        </w:tc>
        <w:tc>
          <w:tcPr>
            <w:tcW w:w="1472" w:type="dxa"/>
            <w:noWrap w:val="0"/>
            <w:vAlign w:val="top"/>
          </w:tcPr>
          <w:p w14:paraId="1AA07D2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452987F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5B25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293E4D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10.3.5</w:t>
            </w:r>
          </w:p>
        </w:tc>
        <w:tc>
          <w:tcPr>
            <w:tcW w:w="4123" w:type="dxa"/>
            <w:noWrap w:val="0"/>
            <w:vAlign w:val="top"/>
          </w:tcPr>
          <w:p w14:paraId="2B0E4E6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问询歧义甄别处置</w:t>
            </w:r>
          </w:p>
        </w:tc>
        <w:tc>
          <w:tcPr>
            <w:tcW w:w="1472" w:type="dxa"/>
            <w:noWrap w:val="0"/>
            <w:vAlign w:val="top"/>
          </w:tcPr>
          <w:p w14:paraId="7DA3CDD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8A35FB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55EC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B8F36E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10.3.6</w:t>
            </w:r>
          </w:p>
        </w:tc>
        <w:tc>
          <w:tcPr>
            <w:tcW w:w="4123" w:type="dxa"/>
            <w:noWrap w:val="0"/>
            <w:vAlign w:val="top"/>
          </w:tcPr>
          <w:p w14:paraId="3AA5E01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语义能力运维管理</w:t>
            </w:r>
          </w:p>
        </w:tc>
        <w:tc>
          <w:tcPr>
            <w:tcW w:w="1472" w:type="dxa"/>
            <w:noWrap w:val="0"/>
            <w:vAlign w:val="top"/>
          </w:tcPr>
          <w:p w14:paraId="74F7381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D0DF1B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2BEC2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629F110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10.4</w:t>
            </w:r>
          </w:p>
        </w:tc>
        <w:tc>
          <w:tcPr>
            <w:tcW w:w="4123" w:type="dxa"/>
            <w:noWrap w:val="0"/>
            <w:vAlign w:val="top"/>
          </w:tcPr>
          <w:p w14:paraId="02A0083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系统能力联动集成</w:t>
            </w:r>
          </w:p>
        </w:tc>
        <w:tc>
          <w:tcPr>
            <w:tcW w:w="1472" w:type="dxa"/>
            <w:noWrap w:val="0"/>
            <w:vAlign w:val="top"/>
          </w:tcPr>
          <w:p w14:paraId="2884770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64FAAB0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7870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2F962F8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11.公众服务移动端（皖事通）优化</w:t>
            </w:r>
          </w:p>
        </w:tc>
      </w:tr>
      <w:tr w14:paraId="5E16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7A8191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11.1</w:t>
            </w:r>
          </w:p>
        </w:tc>
        <w:tc>
          <w:tcPr>
            <w:tcW w:w="4123" w:type="dxa"/>
            <w:noWrap w:val="0"/>
            <w:vAlign w:val="top"/>
          </w:tcPr>
          <w:p w14:paraId="2703051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移动端科普问答服务</w:t>
            </w:r>
          </w:p>
        </w:tc>
        <w:tc>
          <w:tcPr>
            <w:tcW w:w="1472" w:type="dxa"/>
            <w:noWrap w:val="0"/>
            <w:vAlign w:val="top"/>
          </w:tcPr>
          <w:p w14:paraId="6358F1D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2E0FB76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46B8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733014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11.2</w:t>
            </w:r>
          </w:p>
        </w:tc>
        <w:tc>
          <w:tcPr>
            <w:tcW w:w="4123" w:type="dxa"/>
            <w:noWrap w:val="0"/>
            <w:vAlign w:val="top"/>
          </w:tcPr>
          <w:p w14:paraId="451067C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科普场馆移动端导览</w:t>
            </w:r>
          </w:p>
        </w:tc>
        <w:tc>
          <w:tcPr>
            <w:tcW w:w="1472" w:type="dxa"/>
            <w:noWrap w:val="0"/>
            <w:vAlign w:val="top"/>
          </w:tcPr>
          <w:p w14:paraId="751350D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13A5F64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新增</w:t>
            </w:r>
          </w:p>
        </w:tc>
      </w:tr>
      <w:tr w14:paraId="49FC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750492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11.3</w:t>
            </w:r>
          </w:p>
        </w:tc>
        <w:tc>
          <w:tcPr>
            <w:tcW w:w="4123" w:type="dxa"/>
            <w:noWrap w:val="0"/>
            <w:vAlign w:val="top"/>
          </w:tcPr>
          <w:p w14:paraId="6DFF4B7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移动端信息查询</w:t>
            </w:r>
          </w:p>
        </w:tc>
        <w:tc>
          <w:tcPr>
            <w:tcW w:w="1472" w:type="dxa"/>
            <w:noWrap w:val="0"/>
            <w:vAlign w:val="top"/>
          </w:tcPr>
          <w:p w14:paraId="09D265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1</w:t>
            </w:r>
          </w:p>
        </w:tc>
        <w:tc>
          <w:tcPr>
            <w:tcW w:w="2111" w:type="dxa"/>
            <w:noWrap w:val="0"/>
            <w:vAlign w:val="top"/>
          </w:tcPr>
          <w:p w14:paraId="363AD2F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sz w:val="24"/>
                <w:szCs w:val="24"/>
                <w:vertAlign w:val="baseline"/>
                <w:lang w:val="en-US" w:eastAsia="zh-CN"/>
              </w:rPr>
            </w:pPr>
            <w:r>
              <w:rPr>
                <w:rFonts w:hint="eastAsia" w:ascii="宋体" w:hAnsi="宋体" w:eastAsia="宋体" w:cs="宋体"/>
                <w:b w:val="0"/>
                <w:bCs/>
                <w:sz w:val="24"/>
                <w:szCs w:val="24"/>
                <w:vertAlign w:val="baseline"/>
                <w:lang w:val="en-US" w:eastAsia="zh-CN"/>
              </w:rPr>
              <w:t>升级</w:t>
            </w:r>
          </w:p>
        </w:tc>
      </w:tr>
    </w:tbl>
    <w:p w14:paraId="0DDD917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注：新增是指需进行全新软件功能开发，升级是指在原有平台功能基础上升级。</w:t>
      </w:r>
    </w:p>
    <w:p w14:paraId="42CD36A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 w:val="0"/>
          <w:bCs/>
          <w:sz w:val="24"/>
          <w:szCs w:val="24"/>
          <w:lang w:val="en-US" w:eastAsia="zh-CN"/>
        </w:rPr>
      </w:pPr>
    </w:p>
    <w:p w14:paraId="41632D47">
      <w:pPr>
        <w:pStyle w:val="2"/>
        <w:numPr>
          <w:ilvl w:val="0"/>
          <w:numId w:val="0"/>
        </w:numPr>
        <w:bidi w:val="0"/>
        <w:ind w:firstLine="482" w:firstLineChars="2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4、迁移适配改造</w:t>
      </w:r>
    </w:p>
    <w:p w14:paraId="452F3A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本项目需要根据安全可靠替代工作要求进行集约化部署，对</w:t>
      </w:r>
      <w:r>
        <w:rPr>
          <w:rFonts w:hint="eastAsia" w:ascii="宋体" w:hAnsi="宋体" w:eastAsia="宋体" w:cs="宋体"/>
          <w:sz w:val="24"/>
          <w:szCs w:val="24"/>
          <w:lang w:val="en-US" w:eastAsia="zh-CN"/>
        </w:rPr>
        <w:t>滁州市“</w:t>
      </w:r>
      <w:r>
        <w:rPr>
          <w:rFonts w:hint="eastAsia" w:ascii="宋体" w:hAnsi="宋体" w:eastAsia="宋体" w:cs="宋体"/>
          <w:sz w:val="24"/>
          <w:szCs w:val="24"/>
        </w:rPr>
        <w:t>智慧防震减灾</w:t>
      </w:r>
      <w:r>
        <w:rPr>
          <w:rFonts w:hint="eastAsia" w:ascii="宋体" w:hAnsi="宋体" w:eastAsia="宋体" w:cs="宋体"/>
          <w:sz w:val="24"/>
          <w:szCs w:val="24"/>
          <w:lang w:eastAsia="zh-CN"/>
        </w:rPr>
        <w:t>”</w:t>
      </w:r>
      <w:r>
        <w:rPr>
          <w:rFonts w:hint="eastAsia" w:ascii="宋体" w:hAnsi="宋体" w:eastAsia="宋体" w:cs="宋体"/>
          <w:sz w:val="24"/>
          <w:szCs w:val="24"/>
        </w:rPr>
        <w:t>服务平台</w:t>
      </w:r>
      <w:r>
        <w:rPr>
          <w:rFonts w:hint="eastAsia" w:ascii="宋体" w:hAnsi="宋体" w:eastAsia="宋体" w:cs="宋体"/>
          <w:sz w:val="24"/>
          <w:szCs w:val="24"/>
          <w:lang w:val="en-US" w:eastAsia="zh-CN"/>
        </w:rPr>
        <w:t>一期项目</w:t>
      </w:r>
      <w:r>
        <w:rPr>
          <w:rFonts w:hint="eastAsia" w:ascii="宋体" w:hAnsi="宋体" w:eastAsia="宋体" w:cs="宋体"/>
          <w:sz w:val="24"/>
          <w:szCs w:val="24"/>
        </w:rPr>
        <w:t>所包含的相关系统进行迁移适配改造升级，迁移到市安全可靠云平台内，并对改造后的应用进行充分兼容性测试、性能测试、功能测试，确保符合相关要求</w:t>
      </w:r>
      <w:r>
        <w:rPr>
          <w:rFonts w:hint="eastAsia" w:ascii="宋体" w:hAnsi="宋体" w:eastAsia="宋体" w:cs="宋体"/>
          <w:sz w:val="24"/>
          <w:szCs w:val="24"/>
          <w:lang w:eastAsia="zh-CN"/>
        </w:rPr>
        <w:t>。</w:t>
      </w:r>
      <w:r>
        <w:rPr>
          <w:rFonts w:hint="eastAsia" w:ascii="宋体" w:hAnsi="宋体" w:eastAsia="宋体" w:cs="宋体"/>
          <w:sz w:val="24"/>
          <w:szCs w:val="24"/>
        </w:rPr>
        <w:t>适配改造系统清单如下：</w:t>
      </w:r>
    </w:p>
    <w:tbl>
      <w:tblPr>
        <w:tblStyle w:val="27"/>
        <w:tblW w:w="4998" w:type="pct"/>
        <w:jc w:val="center"/>
        <w:tblLayout w:type="autofit"/>
        <w:tblCellMar>
          <w:top w:w="0" w:type="dxa"/>
          <w:left w:w="108" w:type="dxa"/>
          <w:bottom w:w="0" w:type="dxa"/>
          <w:right w:w="108" w:type="dxa"/>
        </w:tblCellMar>
      </w:tblPr>
      <w:tblGrid>
        <w:gridCol w:w="1238"/>
        <w:gridCol w:w="3049"/>
        <w:gridCol w:w="4232"/>
      </w:tblGrid>
      <w:tr w14:paraId="1FBE6776">
        <w:tblPrEx>
          <w:tblCellMar>
            <w:top w:w="0" w:type="dxa"/>
            <w:left w:w="108" w:type="dxa"/>
            <w:bottom w:w="0" w:type="dxa"/>
            <w:right w:w="108" w:type="dxa"/>
          </w:tblCellMar>
        </w:tblPrEx>
        <w:trPr>
          <w:trHeight w:val="560" w:hRule="atLeast"/>
          <w:tblHeader/>
          <w:jc w:val="center"/>
        </w:trPr>
        <w:tc>
          <w:tcPr>
            <w:tcW w:w="72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07F1B">
            <w:pPr>
              <w:spacing w:line="240" w:lineRule="atLeast"/>
              <w:ind w:firstLine="0" w:firstLineChars="0"/>
              <w:jc w:val="center"/>
              <w:rPr>
                <w:rFonts w:hint="eastAsia" w:ascii="宋体" w:hAnsi="宋体" w:eastAsia="宋体" w:cs="宋体"/>
                <w:b/>
                <w:bCs/>
                <w:sz w:val="24"/>
                <w:szCs w:val="24"/>
                <w:lang w:bidi="ar"/>
              </w:rPr>
            </w:pPr>
            <w:r>
              <w:rPr>
                <w:rFonts w:hint="eastAsia" w:ascii="宋体" w:hAnsi="宋体" w:eastAsia="宋体" w:cs="宋体"/>
                <w:b/>
                <w:bCs/>
                <w:sz w:val="24"/>
                <w:szCs w:val="24"/>
                <w:lang w:bidi="ar"/>
              </w:rPr>
              <w:t>序号</w:t>
            </w:r>
          </w:p>
        </w:tc>
        <w:tc>
          <w:tcPr>
            <w:tcW w:w="178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001D7">
            <w:pPr>
              <w:spacing w:line="240" w:lineRule="atLeast"/>
              <w:ind w:firstLine="0" w:firstLineChars="0"/>
              <w:jc w:val="center"/>
              <w:rPr>
                <w:rFonts w:hint="eastAsia" w:ascii="宋体" w:hAnsi="宋体" w:eastAsia="宋体" w:cs="宋体"/>
                <w:b/>
                <w:bCs/>
                <w:sz w:val="24"/>
                <w:szCs w:val="24"/>
                <w:lang w:bidi="ar"/>
              </w:rPr>
            </w:pPr>
            <w:r>
              <w:rPr>
                <w:rFonts w:hint="eastAsia" w:ascii="宋体" w:hAnsi="宋体" w:eastAsia="宋体" w:cs="宋体"/>
                <w:b/>
                <w:bCs/>
                <w:sz w:val="24"/>
                <w:szCs w:val="24"/>
                <w:lang w:bidi="ar"/>
              </w:rPr>
              <w:t>业务子系统</w:t>
            </w:r>
          </w:p>
        </w:tc>
        <w:tc>
          <w:tcPr>
            <w:tcW w:w="2483"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50592">
            <w:pPr>
              <w:spacing w:line="240" w:lineRule="atLeast"/>
              <w:ind w:firstLine="0" w:firstLineChars="0"/>
              <w:jc w:val="center"/>
              <w:rPr>
                <w:rFonts w:hint="eastAsia" w:ascii="宋体" w:hAnsi="宋体" w:eastAsia="宋体" w:cs="宋体"/>
                <w:b/>
                <w:bCs/>
                <w:sz w:val="24"/>
                <w:szCs w:val="24"/>
                <w:lang w:bidi="ar"/>
              </w:rPr>
            </w:pPr>
            <w:r>
              <w:rPr>
                <w:rFonts w:hint="eastAsia" w:ascii="宋体" w:hAnsi="宋体" w:eastAsia="宋体" w:cs="宋体"/>
                <w:b/>
                <w:bCs/>
                <w:sz w:val="24"/>
                <w:szCs w:val="24"/>
                <w:lang w:bidi="ar"/>
              </w:rPr>
              <w:t>功能清单</w:t>
            </w:r>
          </w:p>
        </w:tc>
      </w:tr>
      <w:tr w14:paraId="20CC78A9">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77DBBCF1">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w:t>
            </w:r>
          </w:p>
        </w:tc>
        <w:tc>
          <w:tcPr>
            <w:tcW w:w="1789" w:type="pct"/>
            <w:vMerge w:val="restart"/>
            <w:tcBorders>
              <w:top w:val="single" w:color="000000" w:sz="4" w:space="0"/>
              <w:left w:val="single" w:color="000000" w:sz="4" w:space="0"/>
              <w:bottom w:val="single" w:color="000000" w:sz="4" w:space="0"/>
              <w:right w:val="single" w:color="000000" w:sz="4" w:space="0"/>
            </w:tcBorders>
            <w:noWrap w:val="0"/>
            <w:vAlign w:val="center"/>
          </w:tcPr>
          <w:p w14:paraId="31F5D46B">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智慧震防基础平台</w:t>
            </w: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150BEE18">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组织架构</w:t>
            </w:r>
          </w:p>
        </w:tc>
      </w:tr>
      <w:tr w14:paraId="7C0DDC80">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34BAF249">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2</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1154A7">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6FEA2D19">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权限架构</w:t>
            </w:r>
          </w:p>
        </w:tc>
      </w:tr>
      <w:tr w14:paraId="0FD95B88">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7335A5A3">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3</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D98B3B">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222E905B">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我的信息</w:t>
            </w:r>
          </w:p>
        </w:tc>
      </w:tr>
      <w:tr w14:paraId="75FFCF77">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6AC036F1">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4</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5E743D">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1DC5886A">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系统运维</w:t>
            </w:r>
          </w:p>
        </w:tc>
      </w:tr>
      <w:tr w14:paraId="0A8D8F83">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66574DF2">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5</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496840">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5740D062">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授权管理</w:t>
            </w:r>
          </w:p>
        </w:tc>
      </w:tr>
      <w:tr w14:paraId="12521ED7">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66F461CD">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6</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FE8401">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2BAC579A">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日志审计</w:t>
            </w:r>
          </w:p>
        </w:tc>
      </w:tr>
      <w:tr w14:paraId="4E8F77B9">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24F08826">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7</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1311E1">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14BCE359">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工具/资源</w:t>
            </w:r>
          </w:p>
        </w:tc>
      </w:tr>
      <w:tr w14:paraId="5771CD17">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5A91D352">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8</w:t>
            </w:r>
          </w:p>
        </w:tc>
        <w:tc>
          <w:tcPr>
            <w:tcW w:w="1789" w:type="pct"/>
            <w:vMerge w:val="restart"/>
            <w:tcBorders>
              <w:top w:val="single" w:color="000000" w:sz="4" w:space="0"/>
              <w:left w:val="single" w:color="000000" w:sz="4" w:space="0"/>
              <w:bottom w:val="single" w:color="000000" w:sz="4" w:space="0"/>
              <w:right w:val="single" w:color="000000" w:sz="4" w:space="0"/>
            </w:tcBorders>
            <w:noWrap w:val="0"/>
            <w:vAlign w:val="center"/>
          </w:tcPr>
          <w:p w14:paraId="1B797339">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地震综合应用系统</w:t>
            </w: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237DE638">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地震构造信息查询</w:t>
            </w:r>
          </w:p>
        </w:tc>
      </w:tr>
      <w:tr w14:paraId="57FF8298">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6DE917DC">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9</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FD6F3F">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4CA7CEAD">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震灾害风险评估与区划</w:t>
            </w:r>
          </w:p>
        </w:tc>
      </w:tr>
      <w:tr w14:paraId="4195B6E2">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1359DD70">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10</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787D33">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4C9453E3">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震害预测综合评估</w:t>
            </w:r>
          </w:p>
        </w:tc>
      </w:tr>
      <w:tr w14:paraId="34459157">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36CED16E">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11</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601D97">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5739BF46">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三维地质空间分析</w:t>
            </w:r>
          </w:p>
        </w:tc>
      </w:tr>
      <w:tr w14:paraId="66C83926">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40D90D78">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12</w:t>
            </w:r>
          </w:p>
        </w:tc>
        <w:tc>
          <w:tcPr>
            <w:tcW w:w="1789" w:type="pct"/>
            <w:vMerge w:val="restart"/>
            <w:tcBorders>
              <w:top w:val="single" w:color="000000" w:sz="4" w:space="0"/>
              <w:left w:val="single" w:color="000000" w:sz="4" w:space="0"/>
              <w:bottom w:val="single" w:color="000000" w:sz="4" w:space="0"/>
              <w:right w:val="single" w:color="000000" w:sz="4" w:space="0"/>
            </w:tcBorders>
            <w:noWrap w:val="0"/>
            <w:vAlign w:val="center"/>
          </w:tcPr>
          <w:p w14:paraId="7D457B9C">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地震公共服务信息系统</w:t>
            </w: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6C573D0C">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震情推送</w:t>
            </w:r>
          </w:p>
        </w:tc>
      </w:tr>
      <w:tr w14:paraId="26D40DE7">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715ABE7E">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13</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9AE05">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7BBD0DDC">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信息浏览</w:t>
            </w:r>
          </w:p>
        </w:tc>
      </w:tr>
      <w:tr w14:paraId="51B992A2">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5F9FD343">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14</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1BFFB7">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1CA49A0D">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信息查询</w:t>
            </w:r>
          </w:p>
        </w:tc>
      </w:tr>
      <w:tr w14:paraId="3D086CFE">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2599E7EF">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15</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1E6A2D">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11226CF4">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安全评价</w:t>
            </w:r>
          </w:p>
        </w:tc>
      </w:tr>
      <w:tr w14:paraId="5F446830">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02042182">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16</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16C8EE">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3F6C9E19">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政策法规</w:t>
            </w:r>
          </w:p>
        </w:tc>
      </w:tr>
      <w:tr w14:paraId="74CE3A01">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5451EAAB">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17</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2FD39C">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4F777EEE">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图件定制</w:t>
            </w:r>
          </w:p>
        </w:tc>
      </w:tr>
      <w:tr w14:paraId="34857A67">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2805F52E">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18</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1E0977">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356E42FE">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工具软件</w:t>
            </w:r>
          </w:p>
        </w:tc>
      </w:tr>
      <w:tr w14:paraId="3568A1A9">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713EBA4E">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19</w:t>
            </w:r>
          </w:p>
        </w:tc>
        <w:tc>
          <w:tcPr>
            <w:tcW w:w="1789" w:type="pct"/>
            <w:vMerge w:val="restart"/>
            <w:tcBorders>
              <w:top w:val="single" w:color="000000" w:sz="4" w:space="0"/>
              <w:left w:val="single" w:color="000000" w:sz="4" w:space="0"/>
              <w:bottom w:val="single" w:color="000000" w:sz="4" w:space="0"/>
              <w:right w:val="single" w:color="000000" w:sz="4" w:space="0"/>
            </w:tcBorders>
            <w:noWrap w:val="0"/>
            <w:vAlign w:val="center"/>
          </w:tcPr>
          <w:p w14:paraId="58F30D53">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地震数字孪生决策可视化</w:t>
            </w: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6095D47A">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态势展示</w:t>
            </w:r>
          </w:p>
        </w:tc>
      </w:tr>
      <w:tr w14:paraId="724BC9F8">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2B156F91">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20</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222F98">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29D12E8D">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规划选址</w:t>
            </w:r>
          </w:p>
        </w:tc>
      </w:tr>
      <w:tr w14:paraId="3A1ACFC5">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382E12A6">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21</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0DD484">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3931594F">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抗震设防</w:t>
            </w:r>
          </w:p>
        </w:tc>
      </w:tr>
      <w:tr w14:paraId="23E83A44">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32AEC54D">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22</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B45D62">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062E7E3E">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情景模拟</w:t>
            </w:r>
          </w:p>
        </w:tc>
      </w:tr>
      <w:tr w14:paraId="5F4D34CB">
        <w:tblPrEx>
          <w:tblCellMar>
            <w:top w:w="0" w:type="dxa"/>
            <w:left w:w="108" w:type="dxa"/>
            <w:bottom w:w="0" w:type="dxa"/>
            <w:right w:w="108" w:type="dxa"/>
          </w:tblCellMar>
        </w:tblPrEx>
        <w:trPr>
          <w:trHeight w:val="280" w:hRule="atLeast"/>
          <w:jc w:val="center"/>
        </w:trPr>
        <w:tc>
          <w:tcPr>
            <w:tcW w:w="727" w:type="pct"/>
            <w:tcBorders>
              <w:top w:val="single" w:color="000000" w:sz="4" w:space="0"/>
              <w:left w:val="single" w:color="000000" w:sz="4" w:space="0"/>
              <w:bottom w:val="single" w:color="000000" w:sz="4" w:space="0"/>
              <w:right w:val="single" w:color="000000" w:sz="4" w:space="0"/>
            </w:tcBorders>
            <w:noWrap/>
            <w:vAlign w:val="center"/>
          </w:tcPr>
          <w:p w14:paraId="33A66550">
            <w:pPr>
              <w:spacing w:line="240" w:lineRule="atLeast"/>
              <w:ind w:firstLine="0" w:firstLineChars="0"/>
              <w:jc w:val="center"/>
              <w:rPr>
                <w:rFonts w:hint="eastAsia" w:ascii="宋体" w:hAnsi="宋体" w:eastAsia="宋体" w:cs="宋体"/>
                <w:sz w:val="24"/>
                <w:szCs w:val="24"/>
                <w:lang w:bidi="ar"/>
              </w:rPr>
            </w:pPr>
            <w:r>
              <w:rPr>
                <w:rFonts w:hint="eastAsia" w:ascii="宋体" w:hAnsi="宋体" w:eastAsia="宋体" w:cs="宋体"/>
                <w:sz w:val="24"/>
                <w:szCs w:val="24"/>
                <w:lang w:bidi="ar"/>
              </w:rPr>
              <w:t>23</w:t>
            </w:r>
          </w:p>
        </w:tc>
        <w:tc>
          <w:tcPr>
            <w:tcW w:w="178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D59007">
            <w:pPr>
              <w:spacing w:line="240" w:lineRule="atLeast"/>
              <w:ind w:firstLine="0" w:firstLineChars="0"/>
              <w:rPr>
                <w:rFonts w:hint="eastAsia" w:ascii="宋体" w:hAnsi="宋体" w:eastAsia="宋体" w:cs="宋体"/>
                <w:sz w:val="24"/>
                <w:szCs w:val="24"/>
                <w:lang w:bidi="ar"/>
              </w:rPr>
            </w:pPr>
          </w:p>
        </w:tc>
        <w:tc>
          <w:tcPr>
            <w:tcW w:w="2483" w:type="pct"/>
            <w:tcBorders>
              <w:top w:val="single" w:color="000000" w:sz="4" w:space="0"/>
              <w:left w:val="single" w:color="000000" w:sz="4" w:space="0"/>
              <w:bottom w:val="single" w:color="000000" w:sz="4" w:space="0"/>
              <w:right w:val="single" w:color="000000" w:sz="4" w:space="0"/>
            </w:tcBorders>
            <w:noWrap/>
            <w:vAlign w:val="center"/>
          </w:tcPr>
          <w:p w14:paraId="3842A607">
            <w:pPr>
              <w:spacing w:line="240" w:lineRule="atLeast"/>
              <w:ind w:firstLine="0" w:firstLineChars="0"/>
              <w:rPr>
                <w:rFonts w:hint="eastAsia" w:ascii="宋体" w:hAnsi="宋体" w:eastAsia="宋体" w:cs="宋体"/>
                <w:sz w:val="24"/>
                <w:szCs w:val="24"/>
                <w:lang w:bidi="ar"/>
              </w:rPr>
            </w:pPr>
            <w:r>
              <w:rPr>
                <w:rFonts w:hint="eastAsia" w:ascii="宋体" w:hAnsi="宋体" w:eastAsia="宋体" w:cs="宋体"/>
                <w:sz w:val="24"/>
                <w:szCs w:val="24"/>
                <w:lang w:bidi="ar"/>
              </w:rPr>
              <w:t>应急响应</w:t>
            </w:r>
          </w:p>
        </w:tc>
      </w:tr>
    </w:tbl>
    <w:p w14:paraId="5AECC9BE">
      <w:pPr>
        <w:pStyle w:val="2"/>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5、性能要求</w:t>
      </w:r>
    </w:p>
    <w:p w14:paraId="011EC552">
      <w:pPr>
        <w:pageBreakBefore w:val="0"/>
        <w:widowControl w:val="0"/>
        <w:numPr>
          <w:ilvl w:val="0"/>
          <w:numId w:val="4"/>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页面访问响应性能指标：常规网络环境下，普通页面首次加载响应时间≤1.5s，数据列表类页面加载响应时间≤2.5s；高峰期无页面卡顿、卡死、加载失败现象，页面成功率≥99.9%。</w:t>
      </w:r>
    </w:p>
    <w:p w14:paraId="2BA470D4">
      <w:pPr>
        <w:pageBreakBefore w:val="0"/>
        <w:widowControl w:val="0"/>
        <w:numPr>
          <w:ilvl w:val="0"/>
          <w:numId w:val="4"/>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并发访问承载性能指标：系统支持日常稳定并发访问量≥200用户；科普宣传、应急推送峰值时段可承载瞬时并发≥500用户，峰值场景下接口请求超时率≤0.1%，无系统瘫痪、访问拥堵问题。</w:t>
      </w:r>
    </w:p>
    <w:p w14:paraId="639E8D34">
      <w:pPr>
        <w:pageBreakBefore w:val="0"/>
        <w:widowControl w:val="0"/>
        <w:numPr>
          <w:ilvl w:val="0"/>
          <w:numId w:val="4"/>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数据处理运算性能指标：支持多源数据常态化接入，单批次可稳定完成10万条以内数据清洗、归集、核验处理；日常增量数据处理延迟≤30s，数据批量导入、日志留存运行稳定，无数据丢失、重复、错乱问题。</w:t>
      </w:r>
    </w:p>
    <w:p w14:paraId="5ED20169">
      <w:pPr>
        <w:pageBreakBefore w:val="0"/>
        <w:widowControl w:val="0"/>
        <w:numPr>
          <w:ilvl w:val="0"/>
          <w:numId w:val="4"/>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系统运行稳定性指标：系统全年综合可用率≥99.5%，支持7×24h不间断运行；常态化运行月度故障次数≤1次，单次故障恢复时长≤30秒。</w:t>
      </w:r>
    </w:p>
    <w:p w14:paraId="16672B66">
      <w:pPr>
        <w:pageBreakBefore w:val="0"/>
        <w:widowControl w:val="0"/>
        <w:numPr>
          <w:ilvl w:val="0"/>
          <w:numId w:val="4"/>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与浏览器兼容性指标：PC端兼容Chrome、Edge、360等主流浏览器最新及次新版本，支持办公设备页面展示、操作、导出、打印全功能正常适配，兼容通过率100%；移动端适配Android、iOS主流操作系统，支持不同分辨率终端自适应展示，轻量化服务功能运行正常。</w:t>
      </w:r>
    </w:p>
    <w:p w14:paraId="28F25088">
      <w:pPr>
        <w:pageBreakBefore w:val="0"/>
        <w:widowControl w:val="0"/>
        <w:numPr>
          <w:ilvl w:val="0"/>
          <w:numId w:val="4"/>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系统可扩展性指标：系统采用模块化架构，支持后期无缝新增业务模块、扩展数据接口、扩容数据存储资源；预留系统接口拓展点位≥10个，可支撑未来3–5年业务迭代、功能升级与服务扩容需求。</w:t>
      </w:r>
    </w:p>
    <w:p w14:paraId="3FA8017B">
      <w:pPr>
        <w:pStyle w:val="2"/>
        <w:pageBreakBefore w:val="0"/>
        <w:widowControl w:val="0"/>
        <w:numPr>
          <w:ilvl w:val="0"/>
          <w:numId w:val="0"/>
        </w:numPr>
        <w:kinsoku/>
        <w:wordWrap/>
        <w:overflowPunct/>
        <w:topLinePunct w:val="0"/>
        <w:autoSpaceDE/>
        <w:autoSpaceDN/>
        <w:bidi w:val="0"/>
        <w:adjustRightInd/>
        <w:snapToGrid/>
        <w:spacing w:beforeLines="0" w:afterLines="0" w:line="480" w:lineRule="exact"/>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6、其他要求</w:t>
      </w:r>
    </w:p>
    <w:p w14:paraId="74E20138">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本项目依托全省一体化数据基础平台集约建设，采用安全可靠软硬件产品，落实国产化要求和数据工程要求，根据实际情况复用公共组件、数据资源、技术工具等各类资源，合理沉淀新组件。中标人应配合采购人完成数据架构梳理、目录编制、资源挂载、数据入湖等数据工作。</w:t>
      </w:r>
    </w:p>
    <w:p w14:paraId="2619A6E8">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平台应预留与各业务单位数据对接接口，实现后续与各业务系统的集成和交互。</w:t>
      </w:r>
    </w:p>
    <w:p w14:paraId="152E0D1C">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本项目不采购服务器，依托政务云进行部署，由采购人租赁政务云资源及服务。</w:t>
      </w:r>
      <w:r>
        <w:rPr>
          <w:rFonts w:hint="eastAsia" w:ascii="宋体" w:hAnsi="宋体" w:eastAsia="宋体" w:cs="宋体"/>
          <w:sz w:val="24"/>
          <w:szCs w:val="24"/>
        </w:rPr>
        <w:t>系统</w:t>
      </w:r>
      <w:r>
        <w:rPr>
          <w:rFonts w:hint="eastAsia" w:ascii="宋体" w:hAnsi="宋体" w:eastAsia="宋体" w:cs="宋体"/>
          <w:sz w:val="24"/>
          <w:szCs w:val="24"/>
          <w:lang w:val="en-US" w:eastAsia="zh-CN"/>
        </w:rPr>
        <w:t>应</w:t>
      </w:r>
      <w:r>
        <w:rPr>
          <w:rFonts w:hint="eastAsia" w:ascii="宋体" w:hAnsi="宋体" w:eastAsia="宋体" w:cs="宋体"/>
          <w:sz w:val="24"/>
          <w:szCs w:val="24"/>
        </w:rPr>
        <w:t>支持IPV6访问。</w:t>
      </w:r>
    </w:p>
    <w:p w14:paraId="7AB975B7">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项目建设完成后所形成的项目成果（如设计文件、源代码、测试文档、数据资源、数据接口、定制软件等）及相关知识产权归采购人所有。中标人须按照采购人要求在项目竣工和运维期结束时分别移交项目在开发和使用期间产生的成果资料。</w:t>
      </w:r>
    </w:p>
    <w:p w14:paraId="3C89FDB6">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中标人应确保所提供的产品具有合法的知识产权，如提供的产品因侵犯第三方的知识产权而引起的法律责任由中标人承担，造成采购人损失的，损失全部由中标人承担。</w:t>
      </w:r>
    </w:p>
    <w:p w14:paraId="73503885">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采购人对中标人提供的服务功能、性能、安全情况进行测试或评估，中标人须无条件配合完成。</w:t>
      </w:r>
    </w:p>
    <w:p w14:paraId="71045BE4">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软件开发过程中，中标人不得随意撤换项目经理和主要技术人员，如要更换，必须提前书面征得采购人同意，并做好相关的移交工作。如采购人要求中标人更换项目经理和技术人员，中标人应按照采购人要求进行更换。</w:t>
      </w:r>
    </w:p>
    <w:p w14:paraId="28CAD520">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中标人应认真履行保密义务，签订保密协议，未征得采购人同意，不得复制、泄露、销售在项目建设过程中接触到的项目信息资料和技术成果。</w:t>
      </w:r>
    </w:p>
    <w:p w14:paraId="49BD6842">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中标人在维护期内应根据采购人要求免费配合系统迁移一次。</w:t>
      </w:r>
    </w:p>
    <w:p w14:paraId="2467F0A2">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系统应按照不低于网络安全等级保护测评二级的要求进行开发。</w:t>
      </w:r>
    </w:p>
    <w:p w14:paraId="711DC281">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项目实施期间，中标人应按照采购人要求和工作实际情况，安排驻场人员开展工作。</w:t>
      </w:r>
    </w:p>
    <w:p w14:paraId="4C06B92B">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免费质保期限（含运维）为3年，自项目通过最终验收合格之日起计算。质保期内的工作内容包括但不限于：</w:t>
      </w:r>
    </w:p>
    <w:p w14:paraId="6DD10AD6">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数据库定期更新。包括但不限于地震监测预报预警、地震灾害风险防治、地震应急响应服务、防震减灾公共服务等业务相关的数据；按采购人要求开展数据采集、清洗、转换、校验、入库、更新、备份、恢复和日志记录，确保数据完整、准确、一致、及时。</w:t>
      </w:r>
    </w:p>
    <w:p w14:paraId="54C7E81A">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软件功能优化调整。根据采购人需求或上级要求，及时对软件功能进行优化调整；包括但不限于功能模块、业务流程、界面展示、统计报表、地图服务、可视化大屏、移动端、权限角色、消息通知、接口服务等。</w:t>
      </w:r>
    </w:p>
    <w:p w14:paraId="4CE57EC4">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系统日常巡检与维护。对数据库、中间件、应用系统、接口等进行定期巡检，检查运行状态、日志、存储、性能等，及时发现并处理隐患，防止出现网络安全漏洞，出具巡检报告。</w:t>
      </w:r>
    </w:p>
    <w:p w14:paraId="58C3F10C">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故障响应与处理。提供7×24小时故障受理服务，采取远程或现场方式处理，记录故障现象、原因、处理过程及结果，重大故障应提交故障分析报告。</w:t>
      </w:r>
    </w:p>
    <w:p w14:paraId="2686424C">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接口维护与数据交换。维护与相关业务系统的接口，确保数据交换正常稳定；接口发生变化时，应及时适配、测试和上线。</w:t>
      </w:r>
    </w:p>
    <w:p w14:paraId="1C4166C1">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安全运维与合规。开展漏洞扫描、病毒防护、安全加固、日志审计、访问控制等工作，配合完成等级保护测评、密码应用、安全检查和整改。</w:t>
      </w:r>
    </w:p>
    <w:p w14:paraId="3356D589">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性能监控与优化。对系统资源、响应时间、并发访问等进行监控，定期优化数据库、SQL、中间件及应用性能，保障系统稳定高效运行。</w:t>
      </w:r>
    </w:p>
    <w:p w14:paraId="5DC8A1EF">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技术支持与培训。提供电话、邮件、远程、现场等技术支持，按采购人要求开展操作、管理、维护培训不少于3轮。</w:t>
      </w:r>
    </w:p>
    <w:p w14:paraId="4DDC700E">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文档与知识库维护。及时更新操作手册、运维手册、部署文档、接口文档、数据字典、常见问题等。</w:t>
      </w:r>
    </w:p>
    <w:p w14:paraId="1D03C831">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重大时期保障。在地震应急、重大活动、节假日、重点保障期等，按采购人要求安排相关保障。</w:t>
      </w:r>
    </w:p>
    <w:p w14:paraId="75ABDAD6">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服务报告与考核。按月、季、年提交运维报告、数据更新记录、巡检报告、故障报告、变更记录、安全报告、培训记录等，接受采购人考核。</w:t>
      </w:r>
    </w:p>
    <w:p w14:paraId="2B19EBE7">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保密与移交。中标人应严格遵守保密要求，运维过程中形成的数据、文档等归采购人所有；质保期届满前，完成系统、数据、文档、账号权限等移交工作。</w:t>
      </w:r>
    </w:p>
    <w:p w14:paraId="54AA8168">
      <w:pPr>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br w:type="page"/>
      </w:r>
    </w:p>
    <w:p w14:paraId="1C8A39E3">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评标方法和标准（综合评分法）</w:t>
      </w:r>
      <w:bookmarkEnd w:id="45"/>
    </w:p>
    <w:p w14:paraId="3EFD882E">
      <w:pPr>
        <w:spacing w:line="360" w:lineRule="auto"/>
        <w:ind w:firstLine="437"/>
        <w:outlineLvl w:val="1"/>
        <w:rPr>
          <w:rFonts w:asciiTheme="minorEastAsia" w:hAnsiTheme="minorEastAsia" w:eastAsiaTheme="minorEastAsia"/>
          <w:b/>
          <w:color w:val="auto"/>
          <w:sz w:val="24"/>
          <w:highlight w:val="none"/>
        </w:rPr>
      </w:pPr>
      <w:bookmarkStart w:id="46" w:name="_Toc4705"/>
      <w:bookmarkStart w:id="47" w:name="_Toc11823"/>
      <w:r>
        <w:rPr>
          <w:rFonts w:hint="eastAsia" w:asciiTheme="minorEastAsia" w:hAnsiTheme="minorEastAsia" w:eastAsiaTheme="minorEastAsia"/>
          <w:b/>
          <w:color w:val="auto"/>
          <w:sz w:val="24"/>
          <w:highlight w:val="none"/>
        </w:rPr>
        <w:t>一、总则</w:t>
      </w:r>
      <w:bookmarkEnd w:id="46"/>
      <w:bookmarkEnd w:id="47"/>
    </w:p>
    <w:p w14:paraId="4AEBEB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1083153A">
      <w:pPr>
        <w:spacing w:line="360" w:lineRule="auto"/>
        <w:ind w:firstLine="437"/>
        <w:outlineLvl w:val="1"/>
        <w:rPr>
          <w:rFonts w:asciiTheme="minorEastAsia" w:hAnsiTheme="minorEastAsia" w:eastAsiaTheme="minorEastAsia"/>
          <w:b/>
          <w:color w:val="auto"/>
          <w:sz w:val="24"/>
          <w:highlight w:val="none"/>
        </w:rPr>
      </w:pPr>
      <w:bookmarkStart w:id="48" w:name="_Toc32410"/>
      <w:bookmarkStart w:id="49" w:name="_Toc31871"/>
      <w:r>
        <w:rPr>
          <w:rFonts w:hint="eastAsia" w:asciiTheme="minorEastAsia" w:hAnsiTheme="minorEastAsia" w:eastAsiaTheme="minorEastAsia"/>
          <w:b/>
          <w:color w:val="auto"/>
          <w:sz w:val="24"/>
          <w:highlight w:val="none"/>
        </w:rPr>
        <w:t>二、评标方法</w:t>
      </w:r>
      <w:bookmarkEnd w:id="48"/>
      <w:bookmarkEnd w:id="49"/>
    </w:p>
    <w:p w14:paraId="21090EAD">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7"/>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651"/>
        <w:gridCol w:w="4556"/>
        <w:gridCol w:w="1894"/>
      </w:tblGrid>
      <w:tr w14:paraId="4323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61EB44F6">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1636C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4" w:space="0"/>
            </w:tcBorders>
            <w:vAlign w:val="center"/>
          </w:tcPr>
          <w:p w14:paraId="1E1B2D65">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942" w:type="pct"/>
            <w:tcBorders>
              <w:bottom w:val="single" w:color="auto" w:sz="4" w:space="0"/>
            </w:tcBorders>
            <w:vAlign w:val="center"/>
          </w:tcPr>
          <w:p w14:paraId="4C3F5FA1">
            <w:pPr>
              <w:pStyle w:val="47"/>
              <w:pBdr>
                <w:bottom w:val="none" w:color="auto" w:sz="0" w:space="0"/>
              </w:pBdr>
              <w:tabs>
                <w:tab w:val="clear" w:pos="4153"/>
                <w:tab w:val="clear" w:pos="8306"/>
              </w:tabs>
              <w:snapToGrid w:val="0"/>
              <w:spacing w:line="360" w:lineRule="auto"/>
              <w:ind w:right="-1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审查因素</w:t>
            </w:r>
          </w:p>
        </w:tc>
        <w:tc>
          <w:tcPr>
            <w:tcW w:w="2600" w:type="pct"/>
            <w:tcBorders>
              <w:bottom w:val="single" w:color="auto" w:sz="4" w:space="0"/>
            </w:tcBorders>
            <w:vAlign w:val="center"/>
          </w:tcPr>
          <w:p w14:paraId="3C00E030">
            <w:pPr>
              <w:adjustRightInd w:val="0"/>
              <w:snapToGrid w:val="0"/>
              <w:spacing w:line="360" w:lineRule="auto"/>
              <w:ind w:right="-1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审查内容</w:t>
            </w:r>
          </w:p>
        </w:tc>
        <w:tc>
          <w:tcPr>
            <w:tcW w:w="1079" w:type="pct"/>
            <w:tcBorders>
              <w:bottom w:val="single" w:color="auto" w:sz="4" w:space="0"/>
            </w:tcBorders>
            <w:vAlign w:val="center"/>
          </w:tcPr>
          <w:p w14:paraId="3CBC4409">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34E0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7" w:type="pct"/>
            <w:tcBorders>
              <w:bottom w:val="single" w:color="auto" w:sz="4" w:space="0"/>
            </w:tcBorders>
            <w:vAlign w:val="center"/>
          </w:tcPr>
          <w:p w14:paraId="71D428CA">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42" w:type="pct"/>
            <w:tcBorders>
              <w:bottom w:val="single" w:color="auto" w:sz="4" w:space="0"/>
            </w:tcBorders>
            <w:vAlign w:val="center"/>
          </w:tcPr>
          <w:p w14:paraId="6F2D5DBA">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00" w:type="pct"/>
            <w:tcBorders>
              <w:bottom w:val="single" w:color="auto" w:sz="4" w:space="0"/>
            </w:tcBorders>
            <w:vAlign w:val="center"/>
          </w:tcPr>
          <w:p w14:paraId="26FE9D2F">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876C4D5">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438D027C">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5800406C">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7AEA4ED9">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9" w:type="pct"/>
            <w:vAlign w:val="center"/>
          </w:tcPr>
          <w:p w14:paraId="3F7B09DC">
            <w:pPr>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187A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7" w:type="pct"/>
            <w:tcBorders>
              <w:bottom w:val="single" w:color="auto" w:sz="4" w:space="0"/>
            </w:tcBorders>
            <w:vAlign w:val="center"/>
          </w:tcPr>
          <w:p w14:paraId="6AEC49D8">
            <w:pPr>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42" w:type="pct"/>
            <w:tcBorders>
              <w:bottom w:val="single" w:color="auto" w:sz="4" w:space="0"/>
            </w:tcBorders>
            <w:vAlign w:val="center"/>
          </w:tcPr>
          <w:p w14:paraId="43DBAA13">
            <w:pPr>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600" w:type="pct"/>
            <w:tcBorders>
              <w:bottom w:val="single" w:color="auto" w:sz="4" w:space="0"/>
            </w:tcBorders>
            <w:vAlign w:val="center"/>
          </w:tcPr>
          <w:p w14:paraId="5640ED28">
            <w:pPr>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9" w:type="pct"/>
            <w:vAlign w:val="center"/>
          </w:tcPr>
          <w:p w14:paraId="43796F3A">
            <w:pPr>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7194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4" w:space="0"/>
            </w:tcBorders>
            <w:vAlign w:val="center"/>
          </w:tcPr>
          <w:p w14:paraId="40C27260">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42" w:type="pct"/>
            <w:tcBorders>
              <w:bottom w:val="single" w:color="auto" w:sz="4" w:space="0"/>
            </w:tcBorders>
            <w:vAlign w:val="center"/>
          </w:tcPr>
          <w:p w14:paraId="2ED958B7">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00" w:type="pct"/>
            <w:tcBorders>
              <w:bottom w:val="single" w:color="auto" w:sz="4" w:space="0"/>
            </w:tcBorders>
            <w:vAlign w:val="center"/>
          </w:tcPr>
          <w:p w14:paraId="2F20FCA0">
            <w:pPr>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9" w:type="pct"/>
            <w:tcBorders>
              <w:bottom w:val="single" w:color="auto" w:sz="4" w:space="0"/>
            </w:tcBorders>
            <w:vAlign w:val="center"/>
          </w:tcPr>
          <w:p w14:paraId="1CB6A0AA">
            <w:pPr>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color w:val="auto"/>
                <w:sz w:val="24"/>
                <w:szCs w:val="24"/>
                <w:highlight w:val="none"/>
              </w:rPr>
              <w:t>无须投标人</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供，由采购人或采购代理机构查询。</w:t>
            </w:r>
          </w:p>
        </w:tc>
      </w:tr>
      <w:tr w14:paraId="4E92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tcBorders>
              <w:bottom w:val="single" w:color="auto" w:sz="4" w:space="0"/>
            </w:tcBorders>
            <w:vAlign w:val="center"/>
          </w:tcPr>
          <w:p w14:paraId="2E0E7D1A">
            <w:pPr>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942" w:type="pct"/>
            <w:tcBorders>
              <w:bottom w:val="single" w:color="auto" w:sz="4" w:space="0"/>
            </w:tcBorders>
            <w:vAlign w:val="center"/>
          </w:tcPr>
          <w:p w14:paraId="3B60A59A">
            <w:pPr>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600" w:type="pct"/>
            <w:tcBorders>
              <w:bottom w:val="single" w:color="auto" w:sz="4" w:space="0"/>
            </w:tcBorders>
            <w:vAlign w:val="center"/>
          </w:tcPr>
          <w:p w14:paraId="5E83FE58">
            <w:pPr>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9" w:type="pct"/>
            <w:tcBorders>
              <w:bottom w:val="single" w:color="auto" w:sz="4" w:space="0"/>
            </w:tcBorders>
            <w:vAlign w:val="center"/>
          </w:tcPr>
          <w:p w14:paraId="30CBAC67">
            <w:pPr>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0391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7" w:type="pct"/>
            <w:vAlign w:val="center"/>
          </w:tcPr>
          <w:p w14:paraId="777BB7DB">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42" w:type="pct"/>
            <w:vAlign w:val="center"/>
          </w:tcPr>
          <w:p w14:paraId="401DC1DB">
            <w:pPr>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600" w:type="pct"/>
            <w:vAlign w:val="center"/>
          </w:tcPr>
          <w:p w14:paraId="7EFA40F8">
            <w:pPr>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9" w:type="pct"/>
            <w:vAlign w:val="center"/>
          </w:tcPr>
          <w:p w14:paraId="57EC13ED">
            <w:pPr>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67A7682B">
      <w:pPr>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4375DC43">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5B20E8E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117"/>
        <w:gridCol w:w="3128"/>
        <w:gridCol w:w="2511"/>
      </w:tblGrid>
      <w:tr w14:paraId="43AA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134E6DD5">
            <w:pPr>
              <w:adjustRightInd w:val="0"/>
              <w:snapToGrid w:val="0"/>
              <w:spacing w:line="360" w:lineRule="auto"/>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CE0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5730EEF9">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242" w:type="pct"/>
            <w:tcBorders>
              <w:bottom w:val="single" w:color="auto" w:sz="4" w:space="0"/>
            </w:tcBorders>
            <w:vAlign w:val="center"/>
          </w:tcPr>
          <w:p w14:paraId="011F6C20">
            <w:pPr>
              <w:pStyle w:val="47"/>
              <w:pBdr>
                <w:bottom w:val="none" w:color="auto" w:sz="0" w:space="0"/>
              </w:pBdr>
              <w:tabs>
                <w:tab w:val="clear" w:pos="4153"/>
                <w:tab w:val="clear" w:pos="8306"/>
              </w:tabs>
              <w:snapToGrid w:val="0"/>
              <w:spacing w:line="360" w:lineRule="auto"/>
              <w:ind w:right="-10"/>
              <w:textAlignment w:val="auto"/>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审查指标</w:t>
            </w:r>
          </w:p>
        </w:tc>
        <w:tc>
          <w:tcPr>
            <w:tcW w:w="1835" w:type="pct"/>
            <w:tcBorders>
              <w:bottom w:val="single" w:color="auto" w:sz="4" w:space="0"/>
            </w:tcBorders>
            <w:vAlign w:val="center"/>
          </w:tcPr>
          <w:p w14:paraId="51F7ED0C">
            <w:pPr>
              <w:adjustRightInd w:val="0"/>
              <w:snapToGrid w:val="0"/>
              <w:spacing w:line="360" w:lineRule="auto"/>
              <w:ind w:right="-10"/>
              <w:jc w:val="center"/>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审查标准</w:t>
            </w:r>
          </w:p>
        </w:tc>
        <w:tc>
          <w:tcPr>
            <w:tcW w:w="1472" w:type="pct"/>
            <w:tcBorders>
              <w:bottom w:val="single" w:color="auto" w:sz="4" w:space="0"/>
            </w:tcBorders>
            <w:vAlign w:val="center"/>
          </w:tcPr>
          <w:p w14:paraId="0386E0B2">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6C70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1BE7DA3">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42" w:type="pct"/>
            <w:vAlign w:val="center"/>
          </w:tcPr>
          <w:p w14:paraId="363F68B4">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35" w:type="pct"/>
            <w:vAlign w:val="center"/>
          </w:tcPr>
          <w:p w14:paraId="00FD0AC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1A000309">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48F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6AB4924D">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42" w:type="pct"/>
            <w:vAlign w:val="center"/>
          </w:tcPr>
          <w:p w14:paraId="3429186B">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5" w:type="pct"/>
            <w:vAlign w:val="center"/>
          </w:tcPr>
          <w:p w14:paraId="30819BB2">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381FBB75">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97B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6D929D07">
            <w:pPr>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42" w:type="pct"/>
            <w:vAlign w:val="center"/>
          </w:tcPr>
          <w:p w14:paraId="4103C87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5" w:type="pct"/>
            <w:vAlign w:val="center"/>
          </w:tcPr>
          <w:p w14:paraId="0E5A48CD">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25CAAC62">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5E03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772D8976">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42" w:type="pct"/>
            <w:vAlign w:val="center"/>
          </w:tcPr>
          <w:p w14:paraId="30E7322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5" w:type="pct"/>
            <w:vAlign w:val="center"/>
          </w:tcPr>
          <w:p w14:paraId="72D8DB5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72" w:type="pct"/>
            <w:vAlign w:val="center"/>
          </w:tcPr>
          <w:p w14:paraId="258C1043">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6DDE8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5017C72D">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42" w:type="pct"/>
            <w:vAlign w:val="center"/>
          </w:tcPr>
          <w:p w14:paraId="07CA8C8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3430" w:type="dxa"/>
            <w:vAlign w:val="center"/>
          </w:tcPr>
          <w:p w14:paraId="671EB5A8">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72" w:type="pct"/>
            <w:vAlign w:val="center"/>
          </w:tcPr>
          <w:p w14:paraId="13C2A74C">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049B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6B298DC2">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42" w:type="pct"/>
            <w:vAlign w:val="center"/>
          </w:tcPr>
          <w:p w14:paraId="15DDE533">
            <w:pPr>
              <w:spacing w:line="360" w:lineRule="auto"/>
              <w:ind w:firstLine="240" w:firstLineChars="100"/>
              <w:outlineLvl w:val="2"/>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技术</w:t>
            </w:r>
            <w:r>
              <w:rPr>
                <w:rFonts w:hint="eastAsia" w:asciiTheme="minorEastAsia" w:hAnsiTheme="minorEastAsia" w:eastAsiaTheme="minorEastAsia"/>
                <w:color w:val="auto"/>
                <w:sz w:val="24"/>
                <w:szCs w:val="28"/>
                <w:highlight w:val="none"/>
              </w:rPr>
              <w:t>响应情况</w:t>
            </w:r>
          </w:p>
        </w:tc>
        <w:tc>
          <w:tcPr>
            <w:tcW w:w="3430" w:type="dxa"/>
            <w:vAlign w:val="center"/>
          </w:tcPr>
          <w:p w14:paraId="2CD1B7D3">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符合招标文件采购需求中货物技术参数</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72" w:type="pct"/>
            <w:vAlign w:val="center"/>
          </w:tcPr>
          <w:p w14:paraId="3EDD27BD">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E80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08D8A56">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7</w:t>
            </w:r>
          </w:p>
        </w:tc>
        <w:tc>
          <w:tcPr>
            <w:tcW w:w="1242" w:type="pct"/>
            <w:vAlign w:val="center"/>
          </w:tcPr>
          <w:p w14:paraId="3699990A">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3430" w:type="dxa"/>
            <w:vAlign w:val="center"/>
          </w:tcPr>
          <w:p w14:paraId="1704C7FA">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72" w:type="pct"/>
            <w:vAlign w:val="center"/>
          </w:tcPr>
          <w:p w14:paraId="122D8DE7">
            <w:pPr>
              <w:adjustRightInd w:val="0"/>
              <w:snapToGrid w:val="0"/>
              <w:spacing w:line="360" w:lineRule="auto"/>
              <w:ind w:right="-10"/>
              <w:jc w:val="center"/>
              <w:rPr>
                <w:rFonts w:asciiTheme="minorEastAsia" w:hAnsiTheme="minorEastAsia" w:eastAsiaTheme="minorEastAsia"/>
                <w:color w:val="auto"/>
                <w:sz w:val="24"/>
                <w:highlight w:val="none"/>
              </w:rPr>
            </w:pPr>
          </w:p>
        </w:tc>
      </w:tr>
    </w:tbl>
    <w:p w14:paraId="08572C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047361C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p>
    <w:tbl>
      <w:tblPr>
        <w:tblStyle w:val="27"/>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0ED7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4FA9B361">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3117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10113691">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5E6F5595">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C527501">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2D626584">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556F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5570BB8">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708F457C">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0E2AE2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3A7DD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79BBD0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71DED1DE">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6BFB85DE">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79804EBD">
            <w:pPr>
              <w:keepNext w:val="0"/>
              <w:keepLines w:val="0"/>
              <w:widowControl/>
              <w:suppressLineNumbers w:val="0"/>
              <w:jc w:val="left"/>
              <w:rPr>
                <w:rFonts w:hint="default" w:ascii="宋体" w:hAnsi="宋体" w:eastAsia="宋体" w:cs="宋体"/>
                <w:color w:val="auto"/>
                <w:sz w:val="24"/>
                <w:highlight w:val="none"/>
                <w:lang w:val="en-US" w:eastAsia="zh-CN"/>
              </w:rPr>
            </w:pPr>
            <w:r>
              <w:rPr>
                <w:rFonts w:hint="eastAsia" w:ascii="宋体" w:hAnsi="宋体" w:eastAsia="宋体" w:cs="宋体"/>
                <w:color w:val="auto"/>
                <w:kern w:val="2"/>
                <w:sz w:val="24"/>
                <w:highlight w:val="none"/>
                <w:lang w:val="en-US" w:eastAsia="zh-CN" w:bidi="ar-SA"/>
              </w:rPr>
              <w:t>上述第（1）项数值计算：涉及总价、单价的精确到“分”并四舍五入，涉及费率的精确到小数点后两位，第三位四舍五入（例：如平均值为 123.456 元，即为 123.46 元；如平均值为 80.126%，即为 80.13%）。</w:t>
            </w:r>
          </w:p>
        </w:tc>
        <w:tc>
          <w:tcPr>
            <w:tcW w:w="2260" w:type="dxa"/>
            <w:vAlign w:val="center"/>
          </w:tcPr>
          <w:p w14:paraId="6EC10D25">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1FA686D4">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025064F4">
      <w:pPr>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098DC45C">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6E776350">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37619C1C">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47070B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0B84C615">
      <w:pPr>
        <w:spacing w:line="440" w:lineRule="exact"/>
        <w:ind w:firstLine="435"/>
        <w:rPr>
          <w:rFonts w:hint="eastAsia" w:ascii="宋体" w:hAnsi="宋体" w:eastAsia="宋体" w:cs="宋体"/>
          <w:color w:val="000000"/>
          <w:spacing w:val="0"/>
          <w:kern w:val="0"/>
          <w:position w:val="0"/>
          <w:sz w:val="24"/>
          <w:szCs w:val="24"/>
          <w:lang w:val="en-US" w:eastAsia="zh-CN" w:bidi="ar"/>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w:t>
      </w:r>
      <w:r>
        <w:rPr>
          <w:rFonts w:hint="eastAsia" w:asciiTheme="minorEastAsia" w:hAnsiTheme="minorEastAsia" w:eastAsiaTheme="minorEastAsia"/>
          <w:color w:val="auto"/>
          <w:sz w:val="24"/>
          <w:highlight w:val="none"/>
          <w:lang w:val="en-US" w:eastAsia="zh-CN"/>
        </w:rPr>
        <w:t>包</w:t>
      </w:r>
      <w:r>
        <w:rPr>
          <w:rFonts w:hint="eastAsia" w:asciiTheme="minorEastAsia" w:hAnsiTheme="minorEastAsia" w:eastAsiaTheme="minorEastAsia"/>
          <w:color w:val="auto"/>
          <w:sz w:val="24"/>
          <w:highlight w:val="none"/>
        </w:rPr>
        <w:t>综合评分满分为100分，其</w:t>
      </w:r>
      <w:r>
        <w:rPr>
          <w:rFonts w:hint="eastAsia" w:asciiTheme="minorEastAsia" w:hAnsiTheme="minorEastAsia" w:eastAsiaTheme="minorEastAsia"/>
          <w:color w:val="auto"/>
          <w:sz w:val="24"/>
          <w:highlight w:val="none"/>
          <w:lang w:val="en-US" w:eastAsia="zh-CN"/>
        </w:rPr>
        <w:t>中：资信分值占总分值的权重为35%，技术分值占总分值的权重为55%，价格分值占总分值的权重为10%。具体评分细</w:t>
      </w:r>
      <w:r>
        <w:rPr>
          <w:rFonts w:hint="eastAsia" w:ascii="宋体" w:hAnsi="宋体" w:eastAsia="宋体" w:cs="宋体"/>
          <w:color w:val="000000"/>
          <w:spacing w:val="0"/>
          <w:kern w:val="0"/>
          <w:position w:val="0"/>
          <w:sz w:val="24"/>
          <w:szCs w:val="24"/>
          <w:lang w:val="en-US" w:eastAsia="zh-CN" w:bidi="ar"/>
        </w:rPr>
        <w:t>则如下：</w:t>
      </w:r>
    </w:p>
    <w:tbl>
      <w:tblPr>
        <w:tblStyle w:val="27"/>
        <w:tblW w:w="57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1843"/>
        <w:gridCol w:w="5460"/>
        <w:gridCol w:w="1398"/>
      </w:tblGrid>
      <w:tr w14:paraId="1C5B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6" w:type="dxa"/>
            <w:tcBorders>
              <w:top w:val="single" w:color="auto" w:sz="4" w:space="0"/>
              <w:left w:val="single" w:color="auto" w:sz="4" w:space="0"/>
              <w:bottom w:val="single" w:color="auto" w:sz="4" w:space="0"/>
              <w:right w:val="single" w:color="auto" w:sz="4" w:space="0"/>
            </w:tcBorders>
            <w:vAlign w:val="center"/>
          </w:tcPr>
          <w:p w14:paraId="51E72C7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类别</w:t>
            </w:r>
          </w:p>
        </w:tc>
        <w:tc>
          <w:tcPr>
            <w:tcW w:w="1843" w:type="dxa"/>
            <w:tcBorders>
              <w:top w:val="single" w:color="auto" w:sz="4" w:space="0"/>
              <w:left w:val="single" w:color="auto" w:sz="4" w:space="0"/>
              <w:bottom w:val="single" w:color="auto" w:sz="4" w:space="0"/>
              <w:right w:val="single" w:color="auto" w:sz="4" w:space="0"/>
            </w:tcBorders>
            <w:vAlign w:val="center"/>
          </w:tcPr>
          <w:p w14:paraId="36576DD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评分内容</w:t>
            </w:r>
          </w:p>
        </w:tc>
        <w:tc>
          <w:tcPr>
            <w:tcW w:w="5460" w:type="dxa"/>
            <w:tcBorders>
              <w:top w:val="single" w:color="auto" w:sz="4" w:space="0"/>
              <w:left w:val="single" w:color="auto" w:sz="4" w:space="0"/>
              <w:bottom w:val="single" w:color="auto" w:sz="4" w:space="0"/>
              <w:right w:val="single" w:color="auto" w:sz="4" w:space="0"/>
            </w:tcBorders>
            <w:vAlign w:val="center"/>
          </w:tcPr>
          <w:p w14:paraId="3225785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评分标准</w:t>
            </w:r>
          </w:p>
        </w:tc>
        <w:tc>
          <w:tcPr>
            <w:tcW w:w="1398" w:type="dxa"/>
            <w:tcBorders>
              <w:top w:val="single" w:color="auto" w:sz="4" w:space="0"/>
              <w:left w:val="single" w:color="auto" w:sz="4" w:space="0"/>
              <w:bottom w:val="single" w:color="auto" w:sz="4" w:space="0"/>
              <w:right w:val="single" w:color="auto" w:sz="4" w:space="0"/>
            </w:tcBorders>
            <w:vAlign w:val="center"/>
          </w:tcPr>
          <w:p w14:paraId="01E3172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分值范围</w:t>
            </w:r>
          </w:p>
        </w:tc>
      </w:tr>
      <w:tr w14:paraId="447D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086" w:type="dxa"/>
            <w:vMerge w:val="restart"/>
            <w:tcBorders>
              <w:left w:val="single" w:color="auto" w:sz="4" w:space="0"/>
              <w:right w:val="single" w:color="auto" w:sz="4" w:space="0"/>
            </w:tcBorders>
            <w:vAlign w:val="center"/>
          </w:tcPr>
          <w:p w14:paraId="1037506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资信</w:t>
            </w:r>
            <w:r>
              <w:rPr>
                <w:rFonts w:hint="eastAsia" w:ascii="宋体" w:hAnsi="宋体" w:eastAsia="宋体" w:cs="宋体"/>
                <w:b w:val="0"/>
                <w:bCs w:val="0"/>
                <w:color w:val="auto"/>
                <w:sz w:val="24"/>
                <w:szCs w:val="24"/>
                <w:highlight w:val="none"/>
              </w:rPr>
              <w:t>分</w:t>
            </w:r>
          </w:p>
          <w:p w14:paraId="3CC1E0C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35</w:t>
            </w:r>
            <w:r>
              <w:rPr>
                <w:rFonts w:hint="eastAsia" w:ascii="宋体" w:hAnsi="宋体" w:eastAsia="宋体" w:cs="宋体"/>
                <w:b w:val="0"/>
                <w:bCs w:val="0"/>
                <w:color w:val="auto"/>
                <w:sz w:val="24"/>
                <w:szCs w:val="24"/>
                <w:highlight w:val="none"/>
              </w:rPr>
              <w:t>分）</w:t>
            </w: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3AD7E828">
            <w:pPr>
              <w:keepNext w:val="0"/>
              <w:keepLines w:val="0"/>
              <w:widowControl/>
              <w:suppressLineNumbers w:val="0"/>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1.投标人</w:t>
            </w:r>
            <w:r>
              <w:rPr>
                <w:rFonts w:hint="eastAsia" w:ascii="宋体" w:hAnsi="宋体" w:eastAsia="宋体" w:cs="宋体"/>
                <w:b w:val="0"/>
                <w:bCs w:val="0"/>
                <w:color w:val="auto"/>
                <w:sz w:val="24"/>
                <w:szCs w:val="24"/>
                <w:highlight w:val="none"/>
              </w:rPr>
              <w:t>业绩</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6DB665E">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2023年1月1日以来（以合同签订日期为准），承担过信息化建设项目（</w:t>
            </w:r>
            <w:r>
              <w:rPr>
                <w:rFonts w:hint="eastAsia" w:ascii="宋体" w:hAnsi="宋体" w:eastAsia="宋体" w:cs="宋体"/>
                <w:color w:val="auto"/>
                <w:sz w:val="24"/>
                <w:szCs w:val="24"/>
                <w:highlight w:val="none"/>
                <w:lang w:val="en-US" w:eastAsia="zh-CN" w:bidi="ar"/>
              </w:rPr>
              <w:t>必须包含</w:t>
            </w:r>
            <w:r>
              <w:rPr>
                <w:rFonts w:hint="eastAsia" w:ascii="宋体" w:hAnsi="宋体" w:eastAsia="宋体" w:cs="宋体"/>
                <w:color w:val="auto"/>
                <w:sz w:val="24"/>
                <w:szCs w:val="24"/>
                <w:highlight w:val="none"/>
                <w:lang w:val="zh-CN" w:eastAsia="zh-CN" w:bidi="ar"/>
              </w:rPr>
              <w:t>防震减灾类</w:t>
            </w:r>
            <w:r>
              <w:rPr>
                <w:rFonts w:hint="eastAsia" w:ascii="宋体" w:hAnsi="宋体" w:eastAsia="宋体" w:cs="宋体"/>
                <w:color w:val="auto"/>
                <w:sz w:val="24"/>
                <w:szCs w:val="24"/>
                <w:highlight w:val="none"/>
                <w:lang w:val="en-US" w:eastAsia="zh-CN" w:bidi="ar"/>
              </w:rPr>
              <w:t>内容</w:t>
            </w:r>
            <w:r>
              <w:rPr>
                <w:rFonts w:hint="eastAsia" w:ascii="宋体" w:hAnsi="宋体" w:eastAsia="宋体" w:cs="宋体"/>
                <w:color w:val="auto"/>
                <w:sz w:val="24"/>
                <w:szCs w:val="24"/>
                <w:highlight w:val="none"/>
                <w:lang w:val="zh-CN" w:eastAsia="zh-CN" w:bidi="ar"/>
              </w:rPr>
              <w:t>），每提供1个项目业绩得2分；本项最多得4分；未提供或不符合的不得分。</w:t>
            </w:r>
          </w:p>
          <w:p w14:paraId="06198307">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注：①投标文件中提供业绩合同扫描件，时间以合同签订时间为准；若合同材料中无法体现签订时间、</w:t>
            </w:r>
            <w:r>
              <w:rPr>
                <w:rFonts w:hint="eastAsia" w:ascii="宋体" w:hAnsi="宋体" w:eastAsia="宋体" w:cs="宋体"/>
                <w:color w:val="auto"/>
                <w:sz w:val="24"/>
                <w:szCs w:val="24"/>
                <w:highlight w:val="none"/>
                <w:lang w:val="en-US" w:eastAsia="zh-CN" w:bidi="ar"/>
              </w:rPr>
              <w:t>业绩</w:t>
            </w:r>
            <w:r>
              <w:rPr>
                <w:rFonts w:hint="eastAsia" w:ascii="宋体" w:hAnsi="宋体" w:eastAsia="宋体" w:cs="宋体"/>
                <w:color w:val="auto"/>
                <w:sz w:val="24"/>
                <w:szCs w:val="24"/>
                <w:highlight w:val="none"/>
                <w:lang w:val="zh-CN" w:eastAsia="zh-CN" w:bidi="ar"/>
              </w:rPr>
              <w:t>内容等关键评审因素的，须另</w:t>
            </w:r>
            <w:r>
              <w:rPr>
                <w:rFonts w:hint="eastAsia" w:ascii="宋体" w:hAnsi="宋体" w:eastAsia="宋体" w:cs="宋体"/>
                <w:color w:val="auto"/>
                <w:sz w:val="24"/>
                <w:szCs w:val="24"/>
                <w:highlight w:val="none"/>
                <w:lang w:val="en-US" w:eastAsia="zh-CN" w:bidi="ar"/>
              </w:rPr>
              <w:t>外提供</w:t>
            </w:r>
            <w:r>
              <w:rPr>
                <w:rFonts w:hint="eastAsia" w:ascii="宋体" w:hAnsi="宋体" w:eastAsia="宋体" w:cs="宋体"/>
                <w:color w:val="auto"/>
                <w:sz w:val="24"/>
                <w:szCs w:val="24"/>
                <w:highlight w:val="none"/>
                <w:lang w:val="zh-CN" w:eastAsia="zh-CN" w:bidi="ar"/>
              </w:rPr>
              <w:t>业主（合同甲方）出具的</w:t>
            </w:r>
            <w:r>
              <w:rPr>
                <w:rFonts w:hint="eastAsia" w:ascii="宋体" w:hAnsi="宋体" w:eastAsia="宋体" w:cs="宋体"/>
                <w:color w:val="auto"/>
                <w:sz w:val="24"/>
                <w:szCs w:val="24"/>
                <w:highlight w:val="none"/>
                <w:lang w:val="en-US" w:eastAsia="zh-CN" w:bidi="ar"/>
              </w:rPr>
              <w:t>盖章证明材料扫描件</w:t>
            </w:r>
            <w:r>
              <w:rPr>
                <w:rFonts w:hint="eastAsia" w:ascii="宋体" w:hAnsi="宋体" w:eastAsia="宋体" w:cs="宋体"/>
                <w:color w:val="auto"/>
                <w:sz w:val="24"/>
                <w:szCs w:val="24"/>
                <w:highlight w:val="none"/>
                <w:lang w:val="zh-CN" w:eastAsia="zh-CN" w:bidi="ar"/>
              </w:rPr>
              <w:t>。</w:t>
            </w:r>
          </w:p>
          <w:p w14:paraId="2A172FA6">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②</w:t>
            </w:r>
            <w:r>
              <w:rPr>
                <w:rFonts w:hint="eastAsia" w:ascii="宋体" w:hAnsi="宋体" w:eastAsia="宋体" w:cs="宋体"/>
                <w:color w:val="auto"/>
                <w:sz w:val="24"/>
                <w:szCs w:val="24"/>
                <w:highlight w:val="none"/>
                <w:lang w:val="en-US" w:eastAsia="zh-CN" w:bidi="ar"/>
              </w:rPr>
              <w:t>投标人</w:t>
            </w:r>
            <w:r>
              <w:rPr>
                <w:rFonts w:hint="eastAsia" w:ascii="宋体" w:hAnsi="宋体" w:eastAsia="宋体" w:cs="宋体"/>
                <w:color w:val="auto"/>
                <w:sz w:val="24"/>
                <w:szCs w:val="24"/>
                <w:highlight w:val="none"/>
                <w:lang w:val="zh-CN" w:eastAsia="zh-CN" w:bidi="ar"/>
              </w:rPr>
              <w:t>只需提供2个评审业绩，若</w:t>
            </w:r>
            <w:r>
              <w:rPr>
                <w:rFonts w:hint="eastAsia" w:ascii="宋体" w:hAnsi="宋体" w:eastAsia="宋体" w:cs="宋体"/>
                <w:color w:val="auto"/>
                <w:sz w:val="24"/>
                <w:szCs w:val="24"/>
                <w:highlight w:val="none"/>
                <w:lang w:val="en-US" w:eastAsia="zh-CN" w:bidi="ar"/>
              </w:rPr>
              <w:t>投标人</w:t>
            </w:r>
            <w:r>
              <w:rPr>
                <w:rFonts w:hint="eastAsia" w:ascii="宋体" w:hAnsi="宋体" w:eastAsia="宋体" w:cs="宋体"/>
                <w:color w:val="auto"/>
                <w:sz w:val="24"/>
                <w:szCs w:val="24"/>
                <w:highlight w:val="none"/>
                <w:lang w:val="zh-CN" w:eastAsia="zh-CN" w:bidi="ar"/>
              </w:rPr>
              <w:t>提供业绩个数超过2个，则按照排列顺序从首个业绩开始评审至对应数量（2个），超出部分业绩不进行评审。对应数量（2个）业绩不符合</w:t>
            </w:r>
            <w:r>
              <w:rPr>
                <w:rFonts w:hint="eastAsia" w:ascii="宋体" w:hAnsi="宋体" w:eastAsia="宋体" w:cs="宋体"/>
                <w:color w:val="auto"/>
                <w:sz w:val="24"/>
                <w:szCs w:val="24"/>
                <w:highlight w:val="none"/>
                <w:lang w:val="en-US" w:eastAsia="zh-CN" w:bidi="ar"/>
              </w:rPr>
              <w:t>招标</w:t>
            </w:r>
            <w:r>
              <w:rPr>
                <w:rFonts w:hint="eastAsia" w:ascii="宋体" w:hAnsi="宋体" w:eastAsia="宋体" w:cs="宋体"/>
                <w:color w:val="auto"/>
                <w:sz w:val="24"/>
                <w:szCs w:val="24"/>
                <w:highlight w:val="none"/>
                <w:lang w:val="zh-CN" w:eastAsia="zh-CN" w:bidi="ar"/>
              </w:rPr>
              <w:t>文件要求不得分的，不再补充评审超出部分业绩。如：提供2个业绩即得满分的，按照响应文件排序评审第一、第二项业绩，其余超出部分不再评审。</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2A70517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0-</w:t>
            </w: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分</w:t>
            </w:r>
          </w:p>
        </w:tc>
      </w:tr>
      <w:tr w14:paraId="422A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00A6B9CC">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64C4B0F3">
            <w:pPr>
              <w:keepNext w:val="0"/>
              <w:keepLines w:val="0"/>
              <w:widowControl/>
              <w:suppressLineNumbers w:val="0"/>
              <w:jc w:val="center"/>
              <w:rPr>
                <w:rFonts w:hint="eastAsia" w:ascii="宋体" w:hAnsi="宋体" w:eastAsia="宋体" w:cs="宋体"/>
                <w:color w:val="000000"/>
                <w:spacing w:val="0"/>
                <w:kern w:val="0"/>
                <w:positio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2.专业能力</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45831A02">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投标人具有地震相关计算机软件著作权登记证书，证书对应的软件涉及地震监测、震灾防治、地震应急、防震减灾信息服务等与本项目相关内容；每提供1个得2分，最多得8分；未提供或不符合的不得分。</w:t>
            </w:r>
          </w:p>
          <w:p w14:paraId="19C9B81C">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注：投标文件中提供上述相关证明文件扫描件。</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3D58E61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0-</w:t>
            </w:r>
            <w:r>
              <w:rPr>
                <w:rFonts w:hint="eastAsia" w:ascii="宋体" w:hAnsi="宋体" w:eastAsia="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分</w:t>
            </w:r>
          </w:p>
        </w:tc>
      </w:tr>
      <w:tr w14:paraId="33E7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9" w:hRule="atLeast"/>
          <w:jc w:val="center"/>
        </w:trPr>
        <w:tc>
          <w:tcPr>
            <w:tcW w:w="1086" w:type="dxa"/>
            <w:vMerge w:val="continue"/>
            <w:tcBorders>
              <w:left w:val="single" w:color="auto" w:sz="4" w:space="0"/>
              <w:right w:val="single" w:color="auto" w:sz="4" w:space="0"/>
            </w:tcBorders>
            <w:vAlign w:val="center"/>
          </w:tcPr>
          <w:p w14:paraId="3835AE1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794EB9B9">
            <w:pPr>
              <w:keepNext w:val="0"/>
              <w:keepLines w:val="0"/>
              <w:widowControl/>
              <w:suppressLineNumbers w:val="0"/>
              <w:jc w:val="center"/>
              <w:rPr>
                <w:rFonts w:hint="eastAsia" w:ascii="宋体" w:hAnsi="宋体" w:eastAsia="宋体" w:cs="宋体"/>
                <w:color w:val="000000"/>
                <w:spacing w:val="0"/>
                <w:kern w:val="0"/>
                <w:position w:val="0"/>
                <w:sz w:val="24"/>
                <w:szCs w:val="24"/>
                <w:lang w:val="en-US" w:eastAsia="zh-CN" w:bidi="ar"/>
              </w:rPr>
            </w:pPr>
            <w:r>
              <w:rPr>
                <w:rFonts w:hint="eastAsia" w:ascii="宋体" w:hAnsi="宋体" w:eastAsia="宋体" w:cs="宋体"/>
                <w:color w:val="000000"/>
                <w:spacing w:val="0"/>
                <w:kern w:val="0"/>
                <w:position w:val="0"/>
                <w:sz w:val="24"/>
                <w:szCs w:val="24"/>
                <w:lang w:val="en-US" w:eastAsia="zh-CN" w:bidi="ar"/>
              </w:rPr>
              <w:t>3.人员配备</w:t>
            </w:r>
          </w:p>
        </w:tc>
        <w:tc>
          <w:tcPr>
            <w:tcW w:w="5460" w:type="dxa"/>
            <w:tcBorders>
              <w:top w:val="single" w:color="auto" w:sz="4" w:space="0"/>
              <w:left w:val="single" w:color="auto" w:sz="4" w:space="0"/>
              <w:bottom w:val="single" w:color="auto" w:sz="4" w:space="0"/>
              <w:right w:val="single" w:color="auto" w:sz="4" w:space="0"/>
            </w:tcBorders>
            <w:vAlign w:val="center"/>
          </w:tcPr>
          <w:p w14:paraId="5A4E3540">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1.投标人为本项目拟派1名项目负责人，项目负责人应具备以下证书：信息系统项目管理师、系统架构设计师、系统分析师；每提供一项得2分，本项最高6分；未提供或不符合的不得分。</w:t>
            </w:r>
          </w:p>
          <w:p w14:paraId="44E6F1B0">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2.投标人为本项目拟派1名项目技术负责人，项目技术负责人具有以下证书：信息系统项目管理师、系统架构设计师、系统分析师；每提供一项得1分，本项最高3分；未提供或不符合的不得分。</w:t>
            </w:r>
          </w:p>
          <w:p w14:paraId="5F7B4D8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 xml:space="preserve">3.项目组团队成员中（除项目负责人与技术负责人以外)： </w:t>
            </w:r>
          </w:p>
          <w:p w14:paraId="783F06B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具有信息系统项目管理师、系统架构设计师、系统分析师、系统集成项目管理工程师、软件设计师、系统规划与管理师、注册安全工程师职业资格证书，以及电子与信息技术工程师、计算机工程师高级职称证书的，每提供一项得1分；具有地震学、地震地质学、地震工程学高级职称证书的，每提供一项得1分；本项最高10分；未提供或不符合的不得分。</w:t>
            </w:r>
          </w:p>
          <w:p w14:paraId="14A7DA3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pacing w:val="1"/>
                <w:kern w:val="0"/>
                <w:sz w:val="24"/>
                <w:szCs w:val="24"/>
                <w:highlight w:val="none"/>
                <w:lang w:val="en-US" w:eastAsia="zh-CN" w:bidi="ar-SA"/>
              </w:rPr>
            </w:pPr>
            <w:r>
              <w:rPr>
                <w:rFonts w:hint="eastAsia" w:ascii="宋体" w:hAnsi="宋体" w:eastAsia="宋体" w:cs="宋体"/>
                <w:color w:val="auto"/>
                <w:spacing w:val="1"/>
                <w:kern w:val="0"/>
                <w:sz w:val="24"/>
                <w:szCs w:val="24"/>
                <w:highlight w:val="none"/>
                <w:lang w:val="en-US" w:eastAsia="zh-CN" w:bidi="ar-SA"/>
              </w:rPr>
              <w:t>注：项目负责人、技术负责人、团队成员分别计分；项目组团队人员里，所有证书按类别只计一次分，同种证书不同人员具备的，不重复计分；上述人员不得兼任，投标文件中同时提供以下证明材料：人员名单（格式自拟）；上述人员证书扫描件；投标人为上述人员缴纳的近3个月内（任意一个月）的社保证明材料扫描件或提供承诺书。</w:t>
            </w:r>
          </w:p>
        </w:tc>
        <w:tc>
          <w:tcPr>
            <w:tcW w:w="1398" w:type="dxa"/>
            <w:tcBorders>
              <w:top w:val="single" w:color="auto" w:sz="4" w:space="0"/>
              <w:left w:val="single" w:color="auto" w:sz="4" w:space="0"/>
              <w:bottom w:val="single" w:color="auto" w:sz="4" w:space="0"/>
              <w:right w:val="single" w:color="auto" w:sz="4" w:space="0"/>
            </w:tcBorders>
            <w:vAlign w:val="center"/>
          </w:tcPr>
          <w:p w14:paraId="7E1509E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0-19分</w:t>
            </w:r>
          </w:p>
        </w:tc>
      </w:tr>
      <w:tr w14:paraId="4CA6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3" w:hRule="atLeast"/>
          <w:jc w:val="center"/>
        </w:trPr>
        <w:tc>
          <w:tcPr>
            <w:tcW w:w="1086" w:type="dxa"/>
            <w:vMerge w:val="continue"/>
            <w:tcBorders>
              <w:left w:val="single" w:color="auto" w:sz="4" w:space="0"/>
              <w:right w:val="single" w:color="auto" w:sz="4" w:space="0"/>
            </w:tcBorders>
            <w:vAlign w:val="center"/>
          </w:tcPr>
          <w:p w14:paraId="7343539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62A767C3">
            <w:pPr>
              <w:keepNext w:val="0"/>
              <w:keepLines w:val="0"/>
              <w:widowControl/>
              <w:suppressLineNumbers w:val="0"/>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4.免费质保承诺</w:t>
            </w:r>
          </w:p>
        </w:tc>
        <w:tc>
          <w:tcPr>
            <w:tcW w:w="5460" w:type="dxa"/>
            <w:tcBorders>
              <w:top w:val="single" w:color="auto" w:sz="4" w:space="0"/>
              <w:left w:val="single" w:color="auto" w:sz="4" w:space="0"/>
              <w:bottom w:val="single" w:color="auto" w:sz="4" w:space="0"/>
              <w:right w:val="single" w:color="auto" w:sz="4" w:space="0"/>
            </w:tcBorders>
            <w:vAlign w:val="center"/>
          </w:tcPr>
          <w:p w14:paraId="3DEEACB2">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投标人在满足招标文件要求的免费质保期（3年）的基础上，承诺每增加一年的免费质保期的加2分，本项最多得4分（质保期限增加时间不满一个整年度的不计分），提供承诺书，写明质保年限，格式自拟。</w:t>
            </w:r>
          </w:p>
          <w:p w14:paraId="60389267">
            <w:pPr>
              <w:keepNext w:val="0"/>
              <w:keepLines w:val="0"/>
              <w:pageBreakBefore w:val="0"/>
              <w:kinsoku/>
              <w:wordWrap/>
              <w:overflowPunct/>
              <w:topLinePunct w:val="0"/>
              <w:autoSpaceDE/>
              <w:autoSpaceDN/>
              <w:bidi w:val="0"/>
              <w:spacing w:line="40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注：以投标文件中投标人承诺的免费质保期为评审依据，未提供或不符合要求的不得分。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68205E0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0-4分</w:t>
            </w:r>
          </w:p>
        </w:tc>
      </w:tr>
      <w:tr w14:paraId="14D6D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2" w:hRule="atLeast"/>
          <w:jc w:val="center"/>
        </w:trPr>
        <w:tc>
          <w:tcPr>
            <w:tcW w:w="1086" w:type="dxa"/>
            <w:vMerge w:val="restart"/>
            <w:tcBorders>
              <w:left w:val="single" w:color="auto" w:sz="4" w:space="0"/>
              <w:right w:val="single" w:color="auto" w:sz="4" w:space="0"/>
            </w:tcBorders>
            <w:vAlign w:val="center"/>
          </w:tcPr>
          <w:p w14:paraId="42C0E828">
            <w:pPr>
              <w:bidi w:val="0"/>
              <w:rPr>
                <w:rFonts w:hint="eastAsia" w:ascii="宋体" w:hAnsi="宋体" w:eastAsia="宋体" w:cs="宋体"/>
                <w:b w:val="0"/>
                <w:bCs w:val="0"/>
                <w:color w:val="auto"/>
                <w:sz w:val="24"/>
                <w:szCs w:val="24"/>
                <w:highlight w:val="none"/>
              </w:rPr>
            </w:pPr>
            <w:r>
              <w:rPr>
                <w:rFonts w:hint="eastAsia" w:ascii="宋体" w:hAnsi="宋体" w:eastAsia="宋体" w:cs="宋体"/>
                <w:sz w:val="24"/>
                <w:szCs w:val="24"/>
              </w:rPr>
              <w:t>技术分（</w:t>
            </w:r>
            <w:r>
              <w:rPr>
                <w:rFonts w:hint="eastAsia" w:ascii="宋体" w:hAnsi="宋体" w:eastAsia="宋体" w:cs="宋体"/>
                <w:sz w:val="24"/>
                <w:szCs w:val="24"/>
                <w:lang w:val="en-US" w:eastAsia="zh-CN"/>
              </w:rPr>
              <w:t>55</w:t>
            </w:r>
            <w:r>
              <w:rPr>
                <w:rFonts w:hint="eastAsia" w:ascii="宋体" w:hAnsi="宋体" w:eastAsia="宋体" w:cs="宋体"/>
                <w:sz w:val="24"/>
                <w:szCs w:val="24"/>
              </w:rPr>
              <w:t>分）</w:t>
            </w:r>
          </w:p>
        </w:tc>
        <w:tc>
          <w:tcPr>
            <w:tcW w:w="1843" w:type="dxa"/>
            <w:tcBorders>
              <w:top w:val="single" w:color="auto" w:sz="4" w:space="0"/>
              <w:left w:val="single" w:color="auto" w:sz="4" w:space="0"/>
              <w:bottom w:val="single" w:color="auto" w:sz="4" w:space="0"/>
              <w:right w:val="single" w:color="auto" w:sz="4" w:space="0"/>
            </w:tcBorders>
            <w:vAlign w:val="center"/>
          </w:tcPr>
          <w:p w14:paraId="376C6CBE">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rPr>
              <w:t>项目背景理解、需求分析</w:t>
            </w:r>
          </w:p>
        </w:tc>
        <w:tc>
          <w:tcPr>
            <w:tcW w:w="5460" w:type="dxa"/>
            <w:tcBorders>
              <w:top w:val="single" w:color="auto" w:sz="4" w:space="0"/>
              <w:left w:val="single" w:color="auto" w:sz="4" w:space="0"/>
              <w:bottom w:val="single" w:color="auto" w:sz="4" w:space="0"/>
              <w:right w:val="single" w:color="auto" w:sz="4" w:space="0"/>
            </w:tcBorders>
            <w:vAlign w:val="center"/>
          </w:tcPr>
          <w:p w14:paraId="63A3E7DA">
            <w:pPr>
              <w:bidi w:val="0"/>
              <w:rPr>
                <w:rFonts w:hint="eastAsia" w:ascii="宋体" w:hAnsi="宋体" w:eastAsia="宋体" w:cs="宋体"/>
                <w:sz w:val="24"/>
                <w:szCs w:val="24"/>
                <w:lang w:eastAsia="zh-CN"/>
              </w:rPr>
            </w:pPr>
            <w:r>
              <w:rPr>
                <w:rFonts w:hint="eastAsia" w:ascii="宋体" w:hAnsi="宋体" w:eastAsia="宋体" w:cs="宋体"/>
                <w:sz w:val="24"/>
                <w:szCs w:val="24"/>
              </w:rPr>
              <w:t>根据</w:t>
            </w:r>
            <w:r>
              <w:rPr>
                <w:rFonts w:hint="eastAsia" w:ascii="宋体" w:hAnsi="宋体" w:eastAsia="宋体" w:cs="宋体"/>
                <w:sz w:val="24"/>
                <w:szCs w:val="24"/>
                <w:lang w:val="en-US" w:eastAsia="zh-CN"/>
              </w:rPr>
              <w:t>投标人</w:t>
            </w:r>
            <w:r>
              <w:rPr>
                <w:rFonts w:hint="eastAsia" w:ascii="宋体" w:hAnsi="宋体" w:eastAsia="宋体" w:cs="宋体"/>
                <w:sz w:val="24"/>
                <w:szCs w:val="24"/>
              </w:rPr>
              <w:t>对项目现状理解及需求研判</w:t>
            </w:r>
            <w:r>
              <w:rPr>
                <w:rFonts w:hint="eastAsia" w:ascii="宋体" w:hAnsi="宋体" w:eastAsia="宋体" w:cs="宋体"/>
                <w:sz w:val="24"/>
                <w:szCs w:val="24"/>
                <w:lang w:eastAsia="zh-CN"/>
              </w:rPr>
              <w:t>（</w:t>
            </w:r>
            <w:r>
              <w:rPr>
                <w:rFonts w:hint="eastAsia" w:ascii="宋体" w:hAnsi="宋体" w:eastAsia="宋体" w:cs="宋体"/>
                <w:sz w:val="24"/>
                <w:szCs w:val="24"/>
              </w:rPr>
              <w:t>包括但不限于：</w:t>
            </w:r>
            <w:r>
              <w:rPr>
                <w:rFonts w:hint="eastAsia" w:ascii="宋体" w:hAnsi="宋体" w:eastAsia="宋体" w:cs="宋体"/>
                <w:sz w:val="24"/>
                <w:szCs w:val="24"/>
                <w:lang w:val="en-US" w:eastAsia="zh-CN"/>
              </w:rPr>
              <w:t>滁州市“智慧防震减灾”服务平台一期已建系统、功能模块及业务范围；技术架构、部署环境、数据资源；二期项目定位及建设范围；新旧系统切换、业务连续、数据一致、接口开放、安全合规及风险应对；一期与二期衔接优化建议</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进行综合</w:t>
            </w:r>
            <w:r>
              <w:rPr>
                <w:rFonts w:hint="eastAsia" w:ascii="宋体" w:hAnsi="宋体" w:eastAsia="宋体" w:cs="宋体"/>
                <w:sz w:val="24"/>
                <w:szCs w:val="24"/>
              </w:rPr>
              <w:t>评审</w:t>
            </w:r>
            <w:r>
              <w:rPr>
                <w:rFonts w:hint="eastAsia" w:ascii="宋体" w:hAnsi="宋体" w:eastAsia="宋体" w:cs="宋体"/>
                <w:sz w:val="24"/>
                <w:szCs w:val="24"/>
                <w:lang w:eastAsia="zh-CN"/>
              </w:rPr>
              <w:t>：</w:t>
            </w:r>
          </w:p>
          <w:p w14:paraId="2AB1E635">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1.针对以上五项内容，相关描述逻辑清晰、完整准确，对一期与二期项目如何有效衔接、二期项目建设定位与功能需求理解到位、提出有针对性、可操作性的工作思路和具体举措的，得5分；</w:t>
            </w:r>
          </w:p>
          <w:p w14:paraId="3564F75F">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2.对以上五项内容，相关描述逻辑基本清晰、基本完整，存在局部表述笼统、模糊，提出的工作思路和具体举措有少量不足但不影响整体建设的，得3分；</w:t>
            </w:r>
          </w:p>
          <w:p w14:paraId="7BB26D04">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3.对以上五项内容，描述逻辑混乱、明显不完整、内容空洞，存在大量表述笼统、模糊，提出的工作思路和具体举措缺乏针对性、可操作性的，得1分；</w:t>
            </w:r>
          </w:p>
          <w:p w14:paraId="76C1CE04">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4.未提供的</w:t>
            </w:r>
            <w:r>
              <w:rPr>
                <w:rFonts w:hint="eastAsia" w:ascii="宋体" w:hAnsi="宋体" w:eastAsia="宋体" w:cs="宋体"/>
                <w:sz w:val="24"/>
                <w:szCs w:val="24"/>
              </w:rPr>
              <w:t>或</w:t>
            </w:r>
            <w:r>
              <w:rPr>
                <w:rFonts w:hint="eastAsia" w:ascii="宋体" w:hAnsi="宋体" w:eastAsia="宋体" w:cs="宋体"/>
                <w:sz w:val="24"/>
                <w:szCs w:val="24"/>
                <w:lang w:eastAsia="zh-CN"/>
              </w:rPr>
              <w:t>严重缺项</w:t>
            </w:r>
            <w:r>
              <w:rPr>
                <w:rFonts w:hint="eastAsia" w:ascii="宋体" w:hAnsi="宋体" w:eastAsia="宋体" w:cs="宋体"/>
                <w:sz w:val="24"/>
                <w:szCs w:val="24"/>
              </w:rPr>
              <w:t>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2A5FD910">
            <w:pPr>
              <w:bidi w:val="0"/>
              <w:rPr>
                <w:rFonts w:hint="eastAsia" w:ascii="宋体" w:hAnsi="宋体" w:eastAsia="宋体" w:cs="宋体"/>
                <w:b w:val="0"/>
                <w:bCs w:val="0"/>
                <w:color w:val="auto"/>
                <w:sz w:val="24"/>
                <w:szCs w:val="24"/>
                <w:highlight w:val="none"/>
              </w:rPr>
            </w:pPr>
            <w:r>
              <w:rPr>
                <w:rFonts w:hint="eastAsia" w:ascii="宋体" w:hAnsi="宋体" w:eastAsia="宋体" w:cs="宋体"/>
                <w:sz w:val="24"/>
                <w:szCs w:val="24"/>
              </w:rPr>
              <w:t>0-</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r>
      <w:tr w14:paraId="70F5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4D096091">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247DD4AA">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lang w:val="en-US" w:eastAsia="zh-CN"/>
              </w:rPr>
              <w:t>业务架构与数字化整体设计</w:t>
            </w:r>
          </w:p>
        </w:tc>
        <w:tc>
          <w:tcPr>
            <w:tcW w:w="5460" w:type="dxa"/>
            <w:tcBorders>
              <w:top w:val="single" w:color="auto" w:sz="4" w:space="0"/>
              <w:left w:val="single" w:color="auto" w:sz="4" w:space="0"/>
              <w:bottom w:val="single" w:color="auto" w:sz="4" w:space="0"/>
              <w:right w:val="single" w:color="auto" w:sz="4" w:space="0"/>
            </w:tcBorders>
            <w:vAlign w:val="center"/>
          </w:tcPr>
          <w:p w14:paraId="197EAC97">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根据投标人提供的业务架构与数字化整体设计（包括但不限于：业务架构总体设计、业务模块划分与业务协同、数字化整体设计思路、与一期业务衔接及二期定位、业务扩展与持续演进）进行评审：</w:t>
            </w:r>
          </w:p>
          <w:p w14:paraId="21A3C101">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1.以上五项内容齐全，业务架构层次清晰，模块划分合理，业务协同关系明确，数字化整体设计与“智慧防震减灾”平台定位高度契合，与一期衔接和二期定位准确，有扩展性和持续演进能力的，得5分；</w:t>
            </w:r>
          </w:p>
          <w:p w14:paraId="738DB3EB">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2.五项内容基本齐全，业务架构和整体设计合理，与一期衔接和二期定位准确，无明显缺漏但部分内容简略，得3分；</w:t>
            </w:r>
          </w:p>
          <w:p w14:paraId="2BF6CE27">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3.仅覆盖部分内容，或虽提及五项但业务架构不清、模块划分混乱、数字化设计与项目需求结合不紧密、衔接定位模糊，扩展性不足的，得1分；</w:t>
            </w:r>
          </w:p>
          <w:p w14:paraId="3CFE707E">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4.未提供的</w:t>
            </w:r>
            <w:r>
              <w:rPr>
                <w:rFonts w:hint="eastAsia" w:ascii="宋体" w:hAnsi="宋体" w:eastAsia="宋体" w:cs="宋体"/>
                <w:sz w:val="24"/>
                <w:szCs w:val="24"/>
              </w:rPr>
              <w:t>或</w:t>
            </w:r>
            <w:r>
              <w:rPr>
                <w:rFonts w:hint="eastAsia" w:ascii="宋体" w:hAnsi="宋体" w:eastAsia="宋体" w:cs="宋体"/>
                <w:sz w:val="24"/>
                <w:szCs w:val="24"/>
                <w:lang w:eastAsia="zh-CN"/>
              </w:rPr>
              <w:t>严重缺项</w:t>
            </w:r>
            <w:r>
              <w:rPr>
                <w:rFonts w:hint="eastAsia" w:ascii="宋体" w:hAnsi="宋体" w:eastAsia="宋体" w:cs="宋体"/>
                <w:sz w:val="24"/>
                <w:szCs w:val="24"/>
              </w:rPr>
              <w:t>的不得分</w:t>
            </w:r>
            <w:r>
              <w:rPr>
                <w:rFonts w:hint="eastAsia" w:ascii="宋体" w:hAnsi="宋体" w:eastAsia="宋体" w:cs="宋体"/>
                <w:sz w:val="24"/>
                <w:szCs w:val="24"/>
                <w:lang w:val="en-US" w:eastAsia="zh-CN"/>
              </w:rPr>
              <w:t>。</w:t>
            </w:r>
          </w:p>
          <w:p w14:paraId="7AB57603">
            <w:pPr>
              <w:bidi w:val="0"/>
              <w:rPr>
                <w:rFonts w:hint="eastAsia" w:ascii="宋体" w:hAnsi="宋体" w:eastAsia="宋体" w:cs="宋体"/>
                <w:sz w:val="24"/>
                <w:szCs w:val="24"/>
                <w:lang w:val="en-US" w:eastAsia="zh-CN"/>
              </w:rPr>
            </w:pPr>
          </w:p>
        </w:tc>
        <w:tc>
          <w:tcPr>
            <w:tcW w:w="1398" w:type="dxa"/>
            <w:tcBorders>
              <w:top w:val="single" w:color="auto" w:sz="4" w:space="0"/>
              <w:left w:val="single" w:color="auto" w:sz="4" w:space="0"/>
              <w:bottom w:val="single" w:color="auto" w:sz="4" w:space="0"/>
              <w:right w:val="single" w:color="auto" w:sz="4" w:space="0"/>
            </w:tcBorders>
            <w:vAlign w:val="center"/>
          </w:tcPr>
          <w:p w14:paraId="74B7460D">
            <w:pPr>
              <w:bidi w:val="0"/>
              <w:rPr>
                <w:rFonts w:hint="eastAsia" w:ascii="宋体" w:hAnsi="宋体" w:eastAsia="宋体" w:cs="宋体"/>
                <w:b w:val="0"/>
                <w:bCs w:val="0"/>
                <w:color w:val="auto"/>
                <w:sz w:val="24"/>
                <w:szCs w:val="24"/>
                <w:highlight w:val="none"/>
              </w:rPr>
            </w:pPr>
            <w:r>
              <w:rPr>
                <w:rFonts w:hint="eastAsia" w:ascii="宋体" w:hAnsi="宋体" w:eastAsia="宋体" w:cs="宋体"/>
                <w:sz w:val="24"/>
                <w:szCs w:val="24"/>
                <w:lang w:val="en-US" w:eastAsia="zh-CN"/>
              </w:rPr>
              <w:t>0-5分</w:t>
            </w:r>
          </w:p>
        </w:tc>
      </w:tr>
      <w:tr w14:paraId="6286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3" w:hRule="atLeast"/>
          <w:jc w:val="center"/>
        </w:trPr>
        <w:tc>
          <w:tcPr>
            <w:tcW w:w="1086" w:type="dxa"/>
            <w:vMerge w:val="continue"/>
            <w:tcBorders>
              <w:left w:val="single" w:color="auto" w:sz="4" w:space="0"/>
              <w:right w:val="single" w:color="auto" w:sz="4" w:space="0"/>
            </w:tcBorders>
            <w:vAlign w:val="center"/>
          </w:tcPr>
          <w:p w14:paraId="62FF28CF">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vAlign w:val="center"/>
          </w:tcPr>
          <w:p w14:paraId="39C904A5">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lang w:val="en-US" w:eastAsia="zh-CN"/>
              </w:rPr>
              <w:t>应用架构与技术架构</w:t>
            </w:r>
          </w:p>
        </w:tc>
        <w:tc>
          <w:tcPr>
            <w:tcW w:w="5460" w:type="dxa"/>
            <w:tcBorders>
              <w:top w:val="single" w:color="auto" w:sz="4" w:space="0"/>
              <w:left w:val="single" w:color="auto" w:sz="4" w:space="0"/>
              <w:bottom w:val="single" w:color="auto" w:sz="4" w:space="0"/>
              <w:right w:val="single" w:color="auto" w:sz="4" w:space="0"/>
            </w:tcBorders>
            <w:vAlign w:val="center"/>
          </w:tcPr>
          <w:p w14:paraId="7B0981D7">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根据投标人提供的应用架构与技术架构（包括但不限于：应用架构图、系统总体设计、技术路线、接口集成）进行评审：</w:t>
            </w:r>
          </w:p>
          <w:p w14:paraId="49BDCCE5">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1.四项内容齐全，应用分层清晰，系统总体设计科学，技术路线先进可行，接口集成方案具体的，得5分；</w:t>
            </w:r>
          </w:p>
          <w:p w14:paraId="2C16FE94">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2.四项内容基本齐全，应用和技术架构合理，与一期有兼容性，无明显缺漏但部分内容简略，得3分；</w:t>
            </w:r>
          </w:p>
          <w:p w14:paraId="7D766D53">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3.仅覆盖部分内容，或虽提及四项但架构不清、技术路线不合理、接口集成缺失，难以支撑二期平台迭代升级的，得1分；</w:t>
            </w:r>
          </w:p>
          <w:p w14:paraId="5E4340F2">
            <w:pPr>
              <w:bidi w:val="0"/>
              <w:rPr>
                <w:rFonts w:hint="eastAsia" w:ascii="宋体" w:hAnsi="宋体" w:eastAsia="宋体" w:cs="宋体"/>
                <w:color w:val="auto"/>
                <w:sz w:val="24"/>
                <w:szCs w:val="24"/>
                <w:highlight w:val="yellow"/>
                <w:lang w:val="en-US" w:eastAsia="zh-CN" w:bidi="ar"/>
              </w:rPr>
            </w:pPr>
            <w:r>
              <w:rPr>
                <w:rFonts w:hint="eastAsia" w:ascii="宋体" w:hAnsi="宋体" w:eastAsia="宋体" w:cs="宋体"/>
                <w:sz w:val="24"/>
                <w:szCs w:val="24"/>
                <w:lang w:val="en-US" w:eastAsia="zh-CN"/>
              </w:rPr>
              <w:t>4.未提供的</w:t>
            </w:r>
            <w:r>
              <w:rPr>
                <w:rFonts w:hint="eastAsia" w:ascii="宋体" w:hAnsi="宋体" w:eastAsia="宋体" w:cs="宋体"/>
                <w:sz w:val="24"/>
                <w:szCs w:val="24"/>
              </w:rPr>
              <w:t>或</w:t>
            </w:r>
            <w:r>
              <w:rPr>
                <w:rFonts w:hint="eastAsia" w:ascii="宋体" w:hAnsi="宋体" w:eastAsia="宋体" w:cs="宋体"/>
                <w:sz w:val="24"/>
                <w:szCs w:val="24"/>
                <w:lang w:eastAsia="zh-CN"/>
              </w:rPr>
              <w:t>严重缺项</w:t>
            </w:r>
            <w:r>
              <w:rPr>
                <w:rFonts w:hint="eastAsia" w:ascii="宋体" w:hAnsi="宋体" w:eastAsia="宋体" w:cs="宋体"/>
                <w:sz w:val="24"/>
                <w:szCs w:val="24"/>
              </w:rPr>
              <w:t>的不得分</w:t>
            </w:r>
            <w:r>
              <w:rPr>
                <w:rFonts w:hint="eastAsia" w:ascii="宋体" w:hAnsi="宋体" w:eastAsia="宋体" w:cs="宋体"/>
                <w:sz w:val="24"/>
                <w:szCs w:val="24"/>
                <w:lang w:val="en-US" w:eastAsia="zh-CN"/>
              </w:rPr>
              <w:t>。</w:t>
            </w:r>
          </w:p>
        </w:tc>
        <w:tc>
          <w:tcPr>
            <w:tcW w:w="1398" w:type="dxa"/>
            <w:tcBorders>
              <w:top w:val="single" w:color="auto" w:sz="4" w:space="0"/>
              <w:left w:val="single" w:color="auto" w:sz="4" w:space="0"/>
              <w:bottom w:val="single" w:color="auto" w:sz="4" w:space="0"/>
              <w:right w:val="single" w:color="auto" w:sz="4" w:space="0"/>
            </w:tcBorders>
            <w:vAlign w:val="center"/>
          </w:tcPr>
          <w:p w14:paraId="439031EC">
            <w:pPr>
              <w:bidi w:val="0"/>
              <w:rPr>
                <w:rFonts w:hint="eastAsia" w:ascii="宋体" w:hAnsi="宋体" w:eastAsia="宋体" w:cs="宋体"/>
                <w:b w:val="0"/>
                <w:bCs w:val="0"/>
                <w:color w:val="auto"/>
                <w:sz w:val="24"/>
                <w:szCs w:val="24"/>
                <w:highlight w:val="none"/>
              </w:rPr>
            </w:pPr>
            <w:r>
              <w:rPr>
                <w:rFonts w:hint="eastAsia" w:ascii="宋体" w:hAnsi="宋体" w:eastAsia="宋体" w:cs="宋体"/>
                <w:sz w:val="24"/>
                <w:szCs w:val="24"/>
              </w:rPr>
              <w:t>0-</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r>
      <w:tr w14:paraId="4BC9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Merge w:val="continue"/>
            <w:tcBorders>
              <w:left w:val="single" w:color="auto" w:sz="4" w:space="0"/>
              <w:right w:val="single" w:color="auto" w:sz="4" w:space="0"/>
            </w:tcBorders>
            <w:vAlign w:val="center"/>
          </w:tcPr>
          <w:p w14:paraId="55409CCF">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477E869C">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lang w:val="en-US" w:eastAsia="zh-CN"/>
              </w:rPr>
              <w:t>数据架构与部署架构</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9679A08">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根据投标人提供的数据架构与部署架构（包括但不限于：数据来源明确性、数据架构内容描述、数据流向与共享交换、部署架构节点规划合理性）进行评审，</w:t>
            </w:r>
          </w:p>
          <w:p w14:paraId="6515BA7B">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1.以上四项内容齐全，数据来源明确、分类清晰，数据架构内容描述具体完整，数据流向和共享交换机制清晰，部署架构节点规划合理的，得5分；</w:t>
            </w:r>
          </w:p>
          <w:p w14:paraId="07223F0B">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2.四项内容齐全，数据来源明确，对数据架构内容有描述但内容简略，数据流向和共享交换清晰，部署架构节点规划合理，无明显缺漏的，得3分；</w:t>
            </w:r>
          </w:p>
          <w:p w14:paraId="1F67909F">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3.仅覆盖部分内容，或数据来源不明确，未重点描述数据架构内容或描述笼统，数据流向和共享交换不清，部署架构节点规划不合理的，得1分；</w:t>
            </w:r>
          </w:p>
          <w:p w14:paraId="525E697D">
            <w:pPr>
              <w:bidi w:val="0"/>
              <w:rPr>
                <w:rFonts w:hint="eastAsia" w:ascii="宋体" w:hAnsi="宋体" w:eastAsia="宋体" w:cs="宋体"/>
                <w:color w:val="auto"/>
                <w:sz w:val="24"/>
                <w:szCs w:val="24"/>
                <w:highlight w:val="yellow"/>
                <w:lang w:val="en-US" w:eastAsia="zh-CN" w:bidi="ar"/>
              </w:rPr>
            </w:pPr>
            <w:r>
              <w:rPr>
                <w:rFonts w:hint="eastAsia" w:ascii="宋体" w:hAnsi="宋体" w:eastAsia="宋体" w:cs="宋体"/>
                <w:sz w:val="24"/>
                <w:szCs w:val="24"/>
                <w:lang w:val="en-US" w:eastAsia="zh-CN"/>
              </w:rPr>
              <w:t>4.未提供的</w:t>
            </w:r>
            <w:r>
              <w:rPr>
                <w:rFonts w:hint="eastAsia" w:ascii="宋体" w:hAnsi="宋体" w:eastAsia="宋体" w:cs="宋体"/>
                <w:sz w:val="24"/>
                <w:szCs w:val="24"/>
              </w:rPr>
              <w:t>或</w:t>
            </w:r>
            <w:r>
              <w:rPr>
                <w:rFonts w:hint="eastAsia" w:ascii="宋体" w:hAnsi="宋体" w:eastAsia="宋体" w:cs="宋体"/>
                <w:sz w:val="24"/>
                <w:szCs w:val="24"/>
                <w:lang w:eastAsia="zh-CN"/>
              </w:rPr>
              <w:t>严重缺项</w:t>
            </w:r>
            <w:r>
              <w:rPr>
                <w:rFonts w:hint="eastAsia" w:ascii="宋体" w:hAnsi="宋体" w:eastAsia="宋体" w:cs="宋体"/>
                <w:sz w:val="24"/>
                <w:szCs w:val="24"/>
              </w:rPr>
              <w:t>的不得分</w:t>
            </w:r>
            <w:r>
              <w:rPr>
                <w:rFonts w:hint="eastAsia" w:ascii="宋体" w:hAnsi="宋体" w:eastAsia="宋体" w:cs="宋体"/>
                <w:sz w:val="24"/>
                <w:szCs w:val="24"/>
                <w:lang w:val="en-US" w:eastAsia="zh-CN"/>
              </w:rPr>
              <w:t>。</w:t>
            </w:r>
          </w:p>
        </w:tc>
        <w:tc>
          <w:tcPr>
            <w:tcW w:w="1398" w:type="dxa"/>
            <w:tcBorders>
              <w:top w:val="single" w:color="auto" w:sz="4" w:space="0"/>
              <w:left w:val="single" w:color="auto" w:sz="4" w:space="0"/>
              <w:bottom w:val="single" w:color="auto" w:sz="4" w:space="0"/>
              <w:right w:val="single" w:color="auto" w:sz="4" w:space="0"/>
            </w:tcBorders>
            <w:shd w:val="clear" w:color="auto" w:fill="auto"/>
            <w:vAlign w:val="center"/>
          </w:tcPr>
          <w:p w14:paraId="12455D6F">
            <w:pPr>
              <w:bidi w:val="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sz w:val="24"/>
                <w:szCs w:val="24"/>
              </w:rPr>
              <w:t>0-</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r>
      <w:tr w14:paraId="6A9A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6" w:hRule="atLeast"/>
          <w:jc w:val="center"/>
        </w:trPr>
        <w:tc>
          <w:tcPr>
            <w:tcW w:w="1086" w:type="dxa"/>
            <w:vMerge w:val="continue"/>
            <w:tcBorders>
              <w:left w:val="single" w:color="auto" w:sz="4" w:space="0"/>
              <w:right w:val="single" w:color="auto" w:sz="4" w:space="0"/>
            </w:tcBorders>
            <w:vAlign w:val="center"/>
          </w:tcPr>
          <w:p w14:paraId="2143B57A">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04C9AA23">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kern w:val="2"/>
                <w:sz w:val="24"/>
                <w:szCs w:val="24"/>
                <w:lang w:val="en-US" w:eastAsia="zh-CN" w:bidi="ar-SA"/>
              </w:rPr>
              <w:t>子系统功能技术方案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36E84367">
            <w:pPr>
              <w:bidi w:val="0"/>
              <w:rPr>
                <w:rFonts w:hint="eastAsia" w:ascii="宋体" w:hAnsi="宋体" w:eastAsia="宋体" w:cs="宋体"/>
                <w:color w:val="000000"/>
                <w:sz w:val="24"/>
                <w:szCs w:val="24"/>
                <w:lang w:val="en-US" w:eastAsia="zh-CN"/>
              </w:rPr>
            </w:pPr>
            <w:r>
              <w:rPr>
                <w:rFonts w:hint="eastAsia" w:ascii="宋体" w:hAnsi="宋体" w:eastAsia="宋体" w:cs="宋体"/>
                <w:color w:val="auto"/>
                <w:sz w:val="24"/>
                <w:szCs w:val="24"/>
              </w:rPr>
              <w:t>根据</w:t>
            </w:r>
            <w:r>
              <w:rPr>
                <w:rFonts w:hint="eastAsia" w:ascii="宋体" w:hAnsi="宋体" w:eastAsia="宋体" w:cs="宋体"/>
                <w:color w:val="000000"/>
                <w:sz w:val="24"/>
                <w:szCs w:val="24"/>
              </w:rPr>
              <w:t>投标人提供的</w:t>
            </w:r>
            <w:r>
              <w:rPr>
                <w:rFonts w:hint="eastAsia" w:ascii="宋体" w:hAnsi="宋体" w:eastAsia="宋体" w:cs="宋体"/>
                <w:color w:val="000000"/>
                <w:sz w:val="24"/>
                <w:szCs w:val="24"/>
                <w:lang w:val="en-US" w:eastAsia="zh-CN"/>
              </w:rPr>
              <w:t>子系统功能技术</w:t>
            </w:r>
            <w:r>
              <w:rPr>
                <w:rFonts w:hint="eastAsia" w:ascii="宋体" w:hAnsi="宋体" w:eastAsia="宋体" w:cs="宋体"/>
                <w:color w:val="000000"/>
                <w:sz w:val="24"/>
                <w:szCs w:val="24"/>
              </w:rPr>
              <w:t>方案</w:t>
            </w:r>
            <w:r>
              <w:rPr>
                <w:rFonts w:hint="eastAsia" w:ascii="宋体" w:hAnsi="宋体" w:eastAsia="宋体" w:cs="宋体"/>
                <w:color w:val="000000"/>
                <w:sz w:val="24"/>
                <w:szCs w:val="24"/>
                <w:lang w:val="en-US" w:eastAsia="zh-CN"/>
              </w:rPr>
              <w:t>进行评审：</w:t>
            </w:r>
          </w:p>
          <w:p w14:paraId="1D4217D6">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1.方案覆盖全部子系统，无遗漏；各子系统定位清晰准确，与总体业务架构、应用架构一致；子系统功能描述详细、完整，涵盖各功能模块及主要功能点，与项目建设需求高度契合的，得5分。</w:t>
            </w:r>
          </w:p>
          <w:p w14:paraId="377C17BD">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2.方案覆盖全部子系统，子系统定位、功能方案、功能清单等完整，但部分内容简略或不够细化，存在少量遗漏或交叉，不影响整体开发的，得3分。</w:t>
            </w:r>
          </w:p>
          <w:p w14:paraId="2E32EBC7">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3.方案未覆盖全部子系统，或子系统定位不清、功能方案笼统、功能清单和功能点缺失、边界交叉重复的，得1分。</w:t>
            </w:r>
          </w:p>
          <w:p w14:paraId="43D7987B">
            <w:pPr>
              <w:bidi w:val="0"/>
              <w:rPr>
                <w:rFonts w:hint="eastAsia" w:ascii="宋体" w:hAnsi="宋体" w:eastAsia="宋体" w:cs="宋体"/>
                <w:color w:val="auto"/>
                <w:sz w:val="24"/>
                <w:szCs w:val="24"/>
                <w:highlight w:val="yellow"/>
                <w:lang w:val="en-US" w:eastAsia="zh-CN" w:bidi="ar"/>
              </w:rPr>
            </w:pPr>
            <w:r>
              <w:rPr>
                <w:rFonts w:hint="eastAsia" w:ascii="宋体" w:hAnsi="宋体" w:eastAsia="宋体" w:cs="宋体"/>
                <w:color w:val="000000"/>
                <w:sz w:val="24"/>
                <w:szCs w:val="24"/>
                <w:lang w:val="en-US" w:eastAsia="zh-CN"/>
              </w:rPr>
              <w:t>4.未提供或严重缺项的不得分。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4E3A4130">
            <w:pPr>
              <w:bidi w:val="0"/>
              <w:rPr>
                <w:rFonts w:hint="eastAsia" w:ascii="宋体" w:hAnsi="宋体" w:eastAsia="宋体" w:cs="宋体"/>
                <w:b w:val="0"/>
                <w:bCs w:val="0"/>
                <w:color w:val="auto"/>
                <w:sz w:val="24"/>
                <w:szCs w:val="24"/>
                <w:highlight w:val="none"/>
              </w:rPr>
            </w:pPr>
            <w:r>
              <w:rPr>
                <w:rFonts w:hint="eastAsia" w:ascii="宋体" w:hAnsi="宋体" w:eastAsia="宋体" w:cs="宋体"/>
                <w:sz w:val="24"/>
                <w:szCs w:val="24"/>
                <w:lang w:val="en-US" w:eastAsia="zh-CN"/>
              </w:rPr>
              <w:t>0-5分</w:t>
            </w:r>
          </w:p>
        </w:tc>
      </w:tr>
      <w:tr w14:paraId="18B4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5" w:hRule="atLeast"/>
          <w:jc w:val="center"/>
        </w:trPr>
        <w:tc>
          <w:tcPr>
            <w:tcW w:w="1086" w:type="dxa"/>
            <w:vMerge w:val="continue"/>
            <w:tcBorders>
              <w:left w:val="single" w:color="auto" w:sz="4" w:space="0"/>
              <w:right w:val="single" w:color="auto" w:sz="4" w:space="0"/>
            </w:tcBorders>
            <w:vAlign w:val="center"/>
          </w:tcPr>
          <w:p w14:paraId="7956875E">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7E104961">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sz w:val="24"/>
                <w:szCs w:val="24"/>
                <w:lang w:val="en-US" w:eastAsia="zh-CN"/>
              </w:rPr>
              <w:t>业务流程方案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7AB6AD5A">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根据</w:t>
            </w:r>
            <w:r>
              <w:rPr>
                <w:rFonts w:hint="eastAsia" w:ascii="宋体" w:hAnsi="宋体" w:eastAsia="宋体" w:cs="宋体"/>
                <w:color w:val="000000"/>
                <w:sz w:val="24"/>
                <w:szCs w:val="24"/>
              </w:rPr>
              <w:t>投标人</w:t>
            </w:r>
            <w:r>
              <w:rPr>
                <w:rFonts w:hint="eastAsia" w:ascii="宋体" w:hAnsi="宋体" w:eastAsia="宋体" w:cs="宋体"/>
                <w:color w:val="000000"/>
                <w:sz w:val="24"/>
                <w:szCs w:val="24"/>
                <w:lang w:val="en-US" w:eastAsia="zh-CN"/>
              </w:rPr>
              <w:t>提供的业务流程方案</w:t>
            </w:r>
            <w:r>
              <w:rPr>
                <w:rFonts w:hint="eastAsia" w:ascii="宋体" w:hAnsi="宋体" w:eastAsia="宋体" w:cs="宋体"/>
                <w:sz w:val="24"/>
                <w:szCs w:val="24"/>
                <w:lang w:eastAsia="zh-CN"/>
              </w:rPr>
              <w:t>（</w:t>
            </w:r>
            <w:r>
              <w:rPr>
                <w:rFonts w:hint="eastAsia" w:ascii="宋体" w:hAnsi="宋体" w:eastAsia="宋体" w:cs="宋体"/>
                <w:sz w:val="24"/>
                <w:szCs w:val="24"/>
              </w:rPr>
              <w:t>包括但不限于</w:t>
            </w:r>
            <w:r>
              <w:rPr>
                <w:rFonts w:hint="eastAsia" w:ascii="宋体" w:hAnsi="宋体" w:eastAsia="宋体" w:cs="宋体"/>
                <w:sz w:val="24"/>
                <w:szCs w:val="24"/>
                <w:lang w:val="en-US" w:eastAsia="zh-CN"/>
              </w:rPr>
              <w:t>：</w:t>
            </w:r>
            <w:r>
              <w:rPr>
                <w:rFonts w:hint="eastAsia" w:ascii="宋体" w:hAnsi="宋体" w:eastAsia="宋体" w:cs="宋体"/>
                <w:color w:val="000000"/>
                <w:sz w:val="24"/>
                <w:szCs w:val="24"/>
                <w:lang w:val="en-US" w:eastAsia="zh-CN"/>
              </w:rPr>
              <w:t>主要业务的主流程、分支流程、异常流程、流程与功能点对应关系、流程流转与业务协同等）进行评审：</w:t>
            </w:r>
          </w:p>
          <w:p w14:paraId="38656EDB">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r>
              <w:rPr>
                <w:rFonts w:hint="eastAsia" w:ascii="宋体" w:hAnsi="宋体" w:eastAsia="宋体" w:cs="宋体"/>
                <w:sz w:val="24"/>
                <w:szCs w:val="24"/>
                <w:lang w:val="en-US" w:eastAsia="zh-CN"/>
              </w:rPr>
              <w:t>以上五</w:t>
            </w:r>
            <w:r>
              <w:rPr>
                <w:rFonts w:hint="eastAsia" w:ascii="宋体" w:hAnsi="宋体" w:eastAsia="宋体" w:cs="宋体"/>
                <w:sz w:val="24"/>
                <w:szCs w:val="24"/>
              </w:rPr>
              <w:t>项内容齐全，</w:t>
            </w:r>
            <w:r>
              <w:rPr>
                <w:rFonts w:hint="eastAsia" w:ascii="宋体" w:hAnsi="宋体" w:eastAsia="宋体" w:cs="宋体"/>
                <w:color w:val="000000"/>
                <w:sz w:val="24"/>
                <w:szCs w:val="24"/>
                <w:lang w:val="en-US" w:eastAsia="zh-CN"/>
              </w:rPr>
              <w:t>业务流程描述完整，提供主要业务的主流程、分支流程与异常流程；流程与功能点可对应，覆盖各子系统业务协同需求，与项目建设需求高度契合的，得5分。</w:t>
            </w:r>
          </w:p>
          <w:p w14:paraId="33BE90D4">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2.五</w:t>
            </w:r>
            <w:r>
              <w:rPr>
                <w:rFonts w:hint="eastAsia" w:ascii="宋体" w:hAnsi="宋体" w:eastAsia="宋体" w:cs="宋体"/>
                <w:sz w:val="24"/>
                <w:szCs w:val="24"/>
              </w:rPr>
              <w:t>项内容齐全，</w:t>
            </w:r>
            <w:r>
              <w:rPr>
                <w:rFonts w:hint="eastAsia" w:ascii="宋体" w:hAnsi="宋体" w:eastAsia="宋体" w:cs="宋体"/>
                <w:color w:val="000000"/>
                <w:sz w:val="24"/>
                <w:szCs w:val="24"/>
                <w:lang w:val="en-US" w:eastAsia="zh-CN"/>
              </w:rPr>
              <w:t>业务流程完整，主流程、分支流程与异常流程齐全，流程与功能点对应，但部分流程描述简略，局部环节或异常场景不够明确但无明显缺漏的，得3分。</w:t>
            </w:r>
          </w:p>
          <w:p w14:paraId="0F8BFCCE">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3.仅覆盖部分业务流程，或主流程、分支流程、异常流程缺失，流程与功能点对应不清，流程流转和业务协同关系混乱的，得1分。</w:t>
            </w:r>
          </w:p>
          <w:p w14:paraId="2840F782">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4.未提供或严重缺项的不得分。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2C549A09">
            <w:pPr>
              <w:bidi w:val="0"/>
              <w:rPr>
                <w:rFonts w:hint="eastAsia" w:ascii="宋体" w:hAnsi="宋体" w:eastAsia="宋体" w:cs="宋体"/>
                <w:b w:val="0"/>
                <w:bCs w:val="0"/>
                <w:color w:val="auto"/>
                <w:sz w:val="24"/>
                <w:szCs w:val="24"/>
                <w:highlight w:val="none"/>
              </w:rPr>
            </w:pPr>
            <w:r>
              <w:rPr>
                <w:rFonts w:hint="eastAsia" w:ascii="宋体" w:hAnsi="宋体" w:eastAsia="宋体" w:cs="宋体"/>
                <w:sz w:val="24"/>
                <w:szCs w:val="24"/>
                <w:lang w:val="en-US" w:eastAsia="zh-CN"/>
              </w:rPr>
              <w:t>0-5分</w:t>
            </w:r>
          </w:p>
        </w:tc>
      </w:tr>
      <w:tr w14:paraId="286A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4" w:hRule="atLeast"/>
          <w:jc w:val="center"/>
        </w:trPr>
        <w:tc>
          <w:tcPr>
            <w:tcW w:w="1086" w:type="dxa"/>
            <w:vMerge w:val="continue"/>
            <w:tcBorders>
              <w:left w:val="single" w:color="auto" w:sz="4" w:space="0"/>
              <w:right w:val="single" w:color="auto" w:sz="4" w:space="0"/>
            </w:tcBorders>
            <w:vAlign w:val="center"/>
          </w:tcPr>
          <w:p w14:paraId="496C182B">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05B64597">
            <w:pPr>
              <w:bidi w:val="0"/>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数据治理方案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2F0792C">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根据投标人针对本项目提供的数据治理方案（包括但不限于：数据治理目标与范围、数据标准体系、数据质量管理、数据清洗与整合、数据治理实施计划）进行评审：</w:t>
            </w:r>
          </w:p>
          <w:p w14:paraId="43F28D0A">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1.以上五项内容齐全，数据治理目标明确，治理范围覆盖二期建设数据；数据标准体系完整，数据质量规则具体可落地，数据清洗与整合方案可行，数据治理实施计划明确，与项目建设需求高度契合，得5分；</w:t>
            </w:r>
          </w:p>
          <w:p w14:paraId="18B27071">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2.五项内容齐全，方案总体合理可行，无明显缺漏但部分内容简略，得3分；</w:t>
            </w:r>
          </w:p>
          <w:p w14:paraId="190030C1">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3.仅覆盖部分内容，或虽提及五项但描述笼统，数据治理目标不清、数据标准和质量规则缺失、清洗整合方案不可行、实施计划与项目实际结合不紧密，得1分；</w:t>
            </w:r>
          </w:p>
          <w:p w14:paraId="2AC59891">
            <w:pPr>
              <w:bidi w:val="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4.未提供或严重缺项的不得分。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01C59296">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0-5分</w:t>
            </w:r>
          </w:p>
        </w:tc>
      </w:tr>
      <w:tr w14:paraId="0F15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2" w:hRule="atLeast"/>
          <w:jc w:val="center"/>
        </w:trPr>
        <w:tc>
          <w:tcPr>
            <w:tcW w:w="1086" w:type="dxa"/>
            <w:vMerge w:val="continue"/>
            <w:tcBorders>
              <w:left w:val="single" w:color="auto" w:sz="4" w:space="0"/>
              <w:right w:val="single" w:color="auto" w:sz="4" w:space="0"/>
            </w:tcBorders>
            <w:vAlign w:val="center"/>
          </w:tcPr>
          <w:p w14:paraId="38C3E18D">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71B3E272">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lang w:val="en-US" w:eastAsia="zh-CN"/>
              </w:rPr>
              <w:t>国产化适配改造方案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120F9F2C">
            <w:pPr>
              <w:bidi w:val="0"/>
              <w:rPr>
                <w:rFonts w:hint="eastAsia" w:ascii="宋体" w:hAnsi="宋体" w:eastAsia="宋体" w:cs="宋体"/>
                <w:sz w:val="24"/>
                <w:szCs w:val="24"/>
                <w:lang w:eastAsia="zh-CN"/>
              </w:rPr>
            </w:pPr>
            <w:r>
              <w:rPr>
                <w:rFonts w:hint="eastAsia" w:ascii="宋体" w:hAnsi="宋体" w:eastAsia="宋体" w:cs="宋体"/>
                <w:sz w:val="24"/>
                <w:szCs w:val="24"/>
              </w:rPr>
              <w:t>根据</w:t>
            </w:r>
            <w:r>
              <w:rPr>
                <w:rFonts w:hint="eastAsia" w:ascii="宋体" w:hAnsi="宋体" w:eastAsia="宋体" w:cs="宋体"/>
                <w:sz w:val="24"/>
                <w:szCs w:val="24"/>
                <w:lang w:val="en-US" w:eastAsia="zh-CN"/>
              </w:rPr>
              <w:t>投标人</w:t>
            </w:r>
            <w:r>
              <w:rPr>
                <w:rFonts w:hint="eastAsia" w:ascii="宋体" w:hAnsi="宋体" w:eastAsia="宋体" w:cs="宋体"/>
                <w:sz w:val="24"/>
                <w:szCs w:val="24"/>
              </w:rPr>
              <w:t>针对本项目国产化适配改造要求提供具体、可落地的方案</w:t>
            </w:r>
            <w:r>
              <w:rPr>
                <w:rFonts w:hint="eastAsia" w:ascii="宋体" w:hAnsi="宋体" w:eastAsia="宋体" w:cs="宋体"/>
                <w:sz w:val="24"/>
                <w:szCs w:val="24"/>
                <w:lang w:eastAsia="zh-CN"/>
              </w:rPr>
              <w:t>（</w:t>
            </w:r>
            <w:r>
              <w:rPr>
                <w:rFonts w:hint="eastAsia" w:ascii="宋体" w:hAnsi="宋体" w:eastAsia="宋体" w:cs="宋体"/>
                <w:sz w:val="24"/>
                <w:szCs w:val="24"/>
              </w:rPr>
              <w:t>包括但不限于</w:t>
            </w:r>
            <w:r>
              <w:rPr>
                <w:rFonts w:hint="eastAsia" w:ascii="宋体" w:hAnsi="宋体" w:eastAsia="宋体" w:cs="宋体"/>
                <w:sz w:val="24"/>
                <w:szCs w:val="24"/>
                <w:lang w:val="en-US" w:eastAsia="zh-CN"/>
              </w:rPr>
              <w:t>：</w:t>
            </w:r>
            <w:r>
              <w:rPr>
                <w:rFonts w:hint="eastAsia" w:ascii="宋体" w:hAnsi="宋体" w:eastAsia="宋体" w:cs="宋体"/>
                <w:sz w:val="24"/>
                <w:szCs w:val="24"/>
              </w:rPr>
              <w:t>适配对象与范围</w:t>
            </w:r>
            <w:r>
              <w:rPr>
                <w:rFonts w:hint="eastAsia" w:ascii="宋体" w:hAnsi="宋体" w:eastAsia="宋体" w:cs="宋体"/>
                <w:sz w:val="24"/>
                <w:szCs w:val="24"/>
                <w:lang w:eastAsia="zh-CN"/>
              </w:rPr>
              <w:t>、</w:t>
            </w:r>
            <w:r>
              <w:rPr>
                <w:rFonts w:hint="eastAsia" w:ascii="宋体" w:hAnsi="宋体" w:eastAsia="宋体" w:cs="宋体"/>
                <w:sz w:val="24"/>
                <w:szCs w:val="24"/>
              </w:rPr>
              <w:t>技术路线与改造方式</w:t>
            </w:r>
            <w:r>
              <w:rPr>
                <w:rFonts w:hint="eastAsia" w:ascii="宋体" w:hAnsi="宋体" w:eastAsia="宋体" w:cs="宋体"/>
                <w:sz w:val="24"/>
                <w:szCs w:val="24"/>
                <w:lang w:eastAsia="zh-CN"/>
              </w:rPr>
              <w:t>、</w:t>
            </w:r>
            <w:r>
              <w:rPr>
                <w:rFonts w:hint="eastAsia" w:ascii="宋体" w:hAnsi="宋体" w:eastAsia="宋体" w:cs="宋体"/>
                <w:sz w:val="24"/>
                <w:szCs w:val="24"/>
              </w:rPr>
              <w:t>实施步骤与计划</w:t>
            </w:r>
            <w:r>
              <w:rPr>
                <w:rFonts w:hint="eastAsia" w:ascii="宋体" w:hAnsi="宋体" w:eastAsia="宋体" w:cs="宋体"/>
                <w:sz w:val="24"/>
                <w:szCs w:val="24"/>
                <w:lang w:eastAsia="zh-CN"/>
              </w:rPr>
              <w:t>、</w:t>
            </w:r>
            <w:r>
              <w:rPr>
                <w:rFonts w:hint="eastAsia" w:ascii="宋体" w:hAnsi="宋体" w:eastAsia="宋体" w:cs="宋体"/>
                <w:sz w:val="24"/>
                <w:szCs w:val="24"/>
              </w:rPr>
              <w:t>数据迁移与回滚</w:t>
            </w:r>
            <w:r>
              <w:rPr>
                <w:rFonts w:hint="eastAsia" w:ascii="宋体" w:hAnsi="宋体" w:eastAsia="宋体" w:cs="宋体"/>
                <w:sz w:val="24"/>
                <w:szCs w:val="24"/>
                <w:lang w:eastAsia="zh-CN"/>
              </w:rPr>
              <w:t>、</w:t>
            </w:r>
            <w:r>
              <w:rPr>
                <w:rFonts w:hint="eastAsia" w:ascii="宋体" w:hAnsi="宋体" w:eastAsia="宋体" w:cs="宋体"/>
                <w:sz w:val="24"/>
                <w:szCs w:val="24"/>
              </w:rPr>
              <w:t>测试验证</w:t>
            </w:r>
            <w:r>
              <w:rPr>
                <w:rFonts w:hint="eastAsia" w:ascii="宋体" w:hAnsi="宋体" w:eastAsia="宋体" w:cs="宋体"/>
                <w:sz w:val="24"/>
                <w:szCs w:val="24"/>
                <w:lang w:eastAsia="zh-CN"/>
              </w:rPr>
              <w:t>、</w:t>
            </w:r>
            <w:r>
              <w:rPr>
                <w:rFonts w:hint="eastAsia" w:ascii="宋体" w:hAnsi="宋体" w:eastAsia="宋体" w:cs="宋体"/>
                <w:sz w:val="24"/>
                <w:szCs w:val="24"/>
              </w:rPr>
              <w:t>风险与保障</w:t>
            </w:r>
            <w:r>
              <w:rPr>
                <w:rFonts w:hint="eastAsia" w:ascii="宋体" w:hAnsi="宋体" w:eastAsia="宋体" w:cs="宋体"/>
                <w:sz w:val="24"/>
                <w:szCs w:val="24"/>
                <w:lang w:eastAsia="zh-CN"/>
              </w:rPr>
              <w:t>）</w:t>
            </w:r>
            <w:r>
              <w:rPr>
                <w:rFonts w:hint="eastAsia" w:ascii="宋体" w:hAnsi="宋体" w:eastAsia="宋体" w:cs="宋体"/>
                <w:sz w:val="24"/>
                <w:szCs w:val="24"/>
              </w:rPr>
              <w:t>进行评审：</w:t>
            </w:r>
          </w:p>
          <w:p w14:paraId="0B79E73E">
            <w:pPr>
              <w:bidi w:val="0"/>
              <w:rPr>
                <w:rFonts w:hint="eastAsia" w:ascii="宋体" w:hAnsi="宋体" w:eastAsia="宋体" w:cs="宋体"/>
                <w:sz w:val="24"/>
                <w:szCs w:val="24"/>
              </w:rPr>
            </w:pPr>
            <w:r>
              <w:rPr>
                <w:rFonts w:hint="eastAsia" w:ascii="宋体" w:hAnsi="宋体" w:eastAsia="宋体" w:cs="宋体"/>
                <w:sz w:val="24"/>
                <w:szCs w:val="24"/>
                <w:lang w:val="en-US" w:eastAsia="zh-CN"/>
              </w:rPr>
              <w:t>1.以上</w:t>
            </w:r>
            <w:r>
              <w:rPr>
                <w:rFonts w:hint="eastAsia" w:ascii="宋体" w:hAnsi="宋体" w:eastAsia="宋体" w:cs="宋体"/>
                <w:sz w:val="24"/>
                <w:szCs w:val="24"/>
              </w:rPr>
              <w:t>六项内容齐全，适配对象与范围明确，技术路线合理可行，改造方式具体，实施步骤与计划清晰，数据迁移与回滚方案完整，测试验证充分，风险识别全面、保障措施有力，</w:t>
            </w:r>
            <w:r>
              <w:rPr>
                <w:rFonts w:hint="eastAsia" w:ascii="宋体" w:hAnsi="宋体" w:eastAsia="宋体" w:cs="宋体"/>
                <w:sz w:val="24"/>
                <w:szCs w:val="24"/>
                <w:lang w:val="en-US" w:eastAsia="zh-CN"/>
              </w:rPr>
              <w:t>有</w:t>
            </w:r>
            <w:r>
              <w:rPr>
                <w:rFonts w:hint="eastAsia" w:ascii="宋体" w:hAnsi="宋体" w:eastAsia="宋体" w:cs="宋体"/>
                <w:sz w:val="24"/>
                <w:szCs w:val="24"/>
              </w:rPr>
              <w:t>针对性和可操作性，得5分；</w:t>
            </w:r>
          </w:p>
          <w:p w14:paraId="08FCD00B">
            <w:pPr>
              <w:bidi w:val="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六项内容齐全，方案总体合理可行，无明显缺漏但部分内容简略，得3分；</w:t>
            </w:r>
          </w:p>
          <w:p w14:paraId="40D4AE62">
            <w:pPr>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仅覆盖部分内容，或虽提及六项但描述笼统、技术路线不清、实施步骤不可行、数据迁移回滚和风险保障缺失，与项目国产化适配改造要求结合不紧密，难以指导项目实施的，得1分</w:t>
            </w:r>
            <w:r>
              <w:rPr>
                <w:rFonts w:hint="eastAsia" w:ascii="宋体" w:hAnsi="宋体" w:eastAsia="宋体" w:cs="宋体"/>
                <w:sz w:val="24"/>
                <w:szCs w:val="24"/>
                <w:lang w:eastAsia="zh-CN"/>
              </w:rPr>
              <w:t>；</w:t>
            </w:r>
          </w:p>
          <w:p w14:paraId="31177246">
            <w:pPr>
              <w:bidi w:val="0"/>
              <w:rPr>
                <w:rFonts w:hint="eastAsia" w:ascii="宋体" w:hAnsi="宋体" w:eastAsia="宋体" w:cs="宋体"/>
                <w:b w:val="0"/>
                <w:bCs w:val="0"/>
                <w:color w:val="auto"/>
                <w:spacing w:val="4"/>
                <w:kern w:val="2"/>
                <w:sz w:val="24"/>
                <w:szCs w:val="24"/>
                <w:highlight w:val="none"/>
                <w:lang w:val="en-US" w:eastAsia="zh-CN" w:bidi="ar-SA"/>
              </w:rPr>
            </w:pPr>
            <w:r>
              <w:rPr>
                <w:rFonts w:hint="eastAsia" w:ascii="宋体" w:hAnsi="宋体" w:eastAsia="宋体" w:cs="宋体"/>
                <w:sz w:val="24"/>
                <w:szCs w:val="24"/>
                <w:lang w:val="en-US" w:eastAsia="zh-CN"/>
              </w:rPr>
              <w:t>4.未提供的</w:t>
            </w:r>
            <w:r>
              <w:rPr>
                <w:rFonts w:hint="eastAsia" w:ascii="宋体" w:hAnsi="宋体" w:eastAsia="宋体" w:cs="宋体"/>
                <w:sz w:val="24"/>
                <w:szCs w:val="24"/>
              </w:rPr>
              <w:t>或</w:t>
            </w:r>
            <w:r>
              <w:rPr>
                <w:rFonts w:hint="eastAsia" w:ascii="宋体" w:hAnsi="宋体" w:eastAsia="宋体" w:cs="宋体"/>
                <w:sz w:val="24"/>
                <w:szCs w:val="24"/>
                <w:lang w:eastAsia="zh-CN"/>
              </w:rPr>
              <w:t>严重缺项</w:t>
            </w:r>
            <w:r>
              <w:rPr>
                <w:rFonts w:hint="eastAsia" w:ascii="宋体" w:hAnsi="宋体" w:eastAsia="宋体" w:cs="宋体"/>
                <w:sz w:val="24"/>
                <w:szCs w:val="24"/>
              </w:rPr>
              <w:t>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7EF01E68">
            <w:pPr>
              <w:bidi w:val="0"/>
              <w:rPr>
                <w:rFonts w:hint="eastAsia" w:ascii="宋体" w:hAnsi="宋体" w:eastAsia="宋体" w:cs="宋体"/>
                <w:b w:val="0"/>
                <w:bCs w:val="0"/>
                <w:color w:val="auto"/>
                <w:sz w:val="24"/>
                <w:szCs w:val="24"/>
                <w:highlight w:val="none"/>
              </w:rPr>
            </w:pPr>
            <w:r>
              <w:rPr>
                <w:rFonts w:hint="eastAsia" w:ascii="宋体" w:hAnsi="宋体" w:eastAsia="宋体" w:cs="宋体"/>
                <w:sz w:val="24"/>
                <w:szCs w:val="24"/>
                <w:lang w:val="en-US" w:eastAsia="zh-CN"/>
              </w:rPr>
              <w:t>0-5分</w:t>
            </w:r>
          </w:p>
        </w:tc>
      </w:tr>
      <w:tr w14:paraId="00C13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4" w:hRule="atLeast"/>
          <w:jc w:val="center"/>
        </w:trPr>
        <w:tc>
          <w:tcPr>
            <w:tcW w:w="1086" w:type="dxa"/>
            <w:vMerge w:val="continue"/>
            <w:tcBorders>
              <w:left w:val="single" w:color="auto" w:sz="4" w:space="0"/>
              <w:right w:val="single" w:color="auto" w:sz="4" w:space="0"/>
            </w:tcBorders>
            <w:vAlign w:val="center"/>
          </w:tcPr>
          <w:p w14:paraId="12DC527D">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3246A516">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lang w:val="en-US" w:eastAsia="zh-CN"/>
              </w:rPr>
              <w:t>实施方案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6CC65CF3">
            <w:pPr>
              <w:bidi w:val="0"/>
              <w:rPr>
                <w:rFonts w:hint="eastAsia" w:ascii="宋体" w:hAnsi="宋体" w:eastAsia="宋体" w:cs="宋体"/>
                <w:sz w:val="24"/>
                <w:szCs w:val="24"/>
              </w:rPr>
            </w:pPr>
            <w:r>
              <w:rPr>
                <w:rFonts w:hint="eastAsia" w:ascii="宋体" w:hAnsi="宋体" w:eastAsia="宋体" w:cs="宋体"/>
                <w:sz w:val="24"/>
                <w:szCs w:val="24"/>
              </w:rPr>
              <w:t>根据投标人针对本项目提供的实施方案（包括但不限于：实施组织与人员安排、实施进度计划、系统部署与上线、数据迁移与系统切换、测试与验收、风险防控与应急预案）进行评审：</w:t>
            </w:r>
          </w:p>
          <w:p w14:paraId="4A78CDE6">
            <w:pPr>
              <w:bidi w:val="0"/>
              <w:rPr>
                <w:rFonts w:hint="eastAsia" w:ascii="宋体" w:hAnsi="宋体" w:eastAsia="宋体" w:cs="宋体"/>
                <w:sz w:val="24"/>
                <w:szCs w:val="24"/>
              </w:rPr>
            </w:pPr>
            <w:r>
              <w:rPr>
                <w:rFonts w:hint="eastAsia" w:ascii="宋体" w:hAnsi="宋体" w:eastAsia="宋体" w:cs="宋体"/>
                <w:sz w:val="24"/>
                <w:szCs w:val="24"/>
                <w:lang w:val="en-US" w:eastAsia="zh-CN"/>
              </w:rPr>
              <w:t>1.以上六</w:t>
            </w:r>
            <w:r>
              <w:rPr>
                <w:rFonts w:hint="eastAsia" w:ascii="宋体" w:hAnsi="宋体" w:eastAsia="宋体" w:cs="宋体"/>
                <w:sz w:val="24"/>
                <w:szCs w:val="24"/>
              </w:rPr>
              <w:t>项内容齐全，实施组织分工明确，进度计划科学合理，部署上线和数据迁移切换方案具体可行，测试验收标准清晰，风险防控和应急预案</w:t>
            </w:r>
            <w:r>
              <w:rPr>
                <w:rFonts w:hint="eastAsia" w:ascii="宋体" w:hAnsi="宋体" w:eastAsia="宋体" w:cs="宋体"/>
                <w:sz w:val="24"/>
                <w:szCs w:val="24"/>
                <w:lang w:val="en-US" w:eastAsia="zh-CN"/>
              </w:rPr>
              <w:t>有</w:t>
            </w:r>
            <w:r>
              <w:rPr>
                <w:rFonts w:hint="eastAsia" w:ascii="宋体" w:hAnsi="宋体" w:eastAsia="宋体" w:cs="宋体"/>
                <w:sz w:val="24"/>
                <w:szCs w:val="24"/>
              </w:rPr>
              <w:t>针对性、可落地</w:t>
            </w:r>
            <w:r>
              <w:rPr>
                <w:rFonts w:hint="eastAsia" w:ascii="宋体" w:hAnsi="宋体" w:eastAsia="宋体" w:cs="宋体"/>
                <w:sz w:val="24"/>
                <w:szCs w:val="24"/>
                <w:lang w:val="en-US" w:eastAsia="zh-CN"/>
              </w:rPr>
              <w:t>的</w:t>
            </w:r>
            <w:r>
              <w:rPr>
                <w:rFonts w:hint="eastAsia" w:ascii="宋体" w:hAnsi="宋体" w:eastAsia="宋体" w:cs="宋体"/>
                <w:sz w:val="24"/>
                <w:szCs w:val="24"/>
              </w:rPr>
              <w:t>，得5分；</w:t>
            </w:r>
          </w:p>
          <w:p w14:paraId="222B92EE">
            <w:pPr>
              <w:bidi w:val="0"/>
              <w:rPr>
                <w:rFonts w:hint="eastAsia" w:ascii="宋体" w:hAnsi="宋体" w:eastAsia="宋体" w:cs="宋体"/>
                <w:sz w:val="24"/>
                <w:szCs w:val="24"/>
              </w:rPr>
            </w:pPr>
            <w:r>
              <w:rPr>
                <w:rFonts w:hint="eastAsia" w:ascii="宋体" w:hAnsi="宋体" w:eastAsia="宋体" w:cs="宋体"/>
                <w:sz w:val="24"/>
                <w:szCs w:val="24"/>
                <w:lang w:val="en-US" w:eastAsia="zh-CN"/>
              </w:rPr>
              <w:t>2.六</w:t>
            </w:r>
            <w:r>
              <w:rPr>
                <w:rFonts w:hint="eastAsia" w:ascii="宋体" w:hAnsi="宋体" w:eastAsia="宋体" w:cs="宋体"/>
                <w:sz w:val="24"/>
                <w:szCs w:val="24"/>
              </w:rPr>
              <w:t>项内容齐全，方案总体合理可行，无明显缺漏但部分内容简略，得3分；</w:t>
            </w:r>
          </w:p>
          <w:p w14:paraId="38AAF3B1">
            <w:pPr>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仅覆盖部分内容，或虽提及</w:t>
            </w:r>
            <w:r>
              <w:rPr>
                <w:rFonts w:hint="eastAsia" w:ascii="宋体" w:hAnsi="宋体" w:eastAsia="宋体" w:cs="宋体"/>
                <w:sz w:val="24"/>
                <w:szCs w:val="24"/>
                <w:lang w:val="en-US" w:eastAsia="zh-CN"/>
              </w:rPr>
              <w:t>六</w:t>
            </w:r>
            <w:r>
              <w:rPr>
                <w:rFonts w:hint="eastAsia" w:ascii="宋体" w:hAnsi="宋体" w:eastAsia="宋体" w:cs="宋体"/>
                <w:sz w:val="24"/>
                <w:szCs w:val="24"/>
              </w:rPr>
              <w:t>项但描述笼统、组织分工不清、进度安排不合理、上线切换和风险保障缺失，与项目实际结合不紧密，难以指导项目实施的，得1分</w:t>
            </w:r>
            <w:r>
              <w:rPr>
                <w:rFonts w:hint="eastAsia" w:ascii="宋体" w:hAnsi="宋体" w:eastAsia="宋体" w:cs="宋体"/>
                <w:sz w:val="24"/>
                <w:szCs w:val="24"/>
                <w:lang w:eastAsia="zh-CN"/>
              </w:rPr>
              <w:t>；</w:t>
            </w:r>
          </w:p>
          <w:p w14:paraId="384BFEEA">
            <w:pPr>
              <w:bidi w:val="0"/>
              <w:rPr>
                <w:rFonts w:hint="eastAsia" w:ascii="宋体" w:hAnsi="宋体" w:eastAsia="宋体" w:cs="宋体"/>
                <w:sz w:val="24"/>
                <w:szCs w:val="24"/>
              </w:rPr>
            </w:pPr>
            <w:r>
              <w:rPr>
                <w:rFonts w:hint="eastAsia" w:ascii="宋体" w:hAnsi="宋体" w:eastAsia="宋体" w:cs="宋体"/>
                <w:sz w:val="24"/>
                <w:szCs w:val="24"/>
                <w:lang w:val="en-US" w:eastAsia="zh-CN"/>
              </w:rPr>
              <w:t>4.未提供的</w:t>
            </w:r>
            <w:r>
              <w:rPr>
                <w:rFonts w:hint="eastAsia" w:ascii="宋体" w:hAnsi="宋体" w:eastAsia="宋体" w:cs="宋体"/>
                <w:sz w:val="24"/>
                <w:szCs w:val="24"/>
              </w:rPr>
              <w:t>或</w:t>
            </w:r>
            <w:r>
              <w:rPr>
                <w:rFonts w:hint="eastAsia" w:ascii="宋体" w:hAnsi="宋体" w:eastAsia="宋体" w:cs="宋体"/>
                <w:sz w:val="24"/>
                <w:szCs w:val="24"/>
                <w:lang w:eastAsia="zh-CN"/>
              </w:rPr>
              <w:t>严重缺项</w:t>
            </w:r>
            <w:r>
              <w:rPr>
                <w:rFonts w:hint="eastAsia" w:ascii="宋体" w:hAnsi="宋体" w:eastAsia="宋体" w:cs="宋体"/>
                <w:sz w:val="24"/>
                <w:szCs w:val="24"/>
              </w:rPr>
              <w:t>的不得分。</w:t>
            </w:r>
          </w:p>
          <w:p w14:paraId="2B225411">
            <w:pPr>
              <w:bidi w:val="0"/>
              <w:rPr>
                <w:rFonts w:hint="eastAsia" w:ascii="宋体" w:hAnsi="宋体" w:eastAsia="宋体" w:cs="宋体"/>
                <w:sz w:val="24"/>
                <w:szCs w:val="24"/>
                <w:lang w:val="en-US" w:eastAsia="zh-CN"/>
              </w:rPr>
            </w:pPr>
            <w:r>
              <w:rPr>
                <w:rFonts w:hint="eastAsia" w:ascii="宋体" w:hAnsi="宋体" w:eastAsia="宋体" w:cs="宋体"/>
                <w:sz w:val="24"/>
                <w:szCs w:val="24"/>
                <w:lang w:eastAsia="zh-CN"/>
              </w:rPr>
              <w:t>注：</w:t>
            </w:r>
            <w:r>
              <w:rPr>
                <w:rFonts w:hint="eastAsia" w:ascii="宋体" w:hAnsi="宋体" w:eastAsia="宋体" w:cs="宋体"/>
                <w:sz w:val="24"/>
                <w:szCs w:val="24"/>
                <w:lang w:val="en-US" w:eastAsia="zh-CN"/>
              </w:rPr>
              <w:t>涉及团队、人员、师资、运维组织等内容，仅允许描述岗位设置、专业结构、职责分工、人员数量，不得出现人员姓名、身份证号、证书编号、单位名称、项目案例名称等可识别信息。</w:t>
            </w:r>
          </w:p>
        </w:tc>
        <w:tc>
          <w:tcPr>
            <w:tcW w:w="1398" w:type="dxa"/>
            <w:tcBorders>
              <w:top w:val="single" w:color="auto" w:sz="4" w:space="0"/>
              <w:left w:val="single" w:color="auto" w:sz="4" w:space="0"/>
              <w:bottom w:val="single" w:color="auto" w:sz="4" w:space="0"/>
              <w:right w:val="single" w:color="auto" w:sz="4" w:space="0"/>
            </w:tcBorders>
            <w:vAlign w:val="center"/>
          </w:tcPr>
          <w:p w14:paraId="1D489DAE">
            <w:pPr>
              <w:bidi w:val="0"/>
              <w:rPr>
                <w:rFonts w:hint="eastAsia" w:ascii="宋体" w:hAnsi="宋体" w:eastAsia="宋体" w:cs="宋体"/>
                <w:b w:val="0"/>
                <w:bCs w:val="0"/>
                <w:strike w:val="0"/>
                <w:dstrike w:val="0"/>
                <w:color w:val="auto"/>
                <w:kern w:val="2"/>
                <w:sz w:val="24"/>
                <w:szCs w:val="24"/>
                <w:highlight w:val="none"/>
                <w:lang w:val="en-US" w:eastAsia="zh-CN" w:bidi="ar-SA"/>
              </w:rPr>
            </w:pPr>
            <w:r>
              <w:rPr>
                <w:rFonts w:hint="eastAsia" w:ascii="宋体" w:hAnsi="宋体" w:eastAsia="宋体" w:cs="宋体"/>
                <w:sz w:val="24"/>
                <w:szCs w:val="24"/>
                <w:lang w:val="en-US" w:eastAsia="zh-CN"/>
              </w:rPr>
              <w:t>0-5分</w:t>
            </w:r>
          </w:p>
        </w:tc>
      </w:tr>
      <w:tr w14:paraId="68B2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3" w:hRule="atLeast"/>
          <w:jc w:val="center"/>
        </w:trPr>
        <w:tc>
          <w:tcPr>
            <w:tcW w:w="1086" w:type="dxa"/>
            <w:vMerge w:val="continue"/>
            <w:tcBorders>
              <w:left w:val="single" w:color="auto" w:sz="4" w:space="0"/>
              <w:right w:val="single" w:color="auto" w:sz="4" w:space="0"/>
            </w:tcBorders>
            <w:vAlign w:val="center"/>
          </w:tcPr>
          <w:p w14:paraId="7EFCA432">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63755A6D">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rPr>
              <w:t>售后服务方案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58DCF639">
            <w:pPr>
              <w:bidi w:val="0"/>
              <w:rPr>
                <w:rFonts w:hint="eastAsia" w:ascii="宋体" w:hAnsi="宋体" w:eastAsia="宋体" w:cs="宋体"/>
                <w:sz w:val="24"/>
                <w:szCs w:val="24"/>
              </w:rPr>
            </w:pPr>
            <w:r>
              <w:rPr>
                <w:rFonts w:hint="eastAsia" w:ascii="宋体" w:hAnsi="宋体" w:eastAsia="宋体" w:cs="宋体"/>
                <w:sz w:val="24"/>
                <w:szCs w:val="24"/>
              </w:rPr>
              <w:t>根据投标人针对本项目提供的售后服务方案（包括但不限于：售后服务体系与流程、服务团队及人员配置、响应时间与故障处理、巡检维护与技术支持、系统升级与优化、应急保障、服务承诺）进行评审：</w:t>
            </w:r>
          </w:p>
          <w:p w14:paraId="36B30AFE">
            <w:pPr>
              <w:bidi w:val="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七项内容齐全，售后服务体系完善，服务团队配置合理，响应时间明确且满足项目要求，故障处理流程清晰，巡检维护、技术支持、升级优化、应急保障和服务承诺具体可行，得</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p w14:paraId="164BAFE8">
            <w:pPr>
              <w:bidi w:val="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七项内容齐全，方案总体合理可行，无明显缺漏但部分内容简略，得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6989A553">
            <w:pPr>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仅覆盖部分内容，或虽提及七项但描述笼统、响应和故障处理机制不清、保障措施缺失，与项目实际结合不紧密，难以保障系统稳定运行的，得1分</w:t>
            </w:r>
            <w:r>
              <w:rPr>
                <w:rFonts w:hint="eastAsia" w:ascii="宋体" w:hAnsi="宋体" w:eastAsia="宋体" w:cs="宋体"/>
                <w:sz w:val="24"/>
                <w:szCs w:val="24"/>
                <w:lang w:eastAsia="zh-CN"/>
              </w:rPr>
              <w:t>；</w:t>
            </w:r>
          </w:p>
          <w:p w14:paraId="26F1E437">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4.未提供的</w:t>
            </w:r>
            <w:r>
              <w:rPr>
                <w:rFonts w:hint="eastAsia" w:ascii="宋体" w:hAnsi="宋体" w:eastAsia="宋体" w:cs="宋体"/>
                <w:sz w:val="24"/>
                <w:szCs w:val="24"/>
              </w:rPr>
              <w:t>或</w:t>
            </w:r>
            <w:r>
              <w:rPr>
                <w:rFonts w:hint="eastAsia" w:ascii="宋体" w:hAnsi="宋体" w:eastAsia="宋体" w:cs="宋体"/>
                <w:sz w:val="24"/>
                <w:szCs w:val="24"/>
                <w:lang w:eastAsia="zh-CN"/>
              </w:rPr>
              <w:t>严重缺项</w:t>
            </w:r>
            <w:r>
              <w:rPr>
                <w:rFonts w:hint="eastAsia" w:ascii="宋体" w:hAnsi="宋体" w:eastAsia="宋体" w:cs="宋体"/>
                <w:sz w:val="24"/>
                <w:szCs w:val="24"/>
              </w:rPr>
              <w:t>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2AB75E40">
            <w:pPr>
              <w:bidi w:val="0"/>
              <w:rPr>
                <w:rFonts w:hint="eastAsia" w:ascii="宋体" w:hAnsi="宋体" w:eastAsia="宋体" w:cs="宋体"/>
                <w:b w:val="0"/>
                <w:bCs w:val="0"/>
                <w:strike w:val="0"/>
                <w:dstrike w:val="0"/>
                <w:color w:val="auto"/>
                <w:kern w:val="2"/>
                <w:sz w:val="24"/>
                <w:szCs w:val="24"/>
                <w:highlight w:val="none"/>
                <w:lang w:val="en-US" w:eastAsia="zh-CN" w:bidi="ar-SA"/>
              </w:rPr>
            </w:pPr>
            <w:r>
              <w:rPr>
                <w:rFonts w:hint="eastAsia" w:ascii="宋体" w:hAnsi="宋体" w:eastAsia="宋体" w:cs="宋体"/>
                <w:sz w:val="24"/>
                <w:szCs w:val="24"/>
              </w:rPr>
              <w:t>0-</w:t>
            </w:r>
            <w:r>
              <w:rPr>
                <w:rFonts w:hint="eastAsia" w:ascii="宋体" w:hAnsi="宋体" w:eastAsia="宋体" w:cs="宋体"/>
                <w:sz w:val="24"/>
                <w:szCs w:val="24"/>
                <w:lang w:val="en-US" w:eastAsia="zh-CN"/>
              </w:rPr>
              <w:t>3</w:t>
            </w:r>
            <w:r>
              <w:rPr>
                <w:rFonts w:hint="eastAsia" w:ascii="宋体" w:hAnsi="宋体" w:eastAsia="宋体" w:cs="宋体"/>
                <w:sz w:val="24"/>
                <w:szCs w:val="24"/>
              </w:rPr>
              <w:t>分</w:t>
            </w:r>
          </w:p>
        </w:tc>
      </w:tr>
      <w:tr w14:paraId="5C30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7" w:hRule="atLeast"/>
          <w:jc w:val="center"/>
        </w:trPr>
        <w:tc>
          <w:tcPr>
            <w:tcW w:w="1086" w:type="dxa"/>
            <w:vMerge w:val="continue"/>
            <w:tcBorders>
              <w:left w:val="single" w:color="auto" w:sz="4" w:space="0"/>
              <w:right w:val="single" w:color="auto" w:sz="4" w:space="0"/>
            </w:tcBorders>
            <w:vAlign w:val="center"/>
          </w:tcPr>
          <w:p w14:paraId="74287911">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4FFF3018">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rPr>
              <w:t>培训方案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5F64D4A1">
            <w:pPr>
              <w:bidi w:val="0"/>
              <w:rPr>
                <w:rFonts w:hint="eastAsia" w:ascii="宋体" w:hAnsi="宋体" w:eastAsia="宋体" w:cs="宋体"/>
                <w:sz w:val="24"/>
                <w:szCs w:val="24"/>
              </w:rPr>
            </w:pPr>
            <w:r>
              <w:rPr>
                <w:rFonts w:hint="eastAsia" w:ascii="宋体" w:hAnsi="宋体" w:eastAsia="宋体" w:cs="宋体"/>
                <w:sz w:val="24"/>
                <w:szCs w:val="24"/>
              </w:rPr>
              <w:t>根据投标人针对本项目提供的培训方案（包括但不限于：培训对象与需求分析、培训内容与课程设置、培训方式与时间安排、培训师资配置、培训资料、培训效果评估与保障）进行评审：</w:t>
            </w:r>
          </w:p>
          <w:p w14:paraId="7BCE4CA1">
            <w:pPr>
              <w:bidi w:val="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六项内容齐全，培训对象和需求明确，培训内容全面且有针对性，培训方式和时间安排合理，师资配置满足项目要求，培训资料及效果评估保障措施具体可行，得</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58FEEDBB">
            <w:pPr>
              <w:bidi w:val="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六项内容齐全，方案总体合理可行，无明显缺漏但部分内容简略，得</w:t>
            </w:r>
            <w:r>
              <w:rPr>
                <w:rFonts w:hint="eastAsia" w:ascii="宋体" w:hAnsi="宋体" w:eastAsia="宋体" w:cs="宋体"/>
                <w:sz w:val="24"/>
                <w:szCs w:val="24"/>
                <w:lang w:val="en-US" w:eastAsia="zh-CN"/>
              </w:rPr>
              <w:t>1</w:t>
            </w:r>
            <w:r>
              <w:rPr>
                <w:rFonts w:hint="eastAsia" w:ascii="宋体" w:hAnsi="宋体" w:eastAsia="宋体" w:cs="宋体"/>
                <w:sz w:val="24"/>
                <w:szCs w:val="24"/>
              </w:rPr>
              <w:t>分；</w:t>
            </w:r>
          </w:p>
          <w:p w14:paraId="17AF4B44">
            <w:pPr>
              <w:bidi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仅覆盖部分内容，或虽提及六项但描述笼统、培训内容与项目需求结合不紧密，难以保障培训效果的，</w:t>
            </w:r>
            <w:r>
              <w:rPr>
                <w:rFonts w:hint="eastAsia" w:ascii="宋体" w:hAnsi="宋体" w:eastAsia="宋体" w:cs="宋体"/>
                <w:sz w:val="24"/>
                <w:szCs w:val="24"/>
                <w:lang w:val="en-US" w:eastAsia="zh-CN"/>
              </w:rPr>
              <w:t>不</w:t>
            </w:r>
            <w:r>
              <w:rPr>
                <w:rFonts w:hint="eastAsia" w:ascii="宋体" w:hAnsi="宋体" w:eastAsia="宋体" w:cs="宋体"/>
                <w:sz w:val="24"/>
                <w:szCs w:val="24"/>
              </w:rPr>
              <w:t>得分</w:t>
            </w:r>
            <w:r>
              <w:rPr>
                <w:rFonts w:hint="eastAsia" w:ascii="宋体" w:hAnsi="宋体" w:eastAsia="宋体" w:cs="宋体"/>
                <w:sz w:val="24"/>
                <w:szCs w:val="24"/>
                <w:lang w:eastAsia="zh-CN"/>
              </w:rPr>
              <w:t>；</w:t>
            </w:r>
          </w:p>
          <w:p w14:paraId="74EB1A6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4.未提供的</w:t>
            </w:r>
            <w:r>
              <w:rPr>
                <w:rFonts w:hint="eastAsia" w:ascii="宋体" w:hAnsi="宋体" w:eastAsia="宋体" w:cs="宋体"/>
                <w:sz w:val="24"/>
                <w:szCs w:val="24"/>
              </w:rPr>
              <w:t>或</w:t>
            </w:r>
            <w:r>
              <w:rPr>
                <w:rFonts w:hint="eastAsia" w:ascii="宋体" w:hAnsi="宋体" w:eastAsia="宋体" w:cs="宋体"/>
                <w:sz w:val="24"/>
                <w:szCs w:val="24"/>
                <w:lang w:eastAsia="zh-CN"/>
              </w:rPr>
              <w:t>严重缺项</w:t>
            </w:r>
            <w:r>
              <w:rPr>
                <w:rFonts w:hint="eastAsia" w:ascii="宋体" w:hAnsi="宋体" w:eastAsia="宋体" w:cs="宋体"/>
                <w:sz w:val="24"/>
                <w:szCs w:val="24"/>
              </w:rPr>
              <w:t>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17592E09">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rPr>
              <w:t>0-</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tc>
      </w:tr>
      <w:tr w14:paraId="3B04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7" w:hRule="atLeast"/>
          <w:jc w:val="center"/>
        </w:trPr>
        <w:tc>
          <w:tcPr>
            <w:tcW w:w="1086" w:type="dxa"/>
            <w:tcBorders>
              <w:left w:val="single" w:color="auto" w:sz="4" w:space="0"/>
              <w:right w:val="single" w:color="auto" w:sz="4" w:space="0"/>
            </w:tcBorders>
            <w:vAlign w:val="center"/>
          </w:tcPr>
          <w:p w14:paraId="48F1468F">
            <w:pPr>
              <w:bidi w:val="0"/>
              <w:rPr>
                <w:rFonts w:hint="eastAsia" w:ascii="宋体" w:hAnsi="宋体" w:eastAsia="宋体" w:cs="宋体"/>
                <w:b w:val="0"/>
                <w:bCs w:val="0"/>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shd w:val="clear" w:color="auto" w:fill="auto"/>
            <w:vAlign w:val="center"/>
          </w:tcPr>
          <w:p w14:paraId="7A193503">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lang w:val="en-US" w:eastAsia="zh-CN"/>
              </w:rPr>
              <w:t>运维方案</w:t>
            </w:r>
          </w:p>
        </w:tc>
        <w:tc>
          <w:tcPr>
            <w:tcW w:w="5460" w:type="dxa"/>
            <w:tcBorders>
              <w:top w:val="single" w:color="auto" w:sz="4" w:space="0"/>
              <w:left w:val="single" w:color="auto" w:sz="4" w:space="0"/>
              <w:bottom w:val="single" w:color="auto" w:sz="4" w:space="0"/>
              <w:right w:val="single" w:color="auto" w:sz="4" w:space="0"/>
            </w:tcBorders>
            <w:shd w:val="clear" w:color="auto" w:fill="auto"/>
            <w:vAlign w:val="center"/>
          </w:tcPr>
          <w:p w14:paraId="52732381">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根据投标人针对本项目提供的运维方案（包括但不限于：运维组织与人员、运维内容与范围、运维流程与制度、响应时间与故障处理、巡检监测与优化、应急与安全保障）进行评审：</w:t>
            </w:r>
          </w:p>
          <w:p w14:paraId="46124CD1">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1.六项内容齐全，运维组织与人员配置合理，运维内容范围清晰，流程制度完善，响应时间和故障处理机制明确高效，巡检监测与优化措施具体，应急与安全保障有力，有针对性和可操作性，得5分；</w:t>
            </w:r>
          </w:p>
          <w:p w14:paraId="769A542D">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2.六项内容齐全，方案总体合理可行，无明显缺漏但部分内容简略，得3分；</w:t>
            </w:r>
          </w:p>
          <w:p w14:paraId="20531A48">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3.仅覆盖部分内容，或虽提及六项但描述笼统，运维组织职责不清，流程和响应机制不健全，巡检优化及应急安全保障缺失，与项目实际结合不紧密，难以保障系统稳定运行的，得1分；</w:t>
            </w:r>
          </w:p>
          <w:p w14:paraId="6AC3DA4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4.未提供的</w:t>
            </w:r>
            <w:r>
              <w:rPr>
                <w:rFonts w:hint="eastAsia" w:ascii="宋体" w:hAnsi="宋体" w:eastAsia="宋体" w:cs="宋体"/>
                <w:sz w:val="24"/>
                <w:szCs w:val="24"/>
              </w:rPr>
              <w:t>或</w:t>
            </w:r>
            <w:r>
              <w:rPr>
                <w:rFonts w:hint="eastAsia" w:ascii="宋体" w:hAnsi="宋体" w:eastAsia="宋体" w:cs="宋体"/>
                <w:sz w:val="24"/>
                <w:szCs w:val="24"/>
                <w:lang w:eastAsia="zh-CN"/>
              </w:rPr>
              <w:t>严重缺项</w:t>
            </w:r>
            <w:r>
              <w:rPr>
                <w:rFonts w:hint="eastAsia" w:ascii="宋体" w:hAnsi="宋体" w:eastAsia="宋体" w:cs="宋体"/>
                <w:sz w:val="24"/>
                <w:szCs w:val="24"/>
              </w:rPr>
              <w:t>的不得分。</w:t>
            </w:r>
          </w:p>
        </w:tc>
        <w:tc>
          <w:tcPr>
            <w:tcW w:w="1398" w:type="dxa"/>
            <w:tcBorders>
              <w:top w:val="single" w:color="auto" w:sz="4" w:space="0"/>
              <w:left w:val="single" w:color="auto" w:sz="4" w:space="0"/>
              <w:bottom w:val="single" w:color="auto" w:sz="4" w:space="0"/>
              <w:right w:val="single" w:color="auto" w:sz="4" w:space="0"/>
            </w:tcBorders>
            <w:vAlign w:val="center"/>
          </w:tcPr>
          <w:p w14:paraId="08274B86">
            <w:pPr>
              <w:bidi w:val="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sz w:val="24"/>
                <w:szCs w:val="24"/>
              </w:rPr>
              <w:t>0-</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r>
      <w:tr w14:paraId="6389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tcBorders>
              <w:left w:val="single" w:color="auto" w:sz="4" w:space="0"/>
              <w:right w:val="single" w:color="auto" w:sz="4" w:space="0"/>
            </w:tcBorders>
            <w:vAlign w:val="center"/>
          </w:tcPr>
          <w:p w14:paraId="04E72D6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价格分</w:t>
            </w:r>
          </w:p>
          <w:p w14:paraId="61F0A90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u w:val="single"/>
                <w:lang w:val="en-US" w:eastAsia="zh-CN"/>
              </w:rPr>
              <w:t>10</w:t>
            </w:r>
            <w:r>
              <w:rPr>
                <w:rFonts w:hint="eastAsia" w:ascii="宋体" w:hAnsi="宋体" w:eastAsia="宋体" w:cs="宋体"/>
                <w:b w:val="0"/>
                <w:bCs w:val="0"/>
                <w:color w:val="auto"/>
                <w:sz w:val="24"/>
                <w:szCs w:val="24"/>
                <w:highlight w:val="none"/>
              </w:rPr>
              <w:t>分）</w:t>
            </w:r>
          </w:p>
        </w:tc>
        <w:tc>
          <w:tcPr>
            <w:tcW w:w="8701" w:type="dxa"/>
            <w:gridSpan w:val="3"/>
            <w:tcBorders>
              <w:top w:val="single" w:color="auto" w:sz="4" w:space="0"/>
              <w:left w:val="single" w:color="auto" w:sz="4" w:space="0"/>
              <w:bottom w:val="single" w:color="auto" w:sz="4" w:space="0"/>
              <w:right w:val="single" w:color="auto" w:sz="4" w:space="0"/>
            </w:tcBorders>
            <w:vAlign w:val="center"/>
          </w:tcPr>
          <w:p w14:paraId="32BFBEBA">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价格分统一采用低价优先法，即满足招标文件要求且投标价格最低的投标报价为评标基准价，其价格分为满分</w:t>
            </w:r>
            <w:r>
              <w:rPr>
                <w:rFonts w:hint="eastAsia" w:ascii="宋体" w:hAnsi="宋体" w:eastAsia="宋体" w:cs="宋体"/>
                <w:b w:val="0"/>
                <w:bCs w:val="0"/>
                <w:color w:val="auto"/>
                <w:sz w:val="24"/>
                <w:szCs w:val="24"/>
                <w:highlight w:val="none"/>
                <w:u w:val="single"/>
                <w:lang w:val="en-US" w:eastAsia="zh-CN"/>
              </w:rPr>
              <w:t>10</w:t>
            </w:r>
            <w:r>
              <w:rPr>
                <w:rFonts w:hint="eastAsia" w:ascii="宋体" w:hAnsi="宋体" w:eastAsia="宋体" w:cs="宋体"/>
                <w:b w:val="0"/>
                <w:bCs w:val="0"/>
                <w:color w:val="auto"/>
                <w:sz w:val="24"/>
                <w:szCs w:val="24"/>
                <w:highlight w:val="none"/>
              </w:rPr>
              <w:t>分。其他</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的价格分统一按照下列公式计算：</w:t>
            </w:r>
          </w:p>
          <w:p w14:paraId="0964EC1D">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投标报价得分＝（评标基准价/投标报价）×</w:t>
            </w:r>
            <w:r>
              <w:rPr>
                <w:rFonts w:hint="eastAsia" w:ascii="宋体" w:hAnsi="宋体" w:eastAsia="宋体" w:cs="宋体"/>
                <w:b w:val="0"/>
                <w:bCs w:val="0"/>
                <w:color w:val="auto"/>
                <w:sz w:val="24"/>
                <w:szCs w:val="24"/>
                <w:highlight w:val="none"/>
                <w:u w:val="single"/>
                <w:lang w:val="en-US" w:eastAsia="zh-CN"/>
              </w:rPr>
              <w:t>10</w:t>
            </w:r>
            <w:r>
              <w:rPr>
                <w:rFonts w:hint="eastAsia" w:ascii="宋体" w:hAnsi="宋体" w:eastAsia="宋体" w:cs="宋体"/>
                <w:b w:val="0"/>
                <w:bCs w:val="0"/>
                <w:color w:val="auto"/>
                <w:sz w:val="24"/>
                <w:szCs w:val="24"/>
                <w:highlight w:val="none"/>
              </w:rPr>
              <w:t>％×100</w:t>
            </w:r>
          </w:p>
          <w:p w14:paraId="04E43157">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bCs/>
                <w:color w:val="auto"/>
                <w:sz w:val="24"/>
                <w:szCs w:val="24"/>
                <w:highlight w:val="none"/>
              </w:rPr>
              <w:t>注:上述价格如有前附表规定的扣除，则按扣除后价格参与评审</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投标总价报价精确到小数点后两位，第三位四舍五入。</w:t>
            </w:r>
          </w:p>
        </w:tc>
      </w:tr>
    </w:tbl>
    <w:p w14:paraId="5D4525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3AEAE3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3B78B13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2FCC6605">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79C0E48C">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3.1投标文件有下列情形之一的,其投标文件拒收:</w:t>
      </w:r>
    </w:p>
    <w:p w14:paraId="1B0400B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w:t>
      </w:r>
      <w:r>
        <w:rPr>
          <w:rFonts w:hint="eastAsia" w:ascii="宋体" w:hAnsi="宋体" w:eastAsia="宋体" w:cs="宋体"/>
          <w:color w:val="auto"/>
          <w:sz w:val="24"/>
          <w:highlight w:val="none"/>
          <w:lang w:val="en-US" w:eastAsia="zh-CN"/>
        </w:rPr>
        <w:t>投</w:t>
      </w:r>
      <w:r>
        <w:rPr>
          <w:rFonts w:hint="eastAsia" w:ascii="宋体" w:hAnsi="宋体" w:eastAsia="宋体" w:cs="宋体"/>
          <w:color w:val="auto"/>
          <w:sz w:val="24"/>
          <w:highlight w:val="none"/>
        </w:rPr>
        <w:t>标截止时间前通过网上招标投标系统递交有效电子投标文件的，开标系统不予接收，投标将被拒绝。</w:t>
      </w:r>
    </w:p>
    <w:p w14:paraId="3507033C">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621ECB0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60EDF8B1">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16ABA839">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651FE2F3">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270A0C17">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1F173A9C">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39943FA8">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15C66F04">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5950BB19">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53D3C17A">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111A6F2E">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16759FF0">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3E5CE5E2">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720508">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(13)其它情形，经评标委员会委提出按无效投标处理，并经公共资源交易监督部门核准的；</w:t>
      </w:r>
    </w:p>
    <w:p w14:paraId="1D134A22">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2AC923B1">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2E0BC98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048052F7">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7BA11560">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76955525">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32FF90FA">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(2)未按规定的格式填写导致实质性内容不全以及实质上不响应，或者关键字迹模糊、无法辨认;经公共资源交易监督部门核准的；</w:t>
      </w:r>
    </w:p>
    <w:p w14:paraId="3BF80CE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458DFF6A">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03DF330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592051AD">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83E678">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(7)其它情形，经评标委员会委提出按无效投标处理，并经公共资源交易监督部门核准的；</w:t>
      </w:r>
    </w:p>
    <w:p w14:paraId="7DB07B8F">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2784612">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0B59A6D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36FEA40">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5E185F1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72F8584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124E4214">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6D9F9849">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2B875AE6">
      <w:pPr>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(6)其它情形，经评标委员会委提出按无效投标处理，并经公共资源交易监督部门核准的；</w:t>
      </w:r>
    </w:p>
    <w:p w14:paraId="4469B2D0">
      <w:pPr>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17F3CB75">
      <w:pPr>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(6)其它情形，经评标委员会委提出按无效投标处理，并经公共资源交易监督部门核准的；</w:t>
      </w:r>
    </w:p>
    <w:p w14:paraId="031BEC83">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(7)招标文件规定的其它无效投标情形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7A04E521">
      <w:pPr>
        <w:spacing w:line="360" w:lineRule="auto"/>
        <w:jc w:val="center"/>
        <w:outlineLvl w:val="0"/>
        <w:rPr>
          <w:rFonts w:hint="eastAsia" w:asciiTheme="minorEastAsia" w:hAnsiTheme="minorEastAsia" w:eastAsiaTheme="minorEastAsia"/>
          <w:b/>
          <w:color w:val="auto"/>
          <w:sz w:val="28"/>
          <w:highlight w:val="none"/>
          <w:lang w:eastAsia="zh-CN"/>
        </w:rPr>
      </w:pPr>
      <w:bookmarkStart w:id="50" w:name="_Toc20405"/>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50"/>
    </w:p>
    <w:p w14:paraId="045CD849">
      <w:pPr>
        <w:spacing w:line="480" w:lineRule="auto"/>
        <w:jc w:val="center"/>
        <w:outlineLvl w:val="9"/>
        <w:rPr>
          <w:rFonts w:cs="Times New Roman" w:asciiTheme="minorEastAsia" w:hAnsiTheme="minorEastAsia" w:eastAsiaTheme="minorEastAsia"/>
          <w:b/>
          <w:color w:val="auto"/>
          <w:sz w:val="28"/>
          <w:szCs w:val="28"/>
          <w:highlight w:val="none"/>
        </w:rPr>
      </w:pPr>
      <w:bookmarkStart w:id="51" w:name="_Toc331685784"/>
    </w:p>
    <w:p w14:paraId="1D746327">
      <w:pPr>
        <w:spacing w:line="480" w:lineRule="auto"/>
        <w:jc w:val="center"/>
        <w:outlineLvl w:val="9"/>
        <w:rPr>
          <w:rFonts w:cs="Times New Roman" w:asciiTheme="minorEastAsia" w:hAnsiTheme="minorEastAsia" w:eastAsiaTheme="minorEastAsia"/>
          <w:b/>
          <w:color w:val="auto"/>
          <w:sz w:val="28"/>
          <w:szCs w:val="28"/>
          <w:highlight w:val="none"/>
        </w:rPr>
      </w:pPr>
    </w:p>
    <w:p w14:paraId="37C41905">
      <w:pPr>
        <w:pStyle w:val="9"/>
        <w:rPr>
          <w:color w:val="auto"/>
          <w:highlight w:val="none"/>
        </w:rPr>
      </w:pPr>
    </w:p>
    <w:p w14:paraId="1D98AAA3">
      <w:pPr>
        <w:spacing w:line="480" w:lineRule="auto"/>
        <w:jc w:val="center"/>
        <w:outlineLvl w:val="1"/>
        <w:rPr>
          <w:rFonts w:cs="Times New Roman" w:asciiTheme="minorEastAsia" w:hAnsiTheme="minorEastAsia" w:eastAsiaTheme="minorEastAsia"/>
          <w:b/>
          <w:color w:val="auto"/>
          <w:sz w:val="28"/>
          <w:szCs w:val="28"/>
          <w:highlight w:val="none"/>
        </w:rPr>
      </w:pPr>
      <w:bookmarkStart w:id="52"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52"/>
    </w:p>
    <w:p w14:paraId="3C54C5FE">
      <w:pPr>
        <w:spacing w:line="480" w:lineRule="auto"/>
        <w:jc w:val="center"/>
        <w:outlineLvl w:val="1"/>
        <w:rPr>
          <w:rFonts w:cs="Times New Roman" w:asciiTheme="minorEastAsia" w:hAnsiTheme="minorEastAsia" w:eastAsiaTheme="minorEastAsia"/>
          <w:b/>
          <w:color w:val="auto"/>
          <w:sz w:val="28"/>
          <w:szCs w:val="28"/>
          <w:highlight w:val="none"/>
        </w:rPr>
      </w:pPr>
      <w:bookmarkStart w:id="53" w:name="_Toc8560"/>
      <w:r>
        <w:rPr>
          <w:rFonts w:hint="eastAsia" w:cs="Times New Roman" w:asciiTheme="minorEastAsia" w:hAnsiTheme="minorEastAsia" w:eastAsiaTheme="minorEastAsia"/>
          <w:b/>
          <w:color w:val="auto"/>
          <w:sz w:val="28"/>
          <w:szCs w:val="28"/>
          <w:highlight w:val="none"/>
        </w:rPr>
        <w:t>（服务类）</w:t>
      </w:r>
      <w:bookmarkEnd w:id="53"/>
    </w:p>
    <w:p w14:paraId="5B7D7CEA">
      <w:pPr>
        <w:spacing w:line="480" w:lineRule="auto"/>
        <w:jc w:val="center"/>
        <w:rPr>
          <w:rFonts w:cs="Times New Roman" w:asciiTheme="minorEastAsia" w:hAnsiTheme="minorEastAsia" w:eastAsiaTheme="minorEastAsia"/>
          <w:b/>
          <w:color w:val="auto"/>
          <w:sz w:val="24"/>
          <w:szCs w:val="24"/>
          <w:highlight w:val="none"/>
        </w:rPr>
      </w:pPr>
    </w:p>
    <w:p w14:paraId="7813424B">
      <w:pPr>
        <w:spacing w:line="480" w:lineRule="auto"/>
        <w:jc w:val="center"/>
        <w:rPr>
          <w:rFonts w:cs="Times New Roman" w:asciiTheme="minorEastAsia" w:hAnsiTheme="minorEastAsia" w:eastAsiaTheme="minorEastAsia"/>
          <w:b/>
          <w:color w:val="auto"/>
          <w:sz w:val="24"/>
          <w:szCs w:val="24"/>
          <w:highlight w:val="none"/>
        </w:rPr>
      </w:pPr>
    </w:p>
    <w:p w14:paraId="71C4DF86">
      <w:pPr>
        <w:spacing w:line="480" w:lineRule="auto"/>
        <w:jc w:val="center"/>
        <w:rPr>
          <w:rFonts w:cs="Times New Roman" w:asciiTheme="minorEastAsia" w:hAnsiTheme="minorEastAsia" w:eastAsiaTheme="minorEastAsia"/>
          <w:b/>
          <w:color w:val="auto"/>
          <w:sz w:val="24"/>
          <w:szCs w:val="24"/>
          <w:highlight w:val="none"/>
        </w:rPr>
      </w:pPr>
    </w:p>
    <w:p w14:paraId="17815A86">
      <w:pPr>
        <w:spacing w:line="360" w:lineRule="auto"/>
        <w:jc w:val="center"/>
        <w:outlineLvl w:val="1"/>
        <w:rPr>
          <w:rFonts w:asciiTheme="minorEastAsia" w:hAnsiTheme="minorEastAsia" w:eastAsiaTheme="minorEastAsia"/>
          <w:b/>
          <w:color w:val="auto"/>
          <w:sz w:val="24"/>
          <w:highlight w:val="none"/>
        </w:rPr>
      </w:pPr>
      <w:bookmarkStart w:id="54" w:name="_Toc2449"/>
      <w:r>
        <w:rPr>
          <w:rFonts w:hint="eastAsia" w:asciiTheme="minorEastAsia" w:hAnsiTheme="minorEastAsia" w:eastAsiaTheme="minorEastAsia"/>
          <w:b/>
          <w:color w:val="auto"/>
          <w:sz w:val="24"/>
          <w:highlight w:val="none"/>
        </w:rPr>
        <w:t>第一部分 合同书</w:t>
      </w:r>
      <w:bookmarkEnd w:id="54"/>
    </w:p>
    <w:p w14:paraId="2B651D48">
      <w:pPr>
        <w:spacing w:line="480" w:lineRule="auto"/>
        <w:jc w:val="center"/>
        <w:rPr>
          <w:rFonts w:cs="Times New Roman" w:asciiTheme="minorEastAsia" w:hAnsiTheme="minorEastAsia" w:eastAsiaTheme="minorEastAsia"/>
          <w:b/>
          <w:color w:val="auto"/>
          <w:sz w:val="24"/>
          <w:szCs w:val="24"/>
          <w:highlight w:val="none"/>
        </w:rPr>
      </w:pPr>
    </w:p>
    <w:p w14:paraId="53A83355">
      <w:pPr>
        <w:spacing w:line="480" w:lineRule="auto"/>
        <w:jc w:val="center"/>
        <w:rPr>
          <w:rFonts w:cs="Times New Roman" w:asciiTheme="minorEastAsia" w:hAnsiTheme="minorEastAsia" w:eastAsiaTheme="minorEastAsia"/>
          <w:b/>
          <w:color w:val="auto"/>
          <w:sz w:val="24"/>
          <w:szCs w:val="24"/>
          <w:highlight w:val="none"/>
        </w:rPr>
      </w:pPr>
    </w:p>
    <w:p w14:paraId="36FFA834">
      <w:pPr>
        <w:pStyle w:val="9"/>
        <w:rPr>
          <w:color w:val="auto"/>
          <w:highlight w:val="none"/>
        </w:rPr>
      </w:pPr>
    </w:p>
    <w:p w14:paraId="76F4AF4D">
      <w:pPr>
        <w:pStyle w:val="9"/>
        <w:rPr>
          <w:color w:val="auto"/>
          <w:highlight w:val="none"/>
        </w:rPr>
      </w:pPr>
    </w:p>
    <w:p w14:paraId="37EE60C8">
      <w:pPr>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项目名称：</w:t>
      </w:r>
      <w:r>
        <w:rPr>
          <w:rFonts w:hint="eastAsia" w:cs="Times New Roman" w:asciiTheme="minorEastAsia" w:hAnsiTheme="minorEastAsia" w:eastAsiaTheme="minorEastAsia"/>
          <w:color w:val="auto"/>
          <w:sz w:val="24"/>
          <w:szCs w:val="24"/>
          <w:highlight w:val="none"/>
          <w:u w:val="single"/>
          <w:lang w:eastAsia="zh-CN"/>
        </w:rPr>
        <w:t>滁州市“智慧防震减灾”服务平台二期项目</w:t>
      </w:r>
    </w:p>
    <w:p w14:paraId="685AA158">
      <w:pPr>
        <w:spacing w:before="120" w:line="480" w:lineRule="auto"/>
        <w:ind w:left="96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 xml:space="preserve"> </w:t>
      </w:r>
    </w:p>
    <w:p w14:paraId="4C6203EE">
      <w:pPr>
        <w:spacing w:before="120" w:line="480" w:lineRule="auto"/>
        <w:ind w:left="96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eastAsia="zh-CN"/>
        </w:rPr>
        <w:t>滁州市地震局</w:t>
      </w:r>
    </w:p>
    <w:p w14:paraId="2BEEB08F">
      <w:pPr>
        <w:spacing w:before="120" w:line="480" w:lineRule="auto"/>
        <w:ind w:left="96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乙方（中标人）：</w:t>
      </w:r>
      <w:r>
        <w:rPr>
          <w:rFonts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rPr>
        <w:t xml:space="preserve"> </w:t>
      </w:r>
      <w:r>
        <w:rPr>
          <w:rFonts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rPr>
        <w:t xml:space="preserve">                  </w:t>
      </w:r>
    </w:p>
    <w:p w14:paraId="4B2597A2">
      <w:pPr>
        <w:spacing w:before="120" w:line="480" w:lineRule="auto"/>
        <w:ind w:firstLine="960" w:firstLineChars="40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签订地：</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eastAsia="zh-CN"/>
        </w:rPr>
        <w:t>滁州市地震局</w:t>
      </w:r>
      <w:r>
        <w:rPr>
          <w:rFonts w:hint="eastAsia" w:cs="Times New Roman" w:asciiTheme="minorEastAsia" w:hAnsiTheme="minorEastAsia" w:eastAsiaTheme="minorEastAsia"/>
          <w:color w:val="auto"/>
          <w:sz w:val="24"/>
          <w:szCs w:val="24"/>
          <w:highlight w:val="none"/>
          <w:u w:val="single"/>
        </w:rPr>
        <w:t xml:space="preserve">   </w:t>
      </w:r>
    </w:p>
    <w:p w14:paraId="062B5843">
      <w:pPr>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日</w:t>
      </w:r>
    </w:p>
    <w:p w14:paraId="6542EE3D">
      <w:pPr>
        <w:widowControl/>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420700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u w:val="single"/>
          <w:lang w:val="en-US" w:eastAsia="zh-CN"/>
        </w:rPr>
        <w:t xml:space="preserve">  </w:t>
      </w:r>
      <w:r>
        <w:rPr>
          <w:rFonts w:hint="eastAsia" w:ascii="宋体" w:hAnsi="宋体" w:eastAsia="宋体" w:cs="宋体"/>
          <w:color w:val="auto"/>
          <w:sz w:val="24"/>
          <w:highlight w:val="none"/>
          <w:u w:val="single"/>
          <w:lang w:val="en-US" w:eastAsia="zh-CN"/>
        </w:rPr>
        <w:t>滁州市地震局</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eastAsia="宋体" w:cs="宋体"/>
          <w:color w:val="auto"/>
          <w:sz w:val="24"/>
          <w:szCs w:val="24"/>
          <w:highlight w:val="none"/>
          <w:u w:val="single"/>
          <w:lang w:val="en-US" w:eastAsia="zh-CN"/>
        </w:rPr>
        <w:t>滁州市政府采购中心</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23A3199C">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16A1AB60">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5" w:name="_Toc24059"/>
      <w:bookmarkStart w:id="56" w:name="_Toc2232"/>
      <w:bookmarkStart w:id="57" w:name="_Toc3029"/>
      <w:r>
        <w:rPr>
          <w:rFonts w:hint="eastAsia" w:cs="Times New Roman" w:asciiTheme="minorEastAsia" w:hAnsiTheme="minorEastAsia" w:eastAsiaTheme="minorEastAsia"/>
          <w:b/>
          <w:bCs/>
          <w:color w:val="auto"/>
          <w:sz w:val="24"/>
          <w:szCs w:val="24"/>
          <w:highlight w:val="none"/>
          <w:lang w:val="zh-CN"/>
        </w:rPr>
        <w:t>1.1</w:t>
      </w:r>
      <w:r>
        <w:rPr>
          <w:rFonts w:cs="Times New Roman" w:asciiTheme="minorEastAsia" w:hAnsiTheme="minorEastAsia" w:eastAsiaTheme="minorEastAsia"/>
          <w:b/>
          <w:bCs/>
          <w:color w:val="auto"/>
          <w:sz w:val="24"/>
          <w:szCs w:val="24"/>
          <w:highlight w:val="none"/>
          <w:lang w:val="zh-CN"/>
        </w:rPr>
        <w:t xml:space="preserve"> </w:t>
      </w:r>
      <w:r>
        <w:rPr>
          <w:rFonts w:hint="eastAsia" w:cs="Times New Roman" w:asciiTheme="minorEastAsia" w:hAnsiTheme="minorEastAsia" w:eastAsiaTheme="minorEastAsia"/>
          <w:b/>
          <w:bCs/>
          <w:color w:val="auto"/>
          <w:sz w:val="24"/>
          <w:szCs w:val="24"/>
          <w:highlight w:val="none"/>
          <w:lang w:val="zh-CN"/>
        </w:rPr>
        <w:t>合同组成部分</w:t>
      </w:r>
      <w:bookmarkEnd w:id="55"/>
      <w:bookmarkEnd w:id="56"/>
      <w:bookmarkEnd w:id="57"/>
    </w:p>
    <w:p w14:paraId="066849F9">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74F45FCC">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43B3CE59">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85DE8F6">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4CA604E9">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20B799B0">
      <w:pPr>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4E34A786">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8" w:name="_Toc6311"/>
      <w:bookmarkStart w:id="59" w:name="_Toc22185"/>
      <w:bookmarkStart w:id="60" w:name="_Toc2918"/>
      <w:bookmarkStart w:id="61" w:name="_Toc18585"/>
      <w:bookmarkStart w:id="62" w:name="_Toc6773"/>
      <w:r>
        <w:rPr>
          <w:rFonts w:hint="eastAsia" w:cs="Times New Roman" w:asciiTheme="minorEastAsia" w:hAnsiTheme="minorEastAsia" w:eastAsiaTheme="minorEastAsia"/>
          <w:b/>
          <w:bCs/>
          <w:color w:val="auto"/>
          <w:sz w:val="24"/>
          <w:szCs w:val="24"/>
          <w:highlight w:val="none"/>
          <w:lang w:val="zh-CN"/>
        </w:rPr>
        <w:t xml:space="preserve">1.2 </w:t>
      </w:r>
      <w:bookmarkEnd w:id="58"/>
      <w:bookmarkEnd w:id="59"/>
      <w:bookmarkEnd w:id="60"/>
      <w:bookmarkEnd w:id="61"/>
      <w:bookmarkEnd w:id="62"/>
      <w:r>
        <w:rPr>
          <w:rFonts w:hint="eastAsia" w:cs="Times New Roman" w:asciiTheme="minorEastAsia" w:hAnsiTheme="minorEastAsia" w:eastAsiaTheme="minorEastAsia"/>
          <w:b/>
          <w:bCs/>
          <w:color w:val="auto"/>
          <w:sz w:val="24"/>
          <w:szCs w:val="24"/>
          <w:highlight w:val="none"/>
          <w:lang w:val="zh-CN"/>
        </w:rPr>
        <w:t>服务</w:t>
      </w:r>
    </w:p>
    <w:p w14:paraId="6C79A3F5">
      <w:pPr>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eastAsia="zh-CN"/>
        </w:rPr>
        <w:t>滁州市“智慧防震减灾”服务平台二期项目</w:t>
      </w:r>
      <w:r>
        <w:rPr>
          <w:rFonts w:hint="eastAsia" w:cs="Times New Roman" w:asciiTheme="minorEastAsia" w:hAnsiTheme="minorEastAsia" w:eastAsiaTheme="minorEastAsia"/>
          <w:color w:val="auto"/>
          <w:sz w:val="24"/>
          <w:szCs w:val="24"/>
          <w:highlight w:val="none"/>
        </w:rPr>
        <w:t>；</w:t>
      </w:r>
    </w:p>
    <w:p w14:paraId="4ECD4686">
      <w:pPr>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ascii="宋体" w:hAnsi="宋体" w:eastAsia="宋体" w:cs="宋体"/>
          <w:sz w:val="24"/>
          <w:highlight w:val="none"/>
          <w:u w:val="single"/>
        </w:rPr>
        <w:t>招标文件第三章采购需求全部内容</w:t>
      </w:r>
      <w:r>
        <w:rPr>
          <w:rFonts w:hint="eastAsia" w:cs="Times New Roman" w:asciiTheme="minorEastAsia" w:hAnsiTheme="minorEastAsia" w:eastAsiaTheme="minorEastAsia"/>
          <w:color w:val="auto"/>
          <w:sz w:val="24"/>
          <w:szCs w:val="24"/>
          <w:highlight w:val="none"/>
        </w:rPr>
        <w:t>；</w:t>
      </w:r>
    </w:p>
    <w:p w14:paraId="3167789F">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ascii="宋体" w:hAnsi="宋体" w:eastAsia="宋体" w:cs="宋体"/>
          <w:sz w:val="24"/>
          <w:highlight w:val="none"/>
          <w:u w:val="single"/>
          <w:lang w:val="en-US" w:eastAsia="zh-CN"/>
        </w:rPr>
        <w:t>达到合同要求的标准</w:t>
      </w:r>
      <w:r>
        <w:rPr>
          <w:rFonts w:hint="eastAsia" w:cs="Times New Roman" w:asciiTheme="minorEastAsia" w:hAnsiTheme="minorEastAsia" w:eastAsiaTheme="minorEastAsia"/>
          <w:color w:val="auto"/>
          <w:sz w:val="24"/>
          <w:szCs w:val="24"/>
          <w:highlight w:val="none"/>
        </w:rPr>
        <w:t>。</w:t>
      </w:r>
    </w:p>
    <w:p w14:paraId="288D754C">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3" w:name="_Toc23292"/>
      <w:bookmarkStart w:id="64" w:name="_Toc21631"/>
      <w:bookmarkStart w:id="65" w:name="_Toc2155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 xml:space="preserve">3 </w:t>
      </w:r>
      <w:r>
        <w:rPr>
          <w:rFonts w:hint="eastAsia" w:cs="Times New Roman" w:asciiTheme="minorEastAsia" w:hAnsiTheme="minorEastAsia" w:eastAsiaTheme="minorEastAsia"/>
          <w:b/>
          <w:bCs/>
          <w:color w:val="auto"/>
          <w:sz w:val="24"/>
          <w:szCs w:val="24"/>
          <w:highlight w:val="none"/>
          <w:lang w:val="zh-CN"/>
        </w:rPr>
        <w:t>价款</w:t>
      </w:r>
      <w:bookmarkEnd w:id="63"/>
      <w:bookmarkEnd w:id="64"/>
      <w:bookmarkEnd w:id="65"/>
    </w:p>
    <w:p w14:paraId="6E0CAE0B">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本合同总价为</w:t>
      </w:r>
      <w:r>
        <w:rPr>
          <w:rFonts w:hint="eastAsia"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rPr>
        <w:t xml:space="preserve">           </w:t>
      </w:r>
      <w:r>
        <w:rPr>
          <w:rFonts w:cs="Times New Roman" w:asciiTheme="minorEastAsia" w:hAnsiTheme="minorEastAsia" w:eastAsiaTheme="minorEastAsia"/>
          <w:color w:val="auto"/>
          <w:sz w:val="24"/>
          <w:szCs w:val="24"/>
          <w:highlight w:val="none"/>
        </w:rPr>
        <w:t>元</w:t>
      </w:r>
      <w:r>
        <w:rPr>
          <w:rFonts w:hint="eastAsia" w:cs="Times New Roman" w:asciiTheme="minorEastAsia" w:hAnsiTheme="minorEastAsia" w:eastAsiaTheme="minorEastAsia"/>
          <w:color w:val="auto"/>
          <w:sz w:val="24"/>
          <w:szCs w:val="24"/>
          <w:highlight w:val="none"/>
        </w:rPr>
        <w:t>（大写：人民币</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元）</w:t>
      </w:r>
      <w:r>
        <w:rPr>
          <w:rFonts w:cs="Times New Roman" w:asciiTheme="minorEastAsia" w:hAnsiTheme="minorEastAsia" w:eastAsiaTheme="minorEastAsia"/>
          <w:color w:val="auto"/>
          <w:sz w:val="24"/>
          <w:szCs w:val="24"/>
          <w:highlight w:val="none"/>
        </w:rPr>
        <w:t>。</w:t>
      </w:r>
    </w:p>
    <w:p w14:paraId="6C4582B5">
      <w:pPr>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1692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1D5C6C7A">
            <w:pPr>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266BBF97">
            <w:pPr>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3B3CAC46">
            <w:pPr>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252F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391027C2">
            <w:pPr>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16784604">
            <w:pPr>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19379B09">
            <w:pPr>
              <w:ind w:firstLine="200"/>
              <w:jc w:val="center"/>
              <w:rPr>
                <w:rFonts w:cs="Times New Roman" w:asciiTheme="minorEastAsia" w:hAnsiTheme="minorEastAsia" w:eastAsiaTheme="minorEastAsia"/>
                <w:color w:val="auto"/>
                <w:sz w:val="24"/>
                <w:szCs w:val="24"/>
                <w:highlight w:val="none"/>
              </w:rPr>
            </w:pPr>
          </w:p>
        </w:tc>
      </w:tr>
      <w:tr w14:paraId="7DEC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6272E257">
            <w:pPr>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0FF04268">
            <w:pPr>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7A2AA626">
            <w:pPr>
              <w:ind w:firstLine="200"/>
              <w:jc w:val="center"/>
              <w:rPr>
                <w:rFonts w:cs="Times New Roman" w:asciiTheme="minorEastAsia" w:hAnsiTheme="minorEastAsia" w:eastAsiaTheme="minorEastAsia"/>
                <w:color w:val="auto"/>
                <w:sz w:val="24"/>
                <w:szCs w:val="24"/>
                <w:highlight w:val="none"/>
              </w:rPr>
            </w:pPr>
          </w:p>
        </w:tc>
      </w:tr>
      <w:tr w14:paraId="08B0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19424DA4">
            <w:pPr>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7532E318">
            <w:pPr>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B1D3890">
            <w:pPr>
              <w:ind w:firstLine="200"/>
              <w:jc w:val="center"/>
              <w:rPr>
                <w:rFonts w:cs="Times New Roman" w:asciiTheme="minorEastAsia" w:hAnsiTheme="minorEastAsia" w:eastAsiaTheme="minorEastAsia"/>
                <w:color w:val="auto"/>
                <w:sz w:val="24"/>
                <w:szCs w:val="24"/>
                <w:highlight w:val="none"/>
              </w:rPr>
            </w:pPr>
          </w:p>
        </w:tc>
      </w:tr>
      <w:tr w14:paraId="7207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1260D430">
            <w:pPr>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563A2863">
            <w:pPr>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BF075AA">
            <w:pPr>
              <w:ind w:firstLine="200"/>
              <w:jc w:val="center"/>
              <w:rPr>
                <w:rFonts w:cs="Times New Roman" w:asciiTheme="minorEastAsia" w:hAnsiTheme="minorEastAsia" w:eastAsiaTheme="minorEastAsia"/>
                <w:color w:val="auto"/>
                <w:sz w:val="24"/>
                <w:szCs w:val="24"/>
                <w:highlight w:val="none"/>
              </w:rPr>
            </w:pPr>
          </w:p>
        </w:tc>
      </w:tr>
      <w:tr w14:paraId="4124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2FB3F866">
            <w:pPr>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18EE9731">
            <w:pPr>
              <w:ind w:firstLine="200"/>
              <w:jc w:val="center"/>
              <w:rPr>
                <w:rFonts w:cs="Times New Roman" w:asciiTheme="minorEastAsia" w:hAnsiTheme="minorEastAsia" w:eastAsiaTheme="minorEastAsia"/>
                <w:color w:val="auto"/>
                <w:sz w:val="24"/>
                <w:szCs w:val="24"/>
                <w:highlight w:val="none"/>
              </w:rPr>
            </w:pPr>
          </w:p>
        </w:tc>
      </w:tr>
    </w:tbl>
    <w:p w14:paraId="61A25B1F">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6" w:name="_Toc22618"/>
      <w:bookmarkStart w:id="67" w:name="_Toc10340"/>
      <w:bookmarkStart w:id="68" w:name="_Toc1814"/>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 付款方式和发票开具方式</w:t>
      </w:r>
      <w:bookmarkEnd w:id="66"/>
      <w:bookmarkEnd w:id="67"/>
      <w:bookmarkEnd w:id="68"/>
    </w:p>
    <w:p w14:paraId="5350C087">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w:t>
      </w:r>
    </w:p>
    <w:p w14:paraId="11FD5423">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开具符合要求的发票</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w:t>
      </w:r>
    </w:p>
    <w:p w14:paraId="289B005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9" w:name="_Toc2846"/>
      <w:bookmarkStart w:id="70" w:name="_Toc32071"/>
      <w:bookmarkStart w:id="71" w:name="_Toc19304"/>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 xml:space="preserve">5 </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69"/>
      <w:bookmarkEnd w:id="70"/>
      <w:bookmarkEnd w:id="71"/>
    </w:p>
    <w:p w14:paraId="5E98EF61">
      <w:pPr>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w:t>
      </w:r>
    </w:p>
    <w:p w14:paraId="695F9294">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000000" w:themeColor="text1"/>
          <w:sz w:val="24"/>
          <w:szCs w:val="24"/>
          <w:highlight w:val="none"/>
          <w:u w:val="single"/>
          <w:lang w:val="en-US" w:eastAsia="zh-CN"/>
          <w14:textFill>
            <w14:solidFill>
              <w14:schemeClr w14:val="tx1"/>
            </w14:solidFill>
          </w14:textFill>
        </w:rPr>
        <w:t>滁州市内，</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甲方指定地点</w:t>
      </w:r>
      <w:r>
        <w:rPr>
          <w:rFonts w:hint="eastAsia" w:cs="Times New Roman" w:asciiTheme="minorEastAsia" w:hAnsiTheme="minorEastAsia" w:eastAsiaTheme="minorEastAsia"/>
          <w:color w:val="auto"/>
          <w:sz w:val="24"/>
          <w:szCs w:val="24"/>
          <w:highlight w:val="none"/>
        </w:rPr>
        <w:t>；</w:t>
      </w:r>
    </w:p>
    <w:p w14:paraId="68FDC002">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甲方指定方式</w:t>
      </w:r>
      <w:r>
        <w:rPr>
          <w:rFonts w:hint="eastAsia" w:cs="Times New Roman" w:asciiTheme="minorEastAsia" w:hAnsiTheme="minorEastAsia" w:eastAsiaTheme="minorEastAsia"/>
          <w:color w:val="auto"/>
          <w:sz w:val="24"/>
          <w:szCs w:val="24"/>
          <w:highlight w:val="none"/>
        </w:rPr>
        <w:t>。</w:t>
      </w:r>
    </w:p>
    <w:p w14:paraId="08098B67">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2" w:name="_Toc27250"/>
      <w:bookmarkStart w:id="73" w:name="_Toc19554"/>
      <w:bookmarkStart w:id="74" w:name="_Toc21423"/>
      <w:r>
        <w:rPr>
          <w:rFonts w:hint="eastAsia" w:cs="Times New Roman" w:asciiTheme="minorEastAsia" w:hAnsiTheme="minorEastAsia" w:eastAsiaTheme="minorEastAsia"/>
          <w:b/>
          <w:bCs/>
          <w:color w:val="auto"/>
          <w:sz w:val="24"/>
          <w:szCs w:val="24"/>
          <w:highlight w:val="none"/>
          <w:lang w:val="zh-CN"/>
        </w:rPr>
        <w:t>1.6 违约责任</w:t>
      </w:r>
      <w:bookmarkEnd w:id="72"/>
      <w:bookmarkEnd w:id="73"/>
      <w:bookmarkEnd w:id="74"/>
    </w:p>
    <w:p w14:paraId="5EF21A50">
      <w:pPr>
        <w:spacing w:line="440" w:lineRule="exact"/>
        <w:ind w:firstLine="435"/>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bookmarkStart w:id="75" w:name="_Toc15583"/>
      <w:bookmarkStart w:id="76" w:name="_Toc28375"/>
      <w:bookmarkStart w:id="77" w:name="_Toc16021"/>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1.6.1除不可抗力外，如果乙方没有按照本合同约定的期限、地点和方式履行，那么甲方可要求乙方支付违约金，违约金按每迟延履行一日的</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合同总</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服务价格的 0.1 %计算，最高限额为本合同总价的10%；迟延履行的违约金计算数额达到前述最高限额之日起，甲方有权在要求乙方支付违约金的同时，书面通知乙方解除本合同；</w:t>
      </w:r>
    </w:p>
    <w:p w14:paraId="12FEA6DB">
      <w:pPr>
        <w:spacing w:line="440" w:lineRule="exact"/>
        <w:ind w:firstLine="435"/>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1.6.2除不可抗力外，如果甲方没有按照本合同约定的付款方式付款，那么乙方可要求甲方支付违约金，违约金按每迟延付款一日的应付而未付款的 0.1 %计算，最高限额为本合同总价的10%；迟延付款的违约金计算数额达到前述最高限额之日起，乙方有权在要求甲方支付违约金的同时，书面通知甲方解除本合同；</w:t>
      </w:r>
    </w:p>
    <w:p w14:paraId="04E31DD9">
      <w:pPr>
        <w:spacing w:line="440" w:lineRule="exact"/>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DAB5EDB">
      <w:pPr>
        <w:spacing w:line="440" w:lineRule="exact"/>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507156B">
      <w:pPr>
        <w:spacing w:line="440" w:lineRule="exact"/>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319AFD1">
      <w:pPr>
        <w:spacing w:line="440" w:lineRule="exact"/>
        <w:ind w:firstLine="435"/>
        <w:rPr>
          <w:rFonts w:hint="eastAsia"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73DB95C4">
      <w:pPr>
        <w:spacing w:line="440" w:lineRule="exact"/>
        <w:ind w:firstLine="435"/>
        <w:rPr>
          <w:rFonts w:hint="eastAsia"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1097ED37">
      <w:pPr>
        <w:spacing w:line="360" w:lineRule="auto"/>
        <w:ind w:firstLine="437"/>
        <w:outlineLvl w:val="2"/>
        <w:rPr>
          <w:rFonts w:cs="Times New Roman" w:asciiTheme="minorEastAsia" w:hAnsiTheme="minorEastAsia" w:eastAsiaTheme="minorEastAsia"/>
          <w:b/>
          <w:bCs/>
          <w:color w:val="auto"/>
          <w:sz w:val="24"/>
          <w:szCs w:val="24"/>
          <w:highlight w:val="none"/>
          <w:lang w:val="zh-CN"/>
        </w:rPr>
      </w:pPr>
      <w:r>
        <w:rPr>
          <w:rFonts w:hint="eastAsia" w:cs="Times New Roman" w:asciiTheme="minorEastAsia" w:hAnsiTheme="minorEastAsia" w:eastAsiaTheme="minorEastAsia"/>
          <w:b/>
          <w:bCs/>
          <w:color w:val="auto"/>
          <w:sz w:val="24"/>
          <w:szCs w:val="24"/>
          <w:highlight w:val="none"/>
          <w:lang w:val="zh-CN"/>
        </w:rPr>
        <w:t>1.7</w:t>
      </w:r>
      <w:r>
        <w:rPr>
          <w:rFonts w:cs="Times New Roman" w:asciiTheme="minorEastAsia" w:hAnsiTheme="minorEastAsia" w:eastAsiaTheme="minorEastAsia"/>
          <w:b/>
          <w:bCs/>
          <w:color w:val="auto"/>
          <w:sz w:val="24"/>
          <w:szCs w:val="24"/>
          <w:highlight w:val="none"/>
          <w:lang w:val="zh-CN"/>
        </w:rPr>
        <w:t xml:space="preserve"> </w:t>
      </w:r>
      <w:r>
        <w:rPr>
          <w:rFonts w:hint="eastAsia" w:cs="Times New Roman" w:asciiTheme="minorEastAsia" w:hAnsiTheme="minorEastAsia" w:eastAsiaTheme="minorEastAsia"/>
          <w:b/>
          <w:bCs/>
          <w:color w:val="auto"/>
          <w:sz w:val="24"/>
          <w:szCs w:val="24"/>
          <w:highlight w:val="none"/>
          <w:lang w:val="zh-CN"/>
        </w:rPr>
        <w:t>合同</w:t>
      </w:r>
      <w:r>
        <w:rPr>
          <w:rFonts w:cs="Times New Roman" w:asciiTheme="minorEastAsia" w:hAnsiTheme="minorEastAsia" w:eastAsiaTheme="minorEastAsia"/>
          <w:b/>
          <w:bCs/>
          <w:color w:val="auto"/>
          <w:sz w:val="24"/>
          <w:szCs w:val="24"/>
          <w:highlight w:val="none"/>
          <w:lang w:val="zh-CN"/>
        </w:rPr>
        <w:t>争议的解决</w:t>
      </w:r>
      <w:bookmarkEnd w:id="75"/>
      <w:bookmarkEnd w:id="76"/>
      <w:bookmarkEnd w:id="77"/>
    </w:p>
    <w:p w14:paraId="3452DE71">
      <w:pPr>
        <w:spacing w:line="440" w:lineRule="exact"/>
        <w:ind w:firstLine="435"/>
        <w:rPr>
          <w:rFonts w:hint="eastAsia" w:cs="Times New Roman" w:asciiTheme="minorEastAsia" w:hAnsiTheme="minorEastAsia" w:eastAsiaTheme="minorEastAsia"/>
          <w:color w:val="auto"/>
          <w:sz w:val="24"/>
          <w:szCs w:val="24"/>
          <w:highlight w:val="none"/>
        </w:rPr>
      </w:pPr>
      <w:bookmarkStart w:id="78" w:name="_Toc15322"/>
      <w:bookmarkStart w:id="79" w:name="_Toc7245"/>
      <w:bookmarkStart w:id="80" w:name="_Toc11173"/>
      <w:r>
        <w:rPr>
          <w:rFonts w:hint="eastAsia" w:cs="Times New Roman" w:asciiTheme="minorEastAsia" w:hAnsiTheme="minorEastAsia" w:eastAsiaTheme="minorEastAsia"/>
          <w:color w:val="auto"/>
          <w:sz w:val="24"/>
          <w:szCs w:val="24"/>
          <w:highlight w:val="none"/>
        </w:rPr>
        <w:t>本合同履行过程中发生的任何争议，双方当事人均可通过和解或者调解解决；不愿和解、调解或者和解、调解不成的，可以选择下列第</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种方式解决：</w:t>
      </w:r>
    </w:p>
    <w:p w14:paraId="29B4B368">
      <w:pPr>
        <w:spacing w:line="440" w:lineRule="exact"/>
        <w:ind w:firstLine="435"/>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（1）将争议提交</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滁州    </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仲裁委员会依申请仲裁时其现行有效的仲裁规则裁决；</w:t>
      </w:r>
    </w:p>
    <w:p w14:paraId="4B335D0A">
      <w:pPr>
        <w:spacing w:line="440" w:lineRule="exact"/>
        <w:ind w:firstLine="435"/>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（2）向</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甲方（采购人） </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人民法院起诉。</w:t>
      </w:r>
    </w:p>
    <w:p w14:paraId="22B64E7A">
      <w:pPr>
        <w:spacing w:line="360" w:lineRule="auto"/>
        <w:ind w:firstLine="437"/>
        <w:outlineLvl w:val="2"/>
        <w:rPr>
          <w:rFonts w:cs="Times New Roman" w:asciiTheme="minorEastAsia" w:hAnsiTheme="minorEastAsia" w:eastAsiaTheme="minorEastAsia"/>
          <w:b/>
          <w:bCs/>
          <w:color w:val="auto"/>
          <w:sz w:val="24"/>
          <w:szCs w:val="24"/>
          <w:highlight w:val="none"/>
          <w:lang w:val="zh-CN"/>
        </w:rPr>
      </w:pPr>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 xml:space="preserve"> 合同生效</w:t>
      </w:r>
      <w:bookmarkEnd w:id="78"/>
      <w:bookmarkEnd w:id="79"/>
      <w:bookmarkEnd w:id="80"/>
    </w:p>
    <w:p w14:paraId="7817B442">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28F55F7E">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p>
    <w:p w14:paraId="6443AF89">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p>
    <w:p w14:paraId="54FC3CEF">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p>
    <w:p w14:paraId="653880DD">
      <w:pPr>
        <w:autoSpaceDE w:val="0"/>
        <w:autoSpaceDN w:val="0"/>
        <w:adjustRightInd w:val="0"/>
        <w:spacing w:line="560" w:lineRule="exact"/>
        <w:rPr>
          <w:rFonts w:cs="Times New Roman" w:asciiTheme="minorEastAsia" w:hAnsiTheme="minorEastAsia" w:eastAsiaTheme="minorEastAsia"/>
          <w:bCs/>
          <w:color w:val="auto"/>
          <w:sz w:val="24"/>
          <w:szCs w:val="24"/>
          <w:highlight w:val="none"/>
          <w:lang w:val="zh-CN"/>
        </w:rPr>
      </w:pPr>
      <w:r>
        <w:rPr>
          <w:rFonts w:hint="eastAsia" w:cs="Times New Roman" w:asciiTheme="minorEastAsia" w:hAnsiTheme="minorEastAsia" w:eastAsiaTheme="minorEastAsia"/>
          <w:bCs/>
          <w:color w:val="auto"/>
          <w:sz w:val="24"/>
          <w:szCs w:val="24"/>
          <w:highlight w:val="none"/>
          <w:lang w:val="zh-CN"/>
        </w:rPr>
        <w:t xml:space="preserve">甲 </w:t>
      </w:r>
      <w:r>
        <w:rPr>
          <w:rFonts w:cs="Times New Roman" w:asciiTheme="minorEastAsia" w:hAnsiTheme="minorEastAsia" w:eastAsiaTheme="minorEastAsia"/>
          <w:bCs/>
          <w:color w:val="auto"/>
          <w:sz w:val="24"/>
          <w:szCs w:val="24"/>
          <w:highlight w:val="none"/>
          <w:lang w:val="zh-CN"/>
        </w:rPr>
        <w:t xml:space="preserve">   </w:t>
      </w:r>
      <w:r>
        <w:rPr>
          <w:rFonts w:hint="eastAsia" w:cs="Times New Roman" w:asciiTheme="minorEastAsia" w:hAnsiTheme="minorEastAsia" w:eastAsiaTheme="minorEastAsia"/>
          <w:bCs/>
          <w:color w:val="auto"/>
          <w:sz w:val="24"/>
          <w:szCs w:val="24"/>
          <w:highlight w:val="none"/>
          <w:lang w:val="zh-CN"/>
        </w:rPr>
        <w:t>方：</w:t>
      </w:r>
      <w:r>
        <w:rPr>
          <w:rFonts w:hint="eastAsia" w:cs="Times New Roman" w:asciiTheme="minorEastAsia" w:hAnsiTheme="minorEastAsia" w:eastAsiaTheme="minorEastAsia"/>
          <w:bCs/>
          <w:color w:val="auto"/>
          <w:sz w:val="24"/>
          <w:szCs w:val="24"/>
          <w:highlight w:val="none"/>
          <w:u w:val="single"/>
          <w:lang w:val="zh-CN"/>
        </w:rPr>
        <w:t xml:space="preserve">    （单位盖章）     </w:t>
      </w:r>
      <w:r>
        <w:rPr>
          <w:rFonts w:hint="eastAsia" w:cs="Times New Roman" w:asciiTheme="minorEastAsia" w:hAnsiTheme="minorEastAsia" w:eastAsiaTheme="minorEastAsia"/>
          <w:bCs/>
          <w:color w:val="auto"/>
          <w:sz w:val="24"/>
          <w:szCs w:val="24"/>
          <w:highlight w:val="none"/>
          <w:lang w:val="zh-CN"/>
        </w:rPr>
        <w:t xml:space="preserve">          乙方：</w:t>
      </w:r>
      <w:r>
        <w:rPr>
          <w:rFonts w:hint="eastAsia" w:cs="Times New Roman" w:asciiTheme="minorEastAsia" w:hAnsiTheme="minorEastAsia" w:eastAsiaTheme="minorEastAsia"/>
          <w:bCs/>
          <w:color w:val="auto"/>
          <w:sz w:val="24"/>
          <w:szCs w:val="24"/>
          <w:highlight w:val="none"/>
          <w:u w:val="single"/>
          <w:lang w:val="zh-CN"/>
        </w:rPr>
        <w:t xml:space="preserve">    （单位盖章）     </w:t>
      </w:r>
    </w:p>
    <w:p w14:paraId="24E98A86">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 xml:space="preserve">法定代表人                             </w:t>
      </w:r>
      <w:r>
        <w:rPr>
          <w:rFonts w:cs="Times New Roman" w:asciiTheme="minorEastAsia" w:hAnsiTheme="minorEastAsia" w:eastAsiaTheme="minorEastAsia"/>
          <w:color w:val="auto"/>
          <w:sz w:val="24"/>
          <w:szCs w:val="24"/>
          <w:highlight w:val="none"/>
          <w:lang w:val="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5408796B">
      <w:pPr>
        <w:autoSpaceDE w:val="0"/>
        <w:autoSpaceDN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                      或授权代表（签字）：</w:t>
      </w:r>
    </w:p>
    <w:p w14:paraId="57C844F7">
      <w:pPr>
        <w:widowControl/>
        <w:spacing w:line="560" w:lineRule="exact"/>
        <w:jc w:val="left"/>
        <w:rPr>
          <w:rFonts w:cs="Times New Roman" w:asciiTheme="minorEastAsia" w:hAnsiTheme="minorEastAsia" w:eastAsiaTheme="minorEastAsia"/>
          <w:bCs/>
          <w:color w:val="auto"/>
          <w:sz w:val="24"/>
          <w:szCs w:val="24"/>
          <w:highlight w:val="none"/>
        </w:rPr>
      </w:pPr>
      <w:bookmarkStart w:id="81"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日               时间：</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u w:val="single"/>
        </w:rPr>
        <w:t xml:space="preserve"> </w:t>
      </w:r>
      <w:r>
        <w:rPr>
          <w:rFonts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u w:val="single"/>
        </w:rPr>
        <w:t xml:space="preserve">  </w:t>
      </w:r>
      <w:r>
        <w:rPr>
          <w:rFonts w:hint="eastAsia" w:cs="Times New Roman" w:asciiTheme="minorEastAsia" w:hAnsiTheme="minorEastAsia" w:eastAsiaTheme="minorEastAsia"/>
          <w:bCs/>
          <w:color w:val="auto"/>
          <w:sz w:val="24"/>
          <w:szCs w:val="24"/>
          <w:highlight w:val="none"/>
        </w:rPr>
        <w:t>日</w:t>
      </w:r>
    </w:p>
    <w:p w14:paraId="496386AD">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w:t>
      </w:r>
      <w:bookmarkStart w:id="82" w:name="_Hlk110099149"/>
      <w:r>
        <w:rPr>
          <w:rFonts w:hint="eastAsia" w:ascii="宋体" w:hAnsi="宋体" w:eastAsia="宋体"/>
          <w:color w:val="auto"/>
          <w:sz w:val="24"/>
          <w:szCs w:val="24"/>
          <w:highlight w:val="none"/>
        </w:rPr>
        <w:t>乙方账户信息</w:t>
      </w:r>
    </w:p>
    <w:p w14:paraId="1264566C">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户名：</w:t>
      </w:r>
      <w:r>
        <w:rPr>
          <w:rFonts w:hint="eastAsia" w:ascii="宋体" w:hAnsi="宋体" w:eastAsia="宋体"/>
          <w:color w:val="auto"/>
          <w:sz w:val="24"/>
          <w:szCs w:val="24"/>
          <w:highlight w:val="none"/>
          <w:u w:val="single"/>
        </w:rPr>
        <w:t xml:space="preserve">            </w:t>
      </w:r>
    </w:p>
    <w:p w14:paraId="58365E19">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账号：</w:t>
      </w:r>
      <w:r>
        <w:rPr>
          <w:rFonts w:hint="eastAsia" w:ascii="宋体" w:hAnsi="宋体" w:eastAsia="宋体"/>
          <w:color w:val="auto"/>
          <w:sz w:val="24"/>
          <w:szCs w:val="24"/>
          <w:highlight w:val="none"/>
          <w:u w:val="single"/>
        </w:rPr>
        <w:t xml:space="preserve">            </w:t>
      </w:r>
    </w:p>
    <w:p w14:paraId="51E3F255">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rPr>
        <w:t xml:space="preserve">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开户银行：</w:t>
      </w:r>
      <w:r>
        <w:rPr>
          <w:rFonts w:hint="eastAsia" w:ascii="宋体" w:hAnsi="宋体" w:eastAsia="宋体"/>
          <w:color w:val="auto"/>
          <w:sz w:val="24"/>
          <w:szCs w:val="24"/>
          <w:highlight w:val="none"/>
          <w:u w:val="single"/>
        </w:rPr>
        <w:t xml:space="preserve">        </w:t>
      </w:r>
    </w:p>
    <w:bookmarkEnd w:id="82"/>
    <w:p w14:paraId="6F69CE9D">
      <w:pPr>
        <w:widowControl/>
        <w:jc w:val="left"/>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br w:type="page"/>
      </w:r>
    </w:p>
    <w:p w14:paraId="56337CE8">
      <w:pPr>
        <w:spacing w:line="360" w:lineRule="auto"/>
        <w:jc w:val="center"/>
        <w:outlineLvl w:val="1"/>
        <w:rPr>
          <w:rFonts w:asciiTheme="minorEastAsia" w:hAnsiTheme="minorEastAsia" w:eastAsiaTheme="minorEastAsia"/>
          <w:b/>
          <w:color w:val="auto"/>
          <w:sz w:val="24"/>
          <w:highlight w:val="none"/>
        </w:rPr>
      </w:pPr>
      <w:bookmarkStart w:id="83" w:name="_Toc415"/>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bookmarkEnd w:id="81"/>
      <w:bookmarkEnd w:id="83"/>
    </w:p>
    <w:p w14:paraId="507EB3BB">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4" w:name="_Ref467378404"/>
      <w:bookmarkStart w:id="85" w:name="_Ref467378499"/>
      <w:bookmarkStart w:id="86" w:name="_Toc16917"/>
      <w:bookmarkStart w:id="87" w:name="_Toc19614"/>
      <w:bookmarkStart w:id="88" w:name="_Ref467379195"/>
      <w:bookmarkStart w:id="89" w:name="_Toc487900349"/>
      <w:bookmarkStart w:id="90" w:name="_Ref467379225"/>
      <w:bookmarkStart w:id="91" w:name="_Toc279701240"/>
      <w:bookmarkStart w:id="92" w:name="_Ref467379094"/>
      <w:bookmarkStart w:id="93" w:name="_Ref467378463"/>
      <w:bookmarkStart w:id="94" w:name="_Toc28763"/>
      <w:bookmarkStart w:id="95" w:name="_Ref467379109"/>
      <w:bookmarkStart w:id="96" w:name="_Toc259093669"/>
      <w:bookmarkStart w:id="97" w:name="_Ref467379214"/>
      <w:bookmarkStart w:id="98" w:name="_Ref467379205"/>
      <w:bookmarkStart w:id="99" w:name="_Ref467379101"/>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 xml:space="preserve"> 定义</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7497A69E">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46B2274">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02E92599">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5CA432E4">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4A9111D2">
      <w:pPr>
        <w:spacing w:line="360" w:lineRule="auto"/>
        <w:ind w:firstLine="435"/>
        <w:rPr>
          <w:rFonts w:cs="Times New Roman" w:asciiTheme="minorEastAsia" w:hAnsiTheme="minorEastAsia" w:eastAsiaTheme="minorEastAsia"/>
          <w:color w:val="auto"/>
          <w:sz w:val="24"/>
          <w:szCs w:val="24"/>
          <w:highlight w:val="none"/>
        </w:rPr>
      </w:pPr>
      <w:bookmarkStart w:id="100"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100"/>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65E2E012">
      <w:pPr>
        <w:spacing w:line="360" w:lineRule="auto"/>
        <w:ind w:firstLine="435"/>
        <w:rPr>
          <w:rFonts w:cs="Times New Roman" w:asciiTheme="minorEastAsia" w:hAnsiTheme="minorEastAsia" w:eastAsiaTheme="minorEastAsia"/>
          <w:color w:val="auto"/>
          <w:sz w:val="24"/>
          <w:szCs w:val="24"/>
          <w:highlight w:val="none"/>
        </w:rPr>
      </w:pPr>
      <w:bookmarkStart w:id="101"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01"/>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2F0511BD">
      <w:pPr>
        <w:spacing w:line="360" w:lineRule="auto"/>
        <w:ind w:firstLine="435"/>
        <w:rPr>
          <w:rFonts w:cs="Times New Roman" w:asciiTheme="minorEastAsia" w:hAnsiTheme="minorEastAsia" w:eastAsiaTheme="minorEastAsia"/>
          <w:color w:val="auto"/>
          <w:sz w:val="24"/>
          <w:szCs w:val="24"/>
          <w:highlight w:val="none"/>
        </w:rPr>
      </w:pPr>
      <w:bookmarkStart w:id="102"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02"/>
    </w:p>
    <w:p w14:paraId="620AD3C4">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3" w:name="_Toc487900350"/>
      <w:bookmarkStart w:id="104" w:name="_Toc27635"/>
      <w:bookmarkStart w:id="105" w:name="_Toc259093670"/>
      <w:bookmarkStart w:id="106" w:name="_Toc279701241"/>
      <w:bookmarkStart w:id="107" w:name="_Toc32504"/>
      <w:bookmarkStart w:id="108" w:name="_Toc13336"/>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 技术规范</w:t>
      </w:r>
      <w:bookmarkEnd w:id="103"/>
      <w:bookmarkEnd w:id="104"/>
      <w:bookmarkEnd w:id="105"/>
      <w:bookmarkEnd w:id="106"/>
      <w:bookmarkEnd w:id="107"/>
      <w:bookmarkEnd w:id="108"/>
    </w:p>
    <w:p w14:paraId="39F0BE09">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5F039EA9">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9" w:name="_Toc27853"/>
      <w:bookmarkStart w:id="110" w:name="_Toc9829"/>
      <w:bookmarkStart w:id="111" w:name="_Toc259093671"/>
      <w:bookmarkStart w:id="112" w:name="_Toc279701242"/>
      <w:bookmarkStart w:id="113" w:name="_Toc31634"/>
      <w:bookmarkStart w:id="114" w:name="_Toc48790035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 知识产权</w:t>
      </w:r>
      <w:bookmarkEnd w:id="109"/>
      <w:bookmarkEnd w:id="110"/>
      <w:bookmarkEnd w:id="111"/>
      <w:bookmarkEnd w:id="112"/>
      <w:bookmarkEnd w:id="113"/>
      <w:bookmarkEnd w:id="114"/>
    </w:p>
    <w:p w14:paraId="659BE898">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1B671A8">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8D1B7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5" w:name="_Toc259093674"/>
      <w:bookmarkStart w:id="116" w:name="_Ref467378591"/>
      <w:bookmarkStart w:id="117" w:name="_Ref467379542"/>
      <w:bookmarkStart w:id="118" w:name="_Toc487900354"/>
      <w:bookmarkStart w:id="119" w:name="_Ref467378541"/>
      <w:bookmarkStart w:id="120" w:name="_Ref467379536"/>
      <w:bookmarkStart w:id="121" w:name="_Ref467379527"/>
      <w:bookmarkStart w:id="122" w:name="_Toc279701245"/>
      <w:bookmarkStart w:id="123" w:name="_Toc26182"/>
      <w:bookmarkStart w:id="124" w:name="_Toc19074"/>
      <w:bookmarkStart w:id="125" w:name="_Toc30272"/>
      <w:r>
        <w:rPr>
          <w:rFonts w:hint="eastAsia" w:cs="Times New Roman" w:asciiTheme="minorEastAsia" w:hAnsiTheme="minorEastAsia" w:eastAsiaTheme="minorEastAsia"/>
          <w:b/>
          <w:bCs/>
          <w:color w:val="auto"/>
          <w:sz w:val="24"/>
          <w:szCs w:val="24"/>
          <w:highlight w:val="none"/>
          <w:lang w:val="zh-CN"/>
        </w:rPr>
        <w:t>2.</w:t>
      </w:r>
      <w:bookmarkEnd w:id="115"/>
      <w:bookmarkEnd w:id="116"/>
      <w:bookmarkEnd w:id="117"/>
      <w:bookmarkEnd w:id="118"/>
      <w:bookmarkEnd w:id="119"/>
      <w:bookmarkEnd w:id="120"/>
      <w:bookmarkEnd w:id="121"/>
      <w:bookmarkEnd w:id="122"/>
      <w:r>
        <w:rPr>
          <w:rFonts w:cs="Times New Roman" w:asciiTheme="minorEastAsia" w:hAnsiTheme="minorEastAsia" w:eastAsiaTheme="minorEastAsia"/>
          <w:b/>
          <w:bCs/>
          <w:color w:val="auto"/>
          <w:sz w:val="24"/>
          <w:szCs w:val="24"/>
          <w:highlight w:val="none"/>
          <w:lang w:val="zh-CN"/>
        </w:rPr>
        <w:t xml:space="preserve">4 </w:t>
      </w:r>
      <w:r>
        <w:rPr>
          <w:rFonts w:hint="eastAsia" w:cs="Times New Roman" w:asciiTheme="minorEastAsia" w:hAnsiTheme="minorEastAsia" w:eastAsiaTheme="minorEastAsia"/>
          <w:b/>
          <w:bCs/>
          <w:color w:val="auto"/>
          <w:sz w:val="24"/>
          <w:szCs w:val="24"/>
          <w:highlight w:val="none"/>
          <w:lang w:val="zh-CN"/>
        </w:rPr>
        <w:t>履约检查和问题反馈</w:t>
      </w:r>
      <w:bookmarkEnd w:id="123"/>
      <w:bookmarkEnd w:id="124"/>
      <w:bookmarkEnd w:id="125"/>
    </w:p>
    <w:p w14:paraId="12A3A865">
      <w:pPr>
        <w:spacing w:line="360" w:lineRule="auto"/>
        <w:ind w:firstLine="435"/>
        <w:rPr>
          <w:rFonts w:cs="Times New Roman" w:asciiTheme="minorEastAsia" w:hAnsiTheme="minorEastAsia" w:eastAsiaTheme="minorEastAsia"/>
          <w:color w:val="auto"/>
          <w:sz w:val="24"/>
          <w:szCs w:val="24"/>
          <w:highlight w:val="none"/>
        </w:rPr>
      </w:pPr>
      <w:bookmarkStart w:id="126" w:name="_Toc186431854"/>
      <w:bookmarkStart w:id="127" w:name="_Toc487900357"/>
      <w:bookmarkStart w:id="128" w:name="_Ref467379793"/>
      <w:bookmarkStart w:id="129" w:name="_Ref467379807"/>
      <w:bookmarkStart w:id="130" w:name="_Toc259093676"/>
      <w:bookmarkStart w:id="131" w:name="_Toc279701247"/>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1DE04D49">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26"/>
      <w:bookmarkStart w:id="132" w:name="_Toc186431855"/>
      <w:r>
        <w:rPr>
          <w:rFonts w:hint="eastAsia" w:cs="Times New Roman" w:asciiTheme="minorEastAsia" w:hAnsiTheme="minorEastAsia" w:eastAsiaTheme="minorEastAsia"/>
          <w:color w:val="auto"/>
          <w:sz w:val="24"/>
          <w:szCs w:val="24"/>
          <w:highlight w:val="none"/>
        </w:rPr>
        <w:t>。</w:t>
      </w:r>
    </w:p>
    <w:bookmarkEnd w:id="132"/>
    <w:p w14:paraId="693C2EE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3" w:name="_Toc28451"/>
      <w:bookmarkStart w:id="134" w:name="_Toc19219"/>
      <w:bookmarkStart w:id="135" w:name="_Toc7836"/>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结算方式和付款条件</w:t>
      </w:r>
      <w:bookmarkEnd w:id="127"/>
      <w:bookmarkEnd w:id="128"/>
      <w:bookmarkEnd w:id="129"/>
      <w:bookmarkEnd w:id="130"/>
      <w:bookmarkEnd w:id="131"/>
      <w:bookmarkEnd w:id="133"/>
      <w:bookmarkEnd w:id="134"/>
      <w:bookmarkEnd w:id="135"/>
    </w:p>
    <w:p w14:paraId="57EB375C">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5331AB43">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6" w:name="_Ref467379863"/>
      <w:bookmarkStart w:id="137" w:name="_Toc279701248"/>
      <w:bookmarkStart w:id="138" w:name="_Ref467379852"/>
      <w:bookmarkStart w:id="139" w:name="_Toc259093677"/>
      <w:bookmarkStart w:id="140" w:name="_Toc487900358"/>
      <w:bookmarkStart w:id="141" w:name="_Ref467379923"/>
      <w:bookmarkStart w:id="142" w:name="_Toc774"/>
      <w:bookmarkStart w:id="143" w:name="_Toc16110"/>
      <w:bookmarkStart w:id="144" w:name="_Toc3225"/>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技术资料</w:t>
      </w:r>
      <w:bookmarkEnd w:id="136"/>
      <w:bookmarkEnd w:id="137"/>
      <w:bookmarkEnd w:id="138"/>
      <w:bookmarkEnd w:id="139"/>
      <w:bookmarkEnd w:id="140"/>
      <w:bookmarkEnd w:id="141"/>
      <w:r>
        <w:rPr>
          <w:rFonts w:cs="Times New Roman" w:asciiTheme="minorEastAsia" w:hAnsiTheme="minorEastAsia" w:eastAsiaTheme="minorEastAsia"/>
          <w:b/>
          <w:bCs/>
          <w:color w:val="auto"/>
          <w:sz w:val="24"/>
          <w:szCs w:val="24"/>
          <w:highlight w:val="none"/>
          <w:lang w:val="zh-CN"/>
        </w:rPr>
        <w:t>和保密义务</w:t>
      </w:r>
      <w:bookmarkEnd w:id="142"/>
      <w:bookmarkEnd w:id="143"/>
      <w:bookmarkEnd w:id="144"/>
    </w:p>
    <w:p w14:paraId="75E118BF">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60405302">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0713DD83">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121BFC0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5" w:name="_Toc7860"/>
      <w:r>
        <w:rPr>
          <w:rFonts w:cs="Times New Roman" w:asciiTheme="minorEastAsia" w:hAnsiTheme="minorEastAsia" w:eastAsiaTheme="minorEastAsia"/>
          <w:b/>
          <w:bCs/>
          <w:color w:val="auto"/>
          <w:sz w:val="24"/>
          <w:szCs w:val="24"/>
          <w:highlight w:val="none"/>
          <w:lang w:val="zh-CN"/>
        </w:rPr>
        <w:t>2.7 质量保证</w:t>
      </w:r>
      <w:bookmarkEnd w:id="145"/>
    </w:p>
    <w:p w14:paraId="61E5A264">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59B4E582">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2868F5CD">
      <w:pPr>
        <w:spacing w:line="360" w:lineRule="auto"/>
        <w:ind w:firstLine="437"/>
        <w:outlineLvl w:val="2"/>
        <w:rPr>
          <w:rFonts w:cs="Times New Roman" w:asciiTheme="minorEastAsia" w:hAnsiTheme="minorEastAsia" w:eastAsiaTheme="minorEastAsia"/>
          <w:b/>
          <w:color w:val="auto"/>
          <w:sz w:val="24"/>
          <w:szCs w:val="24"/>
          <w:highlight w:val="none"/>
        </w:rPr>
      </w:pPr>
      <w:bookmarkStart w:id="146" w:name="_Toc22267"/>
      <w:r>
        <w:rPr>
          <w:rFonts w:hint="eastAsia" w:cs="Times New Roman" w:asciiTheme="minorEastAsia" w:hAnsiTheme="minorEastAsia" w:eastAsiaTheme="minorEastAsia"/>
          <w:b/>
          <w:color w:val="auto"/>
          <w:sz w:val="24"/>
          <w:szCs w:val="24"/>
          <w:highlight w:val="none"/>
        </w:rPr>
        <w:t>2.8 延迟履行</w:t>
      </w:r>
      <w:bookmarkEnd w:id="146"/>
    </w:p>
    <w:p w14:paraId="1F9BDB5D">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315153DF">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7" w:name="_Toc7502"/>
      <w:bookmarkStart w:id="148" w:name="_Toc259093683"/>
      <w:bookmarkStart w:id="149" w:name="_Toc279701254"/>
      <w:bookmarkStart w:id="150" w:name="_Toc487900364"/>
      <w:bookmarkStart w:id="151" w:name="_Ref467378121"/>
      <w:r>
        <w:rPr>
          <w:rFonts w:cs="Times New Roman" w:asciiTheme="minorEastAsia" w:hAnsiTheme="minorEastAsia" w:eastAsiaTheme="minorEastAsia"/>
          <w:b/>
          <w:bCs/>
          <w:color w:val="auto"/>
          <w:sz w:val="24"/>
          <w:szCs w:val="24"/>
          <w:highlight w:val="none"/>
          <w:lang w:val="zh-CN"/>
        </w:rPr>
        <w:t>2.9 合同变更</w:t>
      </w:r>
      <w:bookmarkEnd w:id="147"/>
    </w:p>
    <w:p w14:paraId="02B29871">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75F7EE4F">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52" w:name="_Toc279701259"/>
      <w:bookmarkStart w:id="153" w:name="_Toc259093688"/>
      <w:bookmarkStart w:id="154" w:name="_Toc487900369"/>
    </w:p>
    <w:p w14:paraId="0E75C4B3">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5" w:name="_Toc22955"/>
      <w:bookmarkStart w:id="156" w:name="_Toc10366"/>
      <w:bookmarkStart w:id="157" w:name="_Toc1523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合同转让</w:t>
      </w:r>
      <w:bookmarkEnd w:id="152"/>
      <w:bookmarkEnd w:id="153"/>
      <w:bookmarkEnd w:id="154"/>
      <w:r>
        <w:rPr>
          <w:rFonts w:cs="Times New Roman" w:asciiTheme="minorEastAsia" w:hAnsiTheme="minorEastAsia" w:eastAsiaTheme="minorEastAsia"/>
          <w:b/>
          <w:bCs/>
          <w:color w:val="auto"/>
          <w:sz w:val="24"/>
          <w:szCs w:val="24"/>
          <w:highlight w:val="none"/>
          <w:lang w:val="zh-CN"/>
        </w:rPr>
        <w:t>和分包</w:t>
      </w:r>
      <w:bookmarkEnd w:id="155"/>
      <w:bookmarkEnd w:id="156"/>
      <w:bookmarkEnd w:id="157"/>
    </w:p>
    <w:p w14:paraId="7689BA59">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572F50DE">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8" w:name="_Toc16508"/>
      <w:bookmarkStart w:id="159" w:name="_Toc13566"/>
      <w:bookmarkStart w:id="160" w:name="_Toc140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 不可抗力</w:t>
      </w:r>
      <w:bookmarkEnd w:id="158"/>
      <w:bookmarkEnd w:id="159"/>
      <w:bookmarkEnd w:id="160"/>
    </w:p>
    <w:p w14:paraId="3E899B0B">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7A3F2EC5">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7FBF3D7A">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0D6600DA">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175D85B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1" w:name="_Toc487900365"/>
      <w:bookmarkStart w:id="162" w:name="_Toc279701255"/>
      <w:bookmarkStart w:id="163" w:name="_Toc689"/>
      <w:bookmarkStart w:id="164" w:name="_Toc6969"/>
      <w:bookmarkStart w:id="165" w:name="_Toc30676"/>
      <w:bookmarkStart w:id="166" w:name="_Toc25909368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税费</w:t>
      </w:r>
      <w:bookmarkEnd w:id="161"/>
      <w:bookmarkEnd w:id="162"/>
      <w:bookmarkEnd w:id="163"/>
      <w:bookmarkEnd w:id="164"/>
      <w:bookmarkEnd w:id="165"/>
      <w:bookmarkEnd w:id="166"/>
    </w:p>
    <w:p w14:paraId="76F6BAD4">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0FA37650">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7" w:name="_Toc16959"/>
      <w:bookmarkStart w:id="168" w:name="_Toc259093687"/>
      <w:bookmarkStart w:id="169" w:name="_Toc279701258"/>
      <w:bookmarkStart w:id="170" w:name="_Toc7102"/>
      <w:bookmarkStart w:id="171" w:name="_Toc487900368"/>
      <w:bookmarkStart w:id="172" w:name="_Toc8298"/>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乙方破产</w:t>
      </w:r>
      <w:bookmarkEnd w:id="167"/>
      <w:bookmarkEnd w:id="168"/>
      <w:bookmarkEnd w:id="169"/>
      <w:bookmarkEnd w:id="170"/>
      <w:bookmarkEnd w:id="171"/>
      <w:bookmarkEnd w:id="172"/>
    </w:p>
    <w:p w14:paraId="6CFA06ED">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7962F61D">
      <w:pPr>
        <w:spacing w:line="360" w:lineRule="auto"/>
        <w:ind w:firstLine="437"/>
        <w:outlineLvl w:val="2"/>
        <w:rPr>
          <w:rFonts w:cs="Times New Roman" w:asciiTheme="minorEastAsia" w:hAnsiTheme="minorEastAsia" w:eastAsiaTheme="minorEastAsia"/>
          <w:b/>
          <w:color w:val="auto"/>
          <w:sz w:val="24"/>
          <w:szCs w:val="24"/>
          <w:highlight w:val="none"/>
        </w:rPr>
      </w:pPr>
      <w:bookmarkStart w:id="173" w:name="_Toc29333"/>
      <w:bookmarkStart w:id="174" w:name="_Toc6134"/>
      <w:bookmarkStart w:id="175" w:name="_Toc1538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 xml:space="preserve"> 合同中止、终止</w:t>
      </w:r>
      <w:bookmarkEnd w:id="173"/>
      <w:bookmarkEnd w:id="174"/>
      <w:bookmarkEnd w:id="175"/>
    </w:p>
    <w:p w14:paraId="3312FC75">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6AE3046">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30E3C752">
      <w:pPr>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6" w:name="_Toc1125"/>
      <w:bookmarkStart w:id="177" w:name="_Toc6596"/>
      <w:bookmarkStart w:id="178" w:name="_Toc14563"/>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 xml:space="preserve"> 检验和验收</w:t>
      </w:r>
      <w:bookmarkEnd w:id="176"/>
      <w:bookmarkEnd w:id="177"/>
      <w:bookmarkEnd w:id="178"/>
    </w:p>
    <w:p w14:paraId="1304F7BD">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94049EB">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3FAA561E">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48"/>
    <w:bookmarkEnd w:id="149"/>
    <w:bookmarkEnd w:id="150"/>
    <w:bookmarkEnd w:id="151"/>
    <w:p w14:paraId="169BE626">
      <w:pPr>
        <w:spacing w:line="360" w:lineRule="auto"/>
        <w:ind w:firstLine="437"/>
        <w:outlineLvl w:val="2"/>
        <w:rPr>
          <w:rFonts w:cs="Times New Roman" w:asciiTheme="minorEastAsia" w:hAnsiTheme="minorEastAsia" w:eastAsiaTheme="minorEastAsia"/>
          <w:b/>
          <w:bCs/>
          <w:color w:val="auto"/>
          <w:sz w:val="24"/>
          <w:szCs w:val="24"/>
          <w:highlight w:val="none"/>
        </w:rPr>
      </w:pPr>
      <w:bookmarkStart w:id="179" w:name="_Toc12773"/>
      <w:bookmarkStart w:id="180" w:name="_Toc279701263"/>
      <w:bookmarkStart w:id="181" w:name="_Toc259093692"/>
      <w:bookmarkStart w:id="182" w:name="_Toc487900373"/>
      <w:bookmarkStart w:id="183" w:name="_Toc10330"/>
      <w:bookmarkStart w:id="184" w:name="_Toc18567"/>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rPr>
        <w:t xml:space="preserve"> </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79"/>
      <w:bookmarkEnd w:id="180"/>
      <w:bookmarkEnd w:id="181"/>
      <w:bookmarkEnd w:id="182"/>
      <w:bookmarkEnd w:id="183"/>
      <w:bookmarkEnd w:id="184"/>
    </w:p>
    <w:p w14:paraId="4BB2EEE0">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16.1合同使用汉语书就</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299DE32E">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1282AC42">
      <w:pPr>
        <w:spacing w:line="360" w:lineRule="auto"/>
        <w:ind w:firstLine="437"/>
        <w:outlineLvl w:val="2"/>
        <w:rPr>
          <w:rFonts w:cs="Times New Roman" w:asciiTheme="minorEastAsia" w:hAnsiTheme="minorEastAsia" w:eastAsiaTheme="minorEastAsia"/>
          <w:b/>
          <w:color w:val="auto"/>
          <w:sz w:val="24"/>
          <w:szCs w:val="24"/>
          <w:highlight w:val="none"/>
        </w:rPr>
      </w:pPr>
      <w:bookmarkStart w:id="185" w:name="_Toc16673"/>
      <w:bookmarkStart w:id="186" w:name="_Toc279701264"/>
      <w:bookmarkStart w:id="187" w:name="_Toc3148"/>
      <w:bookmarkStart w:id="188" w:name="_Toc12004"/>
      <w:bookmarkStart w:id="189" w:name="_Toc259093693"/>
      <w:bookmarkStart w:id="190"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w:t>
      </w:r>
      <w:r>
        <w:rPr>
          <w:rFonts w:hint="eastAsia" w:cs="Times New Roman" w:asciiTheme="minorEastAsia" w:hAnsiTheme="minorEastAsia" w:eastAsiaTheme="minorEastAsia"/>
          <w:b/>
          <w:bCs/>
          <w:color w:val="auto"/>
          <w:sz w:val="24"/>
          <w:szCs w:val="24"/>
          <w:highlight w:val="none"/>
          <w:lang w:val="zh-CN"/>
        </w:rPr>
        <w:t xml:space="preserve"> </w:t>
      </w:r>
      <w:r>
        <w:rPr>
          <w:rFonts w:cs="Times New Roman" w:asciiTheme="minorEastAsia" w:hAnsiTheme="minorEastAsia" w:eastAsiaTheme="minorEastAsia"/>
          <w:b/>
          <w:bCs/>
          <w:color w:val="auto"/>
          <w:sz w:val="24"/>
          <w:szCs w:val="24"/>
          <w:highlight w:val="none"/>
          <w:lang w:val="zh-CN"/>
        </w:rPr>
        <w:t>履约保证金</w:t>
      </w:r>
      <w:bookmarkEnd w:id="185"/>
      <w:bookmarkEnd w:id="186"/>
      <w:bookmarkEnd w:id="187"/>
      <w:bookmarkEnd w:id="188"/>
      <w:bookmarkEnd w:id="189"/>
    </w:p>
    <w:p w14:paraId="466BCB07">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9037367">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u w:val="single"/>
        </w:rPr>
        <w:t xml:space="preserve"> </w:t>
      </w:r>
      <w:r>
        <w:rPr>
          <w:rFonts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6F6053DC">
      <w:pPr>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90"/>
    <w:p w14:paraId="3A4F4F5A">
      <w:pPr>
        <w:spacing w:line="360" w:lineRule="auto"/>
        <w:ind w:firstLine="437"/>
        <w:outlineLvl w:val="2"/>
        <w:rPr>
          <w:rFonts w:cs="Times New Roman" w:asciiTheme="minorEastAsia" w:hAnsiTheme="minorEastAsia" w:eastAsiaTheme="minorEastAsia"/>
          <w:b/>
          <w:color w:val="auto"/>
          <w:sz w:val="24"/>
          <w:szCs w:val="24"/>
          <w:highlight w:val="none"/>
        </w:rPr>
      </w:pPr>
      <w:bookmarkStart w:id="191" w:name="_Toc6885"/>
      <w:bookmarkStart w:id="192" w:name="_Toc19890"/>
      <w:bookmarkStart w:id="193" w:name="_Toc1400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 xml:space="preserve"> 合同份数</w:t>
      </w:r>
      <w:bookmarkEnd w:id="191"/>
      <w:bookmarkEnd w:id="192"/>
      <w:bookmarkEnd w:id="193"/>
    </w:p>
    <w:p w14:paraId="530AB3A3">
      <w:pPr>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583A02A0">
      <w:pPr>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194" w:name="_Toc3736"/>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194"/>
    </w:p>
    <w:p w14:paraId="18A0C98A">
      <w:pPr>
        <w:spacing w:line="360" w:lineRule="auto"/>
        <w:ind w:firstLine="435"/>
        <w:rPr>
          <w:color w:val="auto"/>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7"/>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1D788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058ECCAF">
            <w:pPr>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7568" w:type="dxa"/>
            <w:vAlign w:val="center"/>
          </w:tcPr>
          <w:p w14:paraId="0D8CEC04">
            <w:pPr>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1F28E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1C6C276">
            <w:pPr>
              <w:spacing w:line="440" w:lineRule="exact"/>
              <w:jc w:val="center"/>
              <w:rPr>
                <w:rFonts w:hint="default" w:cs="Times New Roman" w:asciiTheme="minorEastAsia" w:hAnsiTheme="minorEastAsia" w:eastAsiaTheme="minorEastAsia"/>
                <w:color w:val="auto"/>
                <w:sz w:val="24"/>
                <w:szCs w:val="24"/>
                <w:highlight w:val="none"/>
                <w:lang w:val="en-US" w:eastAsia="zh-CN"/>
              </w:rPr>
            </w:pPr>
          </w:p>
        </w:tc>
        <w:tc>
          <w:tcPr>
            <w:tcW w:w="7568" w:type="dxa"/>
            <w:vAlign w:val="center"/>
          </w:tcPr>
          <w:p w14:paraId="255C12B8">
            <w:pPr>
              <w:spacing w:line="440" w:lineRule="exact"/>
              <w:jc w:val="center"/>
              <w:rPr>
                <w:rFonts w:hint="default" w:cs="Times New Roman" w:asciiTheme="minorEastAsia" w:hAnsiTheme="minorEastAsia" w:eastAsiaTheme="minorEastAsia"/>
                <w:color w:val="auto"/>
                <w:sz w:val="24"/>
                <w:szCs w:val="24"/>
                <w:highlight w:val="none"/>
                <w:lang w:val="en-US" w:eastAsia="zh-CN"/>
              </w:rPr>
            </w:pPr>
            <w:r>
              <w:rPr>
                <w:rFonts w:hint="eastAsia" w:cs="Times New Roman" w:asciiTheme="minorEastAsia" w:hAnsiTheme="minorEastAsia" w:eastAsiaTheme="minorEastAsia"/>
                <w:color w:val="auto"/>
                <w:sz w:val="24"/>
                <w:szCs w:val="24"/>
                <w:highlight w:val="none"/>
                <w:lang w:val="en-US" w:eastAsia="zh-CN"/>
              </w:rPr>
              <w:t>合同签订时另行约定</w:t>
            </w:r>
          </w:p>
        </w:tc>
      </w:tr>
      <w:tr w14:paraId="53E6C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E2F78B5">
            <w:pPr>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4433AAB0">
            <w:pPr>
              <w:spacing w:line="440" w:lineRule="exact"/>
              <w:rPr>
                <w:rFonts w:cs="Times New Roman" w:asciiTheme="minorEastAsia" w:hAnsiTheme="minorEastAsia" w:eastAsiaTheme="minorEastAsia"/>
                <w:color w:val="auto"/>
                <w:sz w:val="24"/>
                <w:szCs w:val="24"/>
                <w:highlight w:val="none"/>
              </w:rPr>
            </w:pPr>
          </w:p>
        </w:tc>
      </w:tr>
      <w:tr w14:paraId="074D0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09488DC">
            <w:pPr>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656FE64B">
            <w:pPr>
              <w:spacing w:line="440" w:lineRule="exact"/>
              <w:rPr>
                <w:rFonts w:cs="Times New Roman" w:asciiTheme="minorEastAsia" w:hAnsiTheme="minorEastAsia" w:eastAsiaTheme="minorEastAsia"/>
                <w:color w:val="auto"/>
                <w:sz w:val="24"/>
                <w:szCs w:val="24"/>
                <w:highlight w:val="none"/>
              </w:rPr>
            </w:pPr>
          </w:p>
        </w:tc>
      </w:tr>
      <w:tr w14:paraId="1C47B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1744F7A5">
            <w:pPr>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7C804BD1">
            <w:pPr>
              <w:spacing w:line="440" w:lineRule="exact"/>
              <w:rPr>
                <w:rFonts w:cs="Times New Roman" w:asciiTheme="minorEastAsia" w:hAnsiTheme="minorEastAsia" w:eastAsiaTheme="minorEastAsia"/>
                <w:color w:val="auto"/>
                <w:sz w:val="24"/>
                <w:szCs w:val="24"/>
                <w:highlight w:val="none"/>
              </w:rPr>
            </w:pPr>
          </w:p>
        </w:tc>
      </w:tr>
      <w:tr w14:paraId="6B968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54196A3E">
            <w:pPr>
              <w:spacing w:line="56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1D79F75E">
            <w:pPr>
              <w:spacing w:line="440" w:lineRule="exact"/>
              <w:rPr>
                <w:rFonts w:cs="Times New Roman" w:asciiTheme="minorEastAsia" w:hAnsiTheme="minorEastAsia" w:eastAsiaTheme="minorEastAsia"/>
                <w:color w:val="auto"/>
                <w:sz w:val="24"/>
                <w:szCs w:val="24"/>
                <w:highlight w:val="none"/>
              </w:rPr>
            </w:pPr>
          </w:p>
        </w:tc>
      </w:tr>
      <w:tr w14:paraId="2184B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35B81A69">
            <w:pPr>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2B14A565">
            <w:pPr>
              <w:spacing w:line="440" w:lineRule="exact"/>
              <w:rPr>
                <w:rFonts w:cs="Times New Roman" w:asciiTheme="minorEastAsia" w:hAnsiTheme="minorEastAsia" w:eastAsiaTheme="minorEastAsia"/>
                <w:color w:val="auto"/>
                <w:sz w:val="24"/>
                <w:szCs w:val="24"/>
                <w:highlight w:val="none"/>
                <w:u w:val="single"/>
              </w:rPr>
            </w:pPr>
          </w:p>
        </w:tc>
      </w:tr>
      <w:tr w14:paraId="1EC94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16F535EC">
            <w:pPr>
              <w:spacing w:line="440" w:lineRule="exact"/>
              <w:jc w:val="center"/>
              <w:rPr>
                <w:rFonts w:hint="eastAsia" w:cs="Times New Roman" w:asciiTheme="minorEastAsia" w:hAnsiTheme="minorEastAsia" w:eastAsiaTheme="minorEastAsia"/>
                <w:color w:val="auto"/>
                <w:sz w:val="24"/>
                <w:szCs w:val="24"/>
                <w:highlight w:val="none"/>
              </w:rPr>
            </w:pPr>
          </w:p>
        </w:tc>
        <w:tc>
          <w:tcPr>
            <w:tcW w:w="7568" w:type="dxa"/>
            <w:vAlign w:val="center"/>
          </w:tcPr>
          <w:p w14:paraId="1274A5D8">
            <w:pPr>
              <w:spacing w:line="440" w:lineRule="exact"/>
              <w:rPr>
                <w:rFonts w:hint="eastAsia" w:ascii="宋体" w:hAnsi="宋体" w:eastAsia="宋体" w:cs="宋体"/>
                <w:color w:val="auto"/>
                <w:sz w:val="24"/>
                <w:highlight w:val="none"/>
              </w:rPr>
            </w:pPr>
          </w:p>
        </w:tc>
      </w:tr>
      <w:tr w14:paraId="40783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1403EDFE">
            <w:pPr>
              <w:spacing w:line="440" w:lineRule="exact"/>
              <w:jc w:val="center"/>
              <w:rPr>
                <w:rFonts w:hint="eastAsia" w:cs="Times New Roman" w:asciiTheme="minorEastAsia" w:hAnsiTheme="minorEastAsia" w:eastAsiaTheme="minorEastAsia"/>
                <w:color w:val="auto"/>
                <w:sz w:val="24"/>
                <w:szCs w:val="24"/>
                <w:highlight w:val="none"/>
              </w:rPr>
            </w:pPr>
          </w:p>
        </w:tc>
        <w:tc>
          <w:tcPr>
            <w:tcW w:w="7568" w:type="dxa"/>
            <w:vAlign w:val="center"/>
          </w:tcPr>
          <w:p w14:paraId="3BBB55CA">
            <w:pPr>
              <w:spacing w:line="440" w:lineRule="exact"/>
              <w:rPr>
                <w:rFonts w:hint="eastAsia" w:ascii="宋体" w:hAnsi="宋体" w:eastAsia="宋体" w:cs="宋体"/>
                <w:color w:val="auto"/>
                <w:sz w:val="24"/>
                <w:highlight w:val="none"/>
              </w:rPr>
            </w:pPr>
          </w:p>
        </w:tc>
      </w:tr>
      <w:tr w14:paraId="585EF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B1C5D38">
            <w:pPr>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446CF1FF">
            <w:pPr>
              <w:spacing w:line="440" w:lineRule="exact"/>
              <w:rPr>
                <w:rFonts w:cs="Times New Roman" w:asciiTheme="minorEastAsia" w:hAnsiTheme="minorEastAsia" w:eastAsiaTheme="minorEastAsia"/>
                <w:color w:val="auto"/>
                <w:sz w:val="24"/>
                <w:szCs w:val="24"/>
                <w:highlight w:val="none"/>
                <w:u w:val="single"/>
              </w:rPr>
            </w:pPr>
          </w:p>
        </w:tc>
      </w:tr>
    </w:tbl>
    <w:p w14:paraId="5B976A58">
      <w:pPr>
        <w:spacing w:line="360" w:lineRule="auto"/>
        <w:rPr>
          <w:rFonts w:asciiTheme="minorEastAsia" w:hAnsiTheme="minorEastAsia" w:eastAsiaTheme="minorEastAsia"/>
          <w:color w:val="auto"/>
          <w:sz w:val="24"/>
          <w:highlight w:val="none"/>
        </w:rPr>
      </w:pPr>
    </w:p>
    <w:p w14:paraId="00682FA4">
      <w:pPr>
        <w:widowControl/>
        <w:jc w:val="left"/>
        <w:rPr>
          <w:rFonts w:asciiTheme="minorEastAsia" w:hAnsiTheme="minorEastAsia" w:eastAsiaTheme="minorEastAsia"/>
          <w:color w:val="auto"/>
          <w:sz w:val="24"/>
          <w:highlight w:val="none"/>
        </w:rPr>
      </w:pPr>
    </w:p>
    <w:p w14:paraId="753CDB26">
      <w:pPr>
        <w:pStyle w:val="9"/>
        <w:rPr>
          <w:rFonts w:hint="default"/>
          <w:color w:val="auto"/>
          <w:highlight w:val="none"/>
          <w:lang w:val="en-US" w:eastAsia="zh-CN"/>
        </w:rPr>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p>
    <w:p w14:paraId="2CA04603">
      <w:pPr>
        <w:pStyle w:val="9"/>
        <w:rPr>
          <w:color w:val="auto"/>
          <w:highlight w:val="none"/>
        </w:rPr>
      </w:pPr>
    </w:p>
    <w:bookmarkEnd w:id="51"/>
    <w:p w14:paraId="439601A3">
      <w:pPr>
        <w:spacing w:line="360" w:lineRule="auto"/>
        <w:jc w:val="center"/>
        <w:outlineLvl w:val="0"/>
        <w:rPr>
          <w:rFonts w:asciiTheme="minorEastAsia" w:hAnsiTheme="minorEastAsia" w:eastAsiaTheme="minorEastAsia"/>
          <w:b/>
          <w:color w:val="auto"/>
          <w:sz w:val="28"/>
          <w:highlight w:val="none"/>
        </w:rPr>
      </w:pPr>
      <w:bookmarkStart w:id="195" w:name="_Toc13555"/>
      <w:r>
        <w:rPr>
          <w:rFonts w:hint="eastAsia" w:asciiTheme="minorEastAsia" w:hAnsiTheme="minorEastAsia" w:eastAsiaTheme="minorEastAsia"/>
          <w:b/>
          <w:color w:val="auto"/>
          <w:sz w:val="28"/>
          <w:highlight w:val="none"/>
        </w:rPr>
        <w:t>第六章  投标文件格式</w:t>
      </w:r>
      <w:bookmarkEnd w:id="195"/>
    </w:p>
    <w:p w14:paraId="79597E13">
      <w:pPr>
        <w:spacing w:line="900" w:lineRule="exact"/>
        <w:jc w:val="center"/>
        <w:rPr>
          <w:rFonts w:asciiTheme="minorEastAsia" w:hAnsiTheme="minorEastAsia" w:eastAsiaTheme="minorEastAsia"/>
          <w:b/>
          <w:color w:val="auto"/>
          <w:sz w:val="72"/>
          <w:highlight w:val="none"/>
        </w:rPr>
      </w:pPr>
    </w:p>
    <w:p w14:paraId="56E694CC">
      <w:pPr>
        <w:spacing w:line="900" w:lineRule="exact"/>
        <w:jc w:val="center"/>
        <w:outlineLvl w:val="1"/>
        <w:rPr>
          <w:rFonts w:asciiTheme="minorEastAsia" w:hAnsiTheme="minorEastAsia" w:eastAsiaTheme="minorEastAsia"/>
          <w:b/>
          <w:color w:val="auto"/>
          <w:sz w:val="72"/>
          <w:highlight w:val="none"/>
        </w:rPr>
      </w:pPr>
      <w:bookmarkStart w:id="196" w:name="_Toc5119"/>
      <w:r>
        <w:rPr>
          <w:rFonts w:hint="eastAsia" w:asciiTheme="minorEastAsia" w:hAnsiTheme="minorEastAsia" w:eastAsiaTheme="minorEastAsia"/>
          <w:b/>
          <w:color w:val="auto"/>
          <w:sz w:val="72"/>
          <w:highlight w:val="none"/>
        </w:rPr>
        <w:t>投</w:t>
      </w:r>
      <w:bookmarkEnd w:id="196"/>
    </w:p>
    <w:p w14:paraId="23DE6C19">
      <w:pPr>
        <w:spacing w:line="900" w:lineRule="exact"/>
        <w:jc w:val="center"/>
        <w:rPr>
          <w:rFonts w:asciiTheme="minorEastAsia" w:hAnsiTheme="minorEastAsia" w:eastAsiaTheme="minorEastAsia"/>
          <w:b/>
          <w:color w:val="auto"/>
          <w:sz w:val="72"/>
          <w:highlight w:val="none"/>
        </w:rPr>
      </w:pPr>
    </w:p>
    <w:p w14:paraId="594B3027">
      <w:pPr>
        <w:spacing w:line="900" w:lineRule="exact"/>
        <w:jc w:val="center"/>
        <w:outlineLvl w:val="1"/>
        <w:rPr>
          <w:rFonts w:asciiTheme="minorEastAsia" w:hAnsiTheme="minorEastAsia" w:eastAsiaTheme="minorEastAsia"/>
          <w:b/>
          <w:color w:val="auto"/>
          <w:sz w:val="72"/>
          <w:highlight w:val="none"/>
        </w:rPr>
      </w:pPr>
      <w:bookmarkStart w:id="197" w:name="_Toc4782"/>
      <w:r>
        <w:rPr>
          <w:rFonts w:hint="eastAsia" w:asciiTheme="minorEastAsia" w:hAnsiTheme="minorEastAsia" w:eastAsiaTheme="minorEastAsia"/>
          <w:b/>
          <w:color w:val="auto"/>
          <w:sz w:val="72"/>
          <w:highlight w:val="none"/>
        </w:rPr>
        <w:t>标</w:t>
      </w:r>
      <w:bookmarkEnd w:id="197"/>
    </w:p>
    <w:p w14:paraId="19732311">
      <w:pPr>
        <w:spacing w:line="900" w:lineRule="exact"/>
        <w:jc w:val="center"/>
        <w:rPr>
          <w:rFonts w:asciiTheme="minorEastAsia" w:hAnsiTheme="minorEastAsia" w:eastAsiaTheme="minorEastAsia"/>
          <w:b/>
          <w:color w:val="auto"/>
          <w:sz w:val="72"/>
          <w:highlight w:val="none"/>
        </w:rPr>
      </w:pPr>
    </w:p>
    <w:p w14:paraId="0D8B13D4">
      <w:pPr>
        <w:spacing w:line="900" w:lineRule="exact"/>
        <w:jc w:val="center"/>
        <w:outlineLvl w:val="1"/>
        <w:rPr>
          <w:rFonts w:asciiTheme="minorEastAsia" w:hAnsiTheme="minorEastAsia" w:eastAsiaTheme="minorEastAsia"/>
          <w:b/>
          <w:color w:val="auto"/>
          <w:sz w:val="72"/>
          <w:highlight w:val="none"/>
        </w:rPr>
      </w:pPr>
      <w:bookmarkStart w:id="198" w:name="_Toc19607"/>
      <w:r>
        <w:rPr>
          <w:rFonts w:hint="eastAsia" w:asciiTheme="minorEastAsia" w:hAnsiTheme="minorEastAsia" w:eastAsiaTheme="minorEastAsia"/>
          <w:b/>
          <w:color w:val="auto"/>
          <w:sz w:val="72"/>
          <w:highlight w:val="none"/>
        </w:rPr>
        <w:t>文</w:t>
      </w:r>
      <w:bookmarkEnd w:id="198"/>
    </w:p>
    <w:p w14:paraId="4E4009CC">
      <w:pPr>
        <w:spacing w:line="900" w:lineRule="exact"/>
        <w:jc w:val="center"/>
        <w:rPr>
          <w:rFonts w:asciiTheme="minorEastAsia" w:hAnsiTheme="minorEastAsia" w:eastAsiaTheme="minorEastAsia"/>
          <w:b/>
          <w:color w:val="auto"/>
          <w:sz w:val="72"/>
          <w:highlight w:val="none"/>
        </w:rPr>
      </w:pPr>
    </w:p>
    <w:p w14:paraId="710DFDFA">
      <w:pPr>
        <w:jc w:val="center"/>
        <w:outlineLvl w:val="1"/>
        <w:rPr>
          <w:rFonts w:asciiTheme="minorEastAsia" w:hAnsiTheme="minorEastAsia" w:eastAsiaTheme="minorEastAsia"/>
          <w:b/>
          <w:color w:val="auto"/>
          <w:sz w:val="72"/>
          <w:highlight w:val="none"/>
        </w:rPr>
      </w:pPr>
      <w:bookmarkStart w:id="199" w:name="_Toc8365"/>
      <w:r>
        <w:rPr>
          <w:rFonts w:hint="eastAsia" w:asciiTheme="minorEastAsia" w:hAnsiTheme="minorEastAsia" w:eastAsiaTheme="minorEastAsia"/>
          <w:b/>
          <w:color w:val="auto"/>
          <w:sz w:val="72"/>
          <w:highlight w:val="none"/>
        </w:rPr>
        <w:t>件</w:t>
      </w:r>
      <w:bookmarkEnd w:id="199"/>
    </w:p>
    <w:p w14:paraId="74918909">
      <w:pPr>
        <w:pStyle w:val="4"/>
        <w:rPr>
          <w:color w:val="auto"/>
          <w:highlight w:val="none"/>
        </w:rPr>
      </w:pPr>
    </w:p>
    <w:p w14:paraId="496AA64C">
      <w:pPr>
        <w:spacing w:after="156" w:afterLines="50" w:line="500" w:lineRule="exact"/>
        <w:jc w:val="center"/>
        <w:rPr>
          <w:rFonts w:asciiTheme="minorEastAsia" w:hAnsiTheme="minorEastAsia" w:eastAsiaTheme="minorEastAsia"/>
          <w:b/>
          <w:color w:val="auto"/>
          <w:sz w:val="28"/>
          <w:szCs w:val="28"/>
          <w:highlight w:val="none"/>
        </w:rPr>
      </w:pPr>
    </w:p>
    <w:p w14:paraId="41B39B85">
      <w:pPr>
        <w:tabs>
          <w:tab w:val="left" w:pos="2410"/>
        </w:tabs>
        <w:autoSpaceDE w:val="0"/>
        <w:autoSpaceDN w:val="0"/>
        <w:adjustRightInd w:val="0"/>
        <w:snapToGrid w:val="0"/>
        <w:spacing w:line="360" w:lineRule="auto"/>
        <w:ind w:firstLine="1928" w:firstLineChars="6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0E70846D">
      <w:pPr>
        <w:tabs>
          <w:tab w:val="left" w:pos="2410"/>
        </w:tabs>
        <w:autoSpaceDE w:val="0"/>
        <w:autoSpaceDN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0BBFE7B7">
      <w:pPr>
        <w:tabs>
          <w:tab w:val="left" w:pos="2410"/>
        </w:tabs>
        <w:autoSpaceDE w:val="0"/>
        <w:autoSpaceDN w:val="0"/>
        <w:adjustRightInd w:val="0"/>
        <w:snapToGrid w:val="0"/>
        <w:spacing w:line="360" w:lineRule="auto"/>
        <w:ind w:firstLine="1928" w:firstLineChars="6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 xml:space="preserve">投 </w:t>
      </w:r>
      <w:r>
        <w:rPr>
          <w:rFonts w:hint="eastAsia" w:asciiTheme="minorEastAsia" w:hAnsiTheme="minorEastAsia" w:eastAsiaTheme="minorEastAsia"/>
          <w:b/>
          <w:color w:val="auto"/>
          <w:sz w:val="32"/>
          <w:highlight w:val="none"/>
        </w:rPr>
        <w:t>标</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人：</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E7B8C2E">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200" w:name="_Toc19687"/>
      <w:bookmarkStart w:id="201"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200"/>
      <w:bookmarkEnd w:id="201"/>
    </w:p>
    <w:p w14:paraId="7926113D">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4DF584EB">
      <w:pPr>
        <w:spacing w:line="360" w:lineRule="auto"/>
        <w:jc w:val="center"/>
        <w:outlineLvl w:val="1"/>
        <w:rPr>
          <w:rFonts w:asciiTheme="minorEastAsia" w:hAnsiTheme="minorEastAsia" w:eastAsiaTheme="minorEastAsia"/>
          <w:b/>
          <w:color w:val="auto"/>
          <w:sz w:val="24"/>
          <w:highlight w:val="none"/>
        </w:rPr>
      </w:pPr>
      <w:bookmarkStart w:id="202" w:name="_Toc28960"/>
      <w:bookmarkStart w:id="203" w:name="_Toc17986"/>
      <w:r>
        <w:rPr>
          <w:rFonts w:hint="eastAsia" w:asciiTheme="minorEastAsia" w:hAnsiTheme="minorEastAsia" w:eastAsiaTheme="minorEastAsia"/>
          <w:b/>
          <w:color w:val="auto"/>
          <w:sz w:val="24"/>
          <w:highlight w:val="none"/>
        </w:rPr>
        <w:t>一、开标一览表</w:t>
      </w:r>
      <w:bookmarkEnd w:id="202"/>
      <w:bookmarkEnd w:id="203"/>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0098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2186B710">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2ED8632">
            <w:pPr>
              <w:spacing w:line="360" w:lineRule="exact"/>
              <w:jc w:val="center"/>
              <w:rPr>
                <w:rFonts w:asciiTheme="minorEastAsia" w:hAnsiTheme="minorEastAsia" w:eastAsiaTheme="minorEastAsia"/>
                <w:bCs/>
                <w:color w:val="auto"/>
                <w:sz w:val="24"/>
                <w:highlight w:val="none"/>
                <w:u w:val="single"/>
              </w:rPr>
            </w:pPr>
          </w:p>
        </w:tc>
      </w:tr>
      <w:tr w14:paraId="4953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4B9028C7">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648E5C20">
            <w:pPr>
              <w:spacing w:line="360" w:lineRule="auto"/>
              <w:rPr>
                <w:rFonts w:asciiTheme="minorEastAsia" w:hAnsiTheme="minorEastAsia" w:eastAsiaTheme="minorEastAsia"/>
                <w:color w:val="auto"/>
                <w:sz w:val="24"/>
                <w:highlight w:val="none"/>
              </w:rPr>
            </w:pPr>
          </w:p>
        </w:tc>
      </w:tr>
      <w:tr w14:paraId="5BA0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4365F4B6">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6218" w:type="dxa"/>
            <w:tcBorders>
              <w:top w:val="nil"/>
            </w:tcBorders>
            <w:vAlign w:val="center"/>
          </w:tcPr>
          <w:p w14:paraId="21570E20">
            <w:pPr>
              <w:widowControl/>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第</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包</w:t>
            </w:r>
          </w:p>
        </w:tc>
      </w:tr>
      <w:tr w14:paraId="2096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98225B">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w:t>
            </w:r>
            <w:r>
              <w:rPr>
                <w:rFonts w:hint="eastAsia" w:asciiTheme="minorEastAsia" w:hAnsiTheme="minorEastAsia" w:eastAsiaTheme="minorEastAsia"/>
                <w:b/>
                <w:color w:val="auto"/>
                <w:sz w:val="24"/>
                <w:highlight w:val="none"/>
                <w:lang w:val="en-US" w:eastAsia="zh-CN"/>
              </w:rPr>
              <w:t>单价</w:t>
            </w:r>
            <w:r>
              <w:rPr>
                <w:rFonts w:hint="eastAsia" w:asciiTheme="minorEastAsia" w:hAnsiTheme="minorEastAsia" w:eastAsiaTheme="minorEastAsia"/>
                <w:b/>
                <w:color w:val="auto"/>
                <w:sz w:val="24"/>
                <w:highlight w:val="none"/>
              </w:rPr>
              <w:t>报价</w:t>
            </w:r>
          </w:p>
        </w:tc>
        <w:tc>
          <w:tcPr>
            <w:tcW w:w="6218" w:type="dxa"/>
            <w:tcBorders>
              <w:top w:val="nil"/>
            </w:tcBorders>
            <w:vAlign w:val="center"/>
          </w:tcPr>
          <w:p w14:paraId="00274415">
            <w:pPr>
              <w:keepNext w:val="0"/>
              <w:keepLines w:val="0"/>
              <w:pageBreakBefore w:val="0"/>
              <w:kinsoku/>
              <w:wordWrap/>
              <w:overflowPunct/>
              <w:topLinePunct w:val="0"/>
              <w:autoSpaceDE/>
              <w:autoSpaceDN/>
              <w:bidi w:val="0"/>
              <w:adjustRightInd/>
              <w:snapToGrid w:val="0"/>
              <w:spacing w:line="440" w:lineRule="exact"/>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427922AD">
            <w:pPr>
              <w:spacing w:line="360" w:lineRule="auto"/>
              <w:ind w:right="-670" w:rightChars="0"/>
              <w:rPr>
                <w:rFonts w:hint="eastAsia" w:eastAsia="宋体" w:asciiTheme="minorEastAsia" w:hAnsiTheme="minorEastAsia"/>
                <w:color w:val="auto"/>
                <w:sz w:val="24"/>
                <w:highlight w:val="non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06CC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16EC10B8">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0EEA2950">
            <w:pPr>
              <w:spacing w:line="360" w:lineRule="auto"/>
              <w:jc w:val="left"/>
              <w:rPr>
                <w:rFonts w:asciiTheme="minorEastAsia" w:hAnsiTheme="minorEastAsia" w:eastAsiaTheme="minorEastAsia"/>
                <w:color w:val="auto"/>
                <w:sz w:val="24"/>
                <w:szCs w:val="28"/>
                <w:highlight w:val="none"/>
              </w:rPr>
            </w:pPr>
          </w:p>
        </w:tc>
      </w:tr>
    </w:tbl>
    <w:p w14:paraId="5BFC090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B47CAA6">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3FB42AC">
      <w:pPr>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1B6B2A0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0B73601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38CA1B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575F995C">
      <w:pPr>
        <w:spacing w:line="360" w:lineRule="auto"/>
        <w:jc w:val="center"/>
        <w:outlineLvl w:val="1"/>
        <w:rPr>
          <w:rFonts w:asciiTheme="minorEastAsia" w:hAnsiTheme="minorEastAsia" w:eastAsiaTheme="minorEastAsia"/>
          <w:b/>
          <w:color w:val="auto"/>
          <w:sz w:val="24"/>
          <w:highlight w:val="none"/>
        </w:rPr>
      </w:pPr>
      <w:bookmarkStart w:id="204" w:name="_Toc6120"/>
      <w:bookmarkStart w:id="205" w:name="_Toc6441"/>
      <w:r>
        <w:rPr>
          <w:rFonts w:hint="eastAsia" w:asciiTheme="minorEastAsia" w:hAnsiTheme="minorEastAsia" w:eastAsiaTheme="minorEastAsia"/>
          <w:b/>
          <w:color w:val="auto"/>
          <w:sz w:val="24"/>
          <w:highlight w:val="none"/>
        </w:rPr>
        <w:t>二、投标函</w:t>
      </w:r>
      <w:bookmarkEnd w:id="204"/>
      <w:bookmarkEnd w:id="205"/>
    </w:p>
    <w:p w14:paraId="6EE30C75">
      <w:pPr>
        <w:pStyle w:val="15"/>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AC6C4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5A1F23B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60E45468">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6BA7CE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D7960A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1B87BCCD">
      <w:pPr>
        <w:spacing w:line="360" w:lineRule="auto"/>
        <w:ind w:firstLine="4800" w:firstLineChars="2000"/>
        <w:rPr>
          <w:rFonts w:ascii="宋体" w:hAnsi="宋体" w:eastAsia="宋体"/>
          <w:color w:val="auto"/>
          <w:sz w:val="24"/>
          <w:highlight w:val="none"/>
        </w:rPr>
      </w:pPr>
    </w:p>
    <w:p w14:paraId="32F93F4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65BDB70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3A071C0E">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130C562D">
      <w:pPr>
        <w:spacing w:line="360" w:lineRule="auto"/>
        <w:jc w:val="center"/>
        <w:outlineLvl w:val="1"/>
        <w:rPr>
          <w:rFonts w:hint="eastAsia" w:asciiTheme="minorEastAsia" w:hAnsiTheme="minorEastAsia" w:eastAsiaTheme="minorEastAsia"/>
          <w:b/>
          <w:color w:val="auto"/>
          <w:sz w:val="24"/>
          <w:highlight w:val="none"/>
        </w:rPr>
      </w:pPr>
      <w:bookmarkStart w:id="206" w:name="_Toc18881"/>
      <w:r>
        <w:rPr>
          <w:rFonts w:hint="eastAsia" w:asciiTheme="minorEastAsia" w:hAnsiTheme="minorEastAsia" w:eastAsiaTheme="minorEastAsia"/>
          <w:b/>
          <w:color w:val="auto"/>
          <w:sz w:val="24"/>
          <w:highlight w:val="none"/>
          <w:lang w:val="en-US" w:eastAsia="zh-CN"/>
        </w:rPr>
        <w:t>三．投标人资格声明书</w:t>
      </w:r>
      <w:bookmarkEnd w:id="206"/>
      <w:r>
        <w:rPr>
          <w:rFonts w:hint="eastAsia" w:asciiTheme="minorEastAsia" w:hAnsiTheme="minorEastAsia" w:eastAsiaTheme="minorEastAsia"/>
          <w:b/>
          <w:color w:val="auto"/>
          <w:sz w:val="24"/>
          <w:highlight w:val="none"/>
          <w:lang w:val="en-US" w:eastAsia="zh-CN"/>
        </w:rPr>
        <w:t xml:space="preserve"> </w:t>
      </w:r>
    </w:p>
    <w:p w14:paraId="2DE3D358">
      <w:pPr>
        <w:pStyle w:val="15"/>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3649974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380FB8C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98317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25D7741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158FBB5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057912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（五）我单位不属于政府采购法律、行政法规规定的公益一类事业单位、或使用事业编制且由财政拨款保障的群团组织（仅适用于政府购买服务项目）； </w:t>
      </w:r>
    </w:p>
    <w:p w14:paraId="6C0B82D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050C83E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4F82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BEF53C6">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60F6205F">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30F33CFC">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4C35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0B4611D">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0245A387">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089F7AA1">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5123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4A33840">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4E1EBD5B">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11986B2B">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AD86B5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0883B07D">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5E57D513">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5DD37091">
      <w:pPr>
        <w:rPr>
          <w:rFonts w:hint="eastAsia" w:asciiTheme="minorEastAsia" w:hAnsiTheme="minorEastAsia" w:eastAsiaTheme="minorEastAsia"/>
          <w:b/>
          <w:color w:val="auto"/>
          <w:sz w:val="24"/>
          <w:highlight w:val="none"/>
        </w:rPr>
      </w:pPr>
      <w:bookmarkStart w:id="207" w:name="_Toc11607"/>
      <w:r>
        <w:rPr>
          <w:rFonts w:hint="eastAsia" w:asciiTheme="minorEastAsia" w:hAnsiTheme="minorEastAsia" w:eastAsiaTheme="minorEastAsia"/>
          <w:b/>
          <w:color w:val="auto"/>
          <w:sz w:val="24"/>
          <w:highlight w:val="none"/>
        </w:rPr>
        <w:br w:type="page"/>
      </w:r>
    </w:p>
    <w:p w14:paraId="2608ED54">
      <w:pPr>
        <w:spacing w:line="360" w:lineRule="auto"/>
        <w:jc w:val="center"/>
        <w:outlineLvl w:val="1"/>
        <w:rPr>
          <w:rFonts w:asciiTheme="minorEastAsia" w:hAnsiTheme="minorEastAsia" w:eastAsiaTheme="minorEastAsia"/>
          <w:b/>
          <w:color w:val="auto"/>
          <w:sz w:val="24"/>
          <w:highlight w:val="none"/>
        </w:rPr>
      </w:pPr>
      <w:bookmarkStart w:id="208" w:name="_Toc24583"/>
      <w:r>
        <w:rPr>
          <w:rFonts w:hint="eastAsia" w:asciiTheme="minorEastAsia" w:hAnsiTheme="minorEastAsia" w:eastAsiaTheme="minorEastAsia"/>
          <w:b/>
          <w:color w:val="auto"/>
          <w:sz w:val="24"/>
          <w:highlight w:val="none"/>
        </w:rPr>
        <w:t>四、授权书</w:t>
      </w:r>
      <w:bookmarkEnd w:id="207"/>
      <w:bookmarkEnd w:id="208"/>
    </w:p>
    <w:p w14:paraId="59B5AD77">
      <w:pPr>
        <w:pStyle w:val="13"/>
        <w:snapToGrid w:val="0"/>
        <w:spacing w:line="360" w:lineRule="auto"/>
        <w:ind w:firstLine="480" w:firstLineChars="200"/>
        <w:jc w:val="left"/>
        <w:rPr>
          <w:rFonts w:hAnsi="宋体" w:eastAsia="宋体"/>
          <w:color w:val="auto"/>
          <w:sz w:val="24"/>
          <w:szCs w:val="28"/>
          <w:highlight w:val="none"/>
        </w:rPr>
      </w:pPr>
    </w:p>
    <w:p w14:paraId="339D05F9">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240CFDB4">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6EA779B">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6CB61C1D">
      <w:pPr>
        <w:spacing w:line="360" w:lineRule="auto"/>
        <w:ind w:firstLine="435"/>
        <w:rPr>
          <w:rFonts w:asciiTheme="minorEastAsia" w:hAnsiTheme="minorEastAsia" w:eastAsiaTheme="minorEastAsia"/>
          <w:color w:val="auto"/>
          <w:sz w:val="24"/>
          <w:highlight w:val="none"/>
        </w:rPr>
      </w:pPr>
    </w:p>
    <w:p w14:paraId="10433D13">
      <w:pPr>
        <w:spacing w:line="360" w:lineRule="auto"/>
        <w:ind w:firstLine="435"/>
        <w:rPr>
          <w:rFonts w:asciiTheme="minorEastAsia" w:hAnsiTheme="minorEastAsia" w:eastAsiaTheme="minorEastAsia"/>
          <w:color w:val="auto"/>
          <w:sz w:val="24"/>
          <w:highlight w:val="none"/>
        </w:rPr>
      </w:pPr>
    </w:p>
    <w:p w14:paraId="363E9BB4">
      <w:pPr>
        <w:spacing w:line="360" w:lineRule="auto"/>
        <w:ind w:firstLine="435"/>
        <w:rPr>
          <w:rFonts w:asciiTheme="minorEastAsia" w:hAnsiTheme="minorEastAsia" w:eastAsiaTheme="minorEastAsia"/>
          <w:color w:val="auto"/>
          <w:sz w:val="24"/>
          <w:highlight w:val="none"/>
        </w:rPr>
      </w:pPr>
    </w:p>
    <w:p w14:paraId="37282361">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4DD36C2">
      <w:pPr>
        <w:spacing w:line="360" w:lineRule="auto"/>
        <w:ind w:firstLine="435"/>
        <w:rPr>
          <w:rFonts w:hAnsi="宋体" w:eastAsia="宋体"/>
          <w:color w:val="auto"/>
          <w:sz w:val="24"/>
          <w:szCs w:val="28"/>
          <w:highlight w:val="none"/>
          <w:lang w:val="zh-CN"/>
        </w:rPr>
      </w:pPr>
    </w:p>
    <w:p w14:paraId="3B2292A7">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7BA59ACE">
      <w:pPr>
        <w:spacing w:line="360" w:lineRule="auto"/>
        <w:rPr>
          <w:rFonts w:ascii="宋体" w:hAnsi="宋体" w:eastAsia="宋体"/>
          <w:color w:val="auto"/>
          <w:sz w:val="24"/>
          <w:szCs w:val="28"/>
          <w:highlight w:val="none"/>
        </w:rPr>
      </w:pPr>
    </w:p>
    <w:p w14:paraId="4D5F5FE5">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823F3A9">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E66AEC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034816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5F30EC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1D40B6A8">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17541BFD">
      <w:pPr>
        <w:spacing w:line="360" w:lineRule="auto"/>
        <w:jc w:val="center"/>
        <w:outlineLvl w:val="1"/>
        <w:rPr>
          <w:rFonts w:hint="eastAsia" w:asciiTheme="minorEastAsia" w:hAnsiTheme="minorEastAsia" w:eastAsiaTheme="minorEastAsia"/>
          <w:b/>
          <w:color w:val="auto"/>
          <w:sz w:val="24"/>
          <w:highlight w:val="none"/>
          <w:lang w:eastAsia="zh-CN"/>
        </w:rPr>
      </w:pPr>
      <w:bookmarkStart w:id="209" w:name="_Toc32226"/>
      <w:bookmarkStart w:id="210" w:name="_Toc31027"/>
      <w:r>
        <w:rPr>
          <w:rFonts w:hint="eastAsia" w:asciiTheme="minorEastAsia" w:hAnsiTheme="minorEastAsia" w:eastAsiaTheme="minorEastAsia"/>
          <w:b/>
          <w:color w:val="auto"/>
          <w:sz w:val="24"/>
          <w:highlight w:val="none"/>
          <w:lang w:val="en-US" w:eastAsia="zh-CN"/>
        </w:rPr>
        <w:t>五、</w:t>
      </w:r>
      <w:r>
        <w:rPr>
          <w:rFonts w:hint="eastAsia" w:asciiTheme="minorEastAsia" w:hAnsiTheme="minorEastAsia" w:eastAsiaTheme="minorEastAsia"/>
          <w:b/>
          <w:color w:val="auto"/>
          <w:sz w:val="24"/>
          <w:highlight w:val="none"/>
        </w:rPr>
        <w:t>投标分项报价表</w:t>
      </w:r>
      <w:bookmarkEnd w:id="209"/>
      <w:bookmarkEnd w:id="210"/>
    </w:p>
    <w:p w14:paraId="00E9A88E">
      <w:pPr>
        <w:pStyle w:val="54"/>
        <w:jc w:val="left"/>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5-1货物部分</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323"/>
        <w:gridCol w:w="1316"/>
        <w:gridCol w:w="1316"/>
        <w:gridCol w:w="672"/>
        <w:gridCol w:w="672"/>
        <w:gridCol w:w="940"/>
        <w:gridCol w:w="940"/>
        <w:gridCol w:w="670"/>
      </w:tblGrid>
      <w:tr w14:paraId="7162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2EFC9074">
            <w:pPr>
              <w:pStyle w:val="46"/>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776" w:type="pct"/>
            <w:noWrap w:val="0"/>
            <w:vAlign w:val="center"/>
          </w:tcPr>
          <w:p w14:paraId="763D24CC">
            <w:pPr>
              <w:jc w:val="center"/>
              <w:rPr>
                <w:rFonts w:ascii="宋体" w:hAnsi="宋体" w:eastAsia="宋体"/>
                <w:b/>
                <w:color w:val="auto"/>
                <w:sz w:val="24"/>
                <w:highlight w:val="none"/>
              </w:rPr>
            </w:pPr>
            <w:r>
              <w:rPr>
                <w:rFonts w:hint="eastAsia" w:ascii="宋体" w:hAnsi="宋体" w:eastAsia="宋体"/>
                <w:b/>
                <w:color w:val="auto"/>
                <w:sz w:val="24"/>
                <w:highlight w:val="none"/>
              </w:rPr>
              <w:t>货物名称</w:t>
            </w:r>
          </w:p>
        </w:tc>
        <w:tc>
          <w:tcPr>
            <w:tcW w:w="772" w:type="pct"/>
            <w:noWrap w:val="0"/>
            <w:vAlign w:val="center"/>
          </w:tcPr>
          <w:p w14:paraId="207B5FF7">
            <w:pPr>
              <w:jc w:val="center"/>
              <w:rPr>
                <w:rFonts w:ascii="宋体" w:hAnsi="宋体" w:eastAsia="宋体"/>
                <w:b/>
                <w:color w:val="auto"/>
                <w:sz w:val="24"/>
                <w:highlight w:val="none"/>
              </w:rPr>
            </w:pPr>
            <w:r>
              <w:rPr>
                <w:rFonts w:hint="eastAsia" w:ascii="宋体" w:hAnsi="宋体" w:eastAsia="宋体"/>
                <w:b/>
                <w:color w:val="auto"/>
                <w:sz w:val="24"/>
                <w:highlight w:val="none"/>
              </w:rPr>
              <w:t>品牌、型</w:t>
            </w:r>
          </w:p>
          <w:p w14:paraId="68585064">
            <w:pPr>
              <w:jc w:val="center"/>
              <w:rPr>
                <w:rFonts w:ascii="宋体" w:hAnsi="宋体" w:eastAsia="宋体"/>
                <w:b/>
                <w:color w:val="auto"/>
                <w:sz w:val="24"/>
                <w:highlight w:val="none"/>
              </w:rPr>
            </w:pPr>
            <w:r>
              <w:rPr>
                <w:rFonts w:hint="eastAsia" w:ascii="宋体" w:hAnsi="宋体" w:eastAsia="宋体"/>
                <w:b/>
                <w:color w:val="auto"/>
                <w:sz w:val="24"/>
                <w:highlight w:val="none"/>
              </w:rPr>
              <w:t>号规格</w:t>
            </w:r>
          </w:p>
        </w:tc>
        <w:tc>
          <w:tcPr>
            <w:tcW w:w="772" w:type="pct"/>
            <w:noWrap w:val="0"/>
            <w:vAlign w:val="center"/>
          </w:tcPr>
          <w:p w14:paraId="18447435">
            <w:pPr>
              <w:jc w:val="center"/>
              <w:rPr>
                <w:rFonts w:ascii="宋体" w:hAnsi="宋体" w:eastAsia="宋体"/>
                <w:b/>
                <w:color w:val="auto"/>
                <w:sz w:val="24"/>
                <w:highlight w:val="none"/>
              </w:rPr>
            </w:pPr>
            <w:r>
              <w:rPr>
                <w:rFonts w:hint="eastAsia" w:ascii="宋体" w:hAnsi="宋体" w:eastAsia="宋体"/>
                <w:b/>
                <w:color w:val="auto"/>
                <w:sz w:val="24"/>
                <w:highlight w:val="none"/>
              </w:rPr>
              <w:t>原产地及</w:t>
            </w:r>
          </w:p>
          <w:p w14:paraId="598CEE7A">
            <w:pPr>
              <w:jc w:val="center"/>
              <w:rPr>
                <w:rFonts w:ascii="宋体" w:hAnsi="宋体" w:eastAsia="宋体"/>
                <w:b/>
                <w:color w:val="auto"/>
                <w:sz w:val="24"/>
                <w:highlight w:val="none"/>
              </w:rPr>
            </w:pPr>
            <w:r>
              <w:rPr>
                <w:rFonts w:hint="eastAsia" w:ascii="宋体" w:hAnsi="宋体" w:eastAsia="宋体"/>
                <w:b/>
                <w:color w:val="auto"/>
                <w:sz w:val="24"/>
                <w:highlight w:val="none"/>
              </w:rPr>
              <w:t>生产厂商</w:t>
            </w:r>
          </w:p>
        </w:tc>
        <w:tc>
          <w:tcPr>
            <w:tcW w:w="394" w:type="pct"/>
            <w:noWrap w:val="0"/>
            <w:vAlign w:val="center"/>
          </w:tcPr>
          <w:p w14:paraId="3B9DCA38">
            <w:pPr>
              <w:jc w:val="center"/>
              <w:rPr>
                <w:rFonts w:ascii="宋体" w:hAnsi="宋体" w:eastAsia="宋体"/>
                <w:b/>
                <w:color w:val="auto"/>
                <w:sz w:val="24"/>
                <w:highlight w:val="none"/>
              </w:rPr>
            </w:pPr>
            <w:r>
              <w:rPr>
                <w:rFonts w:hint="eastAsia" w:ascii="宋体" w:hAnsi="宋体" w:eastAsia="宋体"/>
                <w:b/>
                <w:color w:val="auto"/>
                <w:sz w:val="24"/>
                <w:highlight w:val="none"/>
              </w:rPr>
              <w:t>单位</w:t>
            </w:r>
          </w:p>
        </w:tc>
        <w:tc>
          <w:tcPr>
            <w:tcW w:w="394" w:type="pct"/>
            <w:noWrap w:val="0"/>
            <w:vAlign w:val="center"/>
          </w:tcPr>
          <w:p w14:paraId="05586257">
            <w:pPr>
              <w:jc w:val="center"/>
              <w:rPr>
                <w:rFonts w:ascii="宋体" w:hAnsi="宋体" w:eastAsia="宋体"/>
                <w:b/>
                <w:color w:val="auto"/>
                <w:sz w:val="24"/>
                <w:highlight w:val="none"/>
              </w:rPr>
            </w:pPr>
            <w:r>
              <w:rPr>
                <w:rFonts w:hint="eastAsia" w:ascii="宋体" w:hAnsi="宋体" w:eastAsia="宋体"/>
                <w:b/>
                <w:color w:val="auto"/>
                <w:sz w:val="24"/>
                <w:highlight w:val="none"/>
              </w:rPr>
              <w:t>数量</w:t>
            </w:r>
          </w:p>
        </w:tc>
        <w:tc>
          <w:tcPr>
            <w:tcW w:w="551" w:type="pct"/>
            <w:noWrap w:val="0"/>
            <w:vAlign w:val="center"/>
          </w:tcPr>
          <w:p w14:paraId="190170C2">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p w14:paraId="5B556632">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551" w:type="pct"/>
            <w:noWrap w:val="0"/>
            <w:vAlign w:val="center"/>
          </w:tcPr>
          <w:p w14:paraId="6BC6009D">
            <w:pPr>
              <w:jc w:val="center"/>
              <w:rPr>
                <w:rFonts w:ascii="宋体" w:hAnsi="宋体" w:eastAsia="宋体"/>
                <w:b/>
                <w:color w:val="auto"/>
                <w:sz w:val="24"/>
                <w:highlight w:val="none"/>
              </w:rPr>
            </w:pPr>
            <w:r>
              <w:rPr>
                <w:rFonts w:hint="eastAsia" w:ascii="宋体" w:hAnsi="宋体" w:eastAsia="宋体"/>
                <w:b/>
                <w:color w:val="auto"/>
                <w:sz w:val="24"/>
                <w:highlight w:val="none"/>
              </w:rPr>
              <w:t>小计</w:t>
            </w:r>
          </w:p>
          <w:p w14:paraId="16195B52">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393" w:type="pct"/>
            <w:noWrap w:val="0"/>
            <w:vAlign w:val="center"/>
          </w:tcPr>
          <w:p w14:paraId="36B58B8C">
            <w:pPr>
              <w:jc w:val="center"/>
              <w:rPr>
                <w:rFonts w:ascii="宋体" w:hAnsi="宋体" w:eastAsia="宋体"/>
                <w:b/>
                <w:color w:val="auto"/>
                <w:sz w:val="24"/>
                <w:highlight w:val="none"/>
              </w:rPr>
            </w:pPr>
            <w:r>
              <w:rPr>
                <w:rFonts w:hint="eastAsia" w:ascii="宋体" w:hAnsi="宋体" w:eastAsia="宋体"/>
                <w:b/>
                <w:color w:val="auto"/>
                <w:sz w:val="24"/>
                <w:highlight w:val="none"/>
              </w:rPr>
              <w:t>备注</w:t>
            </w:r>
          </w:p>
        </w:tc>
      </w:tr>
      <w:tr w14:paraId="6704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55BDFB46">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776" w:type="pct"/>
            <w:noWrap w:val="0"/>
            <w:vAlign w:val="top"/>
          </w:tcPr>
          <w:p w14:paraId="393959AB">
            <w:pPr>
              <w:rPr>
                <w:rFonts w:ascii="宋体" w:hAnsi="宋体" w:eastAsia="宋体"/>
                <w:color w:val="auto"/>
                <w:sz w:val="24"/>
                <w:highlight w:val="none"/>
              </w:rPr>
            </w:pPr>
          </w:p>
        </w:tc>
        <w:tc>
          <w:tcPr>
            <w:tcW w:w="772" w:type="pct"/>
            <w:noWrap w:val="0"/>
            <w:vAlign w:val="top"/>
          </w:tcPr>
          <w:p w14:paraId="0326F276">
            <w:pPr>
              <w:rPr>
                <w:rFonts w:ascii="宋体" w:hAnsi="宋体" w:eastAsia="宋体"/>
                <w:color w:val="auto"/>
                <w:sz w:val="24"/>
                <w:highlight w:val="none"/>
              </w:rPr>
            </w:pPr>
          </w:p>
        </w:tc>
        <w:tc>
          <w:tcPr>
            <w:tcW w:w="772" w:type="pct"/>
            <w:noWrap w:val="0"/>
            <w:vAlign w:val="top"/>
          </w:tcPr>
          <w:p w14:paraId="61BDC6A3">
            <w:pPr>
              <w:rPr>
                <w:rFonts w:ascii="宋体" w:hAnsi="宋体" w:eastAsia="宋体"/>
                <w:color w:val="auto"/>
                <w:sz w:val="24"/>
                <w:highlight w:val="none"/>
              </w:rPr>
            </w:pPr>
          </w:p>
        </w:tc>
        <w:tc>
          <w:tcPr>
            <w:tcW w:w="394" w:type="pct"/>
            <w:noWrap w:val="0"/>
            <w:vAlign w:val="top"/>
          </w:tcPr>
          <w:p w14:paraId="39626081">
            <w:pPr>
              <w:rPr>
                <w:rFonts w:ascii="宋体" w:hAnsi="宋体" w:eastAsia="宋体"/>
                <w:color w:val="auto"/>
                <w:sz w:val="24"/>
                <w:highlight w:val="none"/>
              </w:rPr>
            </w:pPr>
          </w:p>
        </w:tc>
        <w:tc>
          <w:tcPr>
            <w:tcW w:w="394" w:type="pct"/>
            <w:noWrap w:val="0"/>
            <w:vAlign w:val="top"/>
          </w:tcPr>
          <w:p w14:paraId="695FA1F6">
            <w:pPr>
              <w:rPr>
                <w:rFonts w:ascii="宋体" w:hAnsi="宋体" w:eastAsia="宋体"/>
                <w:color w:val="auto"/>
                <w:sz w:val="24"/>
                <w:highlight w:val="none"/>
              </w:rPr>
            </w:pPr>
          </w:p>
        </w:tc>
        <w:tc>
          <w:tcPr>
            <w:tcW w:w="551" w:type="pct"/>
            <w:noWrap w:val="0"/>
            <w:vAlign w:val="top"/>
          </w:tcPr>
          <w:p w14:paraId="5F237D89">
            <w:pPr>
              <w:rPr>
                <w:rFonts w:ascii="宋体" w:hAnsi="宋体" w:eastAsia="宋体"/>
                <w:color w:val="auto"/>
                <w:sz w:val="24"/>
                <w:highlight w:val="none"/>
              </w:rPr>
            </w:pPr>
          </w:p>
        </w:tc>
        <w:tc>
          <w:tcPr>
            <w:tcW w:w="551" w:type="pct"/>
            <w:noWrap w:val="0"/>
            <w:vAlign w:val="top"/>
          </w:tcPr>
          <w:p w14:paraId="32658EF0">
            <w:pPr>
              <w:rPr>
                <w:rFonts w:ascii="宋体" w:hAnsi="宋体" w:eastAsia="宋体"/>
                <w:color w:val="auto"/>
                <w:sz w:val="24"/>
                <w:highlight w:val="none"/>
              </w:rPr>
            </w:pPr>
          </w:p>
        </w:tc>
        <w:tc>
          <w:tcPr>
            <w:tcW w:w="393" w:type="pct"/>
            <w:noWrap w:val="0"/>
            <w:vAlign w:val="top"/>
          </w:tcPr>
          <w:p w14:paraId="318C3301">
            <w:pPr>
              <w:rPr>
                <w:rFonts w:ascii="宋体" w:hAnsi="宋体" w:eastAsia="宋体"/>
                <w:color w:val="auto"/>
                <w:sz w:val="24"/>
                <w:highlight w:val="none"/>
              </w:rPr>
            </w:pPr>
          </w:p>
        </w:tc>
      </w:tr>
      <w:tr w14:paraId="1483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3D619128">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776" w:type="pct"/>
            <w:noWrap w:val="0"/>
            <w:vAlign w:val="top"/>
          </w:tcPr>
          <w:p w14:paraId="0082B46D">
            <w:pPr>
              <w:rPr>
                <w:rFonts w:ascii="宋体" w:hAnsi="宋体" w:eastAsia="宋体"/>
                <w:color w:val="auto"/>
                <w:sz w:val="24"/>
                <w:highlight w:val="none"/>
              </w:rPr>
            </w:pPr>
          </w:p>
        </w:tc>
        <w:tc>
          <w:tcPr>
            <w:tcW w:w="772" w:type="pct"/>
            <w:noWrap w:val="0"/>
            <w:vAlign w:val="top"/>
          </w:tcPr>
          <w:p w14:paraId="53C5DDB6">
            <w:pPr>
              <w:rPr>
                <w:rFonts w:ascii="宋体" w:hAnsi="宋体" w:eastAsia="宋体"/>
                <w:color w:val="auto"/>
                <w:sz w:val="24"/>
                <w:highlight w:val="none"/>
              </w:rPr>
            </w:pPr>
          </w:p>
        </w:tc>
        <w:tc>
          <w:tcPr>
            <w:tcW w:w="772" w:type="pct"/>
            <w:noWrap w:val="0"/>
            <w:vAlign w:val="top"/>
          </w:tcPr>
          <w:p w14:paraId="64FFB1D6">
            <w:pPr>
              <w:rPr>
                <w:rFonts w:ascii="宋体" w:hAnsi="宋体" w:eastAsia="宋体"/>
                <w:color w:val="auto"/>
                <w:sz w:val="24"/>
                <w:highlight w:val="none"/>
              </w:rPr>
            </w:pPr>
          </w:p>
        </w:tc>
        <w:tc>
          <w:tcPr>
            <w:tcW w:w="394" w:type="pct"/>
            <w:noWrap w:val="0"/>
            <w:vAlign w:val="top"/>
          </w:tcPr>
          <w:p w14:paraId="3D665543">
            <w:pPr>
              <w:rPr>
                <w:rFonts w:ascii="宋体" w:hAnsi="宋体" w:eastAsia="宋体"/>
                <w:color w:val="auto"/>
                <w:sz w:val="24"/>
                <w:highlight w:val="none"/>
              </w:rPr>
            </w:pPr>
          </w:p>
        </w:tc>
        <w:tc>
          <w:tcPr>
            <w:tcW w:w="394" w:type="pct"/>
            <w:noWrap w:val="0"/>
            <w:vAlign w:val="top"/>
          </w:tcPr>
          <w:p w14:paraId="08138B37">
            <w:pPr>
              <w:rPr>
                <w:rFonts w:ascii="宋体" w:hAnsi="宋体" w:eastAsia="宋体"/>
                <w:color w:val="auto"/>
                <w:sz w:val="24"/>
                <w:highlight w:val="none"/>
              </w:rPr>
            </w:pPr>
          </w:p>
        </w:tc>
        <w:tc>
          <w:tcPr>
            <w:tcW w:w="551" w:type="pct"/>
            <w:noWrap w:val="0"/>
            <w:vAlign w:val="top"/>
          </w:tcPr>
          <w:p w14:paraId="7BD674D1">
            <w:pPr>
              <w:rPr>
                <w:rFonts w:ascii="宋体" w:hAnsi="宋体" w:eastAsia="宋体"/>
                <w:color w:val="auto"/>
                <w:sz w:val="24"/>
                <w:highlight w:val="none"/>
              </w:rPr>
            </w:pPr>
          </w:p>
        </w:tc>
        <w:tc>
          <w:tcPr>
            <w:tcW w:w="551" w:type="pct"/>
            <w:noWrap w:val="0"/>
            <w:vAlign w:val="top"/>
          </w:tcPr>
          <w:p w14:paraId="3695729B">
            <w:pPr>
              <w:rPr>
                <w:rFonts w:ascii="宋体" w:hAnsi="宋体" w:eastAsia="宋体"/>
                <w:color w:val="auto"/>
                <w:sz w:val="24"/>
                <w:highlight w:val="none"/>
              </w:rPr>
            </w:pPr>
          </w:p>
        </w:tc>
        <w:tc>
          <w:tcPr>
            <w:tcW w:w="393" w:type="pct"/>
            <w:noWrap w:val="0"/>
            <w:vAlign w:val="top"/>
          </w:tcPr>
          <w:p w14:paraId="6218C42F">
            <w:pPr>
              <w:rPr>
                <w:rFonts w:ascii="宋体" w:hAnsi="宋体" w:eastAsia="宋体"/>
                <w:color w:val="auto"/>
                <w:sz w:val="24"/>
                <w:highlight w:val="none"/>
              </w:rPr>
            </w:pPr>
          </w:p>
        </w:tc>
      </w:tr>
      <w:tr w14:paraId="124F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5237DEE3">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776" w:type="pct"/>
            <w:noWrap w:val="0"/>
            <w:vAlign w:val="top"/>
          </w:tcPr>
          <w:p w14:paraId="234BB26C">
            <w:pPr>
              <w:rPr>
                <w:rFonts w:ascii="宋体" w:hAnsi="宋体" w:eastAsia="宋体"/>
                <w:color w:val="auto"/>
                <w:sz w:val="24"/>
                <w:highlight w:val="none"/>
              </w:rPr>
            </w:pPr>
          </w:p>
        </w:tc>
        <w:tc>
          <w:tcPr>
            <w:tcW w:w="772" w:type="pct"/>
            <w:noWrap w:val="0"/>
            <w:vAlign w:val="top"/>
          </w:tcPr>
          <w:p w14:paraId="2FE1BF32">
            <w:pPr>
              <w:rPr>
                <w:rFonts w:ascii="宋体" w:hAnsi="宋体" w:eastAsia="宋体"/>
                <w:color w:val="auto"/>
                <w:sz w:val="24"/>
                <w:highlight w:val="none"/>
              </w:rPr>
            </w:pPr>
          </w:p>
        </w:tc>
        <w:tc>
          <w:tcPr>
            <w:tcW w:w="772" w:type="pct"/>
            <w:noWrap w:val="0"/>
            <w:vAlign w:val="top"/>
          </w:tcPr>
          <w:p w14:paraId="40D062CC">
            <w:pPr>
              <w:rPr>
                <w:rFonts w:ascii="宋体" w:hAnsi="宋体" w:eastAsia="宋体"/>
                <w:color w:val="auto"/>
                <w:sz w:val="24"/>
                <w:highlight w:val="none"/>
              </w:rPr>
            </w:pPr>
          </w:p>
        </w:tc>
        <w:tc>
          <w:tcPr>
            <w:tcW w:w="394" w:type="pct"/>
            <w:noWrap w:val="0"/>
            <w:vAlign w:val="top"/>
          </w:tcPr>
          <w:p w14:paraId="09285763">
            <w:pPr>
              <w:rPr>
                <w:rFonts w:ascii="宋体" w:hAnsi="宋体" w:eastAsia="宋体"/>
                <w:color w:val="auto"/>
                <w:sz w:val="24"/>
                <w:highlight w:val="none"/>
              </w:rPr>
            </w:pPr>
          </w:p>
        </w:tc>
        <w:tc>
          <w:tcPr>
            <w:tcW w:w="394" w:type="pct"/>
            <w:noWrap w:val="0"/>
            <w:vAlign w:val="top"/>
          </w:tcPr>
          <w:p w14:paraId="4168BF26">
            <w:pPr>
              <w:rPr>
                <w:rFonts w:ascii="宋体" w:hAnsi="宋体" w:eastAsia="宋体"/>
                <w:color w:val="auto"/>
                <w:sz w:val="24"/>
                <w:highlight w:val="none"/>
              </w:rPr>
            </w:pPr>
          </w:p>
        </w:tc>
        <w:tc>
          <w:tcPr>
            <w:tcW w:w="551" w:type="pct"/>
            <w:noWrap w:val="0"/>
            <w:vAlign w:val="top"/>
          </w:tcPr>
          <w:p w14:paraId="113DF9A7">
            <w:pPr>
              <w:rPr>
                <w:rFonts w:ascii="宋体" w:hAnsi="宋体" w:eastAsia="宋体"/>
                <w:color w:val="auto"/>
                <w:sz w:val="24"/>
                <w:highlight w:val="none"/>
              </w:rPr>
            </w:pPr>
          </w:p>
        </w:tc>
        <w:tc>
          <w:tcPr>
            <w:tcW w:w="551" w:type="pct"/>
            <w:noWrap w:val="0"/>
            <w:vAlign w:val="top"/>
          </w:tcPr>
          <w:p w14:paraId="50BA374B">
            <w:pPr>
              <w:rPr>
                <w:rFonts w:ascii="宋体" w:hAnsi="宋体" w:eastAsia="宋体"/>
                <w:color w:val="auto"/>
                <w:sz w:val="24"/>
                <w:highlight w:val="none"/>
              </w:rPr>
            </w:pPr>
          </w:p>
        </w:tc>
        <w:tc>
          <w:tcPr>
            <w:tcW w:w="393" w:type="pct"/>
            <w:noWrap w:val="0"/>
            <w:vAlign w:val="top"/>
          </w:tcPr>
          <w:p w14:paraId="4E1E6528">
            <w:pPr>
              <w:rPr>
                <w:rFonts w:ascii="宋体" w:hAnsi="宋体" w:eastAsia="宋体"/>
                <w:color w:val="auto"/>
                <w:sz w:val="24"/>
                <w:highlight w:val="none"/>
              </w:rPr>
            </w:pPr>
          </w:p>
        </w:tc>
      </w:tr>
      <w:tr w14:paraId="0443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05B2CBBC">
            <w:pPr>
              <w:jc w:val="center"/>
              <w:rPr>
                <w:rFonts w:ascii="宋体" w:hAnsi="宋体" w:eastAsia="宋体"/>
                <w:color w:val="auto"/>
                <w:sz w:val="24"/>
                <w:highlight w:val="none"/>
              </w:rPr>
            </w:pPr>
            <w:r>
              <w:rPr>
                <w:rFonts w:hint="eastAsia" w:ascii="宋体" w:hAnsi="宋体" w:eastAsia="宋体"/>
                <w:color w:val="auto"/>
                <w:sz w:val="24"/>
                <w:highlight w:val="none"/>
              </w:rPr>
              <w:t>…</w:t>
            </w:r>
          </w:p>
        </w:tc>
        <w:tc>
          <w:tcPr>
            <w:tcW w:w="776" w:type="pct"/>
            <w:noWrap w:val="0"/>
            <w:vAlign w:val="top"/>
          </w:tcPr>
          <w:p w14:paraId="75434EAE">
            <w:pPr>
              <w:rPr>
                <w:rFonts w:ascii="宋体" w:hAnsi="宋体" w:eastAsia="宋体"/>
                <w:color w:val="auto"/>
                <w:sz w:val="24"/>
                <w:highlight w:val="none"/>
              </w:rPr>
            </w:pPr>
          </w:p>
        </w:tc>
        <w:tc>
          <w:tcPr>
            <w:tcW w:w="772" w:type="pct"/>
            <w:noWrap w:val="0"/>
            <w:vAlign w:val="top"/>
          </w:tcPr>
          <w:p w14:paraId="0BE4087A">
            <w:pPr>
              <w:rPr>
                <w:rFonts w:ascii="宋体" w:hAnsi="宋体" w:eastAsia="宋体"/>
                <w:color w:val="auto"/>
                <w:sz w:val="24"/>
                <w:highlight w:val="none"/>
              </w:rPr>
            </w:pPr>
          </w:p>
        </w:tc>
        <w:tc>
          <w:tcPr>
            <w:tcW w:w="772" w:type="pct"/>
            <w:noWrap w:val="0"/>
            <w:vAlign w:val="top"/>
          </w:tcPr>
          <w:p w14:paraId="7E60CD8F">
            <w:pPr>
              <w:rPr>
                <w:rFonts w:ascii="宋体" w:hAnsi="宋体" w:eastAsia="宋体"/>
                <w:color w:val="auto"/>
                <w:sz w:val="24"/>
                <w:highlight w:val="none"/>
              </w:rPr>
            </w:pPr>
          </w:p>
        </w:tc>
        <w:tc>
          <w:tcPr>
            <w:tcW w:w="394" w:type="pct"/>
            <w:noWrap w:val="0"/>
            <w:vAlign w:val="top"/>
          </w:tcPr>
          <w:p w14:paraId="0F90160C">
            <w:pPr>
              <w:rPr>
                <w:rFonts w:ascii="宋体" w:hAnsi="宋体" w:eastAsia="宋体"/>
                <w:color w:val="auto"/>
                <w:sz w:val="24"/>
                <w:highlight w:val="none"/>
              </w:rPr>
            </w:pPr>
          </w:p>
        </w:tc>
        <w:tc>
          <w:tcPr>
            <w:tcW w:w="394" w:type="pct"/>
            <w:noWrap w:val="0"/>
            <w:vAlign w:val="top"/>
          </w:tcPr>
          <w:p w14:paraId="0199CD2F">
            <w:pPr>
              <w:rPr>
                <w:rFonts w:ascii="宋体" w:hAnsi="宋体" w:eastAsia="宋体"/>
                <w:color w:val="auto"/>
                <w:sz w:val="24"/>
                <w:highlight w:val="none"/>
              </w:rPr>
            </w:pPr>
          </w:p>
        </w:tc>
        <w:tc>
          <w:tcPr>
            <w:tcW w:w="551" w:type="pct"/>
            <w:noWrap w:val="0"/>
            <w:vAlign w:val="top"/>
          </w:tcPr>
          <w:p w14:paraId="5458B74F">
            <w:pPr>
              <w:rPr>
                <w:rFonts w:ascii="宋体" w:hAnsi="宋体" w:eastAsia="宋体"/>
                <w:color w:val="auto"/>
                <w:sz w:val="24"/>
                <w:highlight w:val="none"/>
              </w:rPr>
            </w:pPr>
          </w:p>
        </w:tc>
        <w:tc>
          <w:tcPr>
            <w:tcW w:w="551" w:type="pct"/>
            <w:noWrap w:val="0"/>
            <w:vAlign w:val="top"/>
          </w:tcPr>
          <w:p w14:paraId="6B55A6F7">
            <w:pPr>
              <w:rPr>
                <w:rFonts w:ascii="宋体" w:hAnsi="宋体" w:eastAsia="宋体"/>
                <w:color w:val="auto"/>
                <w:sz w:val="24"/>
                <w:highlight w:val="none"/>
              </w:rPr>
            </w:pPr>
          </w:p>
        </w:tc>
        <w:tc>
          <w:tcPr>
            <w:tcW w:w="393" w:type="pct"/>
            <w:noWrap w:val="0"/>
            <w:vAlign w:val="top"/>
          </w:tcPr>
          <w:p w14:paraId="48005C52">
            <w:pPr>
              <w:rPr>
                <w:rFonts w:ascii="宋体" w:hAnsi="宋体" w:eastAsia="宋体"/>
                <w:color w:val="auto"/>
                <w:sz w:val="24"/>
                <w:highlight w:val="none"/>
              </w:rPr>
            </w:pPr>
          </w:p>
        </w:tc>
      </w:tr>
      <w:tr w14:paraId="39A0B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4" w:type="pct"/>
            <w:gridSpan w:val="7"/>
            <w:noWrap w:val="0"/>
            <w:vAlign w:val="center"/>
          </w:tcPr>
          <w:p w14:paraId="11FB4891">
            <w:pPr>
              <w:jc w:val="center"/>
              <w:rPr>
                <w:rFonts w:ascii="宋体" w:hAnsi="宋体" w:eastAsia="宋体"/>
                <w:color w:val="auto"/>
                <w:sz w:val="24"/>
                <w:highlight w:val="none"/>
              </w:rPr>
            </w:pPr>
            <w:r>
              <w:rPr>
                <w:rFonts w:hint="eastAsia" w:ascii="宋体" w:hAnsi="宋体" w:eastAsia="宋体"/>
                <w:b/>
                <w:color w:val="auto"/>
                <w:sz w:val="24"/>
                <w:highlight w:val="none"/>
              </w:rPr>
              <w:t>合计</w:t>
            </w:r>
            <w:r>
              <w:rPr>
                <w:rFonts w:hint="eastAsia" w:ascii="宋体" w:hAnsi="宋体" w:eastAsia="宋体"/>
                <w:b/>
                <w:color w:val="auto"/>
                <w:sz w:val="24"/>
                <w:highlight w:val="none"/>
                <w:lang w:val="en-US" w:eastAsia="zh-CN"/>
              </w:rPr>
              <w:t>金额</w:t>
            </w:r>
            <w:r>
              <w:rPr>
                <w:rFonts w:hint="eastAsia" w:ascii="宋体" w:hAnsi="宋体" w:eastAsia="宋体"/>
                <w:b/>
                <w:color w:val="auto"/>
                <w:sz w:val="24"/>
                <w:highlight w:val="none"/>
              </w:rPr>
              <w:t>（元）</w:t>
            </w:r>
          </w:p>
        </w:tc>
        <w:tc>
          <w:tcPr>
            <w:tcW w:w="945" w:type="pct"/>
            <w:gridSpan w:val="2"/>
            <w:noWrap w:val="0"/>
            <w:vAlign w:val="top"/>
          </w:tcPr>
          <w:p w14:paraId="41F88EC6">
            <w:pPr>
              <w:rPr>
                <w:rFonts w:ascii="宋体" w:hAnsi="宋体" w:eastAsia="宋体"/>
                <w:color w:val="auto"/>
                <w:sz w:val="24"/>
                <w:highlight w:val="none"/>
              </w:rPr>
            </w:pPr>
          </w:p>
        </w:tc>
      </w:tr>
    </w:tbl>
    <w:p w14:paraId="4E485F86">
      <w:pPr>
        <w:pStyle w:val="54"/>
        <w:jc w:val="both"/>
        <w:rPr>
          <w:rFonts w:hint="default" w:ascii="宋体" w:hAnsi="宋体" w:eastAsia="宋体"/>
          <w:b/>
          <w:bCs/>
          <w:i/>
          <w:iCs/>
          <w:color w:val="auto"/>
          <w:highlight w:val="none"/>
          <w:lang w:val="en-US" w:eastAsia="zh-CN"/>
        </w:rPr>
      </w:pPr>
      <w:r>
        <w:rPr>
          <w:rFonts w:hint="eastAsia" w:ascii="宋体" w:hAnsi="宋体" w:eastAsia="宋体"/>
          <w:b/>
          <w:bCs/>
          <w:color w:val="auto"/>
          <w:highlight w:val="none"/>
          <w:lang w:val="en-US" w:eastAsia="zh-CN"/>
        </w:rPr>
        <w:t>5-2服务部分</w:t>
      </w:r>
      <w:r>
        <w:rPr>
          <w:rFonts w:hint="eastAsia" w:ascii="宋体" w:hAnsi="宋体" w:eastAsia="宋体"/>
          <w:b/>
          <w:bCs/>
          <w:i/>
          <w:iCs/>
          <w:color w:val="auto"/>
          <w:highlight w:val="none"/>
        </w:rPr>
        <w:t>（仅供参考，投标人可自行制作格式）</w:t>
      </w:r>
    </w:p>
    <w:tbl>
      <w:tblPr>
        <w:tblStyle w:val="2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9"/>
        <w:gridCol w:w="1357"/>
        <w:gridCol w:w="1698"/>
        <w:gridCol w:w="1566"/>
      </w:tblGrid>
      <w:tr w14:paraId="7C02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56EBC93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noWrap w:val="0"/>
            <w:vAlign w:val="center"/>
          </w:tcPr>
          <w:p w14:paraId="7409273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noWrap w:val="0"/>
            <w:vAlign w:val="center"/>
          </w:tcPr>
          <w:p w14:paraId="0C9AA4F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noWrap w:val="0"/>
            <w:vAlign w:val="center"/>
          </w:tcPr>
          <w:p w14:paraId="1441059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19" w:type="pct"/>
            <w:noWrap w:val="0"/>
            <w:vAlign w:val="center"/>
          </w:tcPr>
          <w:p w14:paraId="263570D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小计（元）</w:t>
            </w:r>
          </w:p>
        </w:tc>
      </w:tr>
      <w:tr w14:paraId="1DB8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tcBorders>
              <w:bottom w:val="single" w:color="auto" w:sz="4" w:space="0"/>
            </w:tcBorders>
            <w:noWrap w:val="0"/>
            <w:vAlign w:val="center"/>
          </w:tcPr>
          <w:p w14:paraId="3D7C6A7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noWrap w:val="0"/>
            <w:vAlign w:val="center"/>
          </w:tcPr>
          <w:p w14:paraId="2ED7BD1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szCs w:val="24"/>
                <w:highlight w:val="none"/>
              </w:rPr>
            </w:pPr>
          </w:p>
        </w:tc>
        <w:tc>
          <w:tcPr>
            <w:tcW w:w="796" w:type="pct"/>
            <w:noWrap w:val="0"/>
            <w:vAlign w:val="center"/>
          </w:tcPr>
          <w:p w14:paraId="5DA2601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olor w:val="auto"/>
                <w:sz w:val="24"/>
                <w:highlight w:val="none"/>
                <w:lang w:val="en-US" w:eastAsia="zh-CN"/>
              </w:rPr>
            </w:pPr>
          </w:p>
        </w:tc>
        <w:tc>
          <w:tcPr>
            <w:tcW w:w="996" w:type="pct"/>
            <w:noWrap w:val="0"/>
            <w:vAlign w:val="center"/>
          </w:tcPr>
          <w:p w14:paraId="24CFBC9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4A0DCF0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0F6C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4ED06DF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noWrap w:val="0"/>
            <w:vAlign w:val="center"/>
          </w:tcPr>
          <w:p w14:paraId="3F6AB34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szCs w:val="24"/>
                <w:highlight w:val="none"/>
              </w:rPr>
            </w:pPr>
          </w:p>
        </w:tc>
        <w:tc>
          <w:tcPr>
            <w:tcW w:w="796" w:type="pct"/>
            <w:noWrap w:val="0"/>
            <w:vAlign w:val="center"/>
          </w:tcPr>
          <w:p w14:paraId="5A1C03C3">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olor w:val="auto"/>
                <w:sz w:val="24"/>
                <w:highlight w:val="none"/>
                <w:lang w:val="en-US" w:eastAsia="zh-CN"/>
              </w:rPr>
            </w:pPr>
          </w:p>
        </w:tc>
        <w:tc>
          <w:tcPr>
            <w:tcW w:w="996" w:type="pct"/>
            <w:noWrap w:val="0"/>
            <w:vAlign w:val="center"/>
          </w:tcPr>
          <w:p w14:paraId="4286143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1F9F41A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715B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661F4DF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noWrap w:val="0"/>
            <w:vAlign w:val="center"/>
          </w:tcPr>
          <w:p w14:paraId="2A230F3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szCs w:val="24"/>
                <w:highlight w:val="none"/>
              </w:rPr>
            </w:pPr>
          </w:p>
        </w:tc>
        <w:tc>
          <w:tcPr>
            <w:tcW w:w="796" w:type="pct"/>
            <w:noWrap w:val="0"/>
            <w:vAlign w:val="center"/>
          </w:tcPr>
          <w:p w14:paraId="01341F3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olor w:val="auto"/>
                <w:sz w:val="24"/>
                <w:highlight w:val="none"/>
                <w:lang w:val="en-US" w:eastAsia="zh-CN"/>
              </w:rPr>
            </w:pPr>
          </w:p>
        </w:tc>
        <w:tc>
          <w:tcPr>
            <w:tcW w:w="996" w:type="pct"/>
            <w:noWrap w:val="0"/>
            <w:vAlign w:val="center"/>
          </w:tcPr>
          <w:p w14:paraId="1B4FAEC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2D94875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4D3F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6229B00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ascii="宋体" w:hAnsi="宋体" w:eastAsia="宋体"/>
                <w:color w:val="auto"/>
                <w:sz w:val="24"/>
                <w:highlight w:val="none"/>
              </w:rPr>
              <w:t>…</w:t>
            </w:r>
          </w:p>
        </w:tc>
        <w:tc>
          <w:tcPr>
            <w:tcW w:w="1824" w:type="pct"/>
            <w:noWrap w:val="0"/>
            <w:vAlign w:val="center"/>
          </w:tcPr>
          <w:p w14:paraId="0019EEC4">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B4150A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1760710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5AE30D9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0E91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6E4F000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19" w:type="pct"/>
            <w:noWrap w:val="0"/>
            <w:vAlign w:val="center"/>
          </w:tcPr>
          <w:p w14:paraId="7803510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bl>
    <w:p w14:paraId="659D5255">
      <w:pPr>
        <w:spacing w:line="360" w:lineRule="auto"/>
        <w:ind w:firstLine="435"/>
        <w:jc w:val="right"/>
        <w:rPr>
          <w:rFonts w:hint="eastAsia" w:ascii="宋体" w:hAnsi="宋体" w:eastAsia="宋体"/>
          <w:b/>
          <w:bCs/>
          <w:color w:val="auto"/>
          <w:highlight w:val="none"/>
          <w:lang w:val="en-US" w:eastAsia="zh-CN"/>
        </w:rPr>
      </w:pPr>
      <w:r>
        <w:rPr>
          <w:rFonts w:hint="eastAsia" w:ascii="宋体" w:hAnsi="宋体" w:eastAsia="宋体"/>
          <w:bCs/>
          <w:color w:val="auto"/>
          <w:sz w:val="24"/>
          <w:szCs w:val="28"/>
          <w:highlight w:val="none"/>
          <w:u w:val="single"/>
        </w:rPr>
        <w:t xml:space="preserve">       </w:t>
      </w:r>
    </w:p>
    <w:p w14:paraId="085BCE43">
      <w:pPr>
        <w:pStyle w:val="54"/>
        <w:jc w:val="both"/>
        <w:rPr>
          <w:rFonts w:hint="eastAsia" w:ascii="宋体" w:hAnsi="宋体" w:eastAsia="宋体"/>
          <w:b/>
          <w:bCs/>
          <w:color w:val="auto"/>
          <w:highlight w:val="none"/>
          <w:lang w:val="en-US" w:eastAsia="zh-CN"/>
        </w:rPr>
      </w:pPr>
      <w:r>
        <w:rPr>
          <w:rFonts w:hint="eastAsia" w:ascii="宋体" w:hAnsi="宋体" w:eastAsia="宋体"/>
          <w:b/>
          <w:bCs/>
          <w:color w:val="auto"/>
          <w:highlight w:val="none"/>
          <w:lang w:val="en-US" w:eastAsia="zh-CN"/>
        </w:rPr>
        <w:t>5-3 符合本国产品标准的产品成本之和占比</w:t>
      </w:r>
    </w:p>
    <w:tbl>
      <w:tblPr>
        <w:tblStyle w:val="28"/>
        <w:tblW w:w="88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9"/>
        <w:gridCol w:w="1554"/>
      </w:tblGrid>
      <w:tr w14:paraId="5DDD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7309" w:type="dxa"/>
            <w:noWrap w:val="0"/>
            <w:vAlign w:val="top"/>
          </w:tcPr>
          <w:p w14:paraId="0D5E58D6">
            <w:pPr>
              <w:spacing w:line="360" w:lineRule="auto"/>
              <w:rPr>
                <w:rFonts w:hint="eastAsia" w:ascii="宋体" w:hAnsi="宋体" w:eastAsia="宋体"/>
                <w:b/>
                <w:bCs/>
                <w:color w:val="auto"/>
                <w:sz w:val="21"/>
                <w:szCs w:val="21"/>
                <w:highlight w:val="none"/>
                <w:vertAlign w:val="baseline"/>
                <w:lang w:eastAsia="zh-CN"/>
              </w:rPr>
            </w:pPr>
            <w:r>
              <w:rPr>
                <w:rFonts w:hint="eastAsia" w:ascii="宋体" w:hAnsi="宋体" w:eastAsia="宋体" w:cs="宋体"/>
                <w:color w:val="auto"/>
                <w:sz w:val="24"/>
                <w:szCs w:val="24"/>
                <w:highlight w:val="none"/>
              </w:rPr>
              <w:t>本公司（单位）提供的符合本国产品标准的产品成本之和占提供的全部产品成本之和的比例</w:t>
            </w:r>
          </w:p>
        </w:tc>
        <w:tc>
          <w:tcPr>
            <w:tcW w:w="1554" w:type="dxa"/>
            <w:noWrap w:val="0"/>
            <w:vAlign w:val="top"/>
          </w:tcPr>
          <w:p w14:paraId="0BDDA1D8">
            <w:pPr>
              <w:spacing w:line="360" w:lineRule="auto"/>
              <w:rPr>
                <w:rFonts w:hint="eastAsia" w:ascii="宋体" w:hAnsi="宋体" w:eastAsia="宋体" w:cs="宋体"/>
                <w:color w:val="auto"/>
                <w:sz w:val="24"/>
                <w:szCs w:val="24"/>
                <w:highlight w:val="none"/>
                <w:u w:val="single"/>
                <w:lang w:val="en-US" w:eastAsia="zh-CN"/>
              </w:rPr>
            </w:pPr>
          </w:p>
          <w:p w14:paraId="6024CEC5">
            <w:pPr>
              <w:spacing w:line="360" w:lineRule="auto"/>
              <w:rPr>
                <w:rFonts w:hint="eastAsia" w:ascii="宋体" w:hAnsi="宋体" w:eastAsia="宋体"/>
                <w:b/>
                <w:bCs/>
                <w:color w:val="auto"/>
                <w:sz w:val="21"/>
                <w:szCs w:val="21"/>
                <w:highlight w:val="none"/>
                <w:vertAlign w:val="baseline"/>
                <w:lang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Times New Roman"/>
                <w:b w:val="0"/>
                <w:bCs/>
                <w:color w:val="auto"/>
                <w:szCs w:val="24"/>
                <w:highlight w:val="none"/>
                <w:lang w:val="en-US" w:eastAsia="zh-CN"/>
              </w:rPr>
              <w:t>%</w:t>
            </w:r>
          </w:p>
        </w:tc>
      </w:tr>
      <w:tr w14:paraId="6A14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4" w:hRule="atLeast"/>
        </w:trPr>
        <w:tc>
          <w:tcPr>
            <w:tcW w:w="8863" w:type="dxa"/>
            <w:gridSpan w:val="2"/>
            <w:noWrap w:val="0"/>
            <w:vAlign w:val="top"/>
          </w:tcPr>
          <w:p w14:paraId="1851F66A">
            <w:pPr>
              <w:tabs>
                <w:tab w:val="left" w:pos="4620"/>
              </w:tabs>
              <w:spacing w:line="360" w:lineRule="auto"/>
              <w:jc w:val="left"/>
              <w:rPr>
                <w:rFonts w:hint="eastAsia" w:ascii="宋体" w:hAnsi="宋体" w:eastAsia="宋体" w:cs="Times New Roman"/>
                <w:b/>
                <w:bCs w:val="0"/>
                <w:color w:val="auto"/>
                <w:szCs w:val="24"/>
                <w:highlight w:val="none"/>
                <w:lang w:val="en-US" w:eastAsia="zh-CN"/>
              </w:rPr>
            </w:pPr>
            <w:r>
              <w:rPr>
                <w:rFonts w:hint="eastAsia" w:ascii="宋体" w:hAnsi="宋体" w:eastAsia="宋体" w:cs="Times New Roman"/>
                <w:b/>
                <w:bCs w:val="0"/>
                <w:color w:val="auto"/>
                <w:szCs w:val="24"/>
                <w:highlight w:val="none"/>
                <w:lang w:val="en-US" w:eastAsia="zh-CN"/>
              </w:rPr>
              <w:t>提醒：</w:t>
            </w:r>
          </w:p>
          <w:p w14:paraId="1D1308D9">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1.投标人为该采购项目或者采购包提供的符合本国产品标准的产品成本之和占该投标人提供的全部产品成本之和的比例达到80%以上时，对该投标人提供的全部产品给予价格评审优惠。</w:t>
            </w:r>
          </w:p>
          <w:p w14:paraId="1CD91A71">
            <w:pPr>
              <w:spacing w:line="360" w:lineRule="auto"/>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2.投标人应当根据“投标分项报价表-货物部分”的内容对符合本国产品标准的产品成本进行测算（比例未达到80%或未进行比例测算的，对该投标人提供的全部产品不予价格评审优惠），如有虚假响应，投标人承担全部责任。</w:t>
            </w:r>
          </w:p>
          <w:p w14:paraId="01384E5F">
            <w:pPr>
              <w:spacing w:line="360" w:lineRule="auto"/>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w:t>
            </w:r>
            <w:r>
              <w:rPr>
                <w:rFonts w:hint="eastAsia" w:ascii="宋体" w:hAnsi="宋体" w:eastAsia="宋体" w:cs="宋体"/>
                <w:b w:val="0"/>
                <w:bCs/>
                <w:color w:val="auto"/>
                <w:kern w:val="2"/>
                <w:sz w:val="21"/>
                <w:szCs w:val="21"/>
                <w:highlight w:val="none"/>
                <w:lang w:val="en-US" w:eastAsia="zh-CN" w:bidi="ar"/>
              </w:rPr>
              <w:t>上表中全部产品成本之和是指表5-1和表5-2包含的全部货物、服务产品成本之和。</w:t>
            </w:r>
          </w:p>
        </w:tc>
      </w:tr>
    </w:tbl>
    <w:p w14:paraId="086BF167">
      <w:pPr>
        <w:spacing w:line="360" w:lineRule="auto"/>
        <w:rPr>
          <w:rFonts w:hint="eastAsia" w:ascii="宋体" w:hAnsi="宋体" w:eastAsia="宋体"/>
          <w:b/>
          <w:bCs/>
          <w:color w:val="auto"/>
          <w:sz w:val="21"/>
          <w:szCs w:val="21"/>
          <w:highlight w:val="none"/>
          <w:lang w:eastAsia="zh-CN"/>
        </w:rPr>
      </w:pPr>
    </w:p>
    <w:p w14:paraId="2B116089">
      <w:pPr>
        <w:spacing w:line="360" w:lineRule="auto"/>
        <w:ind w:firstLine="4800" w:firstLineChars="2000"/>
        <w:jc w:val="center"/>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B202882">
      <w:pPr>
        <w:tabs>
          <w:tab w:val="left" w:pos="630"/>
        </w:tabs>
        <w:spacing w:line="360" w:lineRule="auto"/>
        <w:ind w:firstLine="4800" w:firstLineChars="2000"/>
        <w:jc w:val="center"/>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5EE7940">
      <w:pPr>
        <w:spacing w:line="360" w:lineRule="auto"/>
        <w:rPr>
          <w:rFonts w:hint="eastAsia" w:ascii="宋体" w:hAnsi="宋体" w:eastAsia="宋体"/>
          <w:b/>
          <w:bCs/>
          <w:color w:val="auto"/>
          <w:sz w:val="21"/>
          <w:szCs w:val="21"/>
          <w:highlight w:val="none"/>
          <w:lang w:eastAsia="zh-CN"/>
        </w:rPr>
      </w:pPr>
      <w:r>
        <w:rPr>
          <w:rFonts w:hint="eastAsia" w:ascii="宋体" w:hAnsi="宋体" w:eastAsia="宋体"/>
          <w:b/>
          <w:bCs/>
          <w:color w:val="auto"/>
          <w:sz w:val="21"/>
          <w:szCs w:val="21"/>
          <w:highlight w:val="none"/>
          <w:lang w:eastAsia="zh-CN"/>
        </w:rPr>
        <w:t>注：</w:t>
      </w:r>
    </w:p>
    <w:p w14:paraId="6AAACBAE">
      <w:pPr>
        <w:spacing w:line="360" w:lineRule="auto"/>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1.表5-1</w:t>
      </w:r>
      <w:r>
        <w:rPr>
          <w:rFonts w:hint="eastAsia" w:ascii="宋体" w:hAnsi="宋体" w:eastAsia="宋体"/>
          <w:color w:val="auto"/>
          <w:sz w:val="21"/>
          <w:szCs w:val="21"/>
          <w:highlight w:val="none"/>
        </w:rPr>
        <w:t>中须明确列出所投产品的货物名称、品牌、型号规格、原产地及生产厂商，否则可能导致</w:t>
      </w:r>
      <w:r>
        <w:rPr>
          <w:rFonts w:hint="eastAsia" w:ascii="宋体" w:hAnsi="宋体" w:eastAsia="宋体"/>
          <w:b/>
          <w:bCs/>
          <w:color w:val="auto"/>
          <w:sz w:val="21"/>
          <w:szCs w:val="21"/>
          <w:highlight w:val="none"/>
        </w:rPr>
        <w:t>投标无效</w:t>
      </w:r>
      <w:r>
        <w:rPr>
          <w:rFonts w:hint="eastAsia" w:ascii="宋体" w:hAnsi="宋体" w:eastAsia="宋体"/>
          <w:b/>
          <w:bCs/>
          <w:color w:val="auto"/>
          <w:sz w:val="21"/>
          <w:szCs w:val="21"/>
          <w:highlight w:val="none"/>
          <w:lang w:eastAsia="zh-CN"/>
        </w:rPr>
        <w:t>。</w:t>
      </w:r>
    </w:p>
    <w:p w14:paraId="73139860">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2.上述报价为投标人完成本项目内容的全部费用（总报价为表5-1和表5-2合计金额之和），</w:t>
      </w:r>
      <w:r>
        <w:rPr>
          <w:rFonts w:hint="eastAsia" w:ascii="宋体" w:hAnsi="宋体" w:eastAsia="宋体"/>
          <w:color w:val="auto"/>
          <w:sz w:val="21"/>
          <w:szCs w:val="21"/>
          <w:highlight w:val="none"/>
        </w:rPr>
        <w:t>如有漏项或缺项，</w:t>
      </w:r>
      <w:r>
        <w:rPr>
          <w:rFonts w:hint="eastAsia" w:ascii="宋体" w:hAnsi="宋体" w:eastAsia="宋体"/>
          <w:color w:val="auto"/>
          <w:sz w:val="21"/>
          <w:szCs w:val="21"/>
          <w:highlight w:val="none"/>
          <w:lang w:val="en-US" w:eastAsia="zh-CN"/>
        </w:rPr>
        <w:t>自行</w:t>
      </w:r>
      <w:r>
        <w:rPr>
          <w:rFonts w:hint="eastAsia" w:ascii="宋体" w:hAnsi="宋体" w:eastAsia="宋体"/>
          <w:color w:val="auto"/>
          <w:sz w:val="21"/>
          <w:szCs w:val="21"/>
          <w:highlight w:val="none"/>
        </w:rPr>
        <w:t>承担全部责任。</w:t>
      </w:r>
    </w:p>
    <w:p w14:paraId="70600B32">
      <w:pPr>
        <w:pStyle w:val="9"/>
        <w:rPr>
          <w:rFonts w:hint="eastAsia" w:asciiTheme="minorEastAsia" w:hAnsiTheme="minorEastAsia" w:eastAsiaTheme="minorEastAsia"/>
          <w:color w:val="auto"/>
          <w:sz w:val="24"/>
          <w:highlight w:val="none"/>
        </w:rPr>
      </w:pPr>
    </w:p>
    <w:p w14:paraId="02CAC5BD">
      <w:pPr>
        <w:rPr>
          <w:rFonts w:hint="eastAsia" w:asciiTheme="minorEastAsia" w:hAnsiTheme="minorEastAsia" w:eastAsiaTheme="minorEastAsia"/>
          <w:b/>
          <w:color w:val="auto"/>
          <w:sz w:val="24"/>
          <w:highlight w:val="none"/>
        </w:rPr>
      </w:pPr>
      <w:bookmarkStart w:id="211" w:name="_Toc20329"/>
      <w:r>
        <w:rPr>
          <w:rFonts w:hint="eastAsia" w:asciiTheme="minorEastAsia" w:hAnsiTheme="minorEastAsia" w:eastAsiaTheme="minorEastAsia"/>
          <w:b/>
          <w:color w:val="auto"/>
          <w:sz w:val="24"/>
          <w:highlight w:val="none"/>
        </w:rPr>
        <w:br w:type="page"/>
      </w:r>
    </w:p>
    <w:p w14:paraId="1A583DFB">
      <w:pPr>
        <w:spacing w:line="360" w:lineRule="auto"/>
        <w:jc w:val="center"/>
        <w:outlineLvl w:val="1"/>
        <w:rPr>
          <w:rFonts w:hint="default" w:asciiTheme="minorEastAsia" w:hAnsiTheme="minorEastAsia" w:eastAsiaTheme="minorEastAsia"/>
          <w:b/>
          <w:color w:val="auto"/>
          <w:sz w:val="24"/>
          <w:highlight w:val="none"/>
          <w:lang w:val="en-US" w:eastAsia="zh-CN"/>
        </w:rPr>
      </w:pPr>
      <w:bookmarkStart w:id="212" w:name="_Toc15209"/>
      <w:r>
        <w:rPr>
          <w:rFonts w:hint="eastAsia" w:asciiTheme="minorEastAsia" w:hAnsiTheme="minorEastAsia" w:eastAsiaTheme="minorEastAsia"/>
          <w:b/>
          <w:color w:val="auto"/>
          <w:sz w:val="24"/>
          <w:highlight w:val="none"/>
          <w:lang w:val="en-US" w:eastAsia="zh-CN"/>
        </w:rPr>
        <w:t>六</w:t>
      </w:r>
      <w:r>
        <w:rPr>
          <w:rFonts w:hint="eastAsia" w:asciiTheme="minorEastAsia" w:hAnsiTheme="minorEastAsia" w:eastAsiaTheme="minorEastAsia"/>
          <w:b/>
          <w:color w:val="auto"/>
          <w:sz w:val="24"/>
          <w:highlight w:val="none"/>
        </w:rPr>
        <w:t>、投标响应表</w:t>
      </w:r>
      <w:bookmarkEnd w:id="211"/>
      <w:bookmarkEnd w:id="212"/>
    </w:p>
    <w:p w14:paraId="199E2FBC">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2BA7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BEF5812">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73507CD">
            <w:pPr>
              <w:pStyle w:val="1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2F233813">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52EDD018">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1E1FC192">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D70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7F54FF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67FED076">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7D0C8DEB">
            <w:pPr>
              <w:jc w:val="center"/>
              <w:rPr>
                <w:rFonts w:asciiTheme="minorEastAsia" w:hAnsiTheme="minorEastAsia" w:eastAsiaTheme="minorEastAsia"/>
                <w:color w:val="auto"/>
                <w:sz w:val="24"/>
                <w:highlight w:val="none"/>
              </w:rPr>
            </w:pPr>
          </w:p>
        </w:tc>
        <w:tc>
          <w:tcPr>
            <w:tcW w:w="1510" w:type="pct"/>
            <w:vAlign w:val="center"/>
          </w:tcPr>
          <w:p w14:paraId="7F7725D2">
            <w:pPr>
              <w:jc w:val="center"/>
              <w:rPr>
                <w:rFonts w:asciiTheme="minorEastAsia" w:hAnsiTheme="minorEastAsia" w:eastAsiaTheme="minorEastAsia"/>
                <w:color w:val="auto"/>
                <w:sz w:val="24"/>
                <w:highlight w:val="none"/>
              </w:rPr>
            </w:pPr>
          </w:p>
        </w:tc>
        <w:tc>
          <w:tcPr>
            <w:tcW w:w="475" w:type="pct"/>
            <w:vAlign w:val="center"/>
          </w:tcPr>
          <w:p w14:paraId="61CDA785">
            <w:pPr>
              <w:jc w:val="center"/>
              <w:rPr>
                <w:rFonts w:asciiTheme="minorEastAsia" w:hAnsiTheme="minorEastAsia" w:eastAsiaTheme="minorEastAsia"/>
                <w:color w:val="auto"/>
                <w:sz w:val="24"/>
                <w:highlight w:val="none"/>
              </w:rPr>
            </w:pPr>
          </w:p>
        </w:tc>
      </w:tr>
      <w:tr w14:paraId="258D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A01992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160721C5">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7D3FD275">
            <w:pPr>
              <w:jc w:val="center"/>
              <w:rPr>
                <w:rFonts w:asciiTheme="minorEastAsia" w:hAnsiTheme="minorEastAsia" w:eastAsiaTheme="minorEastAsia"/>
                <w:color w:val="auto"/>
                <w:sz w:val="24"/>
                <w:highlight w:val="none"/>
              </w:rPr>
            </w:pPr>
          </w:p>
        </w:tc>
        <w:tc>
          <w:tcPr>
            <w:tcW w:w="1510" w:type="pct"/>
            <w:vAlign w:val="center"/>
          </w:tcPr>
          <w:p w14:paraId="78FD1684">
            <w:pPr>
              <w:jc w:val="center"/>
              <w:rPr>
                <w:rFonts w:asciiTheme="minorEastAsia" w:hAnsiTheme="minorEastAsia" w:eastAsiaTheme="minorEastAsia"/>
                <w:color w:val="auto"/>
                <w:sz w:val="24"/>
                <w:highlight w:val="none"/>
              </w:rPr>
            </w:pPr>
          </w:p>
        </w:tc>
        <w:tc>
          <w:tcPr>
            <w:tcW w:w="475" w:type="pct"/>
            <w:vAlign w:val="center"/>
          </w:tcPr>
          <w:p w14:paraId="20710ED5">
            <w:pPr>
              <w:jc w:val="center"/>
              <w:rPr>
                <w:rFonts w:asciiTheme="minorEastAsia" w:hAnsiTheme="minorEastAsia" w:eastAsiaTheme="minorEastAsia"/>
                <w:color w:val="auto"/>
                <w:sz w:val="24"/>
                <w:highlight w:val="none"/>
              </w:rPr>
            </w:pPr>
          </w:p>
        </w:tc>
      </w:tr>
      <w:tr w14:paraId="7404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78E9E9E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36975CD8">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15D4F344">
            <w:pPr>
              <w:jc w:val="center"/>
              <w:rPr>
                <w:rFonts w:asciiTheme="minorEastAsia" w:hAnsiTheme="minorEastAsia" w:eastAsiaTheme="minorEastAsia"/>
                <w:color w:val="auto"/>
                <w:sz w:val="24"/>
                <w:highlight w:val="none"/>
              </w:rPr>
            </w:pPr>
          </w:p>
        </w:tc>
        <w:tc>
          <w:tcPr>
            <w:tcW w:w="1510" w:type="pct"/>
            <w:vAlign w:val="center"/>
          </w:tcPr>
          <w:p w14:paraId="4A9BD2CF">
            <w:pPr>
              <w:pStyle w:val="54"/>
              <w:jc w:val="center"/>
              <w:rPr>
                <w:rFonts w:asciiTheme="minorEastAsia" w:hAnsiTheme="minorEastAsia" w:eastAsiaTheme="minorEastAsia"/>
                <w:color w:val="auto"/>
                <w:highlight w:val="none"/>
              </w:rPr>
            </w:pPr>
          </w:p>
        </w:tc>
        <w:tc>
          <w:tcPr>
            <w:tcW w:w="475" w:type="pct"/>
            <w:vAlign w:val="center"/>
          </w:tcPr>
          <w:p w14:paraId="2CE6459F">
            <w:pPr>
              <w:jc w:val="center"/>
              <w:rPr>
                <w:rFonts w:asciiTheme="minorEastAsia" w:hAnsiTheme="minorEastAsia" w:eastAsiaTheme="minorEastAsia"/>
                <w:color w:val="auto"/>
                <w:sz w:val="24"/>
                <w:highlight w:val="none"/>
              </w:rPr>
            </w:pPr>
          </w:p>
        </w:tc>
      </w:tr>
      <w:tr w14:paraId="233B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31243FC5">
            <w:pPr>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p>
        </w:tc>
        <w:tc>
          <w:tcPr>
            <w:tcW w:w="1916" w:type="dxa"/>
            <w:vAlign w:val="center"/>
          </w:tcPr>
          <w:p w14:paraId="6AE1A1C2">
            <w:pPr>
              <w:jc w:val="center"/>
              <w:rPr>
                <w:rFonts w:hint="eastAsia" w:ascii="宋体" w:hAnsi="宋体" w:eastAsia="宋体"/>
                <w:color w:val="auto"/>
                <w:sz w:val="24"/>
                <w:highlight w:val="none"/>
              </w:rPr>
            </w:pPr>
            <w:r>
              <w:rPr>
                <w:rFonts w:hint="eastAsia" w:ascii="宋体" w:hAnsi="宋体" w:eastAsia="宋体"/>
                <w:sz w:val="24"/>
                <w:highlight w:val="none"/>
              </w:rPr>
              <w:t>“采购需求”所列的所有内容</w:t>
            </w:r>
          </w:p>
        </w:tc>
        <w:tc>
          <w:tcPr>
            <w:tcW w:w="1465" w:type="pct"/>
            <w:vAlign w:val="center"/>
          </w:tcPr>
          <w:p w14:paraId="64B5D402">
            <w:pPr>
              <w:jc w:val="center"/>
              <w:rPr>
                <w:rFonts w:asciiTheme="minorEastAsia" w:hAnsiTheme="minorEastAsia" w:eastAsiaTheme="minorEastAsia"/>
                <w:color w:val="auto"/>
                <w:sz w:val="24"/>
                <w:highlight w:val="none"/>
              </w:rPr>
            </w:pPr>
          </w:p>
        </w:tc>
        <w:tc>
          <w:tcPr>
            <w:tcW w:w="1510" w:type="pct"/>
            <w:vAlign w:val="center"/>
          </w:tcPr>
          <w:p w14:paraId="5D362A46">
            <w:pPr>
              <w:pStyle w:val="54"/>
              <w:jc w:val="center"/>
              <w:rPr>
                <w:rFonts w:asciiTheme="minorEastAsia" w:hAnsiTheme="minorEastAsia" w:eastAsiaTheme="minorEastAsia"/>
                <w:color w:val="auto"/>
                <w:highlight w:val="none"/>
              </w:rPr>
            </w:pPr>
          </w:p>
        </w:tc>
        <w:tc>
          <w:tcPr>
            <w:tcW w:w="475" w:type="pct"/>
            <w:vAlign w:val="center"/>
          </w:tcPr>
          <w:p w14:paraId="43950CBF">
            <w:pPr>
              <w:jc w:val="center"/>
              <w:rPr>
                <w:rFonts w:asciiTheme="minorEastAsia" w:hAnsiTheme="minorEastAsia" w:eastAsiaTheme="minorEastAsia"/>
                <w:color w:val="auto"/>
                <w:sz w:val="24"/>
                <w:highlight w:val="none"/>
              </w:rPr>
            </w:pPr>
          </w:p>
        </w:tc>
      </w:tr>
      <w:tr w14:paraId="386B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4AED33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16C125EB">
            <w:pPr>
              <w:jc w:val="center"/>
              <w:rPr>
                <w:rFonts w:ascii="宋体" w:hAnsi="宋体" w:eastAsia="宋体"/>
                <w:color w:val="auto"/>
                <w:sz w:val="24"/>
                <w:highlight w:val="none"/>
              </w:rPr>
            </w:pPr>
          </w:p>
        </w:tc>
        <w:tc>
          <w:tcPr>
            <w:tcW w:w="1465" w:type="pct"/>
            <w:vAlign w:val="center"/>
          </w:tcPr>
          <w:p w14:paraId="72349193">
            <w:pPr>
              <w:jc w:val="center"/>
              <w:rPr>
                <w:rFonts w:asciiTheme="minorEastAsia" w:hAnsiTheme="minorEastAsia" w:eastAsiaTheme="minorEastAsia"/>
                <w:color w:val="auto"/>
                <w:sz w:val="24"/>
                <w:highlight w:val="none"/>
              </w:rPr>
            </w:pPr>
          </w:p>
        </w:tc>
        <w:tc>
          <w:tcPr>
            <w:tcW w:w="1510" w:type="pct"/>
            <w:vAlign w:val="center"/>
          </w:tcPr>
          <w:p w14:paraId="3EB53206">
            <w:pPr>
              <w:jc w:val="center"/>
              <w:rPr>
                <w:rFonts w:asciiTheme="minorEastAsia" w:hAnsiTheme="minorEastAsia" w:eastAsiaTheme="minorEastAsia"/>
                <w:color w:val="auto"/>
                <w:sz w:val="24"/>
                <w:highlight w:val="none"/>
              </w:rPr>
            </w:pPr>
          </w:p>
        </w:tc>
        <w:tc>
          <w:tcPr>
            <w:tcW w:w="475" w:type="pct"/>
            <w:vAlign w:val="center"/>
          </w:tcPr>
          <w:p w14:paraId="5B897783">
            <w:pPr>
              <w:jc w:val="center"/>
              <w:rPr>
                <w:rFonts w:asciiTheme="minorEastAsia" w:hAnsiTheme="minorEastAsia" w:eastAsiaTheme="minorEastAsia"/>
                <w:color w:val="auto"/>
                <w:sz w:val="24"/>
                <w:highlight w:val="none"/>
              </w:rPr>
            </w:pPr>
          </w:p>
        </w:tc>
      </w:tr>
    </w:tbl>
    <w:p w14:paraId="0E2593B0">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3D6C331">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578533F">
      <w:pPr>
        <w:pStyle w:val="15"/>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582579DF">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3" w:name="_Toc23068"/>
      <w:r>
        <w:rPr>
          <w:rFonts w:hint="eastAsia" w:asciiTheme="minorEastAsia" w:hAnsiTheme="minorEastAsia" w:eastAsiaTheme="minorEastAsia"/>
          <w:b/>
          <w:color w:val="auto"/>
          <w:sz w:val="24"/>
          <w:highlight w:val="none"/>
          <w:lang w:val="en-US" w:eastAsia="zh-CN"/>
        </w:rPr>
        <w:t>七、中小企业声明函</w:t>
      </w:r>
      <w:bookmarkEnd w:id="213"/>
    </w:p>
    <w:p w14:paraId="316FF833">
      <w:pPr>
        <w:pStyle w:val="9"/>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27EB6084">
      <w:pPr>
        <w:rPr>
          <w:rFonts w:asciiTheme="minorEastAsia" w:hAnsiTheme="minorEastAsia" w:eastAsiaTheme="minorEastAsia"/>
          <w:color w:val="auto"/>
          <w:sz w:val="24"/>
          <w:szCs w:val="24"/>
          <w:highlight w:val="none"/>
        </w:rPr>
      </w:pPr>
    </w:p>
    <w:p w14:paraId="46E7AACF">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346A5AE8">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485C87C">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9ECC8E3">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52C731A3">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70FAEF75">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0496CC50">
      <w:pPr>
        <w:spacing w:line="360" w:lineRule="auto"/>
        <w:ind w:firstLine="435"/>
        <w:rPr>
          <w:rFonts w:asciiTheme="minorEastAsia" w:hAnsiTheme="minorEastAsia" w:eastAsiaTheme="minorEastAsia"/>
          <w:color w:val="auto"/>
          <w:sz w:val="24"/>
          <w:szCs w:val="24"/>
          <w:highlight w:val="none"/>
        </w:rPr>
      </w:pPr>
    </w:p>
    <w:p w14:paraId="17A5C36D">
      <w:pPr>
        <w:spacing w:line="360" w:lineRule="auto"/>
        <w:ind w:firstLine="435"/>
        <w:rPr>
          <w:rFonts w:asciiTheme="minorEastAsia" w:hAnsiTheme="minorEastAsia" w:eastAsiaTheme="minorEastAsia"/>
          <w:color w:val="auto"/>
          <w:sz w:val="24"/>
          <w:szCs w:val="24"/>
          <w:highlight w:val="none"/>
        </w:rPr>
      </w:pPr>
    </w:p>
    <w:p w14:paraId="0B6E7A0A">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7DBC376D">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44DB1DE9">
      <w:pPr>
        <w:tabs>
          <w:tab w:val="left" w:pos="4620"/>
        </w:tabs>
        <w:spacing w:line="360" w:lineRule="auto"/>
        <w:jc w:val="left"/>
        <w:rPr>
          <w:rFonts w:asciiTheme="minorEastAsia" w:hAnsiTheme="minorEastAsia" w:eastAsiaTheme="minorEastAsia"/>
          <w:color w:val="auto"/>
          <w:sz w:val="24"/>
          <w:szCs w:val="24"/>
          <w:highlight w:val="none"/>
        </w:rPr>
      </w:pPr>
    </w:p>
    <w:p w14:paraId="1061288D">
      <w:pPr>
        <w:tabs>
          <w:tab w:val="left" w:pos="4620"/>
        </w:tabs>
        <w:spacing w:line="360" w:lineRule="auto"/>
        <w:jc w:val="left"/>
        <w:rPr>
          <w:rFonts w:asciiTheme="minorEastAsia" w:hAnsiTheme="minorEastAsia" w:eastAsiaTheme="minorEastAsia"/>
          <w:color w:val="auto"/>
          <w:sz w:val="24"/>
          <w:szCs w:val="24"/>
          <w:highlight w:val="none"/>
        </w:rPr>
      </w:pPr>
    </w:p>
    <w:p w14:paraId="63D59671">
      <w:pPr>
        <w:tabs>
          <w:tab w:val="left" w:pos="4620"/>
        </w:tabs>
        <w:spacing w:line="360" w:lineRule="auto"/>
        <w:jc w:val="left"/>
        <w:rPr>
          <w:rFonts w:asciiTheme="minorEastAsia" w:hAnsiTheme="minorEastAsia" w:eastAsiaTheme="minorEastAsia"/>
          <w:color w:val="auto"/>
          <w:sz w:val="24"/>
          <w:szCs w:val="24"/>
          <w:highlight w:val="none"/>
        </w:rPr>
      </w:pPr>
    </w:p>
    <w:p w14:paraId="3FFD7722">
      <w:pPr>
        <w:tabs>
          <w:tab w:val="left" w:pos="4620"/>
        </w:tabs>
        <w:spacing w:line="360" w:lineRule="auto"/>
        <w:jc w:val="left"/>
        <w:rPr>
          <w:rFonts w:asciiTheme="minorEastAsia" w:hAnsiTheme="minorEastAsia" w:eastAsiaTheme="minorEastAsia"/>
          <w:color w:val="auto"/>
          <w:sz w:val="24"/>
          <w:szCs w:val="24"/>
          <w:highlight w:val="none"/>
        </w:rPr>
      </w:pPr>
    </w:p>
    <w:p w14:paraId="4FC974C4">
      <w:pPr>
        <w:tabs>
          <w:tab w:val="left" w:pos="4620"/>
        </w:tabs>
        <w:spacing w:line="360" w:lineRule="auto"/>
        <w:jc w:val="left"/>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54DE0B4">
      <w:pPr>
        <w:tabs>
          <w:tab w:val="left" w:pos="4620"/>
        </w:tabs>
        <w:spacing w:line="360" w:lineRule="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BC0D33">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4B949D76">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72CF6283">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0348D98D">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16618BFB">
      <w:pPr>
        <w:pStyle w:val="9"/>
        <w:rPr>
          <w:rFonts w:hint="eastAsia" w:asciiTheme="minorEastAsia" w:hAnsiTheme="minorEastAsia" w:eastAsiaTheme="minorEastAsia"/>
          <w:b/>
          <w:bCs/>
          <w:color w:val="auto"/>
          <w:szCs w:val="24"/>
          <w:highlight w:val="none"/>
        </w:rPr>
      </w:pPr>
    </w:p>
    <w:p w14:paraId="2E863C68">
      <w:pPr>
        <w:rPr>
          <w:rFonts w:hint="eastAsia" w:asciiTheme="minorEastAsia" w:hAnsiTheme="minorEastAsia" w:eastAsiaTheme="minorEastAsia"/>
          <w:b/>
          <w:color w:val="auto"/>
          <w:sz w:val="24"/>
          <w:highlight w:val="none"/>
        </w:rPr>
      </w:pPr>
      <w:bookmarkStart w:id="214" w:name="_Toc16713"/>
      <w:r>
        <w:rPr>
          <w:rFonts w:hint="eastAsia" w:asciiTheme="minorEastAsia" w:hAnsiTheme="minorEastAsia" w:eastAsiaTheme="minorEastAsia"/>
          <w:b/>
          <w:color w:val="auto"/>
          <w:sz w:val="24"/>
          <w:highlight w:val="none"/>
        </w:rPr>
        <w:br w:type="page"/>
      </w:r>
    </w:p>
    <w:p w14:paraId="3723B3C2">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5" w:name="_Toc17315"/>
      <w:r>
        <w:rPr>
          <w:rFonts w:hint="eastAsia" w:asciiTheme="minorEastAsia" w:hAnsiTheme="minorEastAsia" w:eastAsiaTheme="minorEastAsia"/>
          <w:b/>
          <w:color w:val="auto"/>
          <w:sz w:val="24"/>
          <w:highlight w:val="none"/>
          <w:lang w:val="en-US" w:eastAsia="zh-CN"/>
        </w:rPr>
        <w:t>八、残疾人福利性单位声明函</w:t>
      </w:r>
      <w:bookmarkEnd w:id="214"/>
      <w:bookmarkEnd w:id="215"/>
    </w:p>
    <w:p w14:paraId="09AA703C">
      <w:pPr>
        <w:pStyle w:val="9"/>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2E5FD5C9">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411E6FCE">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36D1D3E8">
      <w:pPr>
        <w:spacing w:line="360" w:lineRule="auto"/>
        <w:ind w:firstLine="4228" w:firstLineChars="1762"/>
        <w:rPr>
          <w:rFonts w:asciiTheme="minorEastAsia" w:hAnsiTheme="minorEastAsia" w:eastAsiaTheme="minorEastAsia"/>
          <w:color w:val="auto"/>
          <w:sz w:val="24"/>
          <w:szCs w:val="24"/>
          <w:highlight w:val="none"/>
        </w:rPr>
      </w:pPr>
    </w:p>
    <w:p w14:paraId="5C695D0C">
      <w:pPr>
        <w:spacing w:line="360" w:lineRule="auto"/>
        <w:ind w:firstLine="4228" w:firstLineChars="1762"/>
        <w:rPr>
          <w:rFonts w:asciiTheme="minorEastAsia" w:hAnsiTheme="minorEastAsia" w:eastAsiaTheme="minorEastAsia"/>
          <w:color w:val="auto"/>
          <w:sz w:val="24"/>
          <w:szCs w:val="24"/>
          <w:highlight w:val="none"/>
        </w:rPr>
      </w:pPr>
    </w:p>
    <w:p w14:paraId="328AC406">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3BC2F0EA">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2CB6C156">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28D45A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16" w:name="_Toc457768004"/>
      <w:bookmarkStart w:id="217" w:name="_Toc520299348"/>
      <w:bookmarkStart w:id="218" w:name="_Toc300210382"/>
      <w:bookmarkStart w:id="219" w:name="_Toc23860"/>
      <w:bookmarkStart w:id="220" w:name="_Toc26536"/>
      <w:bookmarkStart w:id="221" w:name="_Hlk11701496"/>
      <w:r>
        <w:rPr>
          <w:rFonts w:hint="eastAsia" w:asciiTheme="minorEastAsia" w:hAnsiTheme="minorEastAsia" w:eastAsiaTheme="minorEastAsia"/>
          <w:b/>
          <w:color w:val="auto"/>
          <w:sz w:val="24"/>
          <w:highlight w:val="none"/>
          <w:lang w:val="en-US" w:eastAsia="zh-CN"/>
        </w:rPr>
        <w:t>九、</w:t>
      </w:r>
      <w:r>
        <w:rPr>
          <w:rFonts w:hint="eastAsia" w:ascii="宋体" w:hAnsi="宋体" w:eastAsia="宋体" w:cs="@仿宋_GB2312"/>
          <w:b/>
          <w:color w:val="auto"/>
          <w:sz w:val="24"/>
          <w:szCs w:val="20"/>
          <w:highlight w:val="none"/>
        </w:rPr>
        <w:t>关于符合本国产品标准的声明函</w:t>
      </w:r>
    </w:p>
    <w:p w14:paraId="662D0BC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4C35CD48">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1261A172">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1.</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2"/>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2"/>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65ED92F9">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2.</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1F960B80">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32DDF7A0">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669C2D14">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7A72A5D0">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070E435D">
      <w:pPr>
        <w:tabs>
          <w:tab w:val="left" w:pos="4620"/>
        </w:tabs>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r>
        <w:rPr>
          <w:rFonts w:hint="eastAsia" w:ascii="宋体" w:hAnsi="宋体" w:eastAsia="宋体"/>
          <w:b w:val="0"/>
          <w:bCs/>
          <w:color w:val="auto"/>
          <w:szCs w:val="24"/>
          <w:highlight w:val="none"/>
          <w:lang w:eastAsia="zh-CN"/>
        </w:rPr>
        <w:t>1.产品如有型号，请在“产品名称”栏一并填写。</w:t>
      </w:r>
    </w:p>
    <w:p w14:paraId="00FF2818">
      <w:pPr>
        <w:tabs>
          <w:tab w:val="left" w:pos="4620"/>
        </w:tabs>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3712D6E2">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 xml:space="preserve">  /  </w:t>
      </w:r>
      <w:r>
        <w:rPr>
          <w:rFonts w:hint="eastAsia" w:ascii="宋体" w:hAnsi="宋体" w:eastAsia="宋体" w:cs="Times New Roman"/>
          <w:b w:val="0"/>
          <w:bCs/>
          <w:color w:val="auto"/>
          <w:szCs w:val="24"/>
          <w:highlight w:val="none"/>
          <w:lang w:val="en-US" w:eastAsia="zh-CN"/>
        </w:rPr>
        <w:t>的，无需填写。</w:t>
      </w:r>
    </w:p>
    <w:p w14:paraId="0B8B1D81">
      <w:pPr>
        <w:tabs>
          <w:tab w:val="left" w:pos="4620"/>
        </w:tabs>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4D1D2A22">
      <w:pPr>
        <w:spacing w:line="360" w:lineRule="auto"/>
        <w:jc w:val="left"/>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1637561">
      <w:pPr>
        <w:rPr>
          <w:rFonts w:hint="eastAsia" w:ascii="宋体" w:hAnsi="宋体" w:eastAsia="宋体" w:cs="Times New Roman"/>
          <w:b w:val="0"/>
          <w:bCs/>
          <w:color w:val="auto"/>
          <w:sz w:val="21"/>
          <w:szCs w:val="21"/>
          <w:highlight w:val="none"/>
          <w:lang w:val="en-US" w:eastAsia="zh-CN"/>
        </w:rPr>
      </w:pPr>
    </w:p>
    <w:p w14:paraId="32FEB19F">
      <w:pPr>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十、</w:t>
      </w:r>
      <w:bookmarkEnd w:id="216"/>
      <w:bookmarkEnd w:id="217"/>
      <w:bookmarkEnd w:id="218"/>
      <w:r>
        <w:rPr>
          <w:rFonts w:hint="eastAsia" w:asciiTheme="minorEastAsia" w:hAnsiTheme="minorEastAsia" w:eastAsiaTheme="minorEastAsia"/>
          <w:b/>
          <w:color w:val="auto"/>
          <w:sz w:val="24"/>
          <w:highlight w:val="none"/>
          <w:lang w:val="en-US" w:eastAsia="zh-CN"/>
        </w:rPr>
        <w:t>诚信履约承诺函</w:t>
      </w:r>
      <w:bookmarkEnd w:id="219"/>
      <w:bookmarkEnd w:id="220"/>
    </w:p>
    <w:p w14:paraId="39C76E7A">
      <w:pPr>
        <w:spacing w:line="360" w:lineRule="auto"/>
        <w:rPr>
          <w:rFonts w:asciiTheme="minorEastAsia" w:hAnsiTheme="minorEastAsia" w:eastAsiaTheme="minorEastAsia"/>
          <w:b/>
          <w:bCs/>
          <w:color w:val="auto"/>
          <w:sz w:val="24"/>
          <w:highlight w:val="none"/>
        </w:rPr>
      </w:pPr>
    </w:p>
    <w:p w14:paraId="2B54791F">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BA21B0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534FE635">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53B7EB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6730F35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6D58121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5F11787D">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610F212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1DCF637">
      <w:pPr>
        <w:spacing w:line="360" w:lineRule="auto"/>
        <w:rPr>
          <w:rFonts w:asciiTheme="minorEastAsia" w:hAnsiTheme="minorEastAsia" w:eastAsiaTheme="minorEastAsia"/>
          <w:bCs/>
          <w:color w:val="auto"/>
          <w:sz w:val="24"/>
          <w:highlight w:val="none"/>
        </w:rPr>
      </w:pPr>
    </w:p>
    <w:p w14:paraId="6E828A59">
      <w:pPr>
        <w:spacing w:line="360" w:lineRule="auto"/>
        <w:rPr>
          <w:rFonts w:asciiTheme="minorEastAsia" w:hAnsiTheme="minorEastAsia" w:eastAsiaTheme="minorEastAsia"/>
          <w:bCs/>
          <w:color w:val="auto"/>
          <w:sz w:val="24"/>
          <w:highlight w:val="none"/>
        </w:rPr>
      </w:pPr>
    </w:p>
    <w:p w14:paraId="6767BAE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E794567">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632C113">
      <w:pPr>
        <w:widowControl/>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21"/>
    <w:p w14:paraId="77C1016F">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22" w:name="_Toc32633"/>
      <w:bookmarkStart w:id="223" w:name="_Toc31807"/>
      <w:r>
        <w:rPr>
          <w:rFonts w:hint="eastAsia" w:asciiTheme="minorEastAsia" w:hAnsiTheme="minorEastAsia" w:eastAsiaTheme="minorEastAsia"/>
          <w:b/>
          <w:color w:val="auto"/>
          <w:sz w:val="24"/>
          <w:highlight w:val="none"/>
          <w:lang w:val="en-US" w:eastAsia="zh-CN"/>
        </w:rPr>
        <w:t>十一、其他相关证明材料</w:t>
      </w:r>
      <w:bookmarkEnd w:id="222"/>
      <w:bookmarkEnd w:id="223"/>
    </w:p>
    <w:p w14:paraId="4B4C3C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34805960">
      <w:pPr>
        <w:spacing w:line="360" w:lineRule="auto"/>
        <w:ind w:firstLine="480" w:firstLineChars="200"/>
        <w:rPr>
          <w:rFonts w:asciiTheme="minorEastAsia" w:hAnsiTheme="minorEastAsia" w:eastAsiaTheme="minorEastAsia"/>
          <w:color w:val="auto"/>
          <w:sz w:val="24"/>
          <w:highlight w:val="none"/>
        </w:rPr>
      </w:pPr>
    </w:p>
    <w:p w14:paraId="4A557BD2">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7D47B6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，如营业执照、证书</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技术标方案</w:t>
      </w:r>
      <w:r>
        <w:rPr>
          <w:rFonts w:asciiTheme="minorEastAsia" w:hAnsiTheme="minorEastAsia" w:eastAsiaTheme="minorEastAsia"/>
          <w:color w:val="auto"/>
          <w:sz w:val="24"/>
          <w:highlight w:val="none"/>
        </w:rPr>
        <w:t>等，应将上述证明材料制作成扫描件上传。</w:t>
      </w:r>
    </w:p>
    <w:p w14:paraId="6B55822E">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7E880C61">
      <w:pPr>
        <w:spacing w:line="360" w:lineRule="auto"/>
        <w:jc w:val="center"/>
        <w:outlineLvl w:val="0"/>
        <w:rPr>
          <w:rFonts w:ascii="宋体" w:hAnsi="宋体" w:eastAsia="宋体"/>
          <w:b/>
          <w:bCs/>
          <w:color w:val="auto"/>
          <w:sz w:val="28"/>
          <w:highlight w:val="none"/>
        </w:rPr>
      </w:pPr>
      <w:bookmarkStart w:id="224" w:name="_Toc6435"/>
      <w:bookmarkStart w:id="225" w:name="_Toc2081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4"/>
      <w:bookmarkEnd w:id="225"/>
    </w:p>
    <w:p w14:paraId="586AA144">
      <w:pPr>
        <w:spacing w:line="360" w:lineRule="auto"/>
        <w:jc w:val="center"/>
        <w:outlineLvl w:val="1"/>
        <w:rPr>
          <w:rFonts w:ascii="仿宋" w:hAnsi="仿宋" w:eastAsia="仿宋" w:cs="仿宋"/>
          <w:b/>
          <w:bCs/>
          <w:color w:val="auto"/>
          <w:sz w:val="32"/>
          <w:szCs w:val="44"/>
          <w:highlight w:val="none"/>
        </w:rPr>
      </w:pPr>
      <w:bookmarkStart w:id="226" w:name="_Toc6955"/>
      <w:bookmarkStart w:id="227" w:name="_Toc27159"/>
      <w:r>
        <w:rPr>
          <w:rFonts w:hint="eastAsia" w:ascii="仿宋" w:hAnsi="仿宋" w:eastAsia="仿宋" w:cs="仿宋"/>
          <w:b/>
          <w:bCs/>
          <w:color w:val="auto"/>
          <w:sz w:val="32"/>
          <w:szCs w:val="44"/>
          <w:highlight w:val="none"/>
        </w:rPr>
        <w:t>询问函范本</w:t>
      </w:r>
      <w:bookmarkEnd w:id="226"/>
      <w:bookmarkEnd w:id="227"/>
    </w:p>
    <w:p w14:paraId="5B8D074F">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782570A">
      <w:pPr>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6AD3240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68B09D69">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8" w:name="_Toc13899"/>
      <w:r>
        <w:rPr>
          <w:rFonts w:hint="eastAsia" w:cs="仿宋" w:asciiTheme="minorEastAsia" w:hAnsiTheme="minorEastAsia" w:eastAsiaTheme="minorEastAsia"/>
          <w:color w:val="auto"/>
          <w:sz w:val="24"/>
          <w:szCs w:val="24"/>
          <w:highlight w:val="none"/>
        </w:rPr>
        <w:t>一、(事项一)</w:t>
      </w:r>
      <w:bookmarkEnd w:id="228"/>
    </w:p>
    <w:p w14:paraId="1150BDD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7400B1F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6D534D8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5D427DFC">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9" w:name="_Toc3352"/>
      <w:r>
        <w:rPr>
          <w:rFonts w:hint="eastAsia" w:cs="仿宋" w:asciiTheme="minorEastAsia" w:hAnsiTheme="minorEastAsia" w:eastAsiaTheme="minorEastAsia"/>
          <w:color w:val="auto"/>
          <w:sz w:val="24"/>
          <w:szCs w:val="24"/>
          <w:highlight w:val="none"/>
        </w:rPr>
        <w:t>二、(事项二)</w:t>
      </w:r>
      <w:bookmarkEnd w:id="229"/>
    </w:p>
    <w:p w14:paraId="0F18CCE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DE7DDB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15661697">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310ECCA4">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43164BFF">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1F5ECB00">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12428EAC">
      <w:pPr>
        <w:jc w:val="center"/>
        <w:outlineLvl w:val="1"/>
        <w:rPr>
          <w:rFonts w:ascii="仿宋" w:hAnsi="仿宋" w:eastAsia="仿宋" w:cs="仿宋"/>
          <w:b/>
          <w:bCs/>
          <w:color w:val="auto"/>
          <w:sz w:val="32"/>
          <w:szCs w:val="44"/>
          <w:highlight w:val="none"/>
        </w:rPr>
      </w:pPr>
      <w:bookmarkStart w:id="230" w:name="_Toc1575"/>
      <w:bookmarkStart w:id="231" w:name="_Toc857"/>
      <w:r>
        <w:rPr>
          <w:rFonts w:hint="eastAsia" w:ascii="仿宋" w:hAnsi="仿宋" w:eastAsia="仿宋" w:cs="仿宋"/>
          <w:b/>
          <w:bCs/>
          <w:color w:val="auto"/>
          <w:sz w:val="32"/>
          <w:szCs w:val="44"/>
          <w:highlight w:val="none"/>
        </w:rPr>
        <w:t>质疑函范本</w:t>
      </w:r>
      <w:bookmarkEnd w:id="230"/>
      <w:bookmarkEnd w:id="231"/>
    </w:p>
    <w:p w14:paraId="2CEDD623">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32" w:name="_Toc21381"/>
      <w:r>
        <w:rPr>
          <w:rFonts w:hint="eastAsia" w:cs="仿宋" w:asciiTheme="minorEastAsia" w:hAnsiTheme="minorEastAsia" w:eastAsiaTheme="minorEastAsia"/>
          <w:b/>
          <w:bCs/>
          <w:color w:val="auto"/>
          <w:sz w:val="24"/>
          <w:szCs w:val="24"/>
          <w:highlight w:val="none"/>
        </w:rPr>
        <w:t>一、质疑供应商基本信息</w:t>
      </w:r>
      <w:bookmarkEnd w:id="232"/>
    </w:p>
    <w:p w14:paraId="3AF75A0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1BBA3E4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77C861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44C1EE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4AC775C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2B3296B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7FA6021B">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3" w:name="_Toc28415"/>
      <w:r>
        <w:rPr>
          <w:rFonts w:hint="eastAsia" w:cs="仿宋" w:asciiTheme="minorEastAsia" w:hAnsiTheme="minorEastAsia" w:eastAsiaTheme="minorEastAsia"/>
          <w:b/>
          <w:bCs/>
          <w:color w:val="auto"/>
          <w:sz w:val="24"/>
          <w:szCs w:val="24"/>
          <w:highlight w:val="none"/>
        </w:rPr>
        <w:t>二、质疑项目基本情况</w:t>
      </w:r>
      <w:bookmarkEnd w:id="233"/>
    </w:p>
    <w:p w14:paraId="04D8733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F96638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1733760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79F7BF9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A2FFB76">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4" w:name="_Toc19014"/>
      <w:r>
        <w:rPr>
          <w:rFonts w:hint="eastAsia" w:cs="仿宋" w:asciiTheme="minorEastAsia" w:hAnsiTheme="minorEastAsia" w:eastAsiaTheme="minorEastAsia"/>
          <w:b/>
          <w:bCs/>
          <w:color w:val="auto"/>
          <w:sz w:val="24"/>
          <w:szCs w:val="24"/>
          <w:highlight w:val="none"/>
        </w:rPr>
        <w:t>三、质疑事项具体内容</w:t>
      </w:r>
      <w:bookmarkEnd w:id="234"/>
    </w:p>
    <w:p w14:paraId="1B26424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33F0C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2B16E91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7C2633F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0BDA5FB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616A231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08D9034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27A65381">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5" w:name="_Toc17919"/>
      <w:r>
        <w:rPr>
          <w:rFonts w:hint="eastAsia" w:cs="仿宋" w:asciiTheme="minorEastAsia" w:hAnsiTheme="minorEastAsia" w:eastAsiaTheme="minorEastAsia"/>
          <w:b/>
          <w:bCs/>
          <w:color w:val="auto"/>
          <w:sz w:val="24"/>
          <w:szCs w:val="24"/>
          <w:highlight w:val="none"/>
        </w:rPr>
        <w:t>四、与质疑事项相关的质疑请求</w:t>
      </w:r>
      <w:bookmarkEnd w:id="235"/>
    </w:p>
    <w:p w14:paraId="2E11515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7091BDC8">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E4145EB">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1AFBD08C">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52DF422">
      <w:pPr>
        <w:outlineLvl w:val="0"/>
        <w:rPr>
          <w:rFonts w:asciiTheme="minorEastAsia" w:hAnsiTheme="minorEastAsia" w:eastAsiaTheme="minorEastAsia"/>
          <w:b/>
          <w:color w:val="auto"/>
          <w:sz w:val="28"/>
          <w:szCs w:val="32"/>
          <w:highlight w:val="none"/>
        </w:rPr>
      </w:pPr>
      <w:bookmarkStart w:id="236" w:name="_Toc9754"/>
      <w:bookmarkStart w:id="237" w:name="_Toc22239"/>
      <w:r>
        <w:rPr>
          <w:rFonts w:hint="eastAsia" w:asciiTheme="minorEastAsia" w:hAnsiTheme="minorEastAsia" w:eastAsiaTheme="minorEastAsia"/>
          <w:b/>
          <w:color w:val="auto"/>
          <w:sz w:val="28"/>
          <w:szCs w:val="32"/>
          <w:highlight w:val="none"/>
        </w:rPr>
        <w:t>质疑函制作说明：</w:t>
      </w:r>
      <w:bookmarkEnd w:id="236"/>
      <w:bookmarkEnd w:id="237"/>
    </w:p>
    <w:p w14:paraId="0E89B6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17FBD9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A0BDB3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227F2A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44F6AC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AA4C873">
      <w:pPr>
        <w:spacing w:line="360" w:lineRule="auto"/>
        <w:ind w:firstLine="435"/>
        <w:rPr>
          <w:color w:val="auto"/>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576D0C2-56EF-43DC-AC94-0CB7AACB1CD7}"/>
  </w:font>
  <w:font w:name="Arial">
    <w:panose1 w:val="020B0604020202020204"/>
    <w:charset w:val="01"/>
    <w:family w:val="swiss"/>
    <w:pitch w:val="default"/>
    <w:sig w:usb0="E0002EFF" w:usb1="C000785B" w:usb2="00000009" w:usb3="00000000" w:csb0="400001FF" w:csb1="FFFF0000"/>
    <w:embedRegular r:id="rId2" w:fontKey="{F706D157-4056-4F08-928B-D827553A0892}"/>
  </w:font>
  <w:font w:name="黑体">
    <w:panose1 w:val="02010609060101010101"/>
    <w:charset w:val="86"/>
    <w:family w:val="auto"/>
    <w:pitch w:val="default"/>
    <w:sig w:usb0="800002BF" w:usb1="38CF7CFA" w:usb2="00000016" w:usb3="00000000" w:csb0="00040001" w:csb1="00000000"/>
    <w:embedRegular r:id="rId3" w:fontKey="{5B2107A2-1FE3-4814-891B-42E970AF2A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4" w:fontKey="{E29B950D-3693-49C7-9FF8-67E2ADB73EBD}"/>
  </w:font>
  <w:font w:name="@微软简标宋">
    <w:altName w:val="宋体"/>
    <w:panose1 w:val="00000000000000000000"/>
    <w:charset w:val="86"/>
    <w:family w:val="auto"/>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embedRegular r:id="rId5" w:fontKey="{805876CD-D4ED-47B4-B332-830C4C8DD9F9}"/>
  </w:font>
  <w:font w:name="仿宋">
    <w:panose1 w:val="02010609060101010101"/>
    <w:charset w:val="86"/>
    <w:family w:val="auto"/>
    <w:pitch w:val="default"/>
    <w:sig w:usb0="800002BF" w:usb1="38CF7CFA" w:usb2="00000016" w:usb3="00000000" w:csb0="00040001" w:csb1="00000000"/>
    <w:embedRegular r:id="rId6" w:fontKey="{9429C9C0-E41A-4E2C-8E78-61C0255B27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10847">
    <w:pPr>
      <w:pStyle w:val="18"/>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10F3D">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AD5C26">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AAD5C26">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BE434">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E9969">
    <w:pPr>
      <w:pStyle w:val="19"/>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8DE3B"/>
    <w:multiLevelType w:val="multilevel"/>
    <w:tmpl w:val="1A28DE3B"/>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26443B6F"/>
    <w:multiLevelType w:val="multilevel"/>
    <w:tmpl w:val="26443B6F"/>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2A064A37"/>
    <w:multiLevelType w:val="singleLevel"/>
    <w:tmpl w:val="2A064A37"/>
    <w:lvl w:ilvl="0" w:tentative="0">
      <w:start w:val="3"/>
      <w:numFmt w:val="chineseCounting"/>
      <w:suff w:val="space"/>
      <w:lvlText w:val="第%1章"/>
      <w:lvlJc w:val="left"/>
      <w:rPr>
        <w:rFonts w:hint="eastAsia"/>
      </w:rPr>
    </w:lvl>
  </w:abstractNum>
  <w:abstractNum w:abstractNumId="3">
    <w:nsid w:val="440CF999"/>
    <w:multiLevelType w:val="multilevel"/>
    <w:tmpl w:val="440CF999"/>
    <w:lvl w:ilvl="0" w:tentative="0">
      <w:start w:val="1"/>
      <w:numFmt w:val="decimal"/>
      <w:suff w:val="space"/>
      <w:lvlText w:val="%1."/>
      <w:lvlJc w:val="left"/>
      <w:pPr>
        <w:ind w:left="0" w:firstLine="40"/>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
    <w:nsid w:val="4EF6ED7E"/>
    <w:multiLevelType w:val="singleLevel"/>
    <w:tmpl w:val="4EF6ED7E"/>
    <w:lvl w:ilvl="0" w:tentative="0">
      <w:start w:val="1"/>
      <w:numFmt w:val="decimal"/>
      <w:suff w:val="space"/>
      <w:lvlText w:val="(%1)"/>
      <w:lvlJc w:val="left"/>
      <w:pPr>
        <w:ind w:left="425" w:hanging="425"/>
      </w:pPr>
      <w:rPr>
        <w:rFonts w:hint="default"/>
      </w:rPr>
    </w:lvl>
  </w:abstractNum>
  <w:abstractNum w:abstractNumId="5">
    <w:nsid w:val="7164606A"/>
    <w:multiLevelType w:val="multilevel"/>
    <w:tmpl w:val="7164606A"/>
    <w:lvl w:ilvl="0" w:tentative="0">
      <w:start w:val="1"/>
      <w:numFmt w:val="decimal"/>
      <w:suff w:val="space"/>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C61F7"/>
    <w:rsid w:val="002D1258"/>
    <w:rsid w:val="002D128A"/>
    <w:rsid w:val="002D2965"/>
    <w:rsid w:val="002D3D02"/>
    <w:rsid w:val="002D4CB5"/>
    <w:rsid w:val="002D684B"/>
    <w:rsid w:val="002E3B26"/>
    <w:rsid w:val="002E4AB8"/>
    <w:rsid w:val="002E6413"/>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3B3E"/>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075ED9"/>
    <w:rsid w:val="01135223"/>
    <w:rsid w:val="012201F6"/>
    <w:rsid w:val="013B2B96"/>
    <w:rsid w:val="015B4FE6"/>
    <w:rsid w:val="01784E3E"/>
    <w:rsid w:val="01790506"/>
    <w:rsid w:val="017936BE"/>
    <w:rsid w:val="01877B89"/>
    <w:rsid w:val="01AA67C9"/>
    <w:rsid w:val="01AB2528"/>
    <w:rsid w:val="02056D00"/>
    <w:rsid w:val="0214602E"/>
    <w:rsid w:val="024270D6"/>
    <w:rsid w:val="026A5188"/>
    <w:rsid w:val="02A922FF"/>
    <w:rsid w:val="02AA19AC"/>
    <w:rsid w:val="02C73530"/>
    <w:rsid w:val="02C95F7F"/>
    <w:rsid w:val="03486B27"/>
    <w:rsid w:val="03887BE8"/>
    <w:rsid w:val="03EE0393"/>
    <w:rsid w:val="040A094E"/>
    <w:rsid w:val="04155920"/>
    <w:rsid w:val="04A171B4"/>
    <w:rsid w:val="04B35139"/>
    <w:rsid w:val="04C9495C"/>
    <w:rsid w:val="04D05CEB"/>
    <w:rsid w:val="04DF4603"/>
    <w:rsid w:val="04E36C96"/>
    <w:rsid w:val="050720BA"/>
    <w:rsid w:val="05237BC9"/>
    <w:rsid w:val="056800F4"/>
    <w:rsid w:val="056F201D"/>
    <w:rsid w:val="0580501B"/>
    <w:rsid w:val="05996C5D"/>
    <w:rsid w:val="05A46ABE"/>
    <w:rsid w:val="05B664D4"/>
    <w:rsid w:val="05BB42A5"/>
    <w:rsid w:val="05BC001D"/>
    <w:rsid w:val="06565D7C"/>
    <w:rsid w:val="069B5E85"/>
    <w:rsid w:val="06A57F83"/>
    <w:rsid w:val="06D7510F"/>
    <w:rsid w:val="07076C01"/>
    <w:rsid w:val="070B125C"/>
    <w:rsid w:val="071C12AC"/>
    <w:rsid w:val="074E231E"/>
    <w:rsid w:val="0779529F"/>
    <w:rsid w:val="07A934B3"/>
    <w:rsid w:val="08193505"/>
    <w:rsid w:val="08320A23"/>
    <w:rsid w:val="08B15E54"/>
    <w:rsid w:val="097D40AD"/>
    <w:rsid w:val="0980799C"/>
    <w:rsid w:val="09931868"/>
    <w:rsid w:val="099E2A5B"/>
    <w:rsid w:val="09B23C11"/>
    <w:rsid w:val="09F60351"/>
    <w:rsid w:val="0A0F6376"/>
    <w:rsid w:val="0A1E463F"/>
    <w:rsid w:val="0A353CEA"/>
    <w:rsid w:val="0A6A18DB"/>
    <w:rsid w:val="0AB5234F"/>
    <w:rsid w:val="0AC21FF6"/>
    <w:rsid w:val="0ACA278E"/>
    <w:rsid w:val="0AD6392F"/>
    <w:rsid w:val="0AEF3828"/>
    <w:rsid w:val="0B022069"/>
    <w:rsid w:val="0BBB665B"/>
    <w:rsid w:val="0C00473A"/>
    <w:rsid w:val="0C33303B"/>
    <w:rsid w:val="0C686809"/>
    <w:rsid w:val="0CB7664E"/>
    <w:rsid w:val="0CF14A50"/>
    <w:rsid w:val="0D2C2CB9"/>
    <w:rsid w:val="0D6F4C9E"/>
    <w:rsid w:val="0DA87805"/>
    <w:rsid w:val="0DC67C8B"/>
    <w:rsid w:val="0DCE3168"/>
    <w:rsid w:val="0DEB14A0"/>
    <w:rsid w:val="0DF041EC"/>
    <w:rsid w:val="0DFE5677"/>
    <w:rsid w:val="0E06277D"/>
    <w:rsid w:val="0E3E3CC5"/>
    <w:rsid w:val="0E6047C3"/>
    <w:rsid w:val="0E6A6868"/>
    <w:rsid w:val="0E816EC5"/>
    <w:rsid w:val="0EA512A6"/>
    <w:rsid w:val="0EC75A69"/>
    <w:rsid w:val="0EEA6FC1"/>
    <w:rsid w:val="0F4277C2"/>
    <w:rsid w:val="0F490B74"/>
    <w:rsid w:val="0F543075"/>
    <w:rsid w:val="0F5B4403"/>
    <w:rsid w:val="0F954485"/>
    <w:rsid w:val="0FBF344F"/>
    <w:rsid w:val="10045BDC"/>
    <w:rsid w:val="10505F32"/>
    <w:rsid w:val="105A27E6"/>
    <w:rsid w:val="106A6894"/>
    <w:rsid w:val="107531FC"/>
    <w:rsid w:val="10962101"/>
    <w:rsid w:val="10A122E9"/>
    <w:rsid w:val="10A96E44"/>
    <w:rsid w:val="11472E91"/>
    <w:rsid w:val="11553F80"/>
    <w:rsid w:val="118732D1"/>
    <w:rsid w:val="11967974"/>
    <w:rsid w:val="119B0711"/>
    <w:rsid w:val="11CB5870"/>
    <w:rsid w:val="11F56D91"/>
    <w:rsid w:val="120C3683"/>
    <w:rsid w:val="12197477"/>
    <w:rsid w:val="12541CFA"/>
    <w:rsid w:val="126A32DB"/>
    <w:rsid w:val="12706417"/>
    <w:rsid w:val="12F933E5"/>
    <w:rsid w:val="132D7EA5"/>
    <w:rsid w:val="1340228E"/>
    <w:rsid w:val="13497394"/>
    <w:rsid w:val="13587E2C"/>
    <w:rsid w:val="13734A09"/>
    <w:rsid w:val="13B30501"/>
    <w:rsid w:val="13C83D0C"/>
    <w:rsid w:val="13E440E6"/>
    <w:rsid w:val="13F1732F"/>
    <w:rsid w:val="13FF2FD4"/>
    <w:rsid w:val="14321BC3"/>
    <w:rsid w:val="14537D9F"/>
    <w:rsid w:val="1466407E"/>
    <w:rsid w:val="14834E28"/>
    <w:rsid w:val="148E7D65"/>
    <w:rsid w:val="14DE5E10"/>
    <w:rsid w:val="151D4243"/>
    <w:rsid w:val="15231BF9"/>
    <w:rsid w:val="154512F6"/>
    <w:rsid w:val="15455939"/>
    <w:rsid w:val="15717AE6"/>
    <w:rsid w:val="15883A78"/>
    <w:rsid w:val="158C3C38"/>
    <w:rsid w:val="15AD29D2"/>
    <w:rsid w:val="15F81CAB"/>
    <w:rsid w:val="16027CCE"/>
    <w:rsid w:val="162B0FD3"/>
    <w:rsid w:val="165A6653"/>
    <w:rsid w:val="169C639C"/>
    <w:rsid w:val="16D41229"/>
    <w:rsid w:val="170C1B2B"/>
    <w:rsid w:val="171516A8"/>
    <w:rsid w:val="172F4AF3"/>
    <w:rsid w:val="177C43B7"/>
    <w:rsid w:val="179B7A92"/>
    <w:rsid w:val="179F5278"/>
    <w:rsid w:val="17FF44C5"/>
    <w:rsid w:val="18135B13"/>
    <w:rsid w:val="18545973"/>
    <w:rsid w:val="18F03E0E"/>
    <w:rsid w:val="19467ED2"/>
    <w:rsid w:val="194F2935"/>
    <w:rsid w:val="195C4203"/>
    <w:rsid w:val="19AC41D9"/>
    <w:rsid w:val="1A3B68AA"/>
    <w:rsid w:val="1A3E1C1E"/>
    <w:rsid w:val="1A6802CD"/>
    <w:rsid w:val="1A7D5B75"/>
    <w:rsid w:val="1B043C16"/>
    <w:rsid w:val="1B377E16"/>
    <w:rsid w:val="1B835B95"/>
    <w:rsid w:val="1BF754B3"/>
    <w:rsid w:val="1BFB31F6"/>
    <w:rsid w:val="1C141836"/>
    <w:rsid w:val="1D0370D0"/>
    <w:rsid w:val="1D0E5DB7"/>
    <w:rsid w:val="1D320E99"/>
    <w:rsid w:val="1DE0470B"/>
    <w:rsid w:val="1E086516"/>
    <w:rsid w:val="1E497CC4"/>
    <w:rsid w:val="1E6B6A14"/>
    <w:rsid w:val="1F06438B"/>
    <w:rsid w:val="1F0B3750"/>
    <w:rsid w:val="1F10520A"/>
    <w:rsid w:val="1F3507CD"/>
    <w:rsid w:val="1F63358C"/>
    <w:rsid w:val="1F6F0182"/>
    <w:rsid w:val="1F9757E1"/>
    <w:rsid w:val="1FC234F7"/>
    <w:rsid w:val="1FE741BD"/>
    <w:rsid w:val="201725C8"/>
    <w:rsid w:val="20550D9A"/>
    <w:rsid w:val="20732AA8"/>
    <w:rsid w:val="21374CD0"/>
    <w:rsid w:val="21714B53"/>
    <w:rsid w:val="21876DAF"/>
    <w:rsid w:val="218E2416"/>
    <w:rsid w:val="21AE2AB8"/>
    <w:rsid w:val="21CD4745"/>
    <w:rsid w:val="223C6316"/>
    <w:rsid w:val="22573F07"/>
    <w:rsid w:val="226915FE"/>
    <w:rsid w:val="227422F7"/>
    <w:rsid w:val="22A807F7"/>
    <w:rsid w:val="22E14C32"/>
    <w:rsid w:val="230D4609"/>
    <w:rsid w:val="23102FE9"/>
    <w:rsid w:val="231132FF"/>
    <w:rsid w:val="232802D3"/>
    <w:rsid w:val="23406828"/>
    <w:rsid w:val="23857578"/>
    <w:rsid w:val="2398757C"/>
    <w:rsid w:val="23D700A4"/>
    <w:rsid w:val="23F63A81"/>
    <w:rsid w:val="240C7E61"/>
    <w:rsid w:val="246E5D54"/>
    <w:rsid w:val="248B0E8F"/>
    <w:rsid w:val="249C5A60"/>
    <w:rsid w:val="24A45984"/>
    <w:rsid w:val="24B97929"/>
    <w:rsid w:val="25010871"/>
    <w:rsid w:val="2520252D"/>
    <w:rsid w:val="25280C02"/>
    <w:rsid w:val="25862025"/>
    <w:rsid w:val="25BB0040"/>
    <w:rsid w:val="25F70700"/>
    <w:rsid w:val="26064C71"/>
    <w:rsid w:val="26163BC1"/>
    <w:rsid w:val="262221C3"/>
    <w:rsid w:val="268C786C"/>
    <w:rsid w:val="26E86A6C"/>
    <w:rsid w:val="26EA27E4"/>
    <w:rsid w:val="27036533"/>
    <w:rsid w:val="272C4678"/>
    <w:rsid w:val="27AC1848"/>
    <w:rsid w:val="281F201A"/>
    <w:rsid w:val="285F40CA"/>
    <w:rsid w:val="286C19CA"/>
    <w:rsid w:val="2886791B"/>
    <w:rsid w:val="28A40771"/>
    <w:rsid w:val="28C01ECB"/>
    <w:rsid w:val="28EC3ECC"/>
    <w:rsid w:val="290611F3"/>
    <w:rsid w:val="294E4EED"/>
    <w:rsid w:val="298A1EB4"/>
    <w:rsid w:val="298E56A9"/>
    <w:rsid w:val="29AE7AF9"/>
    <w:rsid w:val="29B26D29"/>
    <w:rsid w:val="29BF71E3"/>
    <w:rsid w:val="29CE6480"/>
    <w:rsid w:val="29D3130E"/>
    <w:rsid w:val="29DF4157"/>
    <w:rsid w:val="29E90B31"/>
    <w:rsid w:val="2A0B0AA8"/>
    <w:rsid w:val="2A127B63"/>
    <w:rsid w:val="2A2658E2"/>
    <w:rsid w:val="2A3F7F63"/>
    <w:rsid w:val="2A44220C"/>
    <w:rsid w:val="2A583915"/>
    <w:rsid w:val="2A75089E"/>
    <w:rsid w:val="2A8D770F"/>
    <w:rsid w:val="2A9E7B6E"/>
    <w:rsid w:val="2AAA4765"/>
    <w:rsid w:val="2AAA7CD3"/>
    <w:rsid w:val="2AC21606"/>
    <w:rsid w:val="2AF63C5E"/>
    <w:rsid w:val="2AFC6024"/>
    <w:rsid w:val="2B233A01"/>
    <w:rsid w:val="2B5167D1"/>
    <w:rsid w:val="2B612949"/>
    <w:rsid w:val="2B7E7608"/>
    <w:rsid w:val="2B7F04E9"/>
    <w:rsid w:val="2BDE3F9A"/>
    <w:rsid w:val="2C0E2AD1"/>
    <w:rsid w:val="2C305555"/>
    <w:rsid w:val="2C324425"/>
    <w:rsid w:val="2C5A5D16"/>
    <w:rsid w:val="2C666469"/>
    <w:rsid w:val="2C9A21B9"/>
    <w:rsid w:val="2C9A4365"/>
    <w:rsid w:val="2CB52F4D"/>
    <w:rsid w:val="2CE20523"/>
    <w:rsid w:val="2CE3435C"/>
    <w:rsid w:val="2D1265F1"/>
    <w:rsid w:val="2D2602C8"/>
    <w:rsid w:val="2D496D68"/>
    <w:rsid w:val="2D4F15F3"/>
    <w:rsid w:val="2D577E34"/>
    <w:rsid w:val="2D5A6E02"/>
    <w:rsid w:val="2D7D7F0E"/>
    <w:rsid w:val="2DAE631A"/>
    <w:rsid w:val="2DDB79AB"/>
    <w:rsid w:val="2DF67CC1"/>
    <w:rsid w:val="2E0561E7"/>
    <w:rsid w:val="2E0C3645"/>
    <w:rsid w:val="2E5F7614"/>
    <w:rsid w:val="2E6670FA"/>
    <w:rsid w:val="2E6672CB"/>
    <w:rsid w:val="2E7A48DE"/>
    <w:rsid w:val="2E896A73"/>
    <w:rsid w:val="2EDC3ED8"/>
    <w:rsid w:val="2F2D046C"/>
    <w:rsid w:val="2F326AD7"/>
    <w:rsid w:val="2F6351B4"/>
    <w:rsid w:val="2FCF199E"/>
    <w:rsid w:val="2FEC137B"/>
    <w:rsid w:val="30483E83"/>
    <w:rsid w:val="3058256D"/>
    <w:rsid w:val="30AA0E97"/>
    <w:rsid w:val="30FE2F92"/>
    <w:rsid w:val="319B41BE"/>
    <w:rsid w:val="327411B4"/>
    <w:rsid w:val="32C128BF"/>
    <w:rsid w:val="32D103B5"/>
    <w:rsid w:val="32DC173E"/>
    <w:rsid w:val="334E4CD8"/>
    <w:rsid w:val="33F94067"/>
    <w:rsid w:val="340F5D34"/>
    <w:rsid w:val="34256C0A"/>
    <w:rsid w:val="343C0775"/>
    <w:rsid w:val="343E7AF6"/>
    <w:rsid w:val="34790D04"/>
    <w:rsid w:val="34AA76A9"/>
    <w:rsid w:val="34D32B0A"/>
    <w:rsid w:val="35483E9F"/>
    <w:rsid w:val="356C50EC"/>
    <w:rsid w:val="35844AF3"/>
    <w:rsid w:val="35A3428A"/>
    <w:rsid w:val="35A9270C"/>
    <w:rsid w:val="35D11805"/>
    <w:rsid w:val="361108CD"/>
    <w:rsid w:val="361606F6"/>
    <w:rsid w:val="36317AE8"/>
    <w:rsid w:val="36483E35"/>
    <w:rsid w:val="364F7B1C"/>
    <w:rsid w:val="36643C02"/>
    <w:rsid w:val="36A504D3"/>
    <w:rsid w:val="3700166C"/>
    <w:rsid w:val="371C0798"/>
    <w:rsid w:val="3727617F"/>
    <w:rsid w:val="372866BE"/>
    <w:rsid w:val="37365F54"/>
    <w:rsid w:val="375969FE"/>
    <w:rsid w:val="37887291"/>
    <w:rsid w:val="37CE75B8"/>
    <w:rsid w:val="383218F5"/>
    <w:rsid w:val="38543F62"/>
    <w:rsid w:val="385B31D3"/>
    <w:rsid w:val="38694EE9"/>
    <w:rsid w:val="38B95B73"/>
    <w:rsid w:val="38C1701F"/>
    <w:rsid w:val="392A491E"/>
    <w:rsid w:val="393C6E91"/>
    <w:rsid w:val="39495F16"/>
    <w:rsid w:val="394F51A8"/>
    <w:rsid w:val="398B69FB"/>
    <w:rsid w:val="39A44A75"/>
    <w:rsid w:val="39D76BF8"/>
    <w:rsid w:val="3A971EE4"/>
    <w:rsid w:val="3AA007DD"/>
    <w:rsid w:val="3AC37AD7"/>
    <w:rsid w:val="3AE724D1"/>
    <w:rsid w:val="3AF92B9E"/>
    <w:rsid w:val="3AFE23B6"/>
    <w:rsid w:val="3B135A0E"/>
    <w:rsid w:val="3B1D68BB"/>
    <w:rsid w:val="3B365CC9"/>
    <w:rsid w:val="3B9A7B88"/>
    <w:rsid w:val="3BB865B6"/>
    <w:rsid w:val="3BC114FF"/>
    <w:rsid w:val="3BD31641"/>
    <w:rsid w:val="3BE850ED"/>
    <w:rsid w:val="3BF35840"/>
    <w:rsid w:val="3BF53366"/>
    <w:rsid w:val="3C2660C6"/>
    <w:rsid w:val="3CCF42AD"/>
    <w:rsid w:val="3CEC47DC"/>
    <w:rsid w:val="3CF33D4F"/>
    <w:rsid w:val="3D2C7AC8"/>
    <w:rsid w:val="3D4F6AA6"/>
    <w:rsid w:val="3D5F13DF"/>
    <w:rsid w:val="3D855D12"/>
    <w:rsid w:val="3D8B42FF"/>
    <w:rsid w:val="3D8C02DD"/>
    <w:rsid w:val="3DC20089"/>
    <w:rsid w:val="3DCE20C0"/>
    <w:rsid w:val="3DCE3E6E"/>
    <w:rsid w:val="3DD0481B"/>
    <w:rsid w:val="3DF36A6E"/>
    <w:rsid w:val="3DFD2E10"/>
    <w:rsid w:val="3EC01D7A"/>
    <w:rsid w:val="3F1138E1"/>
    <w:rsid w:val="3F11495A"/>
    <w:rsid w:val="3F1C50AD"/>
    <w:rsid w:val="3F282217"/>
    <w:rsid w:val="3F402B4A"/>
    <w:rsid w:val="3F6C2C66"/>
    <w:rsid w:val="3F792F1E"/>
    <w:rsid w:val="3F870779"/>
    <w:rsid w:val="3F9C66DF"/>
    <w:rsid w:val="402B37FA"/>
    <w:rsid w:val="40824826"/>
    <w:rsid w:val="40970E8F"/>
    <w:rsid w:val="40B05AAD"/>
    <w:rsid w:val="40E63923"/>
    <w:rsid w:val="411B386E"/>
    <w:rsid w:val="411E155D"/>
    <w:rsid w:val="413466DE"/>
    <w:rsid w:val="41366BDA"/>
    <w:rsid w:val="413B4C25"/>
    <w:rsid w:val="4140333C"/>
    <w:rsid w:val="41436921"/>
    <w:rsid w:val="415E19AD"/>
    <w:rsid w:val="41700A39"/>
    <w:rsid w:val="418F019B"/>
    <w:rsid w:val="41986C6D"/>
    <w:rsid w:val="41D66526"/>
    <w:rsid w:val="42545C34"/>
    <w:rsid w:val="4268258C"/>
    <w:rsid w:val="428A3F13"/>
    <w:rsid w:val="42B443F4"/>
    <w:rsid w:val="42CC6446"/>
    <w:rsid w:val="42CF2330"/>
    <w:rsid w:val="42EF6D61"/>
    <w:rsid w:val="42F43FD4"/>
    <w:rsid w:val="433B67EB"/>
    <w:rsid w:val="437454B8"/>
    <w:rsid w:val="43811983"/>
    <w:rsid w:val="43A15B81"/>
    <w:rsid w:val="43A91E5B"/>
    <w:rsid w:val="43BB24AE"/>
    <w:rsid w:val="44051025"/>
    <w:rsid w:val="44185ABF"/>
    <w:rsid w:val="44330E67"/>
    <w:rsid w:val="446D77B7"/>
    <w:rsid w:val="448E25A9"/>
    <w:rsid w:val="44A92F3F"/>
    <w:rsid w:val="44BC3308"/>
    <w:rsid w:val="44E4666D"/>
    <w:rsid w:val="44F52628"/>
    <w:rsid w:val="45060392"/>
    <w:rsid w:val="45827F5F"/>
    <w:rsid w:val="4594599D"/>
    <w:rsid w:val="45BA48DB"/>
    <w:rsid w:val="45BE11FB"/>
    <w:rsid w:val="45DC07AB"/>
    <w:rsid w:val="45EC3A2B"/>
    <w:rsid w:val="463A3650"/>
    <w:rsid w:val="46547931"/>
    <w:rsid w:val="467D4684"/>
    <w:rsid w:val="468A0B4E"/>
    <w:rsid w:val="469F0116"/>
    <w:rsid w:val="46C77447"/>
    <w:rsid w:val="46DC584E"/>
    <w:rsid w:val="46EA47AC"/>
    <w:rsid w:val="475259B7"/>
    <w:rsid w:val="47C931CF"/>
    <w:rsid w:val="47D604EF"/>
    <w:rsid w:val="47D72A0D"/>
    <w:rsid w:val="481D7ECC"/>
    <w:rsid w:val="485F78D6"/>
    <w:rsid w:val="48831CF9"/>
    <w:rsid w:val="48C20A74"/>
    <w:rsid w:val="48D3271B"/>
    <w:rsid w:val="491A440C"/>
    <w:rsid w:val="494871CB"/>
    <w:rsid w:val="4951655A"/>
    <w:rsid w:val="49A165B8"/>
    <w:rsid w:val="49B1408D"/>
    <w:rsid w:val="49D46CB0"/>
    <w:rsid w:val="4A0550BC"/>
    <w:rsid w:val="4A0D5D1E"/>
    <w:rsid w:val="4A34071C"/>
    <w:rsid w:val="4A392FB7"/>
    <w:rsid w:val="4A48543B"/>
    <w:rsid w:val="4A5D4EF8"/>
    <w:rsid w:val="4A63515A"/>
    <w:rsid w:val="4A7D4FD2"/>
    <w:rsid w:val="4A913C9A"/>
    <w:rsid w:val="4AE22D2F"/>
    <w:rsid w:val="4B1F70AC"/>
    <w:rsid w:val="4B240F94"/>
    <w:rsid w:val="4B386AE5"/>
    <w:rsid w:val="4B3F45FD"/>
    <w:rsid w:val="4BA75287"/>
    <w:rsid w:val="4BED70D6"/>
    <w:rsid w:val="4C3C565C"/>
    <w:rsid w:val="4C870CFC"/>
    <w:rsid w:val="4C936C5D"/>
    <w:rsid w:val="4C9433ED"/>
    <w:rsid w:val="4CCC79C7"/>
    <w:rsid w:val="4CD36B70"/>
    <w:rsid w:val="4D25224F"/>
    <w:rsid w:val="4D25632A"/>
    <w:rsid w:val="4D7555C7"/>
    <w:rsid w:val="4DF23BA9"/>
    <w:rsid w:val="4E110FEE"/>
    <w:rsid w:val="4E1B3100"/>
    <w:rsid w:val="4E2875CB"/>
    <w:rsid w:val="4E2D4BE1"/>
    <w:rsid w:val="4E843E1F"/>
    <w:rsid w:val="4EAE6DA0"/>
    <w:rsid w:val="4EB42C0C"/>
    <w:rsid w:val="4EC245E1"/>
    <w:rsid w:val="4F8222BE"/>
    <w:rsid w:val="4FD037EF"/>
    <w:rsid w:val="4FE305A5"/>
    <w:rsid w:val="50131BB5"/>
    <w:rsid w:val="5016514B"/>
    <w:rsid w:val="50263F5E"/>
    <w:rsid w:val="502857C7"/>
    <w:rsid w:val="50476D3D"/>
    <w:rsid w:val="50490437"/>
    <w:rsid w:val="50BE4216"/>
    <w:rsid w:val="50DC2713"/>
    <w:rsid w:val="50F72CFD"/>
    <w:rsid w:val="51220372"/>
    <w:rsid w:val="51CB1C78"/>
    <w:rsid w:val="51DB6702"/>
    <w:rsid w:val="51FD6A51"/>
    <w:rsid w:val="526B680A"/>
    <w:rsid w:val="528648C0"/>
    <w:rsid w:val="52C90BE7"/>
    <w:rsid w:val="52DD7039"/>
    <w:rsid w:val="53150D15"/>
    <w:rsid w:val="5352083E"/>
    <w:rsid w:val="535B3F9E"/>
    <w:rsid w:val="539120D6"/>
    <w:rsid w:val="53A24D78"/>
    <w:rsid w:val="54183C3E"/>
    <w:rsid w:val="541A5D30"/>
    <w:rsid w:val="545C7862"/>
    <w:rsid w:val="545E3D46"/>
    <w:rsid w:val="54F10566"/>
    <w:rsid w:val="54F24195"/>
    <w:rsid w:val="55086FD1"/>
    <w:rsid w:val="550C37A2"/>
    <w:rsid w:val="55100392"/>
    <w:rsid w:val="5516017D"/>
    <w:rsid w:val="553E632F"/>
    <w:rsid w:val="555146E8"/>
    <w:rsid w:val="55B31E70"/>
    <w:rsid w:val="55DF0EB7"/>
    <w:rsid w:val="55F068CD"/>
    <w:rsid w:val="56075D18"/>
    <w:rsid w:val="562E42B2"/>
    <w:rsid w:val="566C3136"/>
    <w:rsid w:val="568D04F2"/>
    <w:rsid w:val="56927CD7"/>
    <w:rsid w:val="56C84568"/>
    <w:rsid w:val="56DE4CCA"/>
    <w:rsid w:val="57244AC3"/>
    <w:rsid w:val="574D00A2"/>
    <w:rsid w:val="577B7287"/>
    <w:rsid w:val="57C02622"/>
    <w:rsid w:val="57D85BBE"/>
    <w:rsid w:val="58022C3B"/>
    <w:rsid w:val="58496ABB"/>
    <w:rsid w:val="586E26D1"/>
    <w:rsid w:val="586F211E"/>
    <w:rsid w:val="588D6DD7"/>
    <w:rsid w:val="58943156"/>
    <w:rsid w:val="59376914"/>
    <w:rsid w:val="5954639F"/>
    <w:rsid w:val="59703D5A"/>
    <w:rsid w:val="597638E0"/>
    <w:rsid w:val="59973856"/>
    <w:rsid w:val="59B368E2"/>
    <w:rsid w:val="5A320A03"/>
    <w:rsid w:val="5A526582"/>
    <w:rsid w:val="5A5F5C77"/>
    <w:rsid w:val="5A933291"/>
    <w:rsid w:val="5ABA2A7F"/>
    <w:rsid w:val="5ABF4E13"/>
    <w:rsid w:val="5AFC7E15"/>
    <w:rsid w:val="5B8D3163"/>
    <w:rsid w:val="5BA26C0E"/>
    <w:rsid w:val="5BB4249E"/>
    <w:rsid w:val="5BBE39CD"/>
    <w:rsid w:val="5BC11A60"/>
    <w:rsid w:val="5BE30FD5"/>
    <w:rsid w:val="5C052CF9"/>
    <w:rsid w:val="5C5042C3"/>
    <w:rsid w:val="5C7A4D54"/>
    <w:rsid w:val="5C891B7C"/>
    <w:rsid w:val="5CA467DF"/>
    <w:rsid w:val="5CA83096"/>
    <w:rsid w:val="5CD23B73"/>
    <w:rsid w:val="5CD252D1"/>
    <w:rsid w:val="5CDD77D2"/>
    <w:rsid w:val="5CFF31EA"/>
    <w:rsid w:val="5D2B5FC7"/>
    <w:rsid w:val="5D6B74D4"/>
    <w:rsid w:val="5DAA7FFC"/>
    <w:rsid w:val="5DB6074F"/>
    <w:rsid w:val="5E2A5187"/>
    <w:rsid w:val="5E4C2BC5"/>
    <w:rsid w:val="5E642C31"/>
    <w:rsid w:val="5F127819"/>
    <w:rsid w:val="5F5C5326"/>
    <w:rsid w:val="5F63752A"/>
    <w:rsid w:val="5F824661"/>
    <w:rsid w:val="5FD1566D"/>
    <w:rsid w:val="5FD64271"/>
    <w:rsid w:val="5FEC2857"/>
    <w:rsid w:val="5FF7504F"/>
    <w:rsid w:val="60803296"/>
    <w:rsid w:val="6096375C"/>
    <w:rsid w:val="60F1503F"/>
    <w:rsid w:val="61025188"/>
    <w:rsid w:val="61057D5F"/>
    <w:rsid w:val="61380ADF"/>
    <w:rsid w:val="614D4977"/>
    <w:rsid w:val="61534507"/>
    <w:rsid w:val="62D32401"/>
    <w:rsid w:val="62F12229"/>
    <w:rsid w:val="63081865"/>
    <w:rsid w:val="63BC45E5"/>
    <w:rsid w:val="63C60FC0"/>
    <w:rsid w:val="64393E88"/>
    <w:rsid w:val="6449399F"/>
    <w:rsid w:val="64715F45"/>
    <w:rsid w:val="6486074F"/>
    <w:rsid w:val="64A357A5"/>
    <w:rsid w:val="64B21544"/>
    <w:rsid w:val="64BA3D7A"/>
    <w:rsid w:val="64F179BC"/>
    <w:rsid w:val="65181CEF"/>
    <w:rsid w:val="656447FC"/>
    <w:rsid w:val="65646CE3"/>
    <w:rsid w:val="656C2A61"/>
    <w:rsid w:val="65C6174B"/>
    <w:rsid w:val="65C94C55"/>
    <w:rsid w:val="65D10988"/>
    <w:rsid w:val="665704D3"/>
    <w:rsid w:val="66882EA5"/>
    <w:rsid w:val="66D86CE1"/>
    <w:rsid w:val="66DF7B8A"/>
    <w:rsid w:val="672524A2"/>
    <w:rsid w:val="673148E2"/>
    <w:rsid w:val="675445CD"/>
    <w:rsid w:val="67672ABA"/>
    <w:rsid w:val="677E3283"/>
    <w:rsid w:val="679A4DB6"/>
    <w:rsid w:val="67C065A4"/>
    <w:rsid w:val="67D359C9"/>
    <w:rsid w:val="67FB3202"/>
    <w:rsid w:val="68D979E8"/>
    <w:rsid w:val="68FE36DD"/>
    <w:rsid w:val="69112CDD"/>
    <w:rsid w:val="694D5CE0"/>
    <w:rsid w:val="694E60FC"/>
    <w:rsid w:val="69EF4042"/>
    <w:rsid w:val="6A796361"/>
    <w:rsid w:val="6A8F3A1A"/>
    <w:rsid w:val="6AA3205B"/>
    <w:rsid w:val="6B4A6249"/>
    <w:rsid w:val="6B523C1B"/>
    <w:rsid w:val="6B624931"/>
    <w:rsid w:val="6BB40298"/>
    <w:rsid w:val="6BC52109"/>
    <w:rsid w:val="6BF80185"/>
    <w:rsid w:val="6C2E69C8"/>
    <w:rsid w:val="6C410A63"/>
    <w:rsid w:val="6C537AB1"/>
    <w:rsid w:val="6C675CE6"/>
    <w:rsid w:val="6C8400DD"/>
    <w:rsid w:val="6CEF35AF"/>
    <w:rsid w:val="6D0E77F2"/>
    <w:rsid w:val="6D4F4321"/>
    <w:rsid w:val="6D7F6FE9"/>
    <w:rsid w:val="6DCE74FE"/>
    <w:rsid w:val="6DDD5884"/>
    <w:rsid w:val="6DE20811"/>
    <w:rsid w:val="6DEF52C1"/>
    <w:rsid w:val="6DFF7360"/>
    <w:rsid w:val="6E4C47B8"/>
    <w:rsid w:val="6E5D4C17"/>
    <w:rsid w:val="6E757210"/>
    <w:rsid w:val="6E7954AC"/>
    <w:rsid w:val="6E7A5F73"/>
    <w:rsid w:val="6E91666F"/>
    <w:rsid w:val="6F0D2EB7"/>
    <w:rsid w:val="6F0F5F11"/>
    <w:rsid w:val="6F1E43A6"/>
    <w:rsid w:val="6F2B0C76"/>
    <w:rsid w:val="6F2E3798"/>
    <w:rsid w:val="6F327E52"/>
    <w:rsid w:val="6F5A2F04"/>
    <w:rsid w:val="6F6B6274"/>
    <w:rsid w:val="6FD74228"/>
    <w:rsid w:val="6FFEF36A"/>
    <w:rsid w:val="70343755"/>
    <w:rsid w:val="70A0215F"/>
    <w:rsid w:val="70B33744"/>
    <w:rsid w:val="70C44AD9"/>
    <w:rsid w:val="70FE5EDF"/>
    <w:rsid w:val="71003B2D"/>
    <w:rsid w:val="71415A90"/>
    <w:rsid w:val="71633091"/>
    <w:rsid w:val="71730D46"/>
    <w:rsid w:val="72F22CC6"/>
    <w:rsid w:val="730218E9"/>
    <w:rsid w:val="73081CA5"/>
    <w:rsid w:val="733C4C78"/>
    <w:rsid w:val="73483525"/>
    <w:rsid w:val="735760D9"/>
    <w:rsid w:val="73D56828"/>
    <w:rsid w:val="73D8682C"/>
    <w:rsid w:val="73DE613E"/>
    <w:rsid w:val="74545B7C"/>
    <w:rsid w:val="7487762D"/>
    <w:rsid w:val="74CA6436"/>
    <w:rsid w:val="75127057"/>
    <w:rsid w:val="75355E65"/>
    <w:rsid w:val="75385498"/>
    <w:rsid w:val="7539091C"/>
    <w:rsid w:val="755564CD"/>
    <w:rsid w:val="75614FED"/>
    <w:rsid w:val="75706FDE"/>
    <w:rsid w:val="75D91027"/>
    <w:rsid w:val="763E532E"/>
    <w:rsid w:val="769962BD"/>
    <w:rsid w:val="76BC207F"/>
    <w:rsid w:val="76E61739"/>
    <w:rsid w:val="76EB4904"/>
    <w:rsid w:val="76F31341"/>
    <w:rsid w:val="76F45827"/>
    <w:rsid w:val="77094566"/>
    <w:rsid w:val="774B1AB0"/>
    <w:rsid w:val="777378F5"/>
    <w:rsid w:val="777A2D3C"/>
    <w:rsid w:val="77836025"/>
    <w:rsid w:val="778F2AFC"/>
    <w:rsid w:val="779A47E6"/>
    <w:rsid w:val="77C211DC"/>
    <w:rsid w:val="77D53A70"/>
    <w:rsid w:val="77F27A3E"/>
    <w:rsid w:val="78032115"/>
    <w:rsid w:val="782A240A"/>
    <w:rsid w:val="783A2252"/>
    <w:rsid w:val="78537BEA"/>
    <w:rsid w:val="789C4B6A"/>
    <w:rsid w:val="79074B81"/>
    <w:rsid w:val="790E7239"/>
    <w:rsid w:val="794E5888"/>
    <w:rsid w:val="794F0939"/>
    <w:rsid w:val="79AF0FCA"/>
    <w:rsid w:val="79EF2560"/>
    <w:rsid w:val="7A307495"/>
    <w:rsid w:val="7A4106A2"/>
    <w:rsid w:val="7A6D08A5"/>
    <w:rsid w:val="7AE05356"/>
    <w:rsid w:val="7AF9279C"/>
    <w:rsid w:val="7B462BCF"/>
    <w:rsid w:val="7B5571CA"/>
    <w:rsid w:val="7BA7602B"/>
    <w:rsid w:val="7C8028A6"/>
    <w:rsid w:val="7C831CEC"/>
    <w:rsid w:val="7CC3033B"/>
    <w:rsid w:val="7CC51958"/>
    <w:rsid w:val="7CCB22B3"/>
    <w:rsid w:val="7CCF5A44"/>
    <w:rsid w:val="7CEC40B6"/>
    <w:rsid w:val="7CEC7205"/>
    <w:rsid w:val="7D0746CC"/>
    <w:rsid w:val="7D7F0D08"/>
    <w:rsid w:val="7D957F29"/>
    <w:rsid w:val="7DE20C95"/>
    <w:rsid w:val="7E2936C3"/>
    <w:rsid w:val="7E2E365C"/>
    <w:rsid w:val="7E6411B9"/>
    <w:rsid w:val="7E855AD2"/>
    <w:rsid w:val="7EB10D93"/>
    <w:rsid w:val="7EC01F50"/>
    <w:rsid w:val="7F4A74EA"/>
    <w:rsid w:val="7F7973D7"/>
    <w:rsid w:val="D6BA3E7D"/>
    <w:rsid w:val="DEF9C66F"/>
    <w:rsid w:val="F83ED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qFormat="1" w:unhideWhenUsed="0" w:uiPriority="39" w:semiHidden="0"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3"/>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8"/>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39"/>
    <w:pPr>
      <w:ind w:left="1260"/>
      <w:jc w:val="left"/>
    </w:pPr>
    <w:rPr>
      <w:sz w:val="18"/>
      <w:szCs w:val="18"/>
    </w:rPr>
  </w:style>
  <w:style w:type="paragraph" w:styleId="7">
    <w:name w:val="Normal Indent"/>
    <w:basedOn w:val="1"/>
    <w:next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0"/>
    <w:qFormat/>
    <w:uiPriority w:val="0"/>
    <w:pPr>
      <w:jc w:val="left"/>
    </w:pPr>
    <w:rPr>
      <w:rFonts w:ascii="Arial" w:hAnsi="Arial" w:eastAsia="黑体" w:cs="Arial"/>
    </w:rPr>
  </w:style>
  <w:style w:type="paragraph" w:styleId="9">
    <w:name w:val="Body Text"/>
    <w:basedOn w:val="1"/>
    <w:qFormat/>
    <w:uiPriority w:val="0"/>
    <w:pPr>
      <w:spacing w:after="120"/>
    </w:pPr>
    <w:rPr>
      <w:rFonts w:ascii="@微软简标宋" w:hAnsi="@微软简标宋" w:eastAsia="@微软简标宋" w:cs="@微软简标宋"/>
      <w:szCs w:val="24"/>
      <w:lang w:val="zh-CN"/>
    </w:rPr>
  </w:style>
  <w:style w:type="paragraph" w:styleId="10">
    <w:name w:val="Body Text Indent"/>
    <w:basedOn w:val="1"/>
    <w:next w:val="11"/>
    <w:unhideWhenUsed/>
    <w:qFormat/>
    <w:uiPriority w:val="0"/>
    <w:pPr>
      <w:spacing w:after="120"/>
      <w:ind w:left="420" w:leftChars="200"/>
    </w:pPr>
    <w:rPr>
      <w:rFonts w:asciiTheme="minorHAnsi" w:hAnsiTheme="minorHAnsi"/>
      <w:szCs w:val="22"/>
    </w:rPr>
  </w:style>
  <w:style w:type="paragraph" w:styleId="11">
    <w:name w:val="envelope return"/>
    <w:basedOn w:val="1"/>
    <w:qFormat/>
    <w:uiPriority w:val="0"/>
    <w:pPr>
      <w:snapToGrid w:val="0"/>
    </w:pPr>
    <w:rPr>
      <w:rFonts w:ascii="Arial" w:hAnsi="Arial"/>
    </w:rPr>
  </w:style>
  <w:style w:type="paragraph" w:styleId="12">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50"/>
    <w:qFormat/>
    <w:uiPriority w:val="99"/>
    <w:rPr>
      <w:rFonts w:ascii="宋体" w:hAnsi="Courier New" w:eastAsiaTheme="minorEastAsia" w:cstheme="minorBidi"/>
      <w:szCs w:val="22"/>
    </w:rPr>
  </w:style>
  <w:style w:type="paragraph" w:styleId="14">
    <w:name w:val="toc 8"/>
    <w:basedOn w:val="1"/>
    <w:next w:val="1"/>
    <w:qFormat/>
    <w:uiPriority w:val="39"/>
    <w:pPr>
      <w:ind w:left="1470"/>
      <w:jc w:val="left"/>
    </w:pPr>
    <w:rPr>
      <w:rFonts w:ascii="Calibri" w:hAnsi="Calibri"/>
      <w:sz w:val="18"/>
      <w:szCs w:val="18"/>
    </w:rPr>
  </w:style>
  <w:style w:type="paragraph" w:styleId="15">
    <w:name w:val="Date"/>
    <w:basedOn w:val="1"/>
    <w:next w:val="1"/>
    <w:link w:val="57"/>
    <w:qFormat/>
    <w:uiPriority w:val="0"/>
    <w:rPr>
      <w:rFonts w:ascii="Arial" w:hAnsi="Arial" w:eastAsia="宋体" w:cs="Arial"/>
      <w:b/>
      <w:sz w:val="28"/>
    </w:rPr>
  </w:style>
  <w:style w:type="paragraph" w:styleId="16">
    <w:name w:val="Body Text Indent 2"/>
    <w:basedOn w:val="1"/>
    <w:next w:val="1"/>
    <w:qFormat/>
    <w:uiPriority w:val="0"/>
    <w:pPr>
      <w:ind w:firstLine="640" w:firstLineChars="200"/>
    </w:pPr>
    <w:rPr>
      <w:rFonts w:ascii="Calibri" w:hAnsi="Calibri"/>
      <w:sz w:val="32"/>
    </w:rPr>
  </w:style>
  <w:style w:type="paragraph" w:styleId="17">
    <w:name w:val="Balloon Text"/>
    <w:basedOn w:val="1"/>
    <w:link w:val="44"/>
    <w:semiHidden/>
    <w:unhideWhenUsed/>
    <w:qFormat/>
    <w:uiPriority w:val="99"/>
    <w:rPr>
      <w:sz w:val="18"/>
      <w:szCs w:val="18"/>
    </w:rPr>
  </w:style>
  <w:style w:type="paragraph" w:styleId="18">
    <w:name w:val="footer"/>
    <w:basedOn w:val="1"/>
    <w:link w:val="49"/>
    <w:unhideWhenUsed/>
    <w:qFormat/>
    <w:uiPriority w:val="99"/>
    <w:pPr>
      <w:tabs>
        <w:tab w:val="center" w:pos="4153"/>
        <w:tab w:val="right" w:pos="8306"/>
      </w:tabs>
      <w:snapToGrid w:val="0"/>
      <w:jc w:val="left"/>
    </w:pPr>
    <w:rPr>
      <w:sz w:val="18"/>
      <w:szCs w:val="18"/>
    </w:rPr>
  </w:style>
  <w:style w:type="paragraph" w:styleId="19">
    <w:name w:val="header"/>
    <w:basedOn w:val="1"/>
    <w:link w:val="48"/>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qFormat/>
    <w:uiPriority w:val="0"/>
    <w:pPr>
      <w:spacing w:before="100" w:beforeAutospacing="1" w:after="100" w:afterAutospacing="1"/>
      <w:jc w:val="left"/>
    </w:pPr>
    <w:rPr>
      <w:rFonts w:cs="Times New Roman"/>
      <w:kern w:val="0"/>
      <w:sz w:val="24"/>
    </w:rPr>
  </w:style>
  <w:style w:type="paragraph" w:styleId="23">
    <w:name w:val="index 1"/>
    <w:basedOn w:val="1"/>
    <w:next w:val="1"/>
    <w:qFormat/>
    <w:uiPriority w:val="0"/>
    <w:pPr>
      <w:jc w:val="center"/>
    </w:pPr>
    <w:rPr>
      <w:rFonts w:ascii="Arial" w:hAnsi="Arial" w:eastAsia="Arial" w:cs="Arial"/>
      <w:b/>
      <w:bCs/>
      <w:sz w:val="28"/>
    </w:rPr>
  </w:style>
  <w:style w:type="paragraph" w:styleId="24">
    <w:name w:val="annotation subject"/>
    <w:basedOn w:val="8"/>
    <w:next w:val="8"/>
    <w:link w:val="71"/>
    <w:semiHidden/>
    <w:unhideWhenUsed/>
    <w:qFormat/>
    <w:uiPriority w:val="99"/>
    <w:rPr>
      <w:rFonts w:ascii="@仿宋_GB2312" w:hAnsi="@仿宋_GB2312" w:eastAsia="@仿宋_GB2312" w:cs="@仿宋_GB2312"/>
      <w:b/>
      <w:bCs/>
    </w:rPr>
  </w:style>
  <w:style w:type="paragraph" w:styleId="25">
    <w:name w:val="Body Text First Indent"/>
    <w:basedOn w:val="9"/>
    <w:unhideWhenUsed/>
    <w:qFormat/>
    <w:uiPriority w:val="99"/>
    <w:pPr>
      <w:ind w:firstLine="420" w:firstLineChars="100"/>
    </w:pPr>
  </w:style>
  <w:style w:type="paragraph" w:styleId="26">
    <w:name w:val="Body Text First Indent 2"/>
    <w:basedOn w:val="10"/>
    <w:next w:val="1"/>
    <w:qFormat/>
    <w:uiPriority w:val="0"/>
    <w:pPr>
      <w:spacing w:line="360" w:lineRule="auto"/>
      <w:ind w:firstLine="200"/>
    </w:pPr>
  </w:style>
  <w:style w:type="table" w:styleId="28">
    <w:name w:val="Table Grid"/>
    <w:basedOn w:val="2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0"/>
    <w:rPr>
      <w:b/>
      <w:bCs/>
    </w:rPr>
  </w:style>
  <w:style w:type="character" w:styleId="31">
    <w:name w:val="FollowedHyperlink"/>
    <w:basedOn w:val="29"/>
    <w:semiHidden/>
    <w:unhideWhenUsed/>
    <w:qFormat/>
    <w:uiPriority w:val="99"/>
    <w:rPr>
      <w:color w:val="5C5C5C"/>
      <w:u w:val="none"/>
    </w:rPr>
  </w:style>
  <w:style w:type="character" w:styleId="32">
    <w:name w:val="Emphasis"/>
    <w:basedOn w:val="29"/>
    <w:qFormat/>
    <w:uiPriority w:val="0"/>
    <w:rPr>
      <w:b/>
      <w:bCs/>
    </w:rPr>
  </w:style>
  <w:style w:type="character" w:styleId="33">
    <w:name w:val="HTML Definition"/>
    <w:basedOn w:val="29"/>
    <w:semiHidden/>
    <w:unhideWhenUsed/>
    <w:qFormat/>
    <w:uiPriority w:val="99"/>
  </w:style>
  <w:style w:type="character" w:styleId="34">
    <w:name w:val="HTML Typewriter"/>
    <w:basedOn w:val="29"/>
    <w:semiHidden/>
    <w:unhideWhenUsed/>
    <w:qFormat/>
    <w:uiPriority w:val="99"/>
    <w:rPr>
      <w:rFonts w:hint="default" w:ascii="monospace" w:hAnsi="monospace" w:eastAsia="monospace" w:cs="monospace"/>
      <w:sz w:val="20"/>
    </w:rPr>
  </w:style>
  <w:style w:type="character" w:styleId="35">
    <w:name w:val="HTML Acronym"/>
    <w:basedOn w:val="29"/>
    <w:semiHidden/>
    <w:unhideWhenUsed/>
    <w:qFormat/>
    <w:uiPriority w:val="99"/>
  </w:style>
  <w:style w:type="character" w:styleId="36">
    <w:name w:val="HTML Variable"/>
    <w:basedOn w:val="29"/>
    <w:semiHidden/>
    <w:unhideWhenUsed/>
    <w:qFormat/>
    <w:uiPriority w:val="99"/>
  </w:style>
  <w:style w:type="character" w:styleId="37">
    <w:name w:val="Hyperlink"/>
    <w:basedOn w:val="29"/>
    <w:unhideWhenUsed/>
    <w:qFormat/>
    <w:uiPriority w:val="99"/>
    <w:rPr>
      <w:color w:val="0000FF" w:themeColor="hyperlink"/>
      <w:u w:val="single"/>
      <w14:textFill>
        <w14:solidFill>
          <w14:schemeClr w14:val="hlink"/>
        </w14:solidFill>
      </w14:textFill>
    </w:rPr>
  </w:style>
  <w:style w:type="character" w:styleId="38">
    <w:name w:val="HTML Code"/>
    <w:basedOn w:val="29"/>
    <w:semiHidden/>
    <w:unhideWhenUsed/>
    <w:qFormat/>
    <w:uiPriority w:val="99"/>
    <w:rPr>
      <w:rFonts w:ascii="monospace" w:hAnsi="monospace" w:eastAsia="monospace" w:cs="monospace"/>
      <w:sz w:val="20"/>
    </w:rPr>
  </w:style>
  <w:style w:type="character" w:styleId="39">
    <w:name w:val="annotation reference"/>
    <w:basedOn w:val="29"/>
    <w:semiHidden/>
    <w:unhideWhenUsed/>
    <w:qFormat/>
    <w:uiPriority w:val="99"/>
    <w:rPr>
      <w:sz w:val="21"/>
      <w:szCs w:val="21"/>
    </w:rPr>
  </w:style>
  <w:style w:type="character" w:styleId="40">
    <w:name w:val="HTML Cite"/>
    <w:basedOn w:val="29"/>
    <w:semiHidden/>
    <w:unhideWhenUsed/>
    <w:qFormat/>
    <w:uiPriority w:val="99"/>
  </w:style>
  <w:style w:type="character" w:styleId="41">
    <w:name w:val="HTML Keyboard"/>
    <w:basedOn w:val="29"/>
    <w:semiHidden/>
    <w:unhideWhenUsed/>
    <w:qFormat/>
    <w:uiPriority w:val="99"/>
    <w:rPr>
      <w:rFonts w:hint="default" w:ascii="monospace" w:hAnsi="monospace" w:eastAsia="monospace" w:cs="monospace"/>
      <w:sz w:val="20"/>
      <w:bdr w:val="single" w:color="D6D6D6" w:sz="6" w:space="0"/>
      <w:shd w:val="clear" w:fill="FFFFFF"/>
    </w:rPr>
  </w:style>
  <w:style w:type="character" w:styleId="42">
    <w:name w:val="HTML Sample"/>
    <w:basedOn w:val="29"/>
    <w:semiHidden/>
    <w:unhideWhenUsed/>
    <w:qFormat/>
    <w:uiPriority w:val="99"/>
    <w:rPr>
      <w:rFonts w:hint="default" w:ascii="monospace" w:hAnsi="monospace" w:eastAsia="monospace" w:cs="monospace"/>
    </w:rPr>
  </w:style>
  <w:style w:type="paragraph" w:customStyle="1" w:styleId="43">
    <w:name w:val="表格文字"/>
    <w:basedOn w:val="10"/>
    <w:next w:val="9"/>
    <w:qFormat/>
    <w:uiPriority w:val="0"/>
    <w:pPr>
      <w:adjustRightInd w:val="0"/>
      <w:spacing w:line="420" w:lineRule="atLeast"/>
      <w:jc w:val="left"/>
      <w:textAlignment w:val="baseline"/>
    </w:pPr>
    <w:rPr>
      <w:kern w:val="0"/>
      <w:szCs w:val="20"/>
    </w:rPr>
  </w:style>
  <w:style w:type="character" w:customStyle="1" w:styleId="44">
    <w:name w:val="批注框文本 Char"/>
    <w:basedOn w:val="29"/>
    <w:link w:val="17"/>
    <w:semiHidden/>
    <w:qFormat/>
    <w:uiPriority w:val="99"/>
    <w:rPr>
      <w:rFonts w:ascii="@仿宋_GB2312" w:hAnsi="@仿宋_GB2312" w:eastAsia="@仿宋_GB2312" w:cs="@仿宋_GB2312"/>
      <w:sz w:val="18"/>
      <w:szCs w:val="18"/>
    </w:rPr>
  </w:style>
  <w:style w:type="paragraph" w:customStyle="1" w:styleId="45">
    <w:name w:val="正文（缩进）"/>
    <w:basedOn w:val="1"/>
    <w:qFormat/>
    <w:uiPriority w:val="0"/>
    <w:pPr>
      <w:widowControl/>
      <w:spacing w:before="156" w:after="156"/>
      <w:ind w:firstLine="480" w:firstLineChars="200"/>
      <w:jc w:val="left"/>
    </w:pPr>
    <w:rPr>
      <w:kern w:val="0"/>
      <w:sz w:val="24"/>
      <w:szCs w:val="24"/>
    </w:rPr>
  </w:style>
  <w:style w:type="paragraph" w:customStyle="1" w:styleId="46">
    <w:name w:val="xl31"/>
    <w:basedOn w:val="1"/>
    <w:qFormat/>
    <w:uiPriority w:val="0"/>
    <w:pPr>
      <w:widowControl/>
      <w:spacing w:before="100" w:beforeAutospacing="1" w:after="100" w:afterAutospacing="1"/>
      <w:jc w:val="center"/>
    </w:pPr>
    <w:rPr>
      <w:b/>
      <w:bCs/>
      <w:kern w:val="0"/>
      <w:sz w:val="28"/>
      <w:szCs w:val="28"/>
    </w:rPr>
  </w:style>
  <w:style w:type="paragraph" w:customStyle="1" w:styleId="47">
    <w:name w:val="D&amp;L"/>
    <w:basedOn w:val="19"/>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Char"/>
    <w:basedOn w:val="29"/>
    <w:link w:val="19"/>
    <w:qFormat/>
    <w:uiPriority w:val="99"/>
    <w:rPr>
      <w:rFonts w:ascii="@仿宋_GB2312" w:hAnsi="@仿宋_GB2312" w:eastAsia="@仿宋_GB2312" w:cs="@仿宋_GB2312"/>
      <w:sz w:val="18"/>
      <w:szCs w:val="18"/>
    </w:rPr>
  </w:style>
  <w:style w:type="character" w:customStyle="1" w:styleId="49">
    <w:name w:val="页脚 Char"/>
    <w:basedOn w:val="29"/>
    <w:link w:val="18"/>
    <w:qFormat/>
    <w:uiPriority w:val="99"/>
    <w:rPr>
      <w:rFonts w:ascii="@仿宋_GB2312" w:hAnsi="@仿宋_GB2312" w:eastAsia="@仿宋_GB2312" w:cs="@仿宋_GB2312"/>
      <w:sz w:val="18"/>
      <w:szCs w:val="18"/>
    </w:rPr>
  </w:style>
  <w:style w:type="character" w:customStyle="1" w:styleId="50">
    <w:name w:val="纯文本 Char"/>
    <w:link w:val="13"/>
    <w:qFormat/>
    <w:uiPriority w:val="0"/>
    <w:rPr>
      <w:rFonts w:ascii="宋体" w:hAnsi="Courier New"/>
    </w:rPr>
  </w:style>
  <w:style w:type="character" w:customStyle="1" w:styleId="51">
    <w:name w:val="纯文本 字符1"/>
    <w:basedOn w:val="29"/>
    <w:semiHidden/>
    <w:qFormat/>
    <w:uiPriority w:val="99"/>
    <w:rPr>
      <w:rFonts w:hAnsi="Courier New" w:cs="Courier New" w:asciiTheme="minorEastAsia"/>
      <w:szCs w:val="20"/>
    </w:rPr>
  </w:style>
  <w:style w:type="character" w:customStyle="1" w:styleId="52">
    <w:name w:val="未处理的提及1"/>
    <w:basedOn w:val="29"/>
    <w:semiHidden/>
    <w:unhideWhenUsed/>
    <w:qFormat/>
    <w:uiPriority w:val="99"/>
    <w:rPr>
      <w:color w:val="605E5C"/>
      <w:shd w:val="clear" w:color="auto" w:fill="E1DFDD"/>
    </w:rPr>
  </w:style>
  <w:style w:type="paragraph" w:styleId="53">
    <w:name w:val="List Paragraph"/>
    <w:basedOn w:val="1"/>
    <w:qFormat/>
    <w:uiPriority w:val="34"/>
    <w:pPr>
      <w:ind w:firstLine="420" w:firstLineChars="200"/>
    </w:pPr>
  </w:style>
  <w:style w:type="paragraph" w:customStyle="1" w:styleId="54">
    <w:name w:val="Char Char Char Char Char Char Char1 Char"/>
    <w:basedOn w:val="1"/>
    <w:qFormat/>
    <w:uiPriority w:val="0"/>
    <w:rPr>
      <w:rFonts w:ascii="Arial" w:hAnsi="Arial" w:eastAsia="宋体" w:cs="Arial"/>
      <w:sz w:val="24"/>
    </w:rPr>
  </w:style>
  <w:style w:type="table" w:customStyle="1" w:styleId="55">
    <w:name w:val="网格表 1 浅色1"/>
    <w:basedOn w:val="27"/>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29"/>
    <w:semiHidden/>
    <w:qFormat/>
    <w:uiPriority w:val="99"/>
    <w:rPr>
      <w:rFonts w:ascii="@仿宋_GB2312" w:hAnsi="@仿宋_GB2312" w:eastAsia="@仿宋_GB2312" w:cs="@仿宋_GB2312"/>
      <w:szCs w:val="20"/>
    </w:rPr>
  </w:style>
  <w:style w:type="character" w:customStyle="1" w:styleId="57">
    <w:name w:val="日期 Char"/>
    <w:link w:val="15"/>
    <w:qFormat/>
    <w:uiPriority w:val="0"/>
    <w:rPr>
      <w:rFonts w:ascii="Arial" w:hAnsi="Arial" w:eastAsia="宋体" w:cs="Arial"/>
      <w:b/>
      <w:sz w:val="28"/>
      <w:szCs w:val="20"/>
    </w:rPr>
  </w:style>
  <w:style w:type="character" w:customStyle="1" w:styleId="58">
    <w:name w:val="纯文本 Char1"/>
    <w:qFormat/>
    <w:locked/>
    <w:uiPriority w:val="99"/>
    <w:rPr>
      <w:rFonts w:ascii="Arial" w:hAnsi="Arial" w:eastAsia="Arial"/>
      <w:kern w:val="2"/>
      <w:sz w:val="21"/>
      <w:lang w:val="en-US" w:eastAsia="zh-CN" w:bidi="ar-SA"/>
    </w:rPr>
  </w:style>
  <w:style w:type="character" w:customStyle="1" w:styleId="59">
    <w:name w:val="批注文字 Char"/>
    <w:basedOn w:val="29"/>
    <w:semiHidden/>
    <w:qFormat/>
    <w:uiPriority w:val="99"/>
    <w:rPr>
      <w:rFonts w:ascii="@仿宋_GB2312" w:hAnsi="@仿宋_GB2312" w:eastAsia="@仿宋_GB2312" w:cs="@仿宋_GB2312"/>
      <w:szCs w:val="20"/>
    </w:rPr>
  </w:style>
  <w:style w:type="character" w:customStyle="1" w:styleId="60">
    <w:name w:val="批注文字 Char1"/>
    <w:link w:val="8"/>
    <w:qFormat/>
    <w:uiPriority w:val="0"/>
    <w:rPr>
      <w:rFonts w:ascii="Arial" w:hAnsi="Arial" w:eastAsia="黑体" w:cs="Arial"/>
      <w:szCs w:val="20"/>
    </w:rPr>
  </w:style>
  <w:style w:type="character" w:customStyle="1" w:styleId="61">
    <w:name w:val="标题 1 Char"/>
    <w:basedOn w:val="29"/>
    <w:link w:val="2"/>
    <w:qFormat/>
    <w:uiPriority w:val="9"/>
    <w:rPr>
      <w:rFonts w:ascii="@仿宋_GB2312" w:hAnsi="@仿宋_GB2312" w:eastAsia="@仿宋_GB2312" w:cs="@仿宋_GB2312"/>
      <w:b/>
      <w:bCs/>
      <w:kern w:val="44"/>
      <w:sz w:val="44"/>
      <w:szCs w:val="44"/>
    </w:rPr>
  </w:style>
  <w:style w:type="paragraph" w:customStyle="1" w:styleId="6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Char"/>
    <w:basedOn w:val="29"/>
    <w:link w:val="4"/>
    <w:semiHidden/>
    <w:qFormat/>
    <w:uiPriority w:val="9"/>
    <w:rPr>
      <w:rFonts w:ascii="@仿宋_GB2312" w:hAnsi="@仿宋_GB2312" w:eastAsia="@仿宋_GB2312" w:cs="@仿宋_GB2312"/>
      <w:b/>
      <w:bCs/>
      <w:sz w:val="32"/>
      <w:szCs w:val="32"/>
    </w:rPr>
  </w:style>
  <w:style w:type="character" w:customStyle="1" w:styleId="64">
    <w:name w:val="fontstyle01"/>
    <w:basedOn w:val="29"/>
    <w:qFormat/>
    <w:uiPriority w:val="0"/>
    <w:rPr>
      <w:rFonts w:hint="eastAsia" w:ascii="宋体" w:hAnsi="宋体" w:eastAsia="宋体"/>
      <w:color w:val="000000"/>
      <w:sz w:val="22"/>
      <w:szCs w:val="22"/>
    </w:rPr>
  </w:style>
  <w:style w:type="character" w:customStyle="1" w:styleId="65">
    <w:name w:val="fontstyle21"/>
    <w:basedOn w:val="29"/>
    <w:qFormat/>
    <w:uiPriority w:val="0"/>
    <w:rPr>
      <w:rFonts w:hint="default" w:ascii="TimesNewRomanPSMT" w:hAnsi="TimesNewRomanPSMT"/>
      <w:color w:val="000000"/>
      <w:sz w:val="22"/>
      <w:szCs w:val="22"/>
    </w:rPr>
  </w:style>
  <w:style w:type="character" w:customStyle="1" w:styleId="66">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29"/>
    <w:semiHidden/>
    <w:qFormat/>
    <w:uiPriority w:val="9"/>
    <w:rPr>
      <w:rFonts w:asciiTheme="majorHAnsi" w:hAnsiTheme="majorHAnsi" w:eastAsiaTheme="majorEastAsia" w:cstheme="majorBidi"/>
      <w:b/>
      <w:bCs/>
      <w:sz w:val="28"/>
      <w:szCs w:val="28"/>
    </w:rPr>
  </w:style>
  <w:style w:type="character" w:customStyle="1" w:styleId="68">
    <w:name w:val="标题 4 Char1"/>
    <w:link w:val="5"/>
    <w:qFormat/>
    <w:uiPriority w:val="0"/>
    <w:rPr>
      <w:rFonts w:ascii="@仿宋_GB2312" w:hAnsi="@仿宋_GB2312" w:eastAsia="@仿宋_GB2312" w:cs="@仿宋_GB2312"/>
      <w:b/>
      <w:bCs/>
      <w:sz w:val="28"/>
      <w:szCs w:val="28"/>
    </w:rPr>
  </w:style>
  <w:style w:type="character" w:customStyle="1" w:styleId="69">
    <w:name w:val="标题 4 Char"/>
    <w:qFormat/>
    <w:uiPriority w:val="0"/>
    <w:rPr>
      <w:rFonts w:ascii="Arial" w:hAnsi="Arial" w:eastAsia="Arial"/>
      <w:b/>
      <w:bCs/>
      <w:kern w:val="2"/>
      <w:sz w:val="28"/>
      <w:szCs w:val="28"/>
      <w:lang w:val="en-US" w:eastAsia="zh-CN" w:bidi="ar-SA"/>
    </w:rPr>
  </w:style>
  <w:style w:type="table" w:customStyle="1" w:styleId="70">
    <w:name w:val="网格型1"/>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1">
    <w:name w:val="批注主题 Char"/>
    <w:basedOn w:val="60"/>
    <w:link w:val="24"/>
    <w:semiHidden/>
    <w:qFormat/>
    <w:uiPriority w:val="99"/>
    <w:rPr>
      <w:rFonts w:ascii="@仿宋_GB2312" w:hAnsi="@仿宋_GB2312" w:eastAsia="@仿宋_GB2312" w:cs="@仿宋_GB2312"/>
      <w:b/>
      <w:bCs/>
      <w:szCs w:val="20"/>
    </w:rPr>
  </w:style>
  <w:style w:type="table" w:customStyle="1" w:styleId="72">
    <w:name w:val="Table Normal"/>
    <w:semiHidden/>
    <w:unhideWhenUsed/>
    <w:qFormat/>
    <w:uiPriority w:val="0"/>
    <w:tblPr>
      <w:tblCellMar>
        <w:top w:w="0" w:type="dxa"/>
        <w:left w:w="0" w:type="dxa"/>
        <w:bottom w:w="0" w:type="dxa"/>
        <w:right w:w="0" w:type="dxa"/>
      </w:tblCellMar>
    </w:tblPr>
  </w:style>
  <w:style w:type="paragraph" w:customStyle="1" w:styleId="73">
    <w:name w:val="Table Text"/>
    <w:basedOn w:val="1"/>
    <w:semiHidden/>
    <w:qFormat/>
    <w:uiPriority w:val="0"/>
    <w:rPr>
      <w:rFonts w:ascii="Arial" w:hAnsi="Arial" w:eastAsia="Arial" w:cs="Arial"/>
      <w:sz w:val="21"/>
      <w:szCs w:val="21"/>
      <w:lang w:val="en-US" w:eastAsia="en-US" w:bidi="ar-SA"/>
    </w:rPr>
  </w:style>
  <w:style w:type="paragraph" w:customStyle="1" w:styleId="7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5">
    <w:name w:val="hover"/>
    <w:basedOn w:val="29"/>
    <w:qFormat/>
    <w:uiPriority w:val="0"/>
    <w:rPr>
      <w:color w:val="2590EB"/>
    </w:rPr>
  </w:style>
  <w:style w:type="character" w:customStyle="1" w:styleId="76">
    <w:name w:val="hover1"/>
    <w:basedOn w:val="29"/>
    <w:qFormat/>
    <w:uiPriority w:val="0"/>
    <w:rPr>
      <w:color w:val="2590EB"/>
    </w:rPr>
  </w:style>
  <w:style w:type="character" w:customStyle="1" w:styleId="77">
    <w:name w:val="hover2"/>
    <w:basedOn w:val="29"/>
    <w:qFormat/>
    <w:uiPriority w:val="0"/>
  </w:style>
  <w:style w:type="character" w:customStyle="1" w:styleId="78">
    <w:name w:val="hover3"/>
    <w:basedOn w:val="29"/>
    <w:qFormat/>
    <w:uiPriority w:val="0"/>
    <w:rPr>
      <w:color w:val="2590EB"/>
      <w:shd w:val="clear" w:fill="E9F4FD"/>
    </w:rPr>
  </w:style>
  <w:style w:type="character" w:customStyle="1" w:styleId="79">
    <w:name w:val="hover4"/>
    <w:basedOn w:val="29"/>
    <w:qFormat/>
    <w:uiPriority w:val="0"/>
    <w:rPr>
      <w:color w:val="2590EB"/>
      <w:shd w:val="clear" w:fill="E9F4FD"/>
    </w:rPr>
  </w:style>
  <w:style w:type="character" w:customStyle="1" w:styleId="80">
    <w:name w:val="room"/>
    <w:basedOn w:val="29"/>
    <w:qFormat/>
    <w:uiPriority w:val="0"/>
  </w:style>
  <w:style w:type="character" w:customStyle="1" w:styleId="81">
    <w:name w:val="layui-layer-tabnow"/>
    <w:basedOn w:val="29"/>
    <w:qFormat/>
    <w:uiPriority w:val="0"/>
    <w:rPr>
      <w:bdr w:val="single" w:color="CCCCCC" w:sz="6" w:space="0"/>
      <w:shd w:val="clear" w:fill="FFFFFF"/>
    </w:rPr>
  </w:style>
  <w:style w:type="character" w:customStyle="1" w:styleId="82">
    <w:name w:val="timeaxis"/>
    <w:basedOn w:val="29"/>
    <w:qFormat/>
    <w:uiPriority w:val="0"/>
  </w:style>
  <w:style w:type="character" w:customStyle="1" w:styleId="83">
    <w:name w:val="first-child"/>
    <w:basedOn w:val="29"/>
    <w:qFormat/>
    <w:uiPriority w:val="0"/>
  </w:style>
  <w:style w:type="paragraph" w:customStyle="1" w:styleId="84">
    <w:name w:val="card-title"/>
    <w:basedOn w:val="1"/>
    <w:qFormat/>
    <w:uiPriority w:val="0"/>
    <w:pPr>
      <w:spacing w:line="600" w:lineRule="atLeast"/>
      <w:ind w:right="750"/>
      <w:jc w:val="left"/>
    </w:pPr>
    <w:rPr>
      <w:color w:val="666666"/>
      <w:kern w:val="0"/>
      <w:lang w:val="en-US" w:eastAsia="zh-CN" w:bidi="ar"/>
    </w:rPr>
  </w:style>
  <w:style w:type="character" w:customStyle="1" w:styleId="85">
    <w:name w:val="hover5"/>
    <w:basedOn w:val="29"/>
    <w:qFormat/>
    <w:uiPriority w:val="0"/>
    <w:rPr>
      <w:color w:val="2590EB"/>
    </w:rPr>
  </w:style>
  <w:style w:type="character" w:customStyle="1" w:styleId="86">
    <w:name w:val="hover6"/>
    <w:basedOn w:val="29"/>
    <w:qFormat/>
    <w:uiPriority w:val="0"/>
    <w:rPr>
      <w:color w:val="2590EB"/>
    </w:rPr>
  </w:style>
  <w:style w:type="character" w:customStyle="1" w:styleId="87">
    <w:name w:val="layui-this"/>
    <w:basedOn w:val="29"/>
    <w:qFormat/>
    <w:uiPriority w:val="0"/>
    <w:rPr>
      <w:bdr w:val="single" w:color="EEEEEE" w:sz="6" w:space="0"/>
      <w:shd w:val="clear" w:fill="FFFFFF"/>
    </w:rPr>
  </w:style>
  <w:style w:type="character" w:customStyle="1" w:styleId="88">
    <w:name w:val="fontstyle31"/>
    <w:basedOn w:val="29"/>
    <w:qFormat/>
    <w:uiPriority w:val="0"/>
    <w:rPr>
      <w:rFonts w:hint="default" w:ascii="TimesNewRomanPSMT" w:hAnsi="TimesNewRomanPSMT"/>
      <w:color w:val="000000"/>
      <w:sz w:val="30"/>
      <w:szCs w:val="30"/>
    </w:rPr>
  </w:style>
  <w:style w:type="paragraph" w:customStyle="1" w:styleId="89">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103</Pages>
  <Words>91</Words>
  <Characters>113</Characters>
  <Lines>244</Lines>
  <Paragraphs>68</Paragraphs>
  <TotalTime>35</TotalTime>
  <ScaleCrop>false</ScaleCrop>
  <LinksUpToDate>false</LinksUpToDate>
  <CharactersWithSpaces>122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2019-05-08T14:32:00Z</dcterms:created>
  <dc:creator>Anakin</dc:creator>
  <cp:lastModifiedBy>Pim Pom丶</cp:lastModifiedBy>
  <cp:lastPrinted>2026-10-13T03:29:00Z</cp:lastPrinted>
  <dcterms:modified xsi:type="dcterms:W3CDTF">2026-10-22T02:55:39Z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0EAAD28632BF4D14AF9BFA8D223135B8_13</vt:lpwstr>
  </property>
  <property fmtid="{D5CDD505-2E9C-101B-9397-08002B2CF9AE}" pid="4" name="KSOTemplateDocerSaveRecord">
    <vt:lpwstr>eyJoZGlkIjoiOTk1OGJkZDZlMmJiZjgxZThhZWQ4YzE0YWIxYTUyMmQiLCJ1c2VySWQiOiI0MDkyMjI1MTkifQ==</vt:lpwstr>
  </property>
</Properties>
</file>