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6A82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5532048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77D825B7">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41E8562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5867FCE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19DE0D3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34FD8A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771DE0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380A41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1622F0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767F44">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滁州市第二中学学生公寓家具采购项目</w:t>
      </w:r>
    </w:p>
    <w:p w14:paraId="4140C048">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czsjcg202606-003</w:t>
      </w:r>
    </w:p>
    <w:p w14:paraId="41D93CD6">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滁州市第二中学  </w:t>
      </w:r>
    </w:p>
    <w:p w14:paraId="1C94B61E">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滁州市政府采购中心</w:t>
      </w:r>
    </w:p>
    <w:p w14:paraId="011B9CE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F0A14D">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347146C1">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5EF6A05C">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91A3B79">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263B7E9C">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71560F6">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2</w:t>
      </w:r>
    </w:p>
    <w:p w14:paraId="234B5C6B">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2</w:t>
      </w:r>
    </w:p>
    <w:p w14:paraId="7C1176E1">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6</w:t>
      </w:r>
      <w:r>
        <w:rPr>
          <w:color w:val="auto"/>
          <w:highlight w:val="none"/>
        </w:rPr>
        <w:fldChar w:fldCharType="end"/>
      </w:r>
      <w:r>
        <w:rPr>
          <w:rFonts w:hint="eastAsia"/>
          <w:color w:val="auto"/>
          <w:highlight w:val="none"/>
          <w:lang w:val="en-US" w:eastAsia="zh-CN"/>
        </w:rPr>
        <w:t>2</w:t>
      </w:r>
    </w:p>
    <w:p w14:paraId="024CAFFC">
      <w:pPr>
        <w:pStyle w:val="20"/>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rFonts w:hint="eastAsia"/>
          <w:color w:val="auto"/>
          <w:highlight w:val="none"/>
          <w:lang w:val="en-US" w:eastAsia="zh-CN"/>
        </w:rPr>
        <w:t>78</w:t>
      </w:r>
      <w:r>
        <w:rPr>
          <w:color w:val="auto"/>
          <w:highlight w:val="none"/>
        </w:rPr>
        <w:fldChar w:fldCharType="end"/>
      </w:r>
      <w:r>
        <w:rPr>
          <w:rFonts w:asciiTheme="minorEastAsia" w:hAnsiTheme="minorEastAsia" w:eastAsiaTheme="minorEastAsia"/>
          <w:color w:val="auto"/>
          <w:szCs w:val="24"/>
          <w:highlight w:val="none"/>
        </w:rPr>
        <w:fldChar w:fldCharType="end"/>
      </w:r>
    </w:p>
    <w:p w14:paraId="16CBBC0F">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4E65A230">
      <w:pPr>
        <w:pStyle w:val="20"/>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B5B5C16">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936E386">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57A02490">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滁州市第二中学学生公寓家具采购项目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2026年8月20日8点50分</w:t>
      </w:r>
      <w:r>
        <w:rPr>
          <w:rFonts w:hint="eastAsia" w:ascii="宋体" w:hAnsi="宋体" w:eastAsia="宋体" w:cs="宋体"/>
          <w:color w:val="auto"/>
          <w:kern w:val="2"/>
          <w:sz w:val="24"/>
          <w:szCs w:val="24"/>
          <w:highlight w:val="none"/>
          <w:lang w:val="en-US" w:eastAsia="zh-CN" w:bidi="ar"/>
        </w:rPr>
        <w:t>（北京时间）前递交投标文件。</w:t>
      </w:r>
    </w:p>
    <w:p w14:paraId="2D56A207">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238A16CD">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项目编号：czsjcg202606-003</w:t>
      </w:r>
    </w:p>
    <w:p w14:paraId="79697DB4">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项目名称：滁州市第二中学学生公寓家具采购项目</w:t>
      </w:r>
    </w:p>
    <w:p w14:paraId="47CE6835">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预算金额：1365000.00元</w:t>
      </w:r>
    </w:p>
    <w:p w14:paraId="0DF6480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最高限价：1365000.00元，投标报价不得高于最高限价，否则按无效投标处理。</w:t>
      </w:r>
    </w:p>
    <w:p w14:paraId="7DBF10C7">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采购需求：学生公寓家具采购、安装及学生公寓内部现存床铺及家具的拆除、搬运。</w:t>
      </w:r>
    </w:p>
    <w:p w14:paraId="3F65015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single"/>
        </w:rPr>
        <w:t>自合同签订生效后，接到采购人通知之日起</w:t>
      </w:r>
      <w:r>
        <w:rPr>
          <w:rFonts w:hint="eastAsia" w:asciiTheme="minorEastAsia" w:hAnsiTheme="minorEastAsia" w:eastAsiaTheme="minorEastAsia"/>
          <w:color w:val="auto"/>
          <w:sz w:val="24"/>
          <w:highlight w:val="none"/>
          <w:u w:val="single"/>
          <w:lang w:val="en-US" w:eastAsia="zh-CN"/>
        </w:rPr>
        <w:t>40</w:t>
      </w:r>
      <w:r>
        <w:rPr>
          <w:rFonts w:hint="eastAsia" w:asciiTheme="minorEastAsia" w:hAnsiTheme="minorEastAsia" w:eastAsiaTheme="minorEastAsia"/>
          <w:color w:val="auto"/>
          <w:sz w:val="24"/>
          <w:highlight w:val="none"/>
          <w:u w:val="single"/>
        </w:rPr>
        <w:t>个日历天内完成货物的供货、安装、调试工作，并验收合格交付使用</w:t>
      </w:r>
      <w:r>
        <w:rPr>
          <w:rFonts w:hint="eastAsia" w:ascii="宋体" w:hAnsi="宋体" w:eastAsia="宋体" w:cs="宋体"/>
          <w:color w:val="auto"/>
          <w:kern w:val="2"/>
          <w:sz w:val="24"/>
          <w:szCs w:val="24"/>
          <w:highlight w:val="none"/>
          <w:lang w:val="en-US" w:eastAsia="zh-CN" w:bidi="ar"/>
        </w:rPr>
        <w:t>。</w:t>
      </w:r>
    </w:p>
    <w:p w14:paraId="37E60E3D">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6BD6B60">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01D246D1">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0F07334E">
      <w:pPr>
        <w:spacing w:line="420" w:lineRule="exact"/>
        <w:ind w:firstLine="435"/>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按照财政部、工业和信息化部制定的《政府采购促进中小企业发展管理办法》，本项目为专门面向中小企业采购项目。企业划型标准按照《关于印发中小企业划型标准规定的通知》（工信部联企业〔2011〕300号）规定执行；</w:t>
      </w:r>
    </w:p>
    <w:p w14:paraId="4CCCC7D8">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0B1730B3">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4.信誉要求：投标人不得存在以下情形：</w:t>
      </w:r>
    </w:p>
    <w:p w14:paraId="64DE8D25">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①被列入“信用中国”网站“失信被执行人”的；</w:t>
      </w:r>
    </w:p>
    <w:p w14:paraId="78B2D364">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②被列入“信用中国”网站“重大税收违法失信主体”的；</w:t>
      </w:r>
    </w:p>
    <w:p w14:paraId="02CE2AAD">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③被列入“信用中国”网站 “严重失信主体名单”的；</w:t>
      </w:r>
    </w:p>
    <w:p w14:paraId="44B6A43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④在“信用中国”网站上披露的仍在公示期的严重失信行为(具体行为类别及判定依据见“信用中国”查询的严重失信行为类别及判定依据)的。</w:t>
      </w:r>
    </w:p>
    <w:p w14:paraId="42E2953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⑤被列入国家企业信用信息公示系统网站“经营异常名录”或者“严重违法失信名单”的。</w:t>
      </w:r>
    </w:p>
    <w:p w14:paraId="17ACBEB5">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⑥被列入中国政府采购网站“政府采购严重违法失信行为信息记录”的。</w:t>
      </w:r>
    </w:p>
    <w:p w14:paraId="3D6C377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⑦前三年有行贿犯罪行为的单位和个人。</w:t>
      </w:r>
    </w:p>
    <w:p w14:paraId="4BE6D41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5.投标人所属分公司、办事处等分支机构存在第4款信誉要求①-⑦项情形之一的，接受其投标人参加本项目。</w:t>
      </w:r>
    </w:p>
    <w:p w14:paraId="166DBDE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备注：第4、5条按照“关于联合惩戒失信行为加强信用查询管理的通知”查询或承诺。</w:t>
      </w:r>
    </w:p>
    <w:p w14:paraId="4B7FB1D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7481679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2026年6月2日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2026年8月20日（提供期限自本公告发布之日起不得少于5个工作日）</w:t>
      </w:r>
    </w:p>
    <w:p w14:paraId="0AEB1E8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64D9B7B2">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56CFCA4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9E74B10">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79AABD3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2026年8月20日8点50分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1467194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64722055">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65EE9B5E">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139DC6E4">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08C29AD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E7CB97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4BE139A8">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5A9CC9C">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6AA2BFB6">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05770D4F">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34725C08">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滁州市第二中学</w:t>
      </w:r>
    </w:p>
    <w:p w14:paraId="46BC829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滁州市明光东路431号</w:t>
      </w:r>
    </w:p>
    <w:p w14:paraId="097BE3E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联系人：张壮</w:t>
      </w:r>
    </w:p>
    <w:p w14:paraId="0A949C95">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联系方式：18160876012</w:t>
      </w:r>
    </w:p>
    <w:p w14:paraId="2438983F">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0DD8611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滁州市政府采购中心</w:t>
      </w:r>
    </w:p>
    <w:p w14:paraId="421F51AA">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滁州市龙蟠大道109号房产商务大厦2楼</w:t>
      </w:r>
    </w:p>
    <w:p w14:paraId="6F5502F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联系人：周蓓蕾</w:t>
      </w:r>
    </w:p>
    <w:p w14:paraId="031802F2">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联系方式：0550-3519519、18005505728</w:t>
      </w:r>
    </w:p>
    <w:p w14:paraId="382CDD8E">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449D0FB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7DB74A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4017A15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1B906841">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0F87B09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4615C53C">
      <w:pPr>
        <w:spacing w:line="360" w:lineRule="auto"/>
        <w:jc w:val="center"/>
        <w:outlineLvl w:val="1"/>
        <w:rPr>
          <w:rFonts w:asciiTheme="minorEastAsia" w:hAnsiTheme="minorEastAsia" w:eastAsiaTheme="minorEastAsia"/>
          <w:b/>
          <w:color w:val="auto"/>
          <w:sz w:val="24"/>
          <w:highlight w:val="none"/>
        </w:rPr>
      </w:pPr>
      <w:bookmarkStart w:id="3" w:name="_Toc3114"/>
      <w:bookmarkStart w:id="4"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382BCE7C">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3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2200"/>
        <w:gridCol w:w="5790"/>
      </w:tblGrid>
      <w:tr w14:paraId="6F4A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23B46AB9">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98" w:type="pct"/>
            <w:vAlign w:val="center"/>
          </w:tcPr>
          <w:p w14:paraId="63DF797B">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152" w:type="pct"/>
            <w:vAlign w:val="center"/>
          </w:tcPr>
          <w:p w14:paraId="29D0B71B">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8B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D54FC54">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98" w:type="pct"/>
            <w:vAlign w:val="center"/>
          </w:tcPr>
          <w:p w14:paraId="3F967F5A">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152" w:type="pct"/>
            <w:vAlign w:val="center"/>
          </w:tcPr>
          <w:p w14:paraId="5220493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119E1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E79964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181C332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FCBA0A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33AC2F1">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39DC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CA32EE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98" w:type="pct"/>
            <w:vAlign w:val="center"/>
          </w:tcPr>
          <w:p w14:paraId="30336F5A">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152" w:type="pct"/>
            <w:vAlign w:val="center"/>
          </w:tcPr>
          <w:p w14:paraId="60CDFC4F">
            <w:pPr>
              <w:pStyle w:val="46"/>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736D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57AC169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98" w:type="pct"/>
            <w:vAlign w:val="center"/>
          </w:tcPr>
          <w:p w14:paraId="395DF4C8">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152" w:type="pct"/>
            <w:vAlign w:val="center"/>
          </w:tcPr>
          <w:p w14:paraId="53B69A7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456C4922">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3CD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8" w:type="pct"/>
            <w:vAlign w:val="center"/>
          </w:tcPr>
          <w:p w14:paraId="45B08E9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98" w:type="pct"/>
            <w:vAlign w:val="center"/>
          </w:tcPr>
          <w:p w14:paraId="1E5AABA0">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152" w:type="pct"/>
            <w:vAlign w:val="center"/>
          </w:tcPr>
          <w:p w14:paraId="1AADC726">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073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48BCB38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98" w:type="pct"/>
            <w:vAlign w:val="center"/>
          </w:tcPr>
          <w:p w14:paraId="63CE91A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152" w:type="pct"/>
            <w:vAlign w:val="center"/>
          </w:tcPr>
          <w:p w14:paraId="0A1B703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6A6E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06151E0C">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98" w:type="pct"/>
            <w:vAlign w:val="center"/>
          </w:tcPr>
          <w:p w14:paraId="08B2603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152" w:type="pct"/>
            <w:vAlign w:val="center"/>
          </w:tcPr>
          <w:p w14:paraId="4A6D2AF1">
            <w:pPr>
              <w:pStyle w:val="46"/>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7E81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49F04D9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98" w:type="pct"/>
            <w:vAlign w:val="center"/>
          </w:tcPr>
          <w:p w14:paraId="463E3CC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152" w:type="pct"/>
            <w:vAlign w:val="center"/>
          </w:tcPr>
          <w:p w14:paraId="3CEE2173">
            <w:pPr>
              <w:pStyle w:val="46"/>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264330E">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EE5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797174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98" w:type="pct"/>
            <w:vAlign w:val="center"/>
          </w:tcPr>
          <w:p w14:paraId="17C2ACE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152" w:type="pct"/>
            <w:vAlign w:val="center"/>
          </w:tcPr>
          <w:p w14:paraId="73FE4C16">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15FCA02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14D0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EAD2D8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98" w:type="pct"/>
            <w:vAlign w:val="center"/>
          </w:tcPr>
          <w:p w14:paraId="040E864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40D99D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152" w:type="pct"/>
            <w:vAlign w:val="center"/>
          </w:tcPr>
          <w:p w14:paraId="49F7F7F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DF71A3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BFE9BB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B39D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C7E3D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3873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5A0DEBB">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98" w:type="pct"/>
            <w:vAlign w:val="center"/>
          </w:tcPr>
          <w:p w14:paraId="43040E1F">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3152" w:type="pct"/>
            <w:vAlign w:val="center"/>
          </w:tcPr>
          <w:p w14:paraId="4116513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A1D3E17">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04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FDC3CD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98" w:type="pct"/>
            <w:vAlign w:val="center"/>
          </w:tcPr>
          <w:p w14:paraId="773F070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152" w:type="pct"/>
            <w:vAlign w:val="center"/>
          </w:tcPr>
          <w:p w14:paraId="0EBFAEAE">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评</w:t>
            </w:r>
            <w:r>
              <w:rPr>
                <w:rFonts w:hint="eastAsia" w:ascii="宋体" w:hAnsi="宋体" w:eastAsia="宋体"/>
                <w:b w:val="0"/>
                <w:color w:val="auto"/>
                <w:sz w:val="24"/>
                <w:highlight w:val="none"/>
                <w:u w:val="none"/>
              </w:rPr>
              <w:t>标委员会推荐3名中标候选人</w:t>
            </w:r>
          </w:p>
        </w:tc>
      </w:tr>
      <w:tr w14:paraId="15C6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07D0AA00">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98" w:type="pct"/>
            <w:vAlign w:val="center"/>
          </w:tcPr>
          <w:p w14:paraId="092CBF6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152" w:type="pct"/>
            <w:vAlign w:val="center"/>
          </w:tcPr>
          <w:p w14:paraId="38E9C1D2">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30213FB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7EB7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8DFAA5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98" w:type="pct"/>
            <w:vAlign w:val="center"/>
          </w:tcPr>
          <w:p w14:paraId="46F19D1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152" w:type="pct"/>
            <w:vAlign w:val="center"/>
          </w:tcPr>
          <w:p w14:paraId="37D9DD44">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26994130">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CBEEFE4">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5B9CA24C">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842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86145F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98" w:type="pct"/>
            <w:vAlign w:val="center"/>
          </w:tcPr>
          <w:p w14:paraId="0D561CE5">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152" w:type="pct"/>
            <w:vAlign w:val="center"/>
          </w:tcPr>
          <w:p w14:paraId="25109713">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2B37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CDEAC5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98" w:type="pct"/>
            <w:vAlign w:val="center"/>
          </w:tcPr>
          <w:p w14:paraId="2F9290B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152" w:type="pct"/>
            <w:vAlign w:val="center"/>
          </w:tcPr>
          <w:p w14:paraId="730E4A0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AF33513">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DB0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8" w:type="pct"/>
            <w:vAlign w:val="center"/>
          </w:tcPr>
          <w:p w14:paraId="19C1454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98" w:type="pct"/>
            <w:vAlign w:val="center"/>
          </w:tcPr>
          <w:p w14:paraId="538F30E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152" w:type="pct"/>
          </w:tcPr>
          <w:p w14:paraId="79E077B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53668024">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298399C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524DA75A">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2DC07DA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08DCB9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25768F0A">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18F4B3C2">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2B4D2BBF">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验收合格，一次性退还</w:t>
            </w:r>
          </w:p>
          <w:p w14:paraId="16CC2B2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779BD63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8A4DD1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7B52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48" w:type="pct"/>
            <w:vAlign w:val="center"/>
          </w:tcPr>
          <w:p w14:paraId="5310C65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98" w:type="pct"/>
            <w:vAlign w:val="center"/>
          </w:tcPr>
          <w:p w14:paraId="73A688AA">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152" w:type="pct"/>
          </w:tcPr>
          <w:p w14:paraId="77DD89D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2207590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02DA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370231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98" w:type="pct"/>
            <w:vAlign w:val="center"/>
          </w:tcPr>
          <w:p w14:paraId="25139819">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152" w:type="pct"/>
            <w:vAlign w:val="center"/>
          </w:tcPr>
          <w:p w14:paraId="21BFABA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中标人</w:t>
            </w:r>
          </w:p>
          <w:p w14:paraId="514B8239">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本项目不向采购人及中标人收取代理费用</w:t>
            </w:r>
          </w:p>
          <w:p w14:paraId="5C7DEB3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color="auto"/>
                <w:lang w:val="en-US" w:eastAsia="zh-CN" w:bidi="ar-SA"/>
              </w:rPr>
              <w:t>《滁州市公共资源交易代理机构及从业人员管理暂行办法》滁公管〔2022〕5号</w:t>
            </w:r>
            <w:r>
              <w:rPr>
                <w:rFonts w:hint="default" w:ascii="宋体" w:hAnsi="宋体" w:eastAsia="宋体" w:cs="@仿宋_GB2312"/>
                <w:b w:val="0"/>
                <w:bCs/>
                <w:color w:val="auto"/>
                <w:kern w:val="0"/>
                <w:sz w:val="24"/>
                <w:szCs w:val="28"/>
                <w:highlight w:val="none"/>
                <w:u w:val="single"/>
                <w:lang w:val="en-US" w:eastAsia="zh-CN" w:bidi="ar-SA"/>
              </w:rPr>
              <w:t>（约</w:t>
            </w:r>
            <w:r>
              <w:rPr>
                <w:rFonts w:hint="eastAsia" w:ascii="宋体" w:hAnsi="宋体" w:eastAsia="宋体" w:cs="@仿宋_GB2312"/>
                <w:b w:val="0"/>
                <w:bCs/>
                <w:color w:val="auto"/>
                <w:kern w:val="0"/>
                <w:sz w:val="24"/>
                <w:szCs w:val="28"/>
                <w:highlight w:val="none"/>
                <w:u w:val="single"/>
                <w:lang w:val="en-US" w:eastAsia="zh-CN" w:bidi="ar-SA"/>
              </w:rPr>
              <w:t>9508</w:t>
            </w:r>
            <w:r>
              <w:rPr>
                <w:rFonts w:hint="default" w:ascii="宋体" w:hAnsi="宋体" w:eastAsia="宋体" w:cs="@仿宋_GB2312"/>
                <w:b w:val="0"/>
                <w:bCs/>
                <w:color w:val="auto"/>
                <w:kern w:val="0"/>
                <w:sz w:val="24"/>
                <w:szCs w:val="28"/>
                <w:highlight w:val="none"/>
                <w:u w:val="single"/>
                <w:lang w:val="en-US" w:eastAsia="zh-CN" w:bidi="ar-SA"/>
              </w:rPr>
              <w:t>元）</w:t>
            </w:r>
          </w:p>
        </w:tc>
      </w:tr>
      <w:tr w14:paraId="7FFE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D953DC7">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98" w:type="pct"/>
            <w:vAlign w:val="center"/>
          </w:tcPr>
          <w:p w14:paraId="70B6C6EC">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152" w:type="pct"/>
            <w:vAlign w:val="center"/>
          </w:tcPr>
          <w:p w14:paraId="1BBB2A26">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444DF615">
            <w:pPr>
              <w:pStyle w:val="46"/>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滁州市第二中学、滁州市政府采购中心</w:t>
            </w:r>
          </w:p>
          <w:p w14:paraId="76253060">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18160876012、0550-3519519</w:t>
            </w:r>
          </w:p>
          <w:p w14:paraId="5E4295C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滁州市明光东路431号、滁州市龙蟠大道109号房产大厦</w:t>
            </w:r>
            <w:r>
              <w:rPr>
                <w:rFonts w:hint="eastAsia" w:ascii="宋体" w:hAnsi="宋体" w:eastAsia="宋体" w:cs="宋体"/>
                <w:b w:val="0"/>
                <w:bCs/>
                <w:color w:val="auto"/>
                <w:kern w:val="0"/>
                <w:sz w:val="24"/>
                <w:szCs w:val="24"/>
                <w:highlight w:val="none"/>
                <w:u w:val="single"/>
                <w:lang w:val="en-US" w:eastAsia="zh-CN"/>
              </w:rPr>
              <w:t>2</w:t>
            </w:r>
            <w:r>
              <w:rPr>
                <w:rFonts w:hint="eastAsia" w:ascii="宋体" w:hAnsi="宋体" w:eastAsia="宋体" w:cs="宋体"/>
                <w:b w:val="0"/>
                <w:bCs/>
                <w:color w:val="auto"/>
                <w:kern w:val="0"/>
                <w:sz w:val="24"/>
                <w:szCs w:val="24"/>
                <w:highlight w:val="none"/>
                <w:u w:val="single"/>
                <w:lang w:eastAsia="zh-CN"/>
              </w:rPr>
              <w:t>楼</w:t>
            </w:r>
          </w:p>
        </w:tc>
      </w:tr>
      <w:tr w14:paraId="78A7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80831F3">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98" w:type="pct"/>
            <w:vAlign w:val="center"/>
          </w:tcPr>
          <w:p w14:paraId="4AF3ABA3">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152" w:type="pct"/>
            <w:vAlign w:val="center"/>
          </w:tcPr>
          <w:p w14:paraId="2E6E5E11">
            <w:pPr>
              <w:pStyle w:val="46"/>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2D3FA51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2A296D4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2083E6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15C264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801A5FF">
            <w:pPr>
              <w:pStyle w:val="46"/>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48F20E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5AAD363">
            <w:pPr>
              <w:pStyle w:val="46"/>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63C13A5B">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5D6B909">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663FCCFD">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6D490014">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4FE5686F">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伏庚：17755080811</w:t>
            </w:r>
          </w:p>
          <w:p w14:paraId="01E5E2F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565D123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2A9478A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54D480D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1FBA81D1">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3601E7E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068D74FF">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76AE21C1">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6C0D2CB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74C631BB">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371E3E0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2590192C">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A54456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45B5B919">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216342A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57119214">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w:t>
            </w:r>
          </w:p>
          <w:p w14:paraId="5B463980">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3AC577FF">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落实政府采购支持节能产品、环境标志产品政策。</w:t>
            </w:r>
          </w:p>
        </w:tc>
      </w:tr>
    </w:tbl>
    <w:p w14:paraId="6431A4B3">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24882"/>
      <w:bookmarkStart w:id="6"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668B370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242FBF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176A4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1C59FE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D60C2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20B64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117ADA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A8E3D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27672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62FCD7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194BC37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2BAB5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44A19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0497C7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74AC4E3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1E53B49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411741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6B35E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19E5C0FC">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171D60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6297239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2F4C7AA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02CB6557">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02A415CB">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441050DA">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6558FB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59083EC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47DF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9A91E2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FF1D7A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54446C9C">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CCB89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543021D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55626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3FCD7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12DF3E1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615063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02D1D58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25A987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79AC70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7C771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FC06321">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28A2520">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58F7AB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69609F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D2C9250">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569A83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7D208F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F3B6DF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7AD6A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33ABD605">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279648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D1F4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2E0D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71D5DB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74224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6062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898E52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D04A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4731D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0130DC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F586C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573CD0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B0FCD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A4B6FD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4CD7BE4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27A1AC3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47E1A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B75EB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17ADBE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0063C0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1CF202A0">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03CC385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D0B9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6F4EBAF5">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566DE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6CBAC1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7A20BC7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4D1E9E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1B584A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47A9D7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2E53AA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66AB2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2EFF0B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40E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7CD580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0961D7C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0A06F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11859A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3B79E8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7AC4F98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00075E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70A45A0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BEEC7B3">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4F85533">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7D22E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2C6CD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61C46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BF222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AC17E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107914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58696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46F1DA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8FA6C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8D4E7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3D8020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F5E2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7D41E4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5A3CA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3E28CAE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A6763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644AA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6B923B4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1A6CAF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F4EBB2A">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842AD6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59D140B">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C7CBAE">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B04861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300032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68C6DAE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2467CC2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D5C060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0E041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8EB21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448525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6A49F7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5A4C4B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7D16F4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09C831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455AC9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6BA1B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02AB4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D0045F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458195C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10CEB1F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483DBD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1C255B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AD5AB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5D5B23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2CD76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446F69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575BBBCE">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olor w:val="auto"/>
          <w:sz w:val="24"/>
          <w:szCs w:val="18"/>
          <w:highlight w:val="none"/>
          <w:lang w:val="en-US" w:eastAsia="zh-CN"/>
        </w:rPr>
        <w:t>和滁州市公共资源交易中心网（http：//ggzy.chuzhou.gov.cn/）</w:t>
      </w:r>
      <w:r>
        <w:rPr>
          <w:rFonts w:hint="eastAsia" w:ascii="宋体" w:hAnsi="宋体" w:eastAsia="宋体"/>
          <w:color w:val="auto"/>
          <w:sz w:val="24"/>
          <w:szCs w:val="18"/>
          <w:highlight w:val="none"/>
        </w:rPr>
        <w:t>上发布中标结果公告。</w:t>
      </w:r>
    </w:p>
    <w:p w14:paraId="5DB84F13">
      <w:pPr>
        <w:spacing w:line="360" w:lineRule="auto"/>
        <w:ind w:firstLine="435"/>
        <w:rPr>
          <w:rFonts w:asciiTheme="minorEastAsia" w:hAnsiTheme="minorEastAsia" w:eastAsiaTheme="minorEastAsia"/>
          <w:color w:val="auto"/>
          <w:sz w:val="24"/>
          <w:highlight w:val="none"/>
        </w:rPr>
      </w:pPr>
      <w:bookmarkStart w:id="130" w:name="_GoBack"/>
      <w:bookmarkEnd w:id="130"/>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B1004D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49AB74C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030B5C0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68615AA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12C7E3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68E6B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15D50BC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C3134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4D8BF90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17A95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7EC921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DDD0C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C2233D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003355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A53AA1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55EA7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FA184DC">
      <w:pPr>
        <w:spacing w:line="360" w:lineRule="auto"/>
        <w:ind w:firstLine="437"/>
        <w:outlineLvl w:val="2"/>
        <w:rPr>
          <w:rFonts w:asciiTheme="minorEastAsia" w:hAnsiTheme="minorEastAsia" w:eastAsiaTheme="minorEastAsia"/>
          <w:b/>
          <w:color w:val="auto"/>
          <w:sz w:val="24"/>
          <w:highlight w:val="none"/>
        </w:rPr>
      </w:pPr>
      <w:bookmarkStart w:id="10" w:name="_Toc2583661"/>
      <w:bookmarkStart w:id="11"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6D8CB0F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1A5B55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A4EF0E7">
      <w:pPr>
        <w:spacing w:line="360" w:lineRule="auto"/>
        <w:ind w:firstLine="437"/>
        <w:outlineLvl w:val="2"/>
        <w:rPr>
          <w:rFonts w:asciiTheme="minorEastAsia" w:hAnsiTheme="minorEastAsia" w:eastAsiaTheme="minorEastAsia"/>
          <w:b/>
          <w:color w:val="auto"/>
          <w:sz w:val="24"/>
          <w:highlight w:val="none"/>
        </w:rPr>
      </w:pPr>
      <w:bookmarkStart w:id="12" w:name="_Toc518923101"/>
      <w:bookmarkStart w:id="1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334DF23C">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1EECE7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12566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78D06F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C88D3E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366B3D4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04C5FA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137791EA">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D7EC294">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8A2EB7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1AAAA05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4194BE5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58CF41B">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A9083E3">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155607F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DAF85D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CAF7AC6">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266272B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（1）如属于《节能产品政府采购品目清单》中政府强制采购的节能产品，则在投标文件中提供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p>
    <w:p w14:paraId="412FB85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CEDBEE3">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7DA6367F">
      <w:pPr>
        <w:spacing w:line="360" w:lineRule="auto"/>
        <w:ind w:firstLine="437"/>
        <w:outlineLvl w:val="1"/>
        <w:rPr>
          <w:rFonts w:ascii="宋体" w:hAnsi="宋体" w:eastAsia="宋体"/>
          <w:b/>
          <w:color w:val="auto"/>
          <w:sz w:val="24"/>
          <w:szCs w:val="18"/>
          <w:highlight w:val="none"/>
        </w:rPr>
      </w:pPr>
      <w:bookmarkStart w:id="15" w:name="_Toc2554"/>
      <w:bookmarkStart w:id="16" w:name="_Toc32151"/>
      <w:r>
        <w:rPr>
          <w:rFonts w:hint="eastAsia" w:ascii="宋体" w:hAnsi="宋体" w:eastAsia="宋体"/>
          <w:b/>
          <w:color w:val="auto"/>
          <w:sz w:val="24"/>
          <w:szCs w:val="18"/>
          <w:highlight w:val="none"/>
        </w:rPr>
        <w:t>一、采购需求前附表</w:t>
      </w:r>
      <w:bookmarkEnd w:id="15"/>
      <w:bookmarkEnd w:id="16"/>
    </w:p>
    <w:tbl>
      <w:tblPr>
        <w:tblStyle w:val="28"/>
        <w:tblW w:w="55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026"/>
        <w:gridCol w:w="6592"/>
      </w:tblGrid>
      <w:tr w14:paraId="4B74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29A4C650">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080" w:type="pct"/>
            <w:vAlign w:val="center"/>
          </w:tcPr>
          <w:p w14:paraId="0141ECE0">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14" w:type="pct"/>
            <w:vAlign w:val="center"/>
          </w:tcPr>
          <w:p w14:paraId="11F55382">
            <w:pPr>
              <w:pStyle w:val="46"/>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079B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74B25C8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080" w:type="pct"/>
            <w:vAlign w:val="center"/>
          </w:tcPr>
          <w:p w14:paraId="069DAAB5">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514" w:type="pct"/>
            <w:vAlign w:val="center"/>
          </w:tcPr>
          <w:p w14:paraId="0327E493">
            <w:pPr>
              <w:pStyle w:val="46"/>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合同签订且具备实施条件后，支付合同价的40%预付款（预付款支付前，中标人须提供同等金额的见索即付保函），全部供货安装调试完毕并由采购人验收合格后，</w:t>
            </w:r>
            <w:r>
              <w:rPr>
                <w:rFonts w:hint="eastAsia" w:ascii="宋体" w:hAnsi="宋体" w:eastAsia="宋体"/>
                <w:b w:val="0"/>
                <w:color w:val="auto"/>
                <w:sz w:val="24"/>
                <w:highlight w:val="none"/>
                <w:lang w:val="en-US" w:eastAsia="zh-CN"/>
              </w:rPr>
              <w:t>采购人请款额度须在政府资金调度会批准且发票送达后完成支付。</w:t>
            </w:r>
          </w:p>
        </w:tc>
      </w:tr>
      <w:tr w14:paraId="205B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4D75047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080" w:type="pct"/>
            <w:vAlign w:val="center"/>
          </w:tcPr>
          <w:p w14:paraId="0AEBE4CE">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514" w:type="pct"/>
            <w:vAlign w:val="center"/>
          </w:tcPr>
          <w:p w14:paraId="21512BD8">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eastAsia="zh-CN"/>
              </w:rPr>
              <w:t>滁州市第二中学</w:t>
            </w:r>
            <w:r>
              <w:rPr>
                <w:rFonts w:hint="eastAsia" w:ascii="宋体" w:hAnsi="宋体" w:eastAsia="宋体"/>
                <w:b w:val="0"/>
                <w:color w:val="auto"/>
                <w:sz w:val="24"/>
                <w:highlight w:val="none"/>
              </w:rPr>
              <w:t>内，采购人指定地点。</w:t>
            </w:r>
          </w:p>
        </w:tc>
      </w:tr>
      <w:tr w14:paraId="7EC0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7F6284B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080" w:type="pct"/>
            <w:vAlign w:val="center"/>
          </w:tcPr>
          <w:p w14:paraId="058151A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514" w:type="pct"/>
            <w:vAlign w:val="center"/>
          </w:tcPr>
          <w:p w14:paraId="53E10BA9">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自合同签订生效后，接到采购人通知之日起</w:t>
            </w:r>
            <w:r>
              <w:rPr>
                <w:rFonts w:hint="eastAsia" w:asciiTheme="minorEastAsia" w:hAnsiTheme="minorEastAsia" w:eastAsiaTheme="minorEastAsia"/>
                <w:b w:val="0"/>
                <w:bCs w:val="0"/>
                <w:color w:val="auto"/>
                <w:sz w:val="24"/>
                <w:highlight w:val="none"/>
                <w:u w:val="none"/>
                <w:lang w:val="en-US" w:eastAsia="zh-CN"/>
              </w:rPr>
              <w:t>40</w:t>
            </w:r>
            <w:r>
              <w:rPr>
                <w:rFonts w:hint="eastAsia" w:asciiTheme="minorEastAsia" w:hAnsiTheme="minorEastAsia" w:eastAsiaTheme="minorEastAsia"/>
                <w:b w:val="0"/>
                <w:bCs w:val="0"/>
                <w:color w:val="auto"/>
                <w:sz w:val="24"/>
                <w:highlight w:val="none"/>
                <w:u w:val="none"/>
              </w:rPr>
              <w:t>个日历天内完成货物的供货、安装、调试工作，并验收合格交付使用</w:t>
            </w:r>
            <w:r>
              <w:rPr>
                <w:rFonts w:hint="eastAsia" w:ascii="宋体" w:hAnsi="宋体" w:eastAsia="宋体" w:cs="宋体"/>
                <w:b w:val="0"/>
                <w:bCs w:val="0"/>
                <w:color w:val="auto"/>
                <w:kern w:val="2"/>
                <w:sz w:val="24"/>
                <w:szCs w:val="24"/>
                <w:highlight w:val="none"/>
                <w:u w:val="none"/>
                <w:lang w:val="en-US" w:eastAsia="zh-CN" w:bidi="ar"/>
              </w:rPr>
              <w:t>。</w:t>
            </w:r>
          </w:p>
        </w:tc>
      </w:tr>
      <w:tr w14:paraId="52C4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0B7123DC">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080" w:type="pct"/>
            <w:vAlign w:val="center"/>
          </w:tcPr>
          <w:p w14:paraId="54AF5F5C">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514" w:type="pct"/>
            <w:vAlign w:val="center"/>
          </w:tcPr>
          <w:p w14:paraId="09071ED0">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验收合格之日起不少于</w:t>
            </w:r>
            <w:r>
              <w:rPr>
                <w:rFonts w:hint="eastAsia" w:asciiTheme="minorEastAsia" w:hAnsiTheme="minorEastAsia" w:eastAsiaTheme="minorEastAsia"/>
                <w:b w:val="0"/>
                <w:bCs w:val="0"/>
                <w:color w:val="auto"/>
                <w:sz w:val="24"/>
                <w:highlight w:val="none"/>
                <w:u w:val="none"/>
                <w:lang w:val="en-US" w:eastAsia="zh-CN"/>
              </w:rPr>
              <w:t>3</w:t>
            </w:r>
            <w:r>
              <w:rPr>
                <w:rFonts w:hint="eastAsia" w:asciiTheme="minorEastAsia" w:hAnsiTheme="minorEastAsia" w:eastAsiaTheme="minorEastAsia"/>
                <w:b w:val="0"/>
                <w:bCs w:val="0"/>
                <w:color w:val="auto"/>
                <w:sz w:val="24"/>
                <w:highlight w:val="none"/>
                <w:u w:val="none"/>
              </w:rPr>
              <w:t>年的免费质保</w:t>
            </w:r>
            <w:r>
              <w:rPr>
                <w:rFonts w:hint="eastAsia" w:asciiTheme="minorEastAsia" w:hAnsiTheme="minorEastAsia" w:eastAsiaTheme="minorEastAsia"/>
                <w:b w:val="0"/>
                <w:bCs w:val="0"/>
                <w:color w:val="auto"/>
                <w:sz w:val="24"/>
                <w:highlight w:val="none"/>
                <w:u w:val="none"/>
                <w:lang w:val="en-US" w:eastAsia="zh-CN"/>
              </w:rPr>
              <w:t>服务（自验收合格之日起）</w:t>
            </w:r>
            <w:r>
              <w:rPr>
                <w:rFonts w:hint="eastAsia" w:asciiTheme="minorEastAsia" w:hAnsiTheme="minorEastAsia" w:eastAsiaTheme="minorEastAsia"/>
                <w:b w:val="0"/>
                <w:bCs w:val="0"/>
                <w:color w:val="auto"/>
                <w:sz w:val="24"/>
                <w:highlight w:val="none"/>
                <w:u w:val="none"/>
                <w:lang w:eastAsia="zh-CN"/>
              </w:rPr>
              <w:t>，</w:t>
            </w:r>
            <w:r>
              <w:rPr>
                <w:rFonts w:hint="eastAsia" w:asciiTheme="minorEastAsia" w:hAnsiTheme="minorEastAsia" w:eastAsiaTheme="minorEastAsia"/>
                <w:b w:val="0"/>
                <w:bCs w:val="0"/>
                <w:color w:val="auto"/>
                <w:sz w:val="24"/>
                <w:highlight w:val="none"/>
                <w:u w:val="none"/>
                <w:lang w:val="en-US" w:eastAsia="zh-CN"/>
              </w:rPr>
              <w:t>具体期限以中标人投标承诺为准。</w:t>
            </w:r>
          </w:p>
        </w:tc>
      </w:tr>
    </w:tbl>
    <w:p w14:paraId="40D1AA1F">
      <w:pPr>
        <w:spacing w:line="360" w:lineRule="auto"/>
        <w:ind w:firstLine="437"/>
        <w:outlineLvl w:val="1"/>
        <w:rPr>
          <w:rFonts w:hint="eastAsia" w:ascii="宋体" w:hAnsi="宋体" w:eastAsia="宋体"/>
          <w:b/>
          <w:bCs/>
          <w:color w:val="auto"/>
          <w:sz w:val="24"/>
          <w:szCs w:val="18"/>
          <w:highlight w:val="none"/>
        </w:rPr>
      </w:pPr>
      <w:bookmarkStart w:id="17" w:name="_Toc5944"/>
      <w:bookmarkStart w:id="18" w:name="_Toc7671"/>
    </w:p>
    <w:p w14:paraId="46078EAD">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17"/>
      <w:bookmarkEnd w:id="18"/>
    </w:p>
    <w:tbl>
      <w:tblPr>
        <w:tblStyle w:val="28"/>
        <w:tblW w:w="63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156"/>
        <w:gridCol w:w="4593"/>
        <w:gridCol w:w="1245"/>
        <w:gridCol w:w="735"/>
        <w:gridCol w:w="1095"/>
        <w:gridCol w:w="1360"/>
      </w:tblGrid>
      <w:tr w14:paraId="037B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7CD6D67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bookmarkStart w:id="19" w:name="_Toc7421"/>
            <w:bookmarkStart w:id="20" w:name="_Toc4843"/>
            <w:r>
              <w:rPr>
                <w:rFonts w:hint="eastAsia" w:ascii="宋体" w:hAnsi="宋体" w:eastAsia="宋体" w:cs="宋体"/>
                <w:b/>
                <w:bCs/>
                <w:color w:val="auto"/>
                <w:sz w:val="21"/>
                <w:szCs w:val="21"/>
                <w:highlight w:val="none"/>
              </w:rPr>
              <w:t>序号</w:t>
            </w:r>
          </w:p>
        </w:tc>
        <w:tc>
          <w:tcPr>
            <w:tcW w:w="533" w:type="pct"/>
            <w:vAlign w:val="center"/>
          </w:tcPr>
          <w:p w14:paraId="1F19C7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2119" w:type="pct"/>
            <w:vAlign w:val="center"/>
          </w:tcPr>
          <w:p w14:paraId="731187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574" w:type="pct"/>
            <w:vAlign w:val="center"/>
          </w:tcPr>
          <w:p w14:paraId="10B70F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58BDB3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339" w:type="pct"/>
            <w:vAlign w:val="center"/>
          </w:tcPr>
          <w:p w14:paraId="23D6F0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43EA47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c>
          <w:tcPr>
            <w:tcW w:w="505" w:type="pct"/>
            <w:vAlign w:val="center"/>
          </w:tcPr>
          <w:p w14:paraId="5CB029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是否为核心产品</w:t>
            </w:r>
          </w:p>
        </w:tc>
        <w:tc>
          <w:tcPr>
            <w:tcW w:w="627" w:type="pct"/>
            <w:vAlign w:val="center"/>
          </w:tcPr>
          <w:p w14:paraId="664F871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参考图样</w:t>
            </w:r>
          </w:p>
        </w:tc>
      </w:tr>
      <w:tr w14:paraId="3893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1" w:type="pct"/>
            <w:vAlign w:val="center"/>
          </w:tcPr>
          <w:p w14:paraId="32BAA8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33" w:type="pct"/>
            <w:vAlign w:val="center"/>
          </w:tcPr>
          <w:p w14:paraId="6CD44B5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公寓床</w:t>
            </w:r>
          </w:p>
        </w:tc>
        <w:tc>
          <w:tcPr>
            <w:tcW w:w="2119" w:type="pct"/>
            <w:vAlign w:val="center"/>
          </w:tcPr>
          <w:p w14:paraId="6093C87B">
            <w:pPr>
              <w:pStyle w:val="76"/>
              <w:numPr>
                <w:ilvl w:val="0"/>
                <w:numId w:val="0"/>
              </w:numPr>
              <w:spacing w:beforeLines="0" w:afterLines="0" w:line="240" w:lineRule="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两联三人铺爬梯公寓床（一边上下铺一边上铺下三人桌）</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规格：≥4000mm*900mm*2100mm</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r>
              <w:rPr>
                <w:rFonts w:hint="eastAsia" w:ascii="宋体" w:hAnsi="宋体" w:eastAsia="宋体" w:cs="宋体"/>
                <w:b w:val="0"/>
                <w:bCs w:val="0"/>
                <w:color w:val="auto"/>
                <w:sz w:val="21"/>
                <w:szCs w:val="21"/>
                <w:highlight w:val="none"/>
                <w:lang w:eastAsia="zh-CN"/>
              </w:rPr>
              <w:t>；</w:t>
            </w:r>
          </w:p>
          <w:p w14:paraId="5D03A74C">
            <w:pPr>
              <w:pStyle w:val="76"/>
              <w:numPr>
                <w:ilvl w:val="0"/>
                <w:numId w:val="0"/>
              </w:numPr>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床边立柱：P型无缝钢管，立柱端面呈P型，由7个面组成；外形尺寸长度75mm（±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mm），宽度60mm（±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mm），钢板厚度≥1.2mm，P型外倒圆半径≥10mm，P型内倒圆半径≥5mm；外观要求：涂层应无漏喷、锈蚀和脱色、掉色现象，涂层应光滑均匀，色泽</w:t>
            </w: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致，应无流挂、疙瘩、皱皮、飞漆等缺陷</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r>
              <w:rPr>
                <w:rFonts w:hint="eastAsia"/>
                <w:b w:val="0"/>
                <w:bCs w:val="0"/>
                <w:color w:val="auto"/>
                <w:highlight w:val="none"/>
                <w:lang w:eastAsia="zh-CN"/>
              </w:rPr>
              <w:t>）</w:t>
            </w:r>
            <w:r>
              <w:rPr>
                <w:rFonts w:hint="eastAsia" w:ascii="宋体" w:hAnsi="宋体" w:eastAsia="宋体" w:cs="宋体"/>
                <w:color w:val="auto"/>
                <w:sz w:val="21"/>
                <w:szCs w:val="21"/>
                <w:highlight w:val="none"/>
              </w:rPr>
              <w:t>；</w:t>
            </w:r>
          </w:p>
          <w:p w14:paraId="3AA0964F">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床中立柱：规格75mm×72mm（±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mm）无缝钢管，钢管厚度≥1.2mm，钢管由8个面两个弧组成呈凸字形；表面经环氧聚酯塑粉静电喷塑处理，结构稳固、安全美观；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r>
              <w:rPr>
                <w:rFonts w:hint="eastAsia"/>
                <w:b w:val="0"/>
                <w:bCs w:val="0"/>
                <w:color w:val="auto"/>
                <w:highlight w:val="none"/>
                <w:lang w:eastAsia="zh-CN"/>
              </w:rPr>
              <w:t>）；</w:t>
            </w:r>
          </w:p>
          <w:p w14:paraId="0370CC54">
            <w:pPr>
              <w:pStyle w:val="76"/>
              <w:spacing w:beforeLines="0" w:afterLines="0" w:line="240" w:lineRule="auto"/>
              <w:rPr>
                <w:rFonts w:hint="eastAsia"/>
                <w:b w:val="0"/>
                <w:bCs w:val="0"/>
                <w:color w:val="auto"/>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床横梁：采用外形规格42mm×80mm（±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mm），壁厚≥1.2mm型材管件，管件两侧长边弧形结构，弧形R角160mm，弧形一侧带有7条装饰加固条，加固条深2mm；横梁管件下沿两边R10mm圆角处理，横梁与挂件需四周满焊</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r>
              <w:rPr>
                <w:rFonts w:hint="eastAsia"/>
                <w:b w:val="0"/>
                <w:bCs w:val="0"/>
                <w:color w:val="auto"/>
                <w:highlight w:val="none"/>
                <w:lang w:eastAsia="zh-CN"/>
              </w:rPr>
              <w:t>）；</w:t>
            </w:r>
          </w:p>
          <w:p w14:paraId="784E1585">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连接方式：立柱与床横梁采用卡式连接件，采用不低于2mm厚优质钢板经冲压一次成型，规格宽42mm×高127mm（±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mm），挂件卡扣不外露，其中两个挂口隐藏于床横梁内，一个只露挂封隐藏式设计；连接扣点采用不小于3个位置纵向垂直连接，每个扣点与立柱接触面不小于2面角度程120度，与横梁连接处四周满焊；</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r>
              <w:rPr>
                <w:rFonts w:hint="eastAsia"/>
                <w:b w:val="0"/>
                <w:bCs w:val="0"/>
                <w:color w:val="auto"/>
                <w:highlight w:val="none"/>
                <w:lang w:eastAsia="zh-CN"/>
              </w:rPr>
              <w:t>）；</w:t>
            </w:r>
          </w:p>
          <w:p w14:paraId="19F01864">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床头护栏：采用整体注塑成型，上部设计有符合人体工程学的舒适全塑靠板；整体规格为772（±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）×447（±</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）×30/45mm（±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），靠背规格510mm（±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）×132mm（±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）×46mm（±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），靠背顶部有一体注塑式储物盒，储物盒尺寸长241mm（±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），宽35mm（±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）深72mm（±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），底部有漏尘漏水孔，可放置手机，笔等小物件；</w:t>
            </w:r>
            <w:r>
              <w:rPr>
                <w:rFonts w:hint="eastAsia" w:ascii="宋体" w:hAnsi="宋体" w:eastAsia="宋体" w:cs="宋体"/>
                <w:color w:val="auto"/>
                <w:sz w:val="21"/>
                <w:szCs w:val="21"/>
                <w:highlight w:val="none"/>
                <w:lang w:val="en-US" w:eastAsia="zh-CN"/>
              </w:rPr>
              <w:t>立柱档头基材选用优质E1级或以上等级刨花板或中纤板；厚度≥18mm；表面采用高耐磨三聚氰胺饰面浸渍纸全覆盖</w:t>
            </w:r>
            <w:r>
              <w:rPr>
                <w:rFonts w:hint="eastAsia" w:ascii="宋体" w:hAnsi="宋体" w:eastAsia="宋体" w:cs="宋体"/>
                <w:color w:val="auto"/>
                <w:sz w:val="21"/>
                <w:szCs w:val="21"/>
                <w:highlight w:val="none"/>
              </w:rPr>
              <w:t>，四周整体一次PP塑料注塑嵌边成型，确保档头强度与刚性且四周无任何接缝及刃口，床档头与床短横梁采用插入管件式固定，牢固稳定</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p>
          <w:p w14:paraId="61892264">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上铺床前护栏：长1400mm（±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）×高350mm（±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）×厚30mm（±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），材质</w:t>
            </w:r>
            <w:r>
              <w:rPr>
                <w:rFonts w:hint="eastAsia" w:ascii="宋体" w:hAnsi="宋体" w:eastAsia="宋体" w:cs="宋体"/>
                <w:color w:val="auto"/>
                <w:sz w:val="21"/>
                <w:szCs w:val="21"/>
                <w:highlight w:val="none"/>
                <w:lang w:val="en-US" w:eastAsia="zh-CN"/>
              </w:rPr>
              <w:t>基材选用E1级或以上等级刨花板或中纤板，厚度</w:t>
            </w:r>
            <w:r>
              <w:rPr>
                <w:rFonts w:hint="eastAsia" w:ascii="宋体" w:hAnsi="宋体" w:eastAsia="宋体" w:cs="宋体"/>
                <w:color w:val="auto"/>
                <w:sz w:val="21"/>
                <w:szCs w:val="21"/>
                <w:highlight w:val="none"/>
                <w:vertAlign w:val="baseline"/>
              </w:rPr>
              <w:t>≥</w:t>
            </w:r>
            <w:r>
              <w:rPr>
                <w:rFonts w:hint="eastAsia" w:ascii="宋体" w:hAnsi="宋体" w:eastAsia="宋体" w:cs="宋体"/>
                <w:color w:val="auto"/>
                <w:sz w:val="21"/>
                <w:szCs w:val="21"/>
                <w:highlight w:val="none"/>
              </w:rPr>
              <w:t>25mm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表面采用高耐磨三聚氰胺饰面浸渍纸全覆盖</w:t>
            </w:r>
            <w:r>
              <w:rPr>
                <w:rFonts w:hint="eastAsia" w:ascii="宋体" w:hAnsi="宋体" w:eastAsia="宋体" w:cs="宋体"/>
                <w:color w:val="auto"/>
                <w:sz w:val="21"/>
                <w:szCs w:val="21"/>
                <w:highlight w:val="none"/>
              </w:rPr>
              <w:t>，韧性好不易断裂、容易清洁、防潮、不褪色；运用气辅式工艺整体注塑一次成型；护栏两端把手设计，可承受体重200斤内引体向上无任何损坏，护栏正面有两个一次性注塑成型圆形装饰孔，圆形装饰孔直径86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），两孔间中心距570mm（±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），禁止使用子母扣后装式，防止后期脱落；固定方式为两侧插入20mm（±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）椭圆钢管，中间三点加固；并且护栏带有永久性警示线</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p>
          <w:p w14:paraId="07D5349C">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床板：床板厚度不低于15mm杉木，表面刨光，无毛刺，底部4根加固横梁；</w:t>
            </w:r>
          </w:p>
          <w:p w14:paraId="4B692C15">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甲醛释放量(气候箱法)</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E1级≤0.124mg/m³；阻燃性能等级—阻燃1级；家具涂层可迁移元素、总挥发性有机化合物TVOC、苯、甲苯、二甲苯均未检出（投标文件中提供</w:t>
            </w:r>
            <w:r>
              <w:rPr>
                <w:rFonts w:hint="eastAsia" w:ascii="宋体" w:hAnsi="宋体" w:eastAsia="宋体" w:cs="宋体"/>
                <w:color w:val="auto"/>
                <w:sz w:val="21"/>
                <w:szCs w:val="21"/>
                <w:highlight w:val="none"/>
                <w:lang w:val="en-US" w:eastAsia="zh-CN"/>
              </w:rPr>
              <w:t>由第三方检测机构出具的杉木检测报告予以证明</w:t>
            </w:r>
            <w:r>
              <w:rPr>
                <w:rFonts w:hint="eastAsia" w:ascii="宋体" w:hAnsi="宋体" w:eastAsia="宋体" w:cs="宋体"/>
                <w:color w:val="auto"/>
                <w:sz w:val="21"/>
                <w:szCs w:val="21"/>
                <w:highlight w:val="none"/>
              </w:rPr>
              <w:t>）；</w:t>
            </w:r>
          </w:p>
          <w:p w14:paraId="03741AA2">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床支撑：采用5根规格为25mm×28mm（±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mm），壁厚1.2mm型材管件设计，为有效防护碰头横撑管件下沿两边R8mm圆角，两端开有3mm×25mm凹槽卡住横梁内侧</w:t>
            </w:r>
            <w:r>
              <w:rPr>
                <w:rFonts w:hint="eastAsia" w:ascii="宋体" w:hAnsi="宋体" w:eastAsia="宋体" w:cs="宋体"/>
                <w:b w:val="0"/>
                <w:bCs w:val="0"/>
                <w:color w:val="auto"/>
                <w:sz w:val="21"/>
                <w:szCs w:val="21"/>
                <w:highlight w:val="none"/>
              </w:rPr>
              <w:t>（投标文件中提供满足该条参数的证明材料）；</w:t>
            </w:r>
          </w:p>
          <w:p w14:paraId="2B775535">
            <w:pPr>
              <w:pStyle w:val="76"/>
              <w:spacing w:beforeLines="0" w:afterLines="0" w:line="240" w:lineRule="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床板横撑加固消音件：规格35mm×29mm×10mm（±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mm），采用PP塑料注塑一次成型，安装后易扣难取，使床支撑和床横梁之间连接更加稳固，并且消除了因外力作用产生的钢架噪音</w:t>
            </w:r>
            <w:r>
              <w:rPr>
                <w:rFonts w:hint="eastAsia" w:ascii="宋体" w:hAnsi="宋体" w:eastAsia="宋体" w:cs="宋体"/>
                <w:b w:val="0"/>
                <w:bCs w:val="0"/>
                <w:color w:val="auto"/>
                <w:sz w:val="21"/>
                <w:szCs w:val="21"/>
                <w:highlight w:val="none"/>
              </w:rPr>
              <w:t>（投标文件中提供满足该条参数的证明材料）；</w:t>
            </w:r>
          </w:p>
          <w:p w14:paraId="35881C49">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外观性能-金属件喷漆(塑)涂层应无漏喷、锈蚀、脱色 、掉色等，应光滑均匀，色泽一致，应无流挂、疙瘩、皱皮、飞漆等；理化性能-产品表面理化性能-金属喷漆(塑)涂层铅笔硬度H，应无塑性变形和/或内聚破坏；（投标文件中提供</w:t>
            </w:r>
            <w:r>
              <w:rPr>
                <w:rFonts w:hint="eastAsia" w:ascii="宋体" w:hAnsi="宋体" w:eastAsia="宋体" w:cs="宋体"/>
                <w:b w:val="0"/>
                <w:bCs w:val="0"/>
                <w:color w:val="auto"/>
                <w:sz w:val="21"/>
                <w:szCs w:val="21"/>
                <w:highlight w:val="none"/>
                <w:lang w:val="en-US" w:eastAsia="zh-CN"/>
              </w:rPr>
              <w:t>由第三方检测机构出具的床支撑检测报告予以证明</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51451376">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两床间爬梯：宽度不低于430mm，固定后爬梯立柱与床立柱垂直深度不低于290mm，角度不低于7度，确保爬梯上下倾斜角度，方便上下，爬梯立柱直径不低于38mm，踏步宽度不低于140mm，内部有钢件加固，踏步上有防滑纹和夜光警示标志，爬梯上沿带有与爬梯一体成型抓手，抓手高不小360mm，抓手深度不低于100mm，耐用及踩踏不掉色，整个爬梯采用PP塑料注塑包裹钢制一体成型，禁止拼接组装，边角圆润处理</w:t>
            </w:r>
            <w:r>
              <w:rPr>
                <w:rFonts w:hint="eastAsia" w:ascii="宋体" w:hAnsi="宋体" w:eastAsia="宋体" w:cs="宋体"/>
                <w:b w:val="0"/>
                <w:bCs w:val="0"/>
                <w:color w:val="auto"/>
                <w:sz w:val="21"/>
                <w:szCs w:val="21"/>
                <w:highlight w:val="none"/>
              </w:rPr>
              <w:t>（投标文件中提供满足该条参数的证明材料）；</w:t>
            </w:r>
          </w:p>
          <w:p w14:paraId="16673C6B">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蚊帐杆：采用16mm×1.0mm圆管，在蚊帐杆上端扩管并安装塑料件，通过塑料件有效与立柱连接，实现伸缩隐藏功能，使用时抽出，不用时可旋降隐藏，且蚊帐杆不会掉落于立柱内；</w:t>
            </w:r>
          </w:p>
          <w:p w14:paraId="5A4F16E4">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床下配有钢制鞋架：采用20*20*1.0mm方管设计；</w:t>
            </w:r>
          </w:p>
          <w:p w14:paraId="32AF84C5">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书桌带书架；整体规格约：≥1930×600×1720mm；尺寸可根据床大小调整；</w:t>
            </w:r>
          </w:p>
          <w:p w14:paraId="4E30E63F">
            <w:pPr>
              <w:pStyle w:val="76"/>
              <w:numPr>
                <w:ilvl w:val="0"/>
                <w:numId w:val="0"/>
              </w:numPr>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桌面板基材</w:t>
            </w:r>
            <w:r>
              <w:rPr>
                <w:rFonts w:hint="eastAsia" w:ascii="宋体" w:hAnsi="宋体" w:eastAsia="宋体" w:cs="宋体"/>
                <w:color w:val="auto"/>
                <w:sz w:val="21"/>
                <w:szCs w:val="21"/>
                <w:highlight w:val="none"/>
                <w:lang w:val="en-US" w:eastAsia="zh-CN"/>
              </w:rPr>
              <w:t>桌面板基材选用优质E1级或以上等级刨花板；表面采用高耐磨三聚氰胺饰面浸渍纸全覆盖；桌面整体厚度≥25mm；边缘及细节处采用高精度激光切割工艺加工，切口平整光滑、无毛刺，尺寸误差小，贴合度高</w:t>
            </w:r>
            <w:r>
              <w:rPr>
                <w:rFonts w:hint="eastAsia" w:ascii="宋体" w:hAnsi="宋体" w:eastAsia="宋体" w:cs="宋体"/>
                <w:color w:val="auto"/>
                <w:sz w:val="21"/>
                <w:szCs w:val="21"/>
                <w:highlight w:val="none"/>
              </w:rPr>
              <w:t>；</w:t>
            </w:r>
          </w:p>
          <w:p w14:paraId="146F1952">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苯、甲苯、二甲苯、TVOC、可迁移元素均未检出，甲醛释放量</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≤0.05mg/m³（投标文件中提供</w:t>
            </w:r>
            <w:r>
              <w:rPr>
                <w:rFonts w:hint="eastAsia" w:ascii="宋体" w:hAnsi="宋体" w:eastAsia="宋体" w:cs="宋体"/>
                <w:color w:val="auto"/>
                <w:sz w:val="21"/>
                <w:szCs w:val="21"/>
                <w:highlight w:val="none"/>
                <w:lang w:val="en-US" w:eastAsia="zh-CN"/>
              </w:rPr>
              <w:t>由第三方检测机构出具的桌面板检测报告予以证明</w:t>
            </w:r>
            <w:r>
              <w:rPr>
                <w:rFonts w:hint="eastAsia" w:ascii="宋体" w:hAnsi="宋体" w:eastAsia="宋体" w:cs="宋体"/>
                <w:color w:val="auto"/>
                <w:sz w:val="21"/>
                <w:szCs w:val="21"/>
                <w:highlight w:val="none"/>
              </w:rPr>
              <w:t>）；</w:t>
            </w:r>
          </w:p>
          <w:p w14:paraId="4F7D9693">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桌面上方为竖三格横三格书架，书架采用E1级</w:t>
            </w:r>
            <w:r>
              <w:rPr>
                <w:rFonts w:hint="eastAsia" w:ascii="宋体" w:hAnsi="宋体" w:eastAsia="宋体" w:cs="宋体"/>
                <w:color w:val="auto"/>
                <w:sz w:val="21"/>
                <w:szCs w:val="21"/>
                <w:highlight w:val="none"/>
                <w:lang w:val="en-US" w:eastAsia="zh-CN"/>
              </w:rPr>
              <w:t>或以上等级，厚度</w:t>
            </w:r>
            <w:r>
              <w:rPr>
                <w:rFonts w:hint="eastAsia" w:ascii="宋体" w:hAnsi="宋体" w:eastAsia="宋体" w:cs="宋体"/>
                <w:color w:val="auto"/>
                <w:sz w:val="21"/>
                <w:szCs w:val="21"/>
                <w:highlight w:val="none"/>
                <w:vertAlign w:val="baseline"/>
              </w:rPr>
              <w:t>≥</w:t>
            </w:r>
            <w:r>
              <w:rPr>
                <w:rFonts w:hint="eastAsia" w:ascii="宋体" w:hAnsi="宋体" w:eastAsia="宋体" w:cs="宋体"/>
                <w:color w:val="auto"/>
                <w:sz w:val="21"/>
                <w:szCs w:val="21"/>
                <w:highlight w:val="none"/>
              </w:rPr>
              <w:t>18mm环保板材；后方为整个封板；</w:t>
            </w:r>
          </w:p>
          <w:p w14:paraId="64B0B2F2">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桌下方设有3个储物抽屉，配导轨，导轨运行顺畅度高，推拉无卡顿；</w:t>
            </w:r>
          </w:p>
          <w:p w14:paraId="44DCE7FB">
            <w:pPr>
              <w:pStyle w:val="76"/>
              <w:spacing w:beforeLines="0" w:afterLines="0" w:line="24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21.</w:t>
            </w:r>
            <w:r>
              <w:rPr>
                <w:rFonts w:hint="eastAsia" w:ascii="宋体" w:hAnsi="宋体" w:eastAsia="宋体" w:cs="宋体"/>
                <w:b w:val="0"/>
                <w:bCs w:val="0"/>
                <w:color w:val="auto"/>
                <w:sz w:val="21"/>
                <w:szCs w:val="21"/>
                <w:highlight w:val="none"/>
              </w:rPr>
              <w:t>下沉量不应超过抽屉导轨拉出长度的4%，18h耐腐蚀0锈点，耐久性80000次检验合格，垂直向下静载荷和水平侧向静载荷检验合格。（投标文件中提供</w:t>
            </w:r>
            <w:r>
              <w:rPr>
                <w:rFonts w:hint="eastAsia" w:ascii="宋体" w:hAnsi="宋体" w:eastAsia="宋体" w:cs="宋体"/>
                <w:b w:val="0"/>
                <w:bCs w:val="0"/>
                <w:color w:val="auto"/>
                <w:sz w:val="21"/>
                <w:szCs w:val="21"/>
                <w:highlight w:val="none"/>
                <w:lang w:val="en-US" w:eastAsia="zh-CN"/>
              </w:rPr>
              <w:t>由第三方检测机构出具的阻尼静音导轨检测报告予以证明</w:t>
            </w:r>
            <w:r>
              <w:rPr>
                <w:rFonts w:hint="eastAsia" w:ascii="宋体" w:hAnsi="宋体" w:eastAsia="宋体" w:cs="宋体"/>
                <w:b w:val="0"/>
                <w:bCs w:val="0"/>
                <w:color w:val="auto"/>
                <w:sz w:val="21"/>
                <w:szCs w:val="21"/>
                <w:highlight w:val="none"/>
              </w:rPr>
              <w:t>）；</w:t>
            </w:r>
          </w:p>
          <w:p w14:paraId="6EDD9F37">
            <w:pPr>
              <w:pStyle w:val="76"/>
              <w:spacing w:beforeLines="0" w:afterLines="0" w:line="240" w:lineRule="auto"/>
              <w:rPr>
                <w:rFonts w:hint="eastAsia" w:ascii="宋体" w:hAnsi="宋体" w:eastAsia="宋体" w:cs="宋体"/>
                <w:bCs/>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22.桌腿和横梁主材采用≥40mm*40mm*1.0mm矩形管。</w:t>
            </w:r>
          </w:p>
        </w:tc>
        <w:tc>
          <w:tcPr>
            <w:tcW w:w="574" w:type="pct"/>
            <w:vAlign w:val="center"/>
          </w:tcPr>
          <w:p w14:paraId="140575E1">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218组</w:t>
            </w:r>
          </w:p>
        </w:tc>
        <w:tc>
          <w:tcPr>
            <w:tcW w:w="339" w:type="pct"/>
            <w:vAlign w:val="center"/>
          </w:tcPr>
          <w:p w14:paraId="4ED059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505" w:type="pct"/>
            <w:vAlign w:val="center"/>
          </w:tcPr>
          <w:p w14:paraId="077F4D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是</w:t>
            </w:r>
          </w:p>
        </w:tc>
        <w:tc>
          <w:tcPr>
            <w:tcW w:w="627" w:type="pct"/>
            <w:vAlign w:val="center"/>
          </w:tcPr>
          <w:p w14:paraId="6A2CF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drawing>
                <wp:inline distT="0" distB="0" distL="114300" distR="114300">
                  <wp:extent cx="781050" cy="944880"/>
                  <wp:effectExtent l="0" t="0" r="0" b="7620"/>
                  <wp:docPr id="2" name="图片 2" descr="2299f81a5ef2624925dfee43d4fb44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99f81a5ef2624925dfee43d4fb44ab"/>
                          <pic:cNvPicPr>
                            <a:picLocks noChangeAspect="1"/>
                          </pic:cNvPicPr>
                        </pic:nvPicPr>
                        <pic:blipFill>
                          <a:blip r:embed="rId7"/>
                          <a:stretch>
                            <a:fillRect/>
                          </a:stretch>
                        </pic:blipFill>
                        <pic:spPr>
                          <a:xfrm>
                            <a:off x="0" y="0"/>
                            <a:ext cx="781050" cy="944880"/>
                          </a:xfrm>
                          <a:prstGeom prst="rect">
                            <a:avLst/>
                          </a:prstGeom>
                        </pic:spPr>
                      </pic:pic>
                    </a:graphicData>
                  </a:graphic>
                </wp:inline>
              </w:drawing>
            </w:r>
          </w:p>
        </w:tc>
      </w:tr>
      <w:tr w14:paraId="5E3E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5F57C7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33" w:type="pct"/>
            <w:vAlign w:val="center"/>
          </w:tcPr>
          <w:p w14:paraId="48ACBE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学习椅</w:t>
            </w:r>
          </w:p>
        </w:tc>
        <w:tc>
          <w:tcPr>
            <w:tcW w:w="2119" w:type="pct"/>
            <w:vAlign w:val="center"/>
          </w:tcPr>
          <w:p w14:paraId="1AA33A6E">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采用全新PP+玻纤（聚丙烯）总胶背由四部分组成（椅坐、椅背板、装饰盖板（ABS材质）、滑动模块组）；</w:t>
            </w:r>
          </w:p>
          <w:p w14:paraId="64A5B397">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椅子整体尺寸：总高783mm-840mm（±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mm）、总宽535mm（±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mm）、总深510mm（±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mm）、坐高430mm（±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w:t>
            </w:r>
          </w:p>
          <w:p w14:paraId="1EBC9C10">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椅坐：坐宽452mm（±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）、坐深440mm（±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）；后背支撑整体呈A型，呈现中心内凹周围上凸贴合人体久坐不疲劳；椅背板：背板宽405mm（±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）、高285mm（±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），靠背最上方使用巧妙的衣领设计，直线长300mm（±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中心位置最宽35mm向两边延小，不开孔不影响靠背完整性，达到单手手提的功能；可通过滑动模块组合调节靠背高度达到不同人群使用最佳靠背舒适度，三个档位调整不一样的靠背高度，调整范围不小于50mm，顶腰效果明显，符合人体工学</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（投标文件中提供满足该条参数的证明材料）；</w:t>
            </w:r>
          </w:p>
          <w:p w14:paraId="4BB21A73">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装饰盖板：盖板厚度</w:t>
            </w:r>
            <w:r>
              <w:rPr>
                <w:rFonts w:hint="eastAsia" w:ascii="宋体" w:hAnsi="宋体" w:eastAsia="宋体" w:cs="宋体"/>
                <w:color w:val="auto"/>
                <w:sz w:val="21"/>
                <w:szCs w:val="21"/>
                <w:highlight w:val="none"/>
                <w:vertAlign w:val="baseline"/>
              </w:rPr>
              <w:t>≥</w:t>
            </w:r>
            <w:r>
              <w:rPr>
                <w:rFonts w:hint="eastAsia" w:ascii="宋体" w:hAnsi="宋体" w:eastAsia="宋体" w:cs="宋体"/>
                <w:color w:val="auto"/>
                <w:sz w:val="21"/>
                <w:szCs w:val="21"/>
                <w:highlight w:val="none"/>
              </w:rPr>
              <w:t>2.8mm，上宽100mm（±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）、下宽150mm（±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）、长146mm（±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）；调节按钮内嵌于装饰盖板，按钮长55mm（±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）、上宽28mm（±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）下宽36mm（±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（投标文件中提供满足该条参数的证明材料）；</w:t>
            </w:r>
          </w:p>
          <w:p w14:paraId="73B5FE72">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滑动模块组合：由四颗防脱落内六角螺丝，安装固定于椅坐后背支撑杆稳定结实耐用，可进行三挡调节挡位，达到不同人群使用；</w:t>
            </w:r>
          </w:p>
          <w:p w14:paraId="15BA74B4">
            <w:pPr>
              <w:pStyle w:val="76"/>
              <w:spacing w:beforeLines="0" w:afterLines="0" w:line="240" w:lineRule="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脚垫</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全新PE制作，耐磨稳定，附着力强，无异响（脚垫长：≥26mm厚：≥10mm宽：≥18mm.）抗磨损性强，可以堆叠</w:t>
            </w:r>
            <w:r>
              <w:rPr>
                <w:rFonts w:hint="eastAsia" w:ascii="宋体" w:hAnsi="宋体" w:eastAsia="宋体" w:cs="宋体"/>
                <w:color w:val="auto"/>
                <w:sz w:val="21"/>
                <w:szCs w:val="21"/>
                <w:highlight w:val="none"/>
                <w:lang w:eastAsia="zh-CN"/>
              </w:rPr>
              <w:t>。</w:t>
            </w:r>
          </w:p>
        </w:tc>
        <w:tc>
          <w:tcPr>
            <w:tcW w:w="574" w:type="pct"/>
            <w:vAlign w:val="center"/>
          </w:tcPr>
          <w:p w14:paraId="1222D846">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654把</w:t>
            </w:r>
          </w:p>
        </w:tc>
        <w:tc>
          <w:tcPr>
            <w:tcW w:w="339" w:type="pct"/>
            <w:vAlign w:val="center"/>
          </w:tcPr>
          <w:p w14:paraId="4FBC7A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505" w:type="pct"/>
            <w:vAlign w:val="center"/>
          </w:tcPr>
          <w:p w14:paraId="429782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否</w:t>
            </w:r>
          </w:p>
        </w:tc>
        <w:tc>
          <w:tcPr>
            <w:tcW w:w="627" w:type="pct"/>
            <w:vAlign w:val="center"/>
          </w:tcPr>
          <w:p w14:paraId="130AC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drawing>
                <wp:inline distT="0" distB="0" distL="114300" distR="114300">
                  <wp:extent cx="722630" cy="722630"/>
                  <wp:effectExtent l="0" t="0" r="1270" b="1270"/>
                  <wp:docPr id="3" name="图片 3" descr="67501471460876a691c2f63d5f70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7501471460876a691c2f63d5f703206"/>
                          <pic:cNvPicPr>
                            <a:picLocks noChangeAspect="1"/>
                          </pic:cNvPicPr>
                        </pic:nvPicPr>
                        <pic:blipFill>
                          <a:blip r:embed="rId8"/>
                          <a:stretch>
                            <a:fillRect/>
                          </a:stretch>
                        </pic:blipFill>
                        <pic:spPr>
                          <a:xfrm>
                            <a:off x="0" y="0"/>
                            <a:ext cx="722630" cy="722630"/>
                          </a:xfrm>
                          <a:prstGeom prst="rect">
                            <a:avLst/>
                          </a:prstGeom>
                        </pic:spPr>
                      </pic:pic>
                    </a:graphicData>
                  </a:graphic>
                </wp:inline>
              </w:drawing>
            </w:r>
          </w:p>
        </w:tc>
      </w:tr>
      <w:tr w14:paraId="7F20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01" w:type="pct"/>
            <w:vAlign w:val="center"/>
          </w:tcPr>
          <w:p w14:paraId="791962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33" w:type="pct"/>
            <w:vAlign w:val="center"/>
          </w:tcPr>
          <w:p w14:paraId="7658E8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六门储物柜</w:t>
            </w:r>
          </w:p>
        </w:tc>
        <w:tc>
          <w:tcPr>
            <w:tcW w:w="2119" w:type="pct"/>
            <w:vAlign w:val="center"/>
          </w:tcPr>
          <w:p w14:paraId="2B6143C4">
            <w:pPr>
              <w:pStyle w:val="76"/>
              <w:numPr>
                <w:ilvl w:val="0"/>
                <w:numId w:val="0"/>
              </w:numPr>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储物柜尺寸：≥1030mm×600mm×1920mm</w:t>
            </w:r>
            <w:r>
              <w:rPr>
                <w:rFonts w:hint="eastAsia" w:ascii="宋体" w:hAnsi="宋体" w:eastAsia="宋体" w:cs="宋体"/>
                <w:b w:val="0"/>
                <w:bCs w:val="0"/>
                <w:color w:val="auto"/>
                <w:sz w:val="21"/>
                <w:szCs w:val="21"/>
                <w:highlight w:val="none"/>
              </w:rPr>
              <w:t>（投标文件中提供满足该条参数的证明材料）</w:t>
            </w:r>
            <w:r>
              <w:rPr>
                <w:rFonts w:hint="eastAsia" w:ascii="宋体" w:hAnsi="宋体" w:eastAsia="宋体" w:cs="宋体"/>
                <w:color w:val="auto"/>
                <w:sz w:val="21"/>
                <w:szCs w:val="21"/>
                <w:highlight w:val="none"/>
              </w:rPr>
              <w:t>；</w:t>
            </w:r>
          </w:p>
          <w:p w14:paraId="04881305">
            <w:pPr>
              <w:pStyle w:val="76"/>
              <w:numPr>
                <w:ilvl w:val="0"/>
                <w:numId w:val="0"/>
              </w:numPr>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材质：采用冷轧钢板材料喷塑处理，厚度≥0.7mm，钢板部分经剪切、模具冲压、折弯成型、组焊接、喷涂、组装而成，表面经酸洗、磷化、钝化等后全封闭静电喷塑，热固性粉末涂料静电喷涂处理；</w:t>
            </w:r>
          </w:p>
          <w:p w14:paraId="497CAD4C">
            <w:pPr>
              <w:pStyle w:val="76"/>
              <w:spacing w:beforeLines="0" w:afterLines="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对开门设计，合计3层；柜门选用注塑一体成型设计，尺寸590mm（±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）×475mm（±</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），背面方格状加固筋，可安装挂锁；</w:t>
            </w:r>
            <w:r>
              <w:rPr>
                <w:rFonts w:hint="eastAsia" w:ascii="宋体" w:hAnsi="宋体" w:eastAsia="宋体" w:cs="宋体"/>
                <w:b w:val="0"/>
                <w:bCs w:val="0"/>
                <w:color w:val="auto"/>
                <w:sz w:val="21"/>
                <w:szCs w:val="21"/>
                <w:highlight w:val="none"/>
              </w:rPr>
              <w:t>（投标文件中提供满足该条参数的证明材料）</w:t>
            </w:r>
            <w:r>
              <w:rPr>
                <w:rFonts w:hint="eastAsia" w:ascii="宋体" w:hAnsi="宋体" w:eastAsia="宋体" w:cs="宋体"/>
                <w:b w:val="0"/>
                <w:bCs w:val="0"/>
                <w:color w:val="auto"/>
                <w:sz w:val="21"/>
                <w:szCs w:val="21"/>
                <w:highlight w:val="none"/>
                <w:lang w:eastAsia="zh-CN"/>
              </w:rPr>
              <w:t>；</w:t>
            </w:r>
          </w:p>
          <w:p w14:paraId="1EAB19AA">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表面处理：所有板件均进行清洗、除油、防锈、磷化等处理；</w:t>
            </w:r>
          </w:p>
          <w:p w14:paraId="6B6D311A">
            <w:pPr>
              <w:pStyle w:val="76"/>
              <w:spacing w:beforeLines="0" w:afterLines="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外观质量：各组合件表面光滑、平整、没有尖角、凸起；色泽一致，无流挂起粒、皱皮、露底剥落现象；漆面均匀光亮，无划伤；</w:t>
            </w:r>
          </w:p>
          <w:p w14:paraId="22CF3E00">
            <w:pPr>
              <w:pStyle w:val="76"/>
              <w:spacing w:beforeLines="0" w:afterLines="0" w:line="240" w:lineRule="auto"/>
              <w:rPr>
                <w:rFonts w:hint="eastAsia" w:ascii="宋体" w:hAnsi="宋体" w:eastAsia="@仿宋_GB2312" w:cs="宋体"/>
                <w:bCs/>
                <w:color w:val="auto"/>
                <w:sz w:val="21"/>
                <w:szCs w:val="21"/>
                <w:highlight w:val="none"/>
                <w:lang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耐酸性≥240h无异常；耐湿热性无生锈、无起泡、无变色、无开裂；产品表面理化性能：金属喷漆(塑)涂层，铅笔硬度H，应无塑性变形和或内聚破坏；家具中可迁移有害元素限量要求未检出（投标文件中提供</w:t>
            </w:r>
            <w:r>
              <w:rPr>
                <w:rFonts w:hint="eastAsia" w:ascii="宋体" w:hAnsi="宋体" w:eastAsia="宋体" w:cs="宋体"/>
                <w:color w:val="auto"/>
                <w:sz w:val="21"/>
                <w:szCs w:val="21"/>
                <w:highlight w:val="none"/>
                <w:lang w:val="en-US" w:eastAsia="zh-CN"/>
              </w:rPr>
              <w:t>由第三方检测机构出具的储物柜检测报告予以证明</w:t>
            </w:r>
            <w:r>
              <w:rPr>
                <w:rFonts w:hint="eastAsia" w:ascii="宋体" w:hAnsi="宋体" w:eastAsia="宋体" w:cs="宋体"/>
                <w:color w:val="auto"/>
                <w:sz w:val="21"/>
                <w:szCs w:val="21"/>
                <w:highlight w:val="none"/>
              </w:rPr>
              <w:t>）</w:t>
            </w:r>
            <w:r>
              <w:rPr>
                <w:rFonts w:hint="eastAsia"/>
                <w:color w:val="auto"/>
                <w:highlight w:val="none"/>
                <w:lang w:eastAsia="zh-CN"/>
              </w:rPr>
              <w:t>。</w:t>
            </w:r>
          </w:p>
        </w:tc>
        <w:tc>
          <w:tcPr>
            <w:tcW w:w="574" w:type="pct"/>
            <w:vAlign w:val="center"/>
          </w:tcPr>
          <w:p w14:paraId="001BC079">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109套</w:t>
            </w:r>
          </w:p>
        </w:tc>
        <w:tc>
          <w:tcPr>
            <w:tcW w:w="339" w:type="pct"/>
            <w:vAlign w:val="center"/>
          </w:tcPr>
          <w:p w14:paraId="78ADD9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505" w:type="pct"/>
            <w:vAlign w:val="center"/>
          </w:tcPr>
          <w:p w14:paraId="185D609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627" w:type="pct"/>
            <w:vAlign w:val="center"/>
          </w:tcPr>
          <w:p w14:paraId="0167A7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r>
              <w:rPr>
                <w:color w:val="auto"/>
                <w:highlight w:val="none"/>
              </w:rPr>
              <w:drawing>
                <wp:inline distT="0" distB="0" distL="114300" distR="114300">
                  <wp:extent cx="726440" cy="1043305"/>
                  <wp:effectExtent l="0" t="0" r="1651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726440" cy="1043305"/>
                          </a:xfrm>
                          <a:prstGeom prst="rect">
                            <a:avLst/>
                          </a:prstGeom>
                          <a:noFill/>
                          <a:ln>
                            <a:noFill/>
                          </a:ln>
                        </pic:spPr>
                      </pic:pic>
                    </a:graphicData>
                  </a:graphic>
                </wp:inline>
              </w:drawing>
            </w:r>
          </w:p>
        </w:tc>
      </w:tr>
    </w:tbl>
    <w:p w14:paraId="0FEB54EC">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eastAsia="zh-CN"/>
        </w:rPr>
      </w:pPr>
      <w:r>
        <w:rPr>
          <w:rFonts w:hint="eastAsia" w:ascii="宋体" w:hAnsi="宋体" w:eastAsia="宋体"/>
          <w:b/>
          <w:bCs w:val="0"/>
          <w:color w:val="auto"/>
          <w:sz w:val="21"/>
          <w:szCs w:val="21"/>
          <w:highlight w:val="none"/>
        </w:rPr>
        <w:t>注：</w:t>
      </w:r>
      <w:r>
        <w:rPr>
          <w:rFonts w:hint="eastAsia" w:ascii="宋体" w:hAnsi="宋体" w:eastAsia="宋体"/>
          <w:b/>
          <w:bCs w:val="0"/>
          <w:color w:val="auto"/>
          <w:sz w:val="21"/>
          <w:szCs w:val="21"/>
          <w:highlight w:val="none"/>
          <w:lang w:val="en-US" w:eastAsia="zh-CN"/>
        </w:rPr>
        <w:t>1.</w:t>
      </w:r>
      <w:r>
        <w:rPr>
          <w:rFonts w:hint="eastAsia" w:ascii="宋体" w:hAnsi="宋体" w:eastAsia="宋体"/>
          <w:b/>
          <w:bCs w:val="0"/>
          <w:color w:val="auto"/>
          <w:sz w:val="21"/>
          <w:szCs w:val="21"/>
          <w:highlight w:val="none"/>
        </w:rPr>
        <w:t>带★项参数及技术标准，不得有负偏差，否则视为不响应招标文件技术要求，按无效标处理</w:t>
      </w:r>
      <w:r>
        <w:rPr>
          <w:rFonts w:hint="eastAsia" w:ascii="宋体" w:hAnsi="宋体" w:eastAsia="宋体"/>
          <w:b/>
          <w:bCs w:val="0"/>
          <w:color w:val="auto"/>
          <w:sz w:val="21"/>
          <w:szCs w:val="21"/>
          <w:highlight w:val="none"/>
          <w:lang w:eastAsia="zh-CN"/>
        </w:rPr>
        <w:t>。</w:t>
      </w:r>
    </w:p>
    <w:p w14:paraId="19140930">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rPr>
      </w:pPr>
      <w:r>
        <w:rPr>
          <w:rFonts w:hint="eastAsia" w:ascii="宋体" w:hAnsi="宋体" w:eastAsia="宋体"/>
          <w:b/>
          <w:bCs w:val="0"/>
          <w:color w:val="auto"/>
          <w:sz w:val="21"/>
          <w:szCs w:val="21"/>
          <w:highlight w:val="none"/>
          <w:lang w:val="en-US" w:eastAsia="zh-CN"/>
        </w:rPr>
        <w:t>2.</w:t>
      </w:r>
      <w:r>
        <w:rPr>
          <w:rFonts w:hint="eastAsia" w:ascii="宋体" w:hAnsi="宋体" w:eastAsia="宋体"/>
          <w:b/>
          <w:bCs w:val="0"/>
          <w:color w:val="auto"/>
          <w:sz w:val="21"/>
          <w:szCs w:val="21"/>
          <w:highlight w:val="none"/>
        </w:rPr>
        <w:t>投标人自行勘察本项目实施现场，核对现场可能影响货物后期安装的全部因素，确保所投货物满足现场实际安装要求；因未勘察现场而引起的一切责任由投标人自行承担。</w:t>
      </w:r>
    </w:p>
    <w:p w14:paraId="4174811A">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rPr>
      </w:pPr>
      <w:r>
        <w:rPr>
          <w:rFonts w:hint="eastAsia" w:ascii="宋体" w:hAnsi="宋体" w:eastAsia="宋体"/>
          <w:b/>
          <w:bCs w:val="0"/>
          <w:color w:val="auto"/>
          <w:sz w:val="21"/>
          <w:szCs w:val="21"/>
          <w:highlight w:val="none"/>
          <w:lang w:val="en-US" w:eastAsia="zh-CN"/>
        </w:rPr>
        <w:t>3</w:t>
      </w:r>
      <w:r>
        <w:rPr>
          <w:rFonts w:hint="eastAsia" w:ascii="宋体" w:hAnsi="宋体" w:eastAsia="宋体"/>
          <w:b/>
          <w:bCs w:val="0"/>
          <w:color w:val="auto"/>
          <w:sz w:val="21"/>
          <w:szCs w:val="21"/>
          <w:highlight w:val="none"/>
        </w:rPr>
        <w:t>.清单中非定制货物、设备尺寸允许有细微偏差，但如果在后期安装过程中出现不符合现场实际安装情况，中标人则需无条件更换货物、设备。</w:t>
      </w:r>
    </w:p>
    <w:p w14:paraId="01E2D8C7">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val="en-US" w:eastAsia="zh-CN"/>
        </w:rPr>
      </w:pPr>
      <w:r>
        <w:rPr>
          <w:rFonts w:hint="eastAsia" w:ascii="宋体" w:hAnsi="宋体" w:eastAsia="宋体"/>
          <w:b/>
          <w:bCs w:val="0"/>
          <w:color w:val="auto"/>
          <w:sz w:val="21"/>
          <w:szCs w:val="21"/>
          <w:highlight w:val="none"/>
          <w:lang w:val="en-US" w:eastAsia="zh-CN"/>
        </w:rPr>
        <w:t>4.</w:t>
      </w:r>
      <w:r>
        <w:rPr>
          <w:rFonts w:hint="eastAsia" w:ascii="宋体" w:hAnsi="宋体" w:eastAsia="宋体"/>
          <w:b/>
          <w:bCs w:val="0"/>
          <w:color w:val="auto"/>
          <w:sz w:val="21"/>
          <w:szCs w:val="21"/>
          <w:highlight w:val="none"/>
        </w:rPr>
        <w:t>产品验收前必须保证合格；按</w:t>
      </w:r>
      <w:r>
        <w:rPr>
          <w:rFonts w:hint="eastAsia" w:ascii="宋体" w:hAnsi="宋体" w:eastAsia="宋体"/>
          <w:b/>
          <w:bCs w:val="0"/>
          <w:color w:val="auto"/>
          <w:sz w:val="21"/>
          <w:szCs w:val="21"/>
          <w:highlight w:val="none"/>
          <w:lang w:val="en-US" w:eastAsia="zh-CN"/>
        </w:rPr>
        <w:t>采购人</w:t>
      </w:r>
      <w:r>
        <w:rPr>
          <w:rFonts w:hint="eastAsia" w:ascii="宋体" w:hAnsi="宋体" w:eastAsia="宋体"/>
          <w:b/>
          <w:bCs w:val="0"/>
          <w:color w:val="auto"/>
          <w:sz w:val="21"/>
          <w:szCs w:val="21"/>
          <w:highlight w:val="none"/>
        </w:rPr>
        <w:t>要求送检，</w:t>
      </w:r>
      <w:r>
        <w:rPr>
          <w:rFonts w:hint="eastAsia" w:ascii="宋体" w:hAnsi="宋体" w:eastAsia="宋体"/>
          <w:b/>
          <w:bCs w:val="0"/>
          <w:color w:val="auto"/>
          <w:sz w:val="21"/>
          <w:szCs w:val="21"/>
          <w:highlight w:val="none"/>
          <w:lang w:val="en-US" w:eastAsia="zh-CN"/>
        </w:rPr>
        <w:t>采购人</w:t>
      </w:r>
      <w:r>
        <w:rPr>
          <w:rFonts w:hint="eastAsia" w:ascii="宋体" w:hAnsi="宋体" w:eastAsia="宋体"/>
          <w:b/>
          <w:bCs w:val="0"/>
          <w:color w:val="auto"/>
          <w:sz w:val="21"/>
          <w:szCs w:val="21"/>
          <w:highlight w:val="none"/>
        </w:rPr>
        <w:t>有权委托第三方进行产品质量、规格要求等检测，检测不合格的</w:t>
      </w:r>
      <w:r>
        <w:rPr>
          <w:rFonts w:hint="eastAsia" w:ascii="宋体" w:hAnsi="宋体" w:eastAsia="宋体"/>
          <w:b/>
          <w:bCs w:val="0"/>
          <w:color w:val="auto"/>
          <w:sz w:val="21"/>
          <w:szCs w:val="21"/>
          <w:highlight w:val="none"/>
          <w:lang w:val="en-US" w:eastAsia="zh-CN"/>
        </w:rPr>
        <w:t>由中标人</w:t>
      </w:r>
      <w:r>
        <w:rPr>
          <w:rFonts w:hint="eastAsia" w:ascii="宋体" w:hAnsi="宋体" w:eastAsia="宋体"/>
          <w:b/>
          <w:bCs w:val="0"/>
          <w:color w:val="auto"/>
          <w:sz w:val="21"/>
          <w:szCs w:val="21"/>
          <w:highlight w:val="none"/>
        </w:rPr>
        <w:t>更换所有产品并承担违约责任及损失</w:t>
      </w:r>
      <w:r>
        <w:rPr>
          <w:rFonts w:hint="eastAsia" w:ascii="宋体" w:hAnsi="宋体" w:eastAsia="宋体"/>
          <w:b/>
          <w:bCs w:val="0"/>
          <w:color w:val="auto"/>
          <w:sz w:val="21"/>
          <w:szCs w:val="21"/>
          <w:highlight w:val="none"/>
          <w:lang w:eastAsia="zh-CN"/>
        </w:rPr>
        <w:t>。</w:t>
      </w:r>
    </w:p>
    <w:p w14:paraId="1825D480">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4"/>
          <w:szCs w:val="18"/>
          <w:highlight w:val="none"/>
        </w:rPr>
        <w:t>、报价要求</w:t>
      </w:r>
      <w:bookmarkEnd w:id="19"/>
      <w:bookmarkEnd w:id="20"/>
    </w:p>
    <w:p w14:paraId="6E2D6DA0">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本项目总价包干，投标报价包括货物从设计、生产、运输安装、交货、环境检测、工完场清、验收合格等至售后服务、税金</w:t>
      </w:r>
      <w:r>
        <w:rPr>
          <w:rFonts w:hint="eastAsia" w:ascii="宋体" w:hAnsi="宋体" w:eastAsia="宋体"/>
          <w:bCs/>
          <w:color w:val="auto"/>
          <w:sz w:val="24"/>
          <w:szCs w:val="18"/>
          <w:highlight w:val="none"/>
          <w:lang w:eastAsia="zh-CN"/>
        </w:rPr>
        <w:t>、</w:t>
      </w:r>
      <w:r>
        <w:rPr>
          <w:rFonts w:hint="eastAsia" w:ascii="宋体" w:hAnsi="宋体" w:eastAsia="宋体" w:cs="宋体"/>
          <w:color w:val="auto"/>
          <w:kern w:val="2"/>
          <w:sz w:val="24"/>
          <w:szCs w:val="24"/>
          <w:highlight w:val="none"/>
          <w:lang w:val="en-US" w:eastAsia="zh-CN" w:bidi="ar"/>
        </w:rPr>
        <w:t>学生公寓内部现存床铺及家具的拆除、搬运</w:t>
      </w:r>
      <w:r>
        <w:rPr>
          <w:rFonts w:hint="eastAsia" w:ascii="宋体" w:hAnsi="宋体" w:eastAsia="宋体"/>
          <w:bCs/>
          <w:color w:val="auto"/>
          <w:sz w:val="24"/>
          <w:szCs w:val="18"/>
          <w:highlight w:val="none"/>
        </w:rPr>
        <w:t>等的一切费用。采购人后期不予追加任何费用。</w:t>
      </w:r>
    </w:p>
    <w:p w14:paraId="57C9D20E">
      <w:pPr>
        <w:spacing w:line="360" w:lineRule="auto"/>
        <w:ind w:firstLine="437"/>
        <w:outlineLvl w:val="1"/>
        <w:rPr>
          <w:rFonts w:ascii="宋体" w:hAnsi="宋体" w:eastAsia="宋体"/>
          <w:b/>
          <w:bCs/>
          <w:color w:val="auto"/>
          <w:sz w:val="24"/>
          <w:szCs w:val="18"/>
          <w:highlight w:val="none"/>
        </w:rPr>
      </w:pPr>
      <w:bookmarkStart w:id="21" w:name="_Toc14698"/>
      <w:bookmarkStart w:id="22" w:name="_Toc15293"/>
      <w:r>
        <w:rPr>
          <w:rFonts w:hint="eastAsia" w:ascii="宋体" w:hAnsi="宋体" w:eastAsia="宋体"/>
          <w:b/>
          <w:bCs/>
          <w:color w:val="auto"/>
          <w:sz w:val="24"/>
          <w:szCs w:val="18"/>
          <w:highlight w:val="none"/>
          <w:lang w:val="en-US" w:eastAsia="zh-CN"/>
        </w:rPr>
        <w:t>四</w:t>
      </w:r>
      <w:r>
        <w:rPr>
          <w:rFonts w:hint="eastAsia" w:ascii="宋体" w:hAnsi="宋体" w:eastAsia="宋体"/>
          <w:b/>
          <w:bCs/>
          <w:color w:val="auto"/>
          <w:sz w:val="24"/>
          <w:szCs w:val="18"/>
          <w:highlight w:val="none"/>
        </w:rPr>
        <w:t>、其他要求</w:t>
      </w:r>
      <w:bookmarkEnd w:id="21"/>
      <w:bookmarkEnd w:id="22"/>
    </w:p>
    <w:p w14:paraId="6423036B">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1.货物的生产、安装、维修、检验、验收等按照以下原则执行：有国家标准的执行国家标准；无国家标准的执行行业标准；无行业标准的执行地方标准；无地方标准的执行企业标准。</w:t>
      </w:r>
    </w:p>
    <w:p w14:paraId="0F7D7B51">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6482058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(厂家出具的合格证书供货时提供)</w:t>
      </w:r>
    </w:p>
    <w:p w14:paraId="54A117AF">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中标人须确保其检测报告及证明材料的真实性和有效性，为了保证产品质量，同时确保家长和学生的知悉权，采购人有权抽取中标人提供的证明材料及检测报告彩色复印件在校园网站或校园进行公示，如有虚假，采购人有权追究责任，中标人承担由此产生的一切责任与后果。</w:t>
      </w:r>
    </w:p>
    <w:p w14:paraId="2F897755">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w:t>
      </w:r>
      <w:r>
        <w:rPr>
          <w:rFonts w:hint="default" w:ascii="宋体" w:hAnsi="宋体" w:eastAsia="宋体"/>
          <w:bCs/>
          <w:color w:val="auto"/>
          <w:sz w:val="24"/>
          <w:szCs w:val="18"/>
          <w:highlight w:val="none"/>
          <w:lang w:val="en-US" w:eastAsia="zh-CN"/>
        </w:rPr>
        <w:t>货物生产过程中，采购人有权委托具有资质的检测机构进行跟踪检测，检测标准以招标文件要求及投标文件响应为依据。检测中若发现有不合格原材料、成品，采购人有权追究中标人违约责任，由此而造成的一切后果及责任由中标人承担。</w:t>
      </w:r>
    </w:p>
    <w:p w14:paraId="35F072F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6.中标人合同签订后须实地勘察测量，确定精准尺寸，防止安装空间实际尺寸与图纸不符或有误差而导致货物无法安装等情况。若因中标人未勘察或勘察不清造成无法安装带来的一切损失由中标人自行承担。</w:t>
      </w:r>
    </w:p>
    <w:p w14:paraId="64495246">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7.中标人负责将</w:t>
      </w:r>
      <w:r>
        <w:rPr>
          <w:rFonts w:hint="default" w:ascii="宋体" w:hAnsi="宋体" w:eastAsia="宋体"/>
          <w:bCs/>
          <w:color w:val="auto"/>
          <w:sz w:val="24"/>
          <w:szCs w:val="18"/>
          <w:highlight w:val="none"/>
          <w:lang w:val="en-US" w:eastAsia="zh-CN"/>
        </w:rPr>
        <w:t>学生公寓内部</w:t>
      </w:r>
      <w:r>
        <w:rPr>
          <w:rFonts w:hint="eastAsia" w:ascii="宋体" w:hAnsi="宋体" w:eastAsia="宋体"/>
          <w:bCs/>
          <w:color w:val="auto"/>
          <w:sz w:val="24"/>
          <w:szCs w:val="18"/>
          <w:highlight w:val="none"/>
          <w:lang w:val="en-US" w:eastAsia="zh-CN"/>
        </w:rPr>
        <w:t>现有</w:t>
      </w:r>
      <w:r>
        <w:rPr>
          <w:rFonts w:hint="default" w:ascii="宋体" w:hAnsi="宋体" w:eastAsia="宋体"/>
          <w:bCs/>
          <w:color w:val="auto"/>
          <w:sz w:val="24"/>
          <w:szCs w:val="18"/>
          <w:highlight w:val="none"/>
          <w:lang w:val="en-US" w:eastAsia="zh-CN"/>
        </w:rPr>
        <w:t>床铺及家具拆除并搬运至</w:t>
      </w:r>
      <w:r>
        <w:rPr>
          <w:rFonts w:hint="eastAsia" w:ascii="宋体" w:hAnsi="宋体" w:eastAsia="宋体"/>
          <w:bCs/>
          <w:color w:val="auto"/>
          <w:sz w:val="24"/>
          <w:szCs w:val="18"/>
          <w:highlight w:val="none"/>
          <w:lang w:val="en-US" w:eastAsia="zh-CN"/>
        </w:rPr>
        <w:t>采购人</w:t>
      </w:r>
      <w:r>
        <w:rPr>
          <w:rFonts w:hint="default" w:ascii="宋体" w:hAnsi="宋体" w:eastAsia="宋体"/>
          <w:bCs/>
          <w:color w:val="auto"/>
          <w:sz w:val="24"/>
          <w:szCs w:val="18"/>
          <w:highlight w:val="none"/>
          <w:lang w:val="en-US" w:eastAsia="zh-CN"/>
        </w:rPr>
        <w:t>指定地点存放</w:t>
      </w:r>
      <w:r>
        <w:rPr>
          <w:rFonts w:hint="eastAsia" w:ascii="宋体" w:hAnsi="宋体" w:eastAsia="宋体"/>
          <w:bCs/>
          <w:color w:val="auto"/>
          <w:sz w:val="24"/>
          <w:szCs w:val="18"/>
          <w:highlight w:val="none"/>
          <w:lang w:val="en-US" w:eastAsia="zh-CN"/>
        </w:rPr>
        <w:t>。相关费用均包含在中标价中，采购人不再另行支付费用。</w:t>
      </w:r>
    </w:p>
    <w:p w14:paraId="0D115B49">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8.采购人仅对按要求张贴资产条形码的合格产品进行验收。</w:t>
      </w:r>
    </w:p>
    <w:p w14:paraId="4787BD2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9.免费质保期为验收合格之日起不少于3年。具体期限以中标人投标承诺为准。在免费质保服务期限内，中标人应在合同货物出现故障和缺陷时，接到采购人通知后2小时内予以答复，如采购人有要求或必要时，中标人应在接到采购人通知后24小时内，进行维修。因中标人自身产品和安装质量原因而出现的质量问题由中标人负责包修、包换或包退，并承担修理、调换或退货的实际费用；属于人为损坏的由采购人负责。</w:t>
      </w:r>
    </w:p>
    <w:p w14:paraId="50F545E8">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10.免费质保期内，中标人每年须至少提供2次的上门巡检服务，巡检过程中须根据宿舍设备使用情况，免费更换常用配件，如抽屉滑轨、备用柜门板、铰链、镙丝、蚊帐杆、蚊帐杆塑料插件等产品备件及常用维修工具。无正当理由，中标人不得拒绝上门巡检服务及备品备件更换。</w:t>
      </w:r>
    </w:p>
    <w:p w14:paraId="67ABBF6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11.中标人不履行免费质保期约定的，采购人有权依法依规追究中标人法律责任，由此产生的责任与后果均由中标人承担。</w:t>
      </w:r>
      <w:r>
        <w:rPr>
          <w:rFonts w:hint="eastAsia" w:ascii="宋体" w:hAnsi="宋体" w:eastAsia="宋体"/>
          <w:bCs/>
          <w:color w:val="auto"/>
          <w:sz w:val="24"/>
          <w:szCs w:val="18"/>
          <w:highlight w:val="none"/>
          <w:lang w:val="en-US" w:eastAsia="zh-CN"/>
        </w:rPr>
        <w:br w:type="page"/>
      </w:r>
    </w:p>
    <w:p w14:paraId="15699A42">
      <w:pPr>
        <w:pStyle w:val="12"/>
        <w:rPr>
          <w:rFonts w:hint="eastAsia"/>
          <w:color w:val="auto"/>
          <w:highlight w:val="none"/>
          <w:lang w:val="en-US" w:eastAsia="zh-CN"/>
        </w:rPr>
      </w:pPr>
    </w:p>
    <w:p w14:paraId="6B965827">
      <w:pPr>
        <w:spacing w:line="360" w:lineRule="auto"/>
        <w:jc w:val="center"/>
        <w:outlineLvl w:val="0"/>
        <w:rPr>
          <w:rFonts w:asciiTheme="minorEastAsia" w:hAnsiTheme="minorEastAsia" w:eastAsiaTheme="minorEastAsia"/>
          <w:b/>
          <w:color w:val="auto"/>
          <w:sz w:val="28"/>
          <w:highlight w:val="none"/>
        </w:rPr>
      </w:pPr>
      <w:bookmarkStart w:id="23" w:name="_Toc16417"/>
      <w:r>
        <w:rPr>
          <w:rFonts w:hint="eastAsia" w:asciiTheme="minorEastAsia" w:hAnsiTheme="minorEastAsia" w:eastAsiaTheme="minorEastAsia"/>
          <w:b/>
          <w:color w:val="auto"/>
          <w:sz w:val="28"/>
          <w:highlight w:val="none"/>
        </w:rPr>
        <w:t>第四章  评标方法和标准（综合评分法）</w:t>
      </w:r>
      <w:bookmarkEnd w:id="23"/>
    </w:p>
    <w:p w14:paraId="40F2FCC7">
      <w:pPr>
        <w:spacing w:line="360" w:lineRule="auto"/>
        <w:ind w:firstLine="437"/>
        <w:outlineLvl w:val="1"/>
        <w:rPr>
          <w:rFonts w:asciiTheme="minorEastAsia" w:hAnsiTheme="minorEastAsia" w:eastAsiaTheme="minorEastAsia"/>
          <w:b/>
          <w:color w:val="auto"/>
          <w:sz w:val="24"/>
          <w:highlight w:val="none"/>
        </w:rPr>
      </w:pPr>
      <w:bookmarkStart w:id="24" w:name="_Toc11823"/>
      <w:bookmarkStart w:id="25" w:name="_Toc1246"/>
      <w:r>
        <w:rPr>
          <w:rFonts w:hint="eastAsia" w:asciiTheme="minorEastAsia" w:hAnsiTheme="minorEastAsia" w:eastAsiaTheme="minorEastAsia"/>
          <w:b/>
          <w:color w:val="auto"/>
          <w:sz w:val="24"/>
          <w:highlight w:val="none"/>
        </w:rPr>
        <w:t>一、总则</w:t>
      </w:r>
      <w:bookmarkEnd w:id="24"/>
      <w:bookmarkEnd w:id="25"/>
    </w:p>
    <w:p w14:paraId="452C0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19003A87">
      <w:pPr>
        <w:spacing w:line="360" w:lineRule="auto"/>
        <w:ind w:firstLine="437"/>
        <w:outlineLvl w:val="1"/>
        <w:rPr>
          <w:rFonts w:asciiTheme="minorEastAsia" w:hAnsiTheme="minorEastAsia" w:eastAsiaTheme="minorEastAsia"/>
          <w:b/>
          <w:color w:val="auto"/>
          <w:sz w:val="24"/>
          <w:highlight w:val="none"/>
        </w:rPr>
      </w:pPr>
      <w:bookmarkStart w:id="26" w:name="_Toc13117"/>
      <w:bookmarkStart w:id="27" w:name="_Toc31871"/>
      <w:r>
        <w:rPr>
          <w:rFonts w:hint="eastAsia" w:asciiTheme="minorEastAsia" w:hAnsiTheme="minorEastAsia" w:eastAsiaTheme="minorEastAsia"/>
          <w:b/>
          <w:color w:val="auto"/>
          <w:sz w:val="24"/>
          <w:highlight w:val="none"/>
        </w:rPr>
        <w:t>二、评标方法</w:t>
      </w:r>
      <w:bookmarkEnd w:id="26"/>
      <w:bookmarkEnd w:id="27"/>
    </w:p>
    <w:p w14:paraId="15FA0B6B">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3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648"/>
        <w:gridCol w:w="4558"/>
        <w:gridCol w:w="2218"/>
      </w:tblGrid>
      <w:tr w14:paraId="14E8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7AA36EA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32D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4F9E7D6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07" w:type="pct"/>
            <w:tcBorders>
              <w:bottom w:val="single" w:color="auto" w:sz="4" w:space="0"/>
            </w:tcBorders>
            <w:vAlign w:val="center"/>
          </w:tcPr>
          <w:p w14:paraId="243C5417">
            <w:pPr>
              <w:pStyle w:val="47"/>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509" w:type="pct"/>
            <w:tcBorders>
              <w:bottom w:val="single" w:color="auto" w:sz="4" w:space="0"/>
            </w:tcBorders>
            <w:vAlign w:val="center"/>
          </w:tcPr>
          <w:p w14:paraId="371EE5C9">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219" w:type="pct"/>
            <w:tcBorders>
              <w:bottom w:val="single" w:color="auto" w:sz="4" w:space="0"/>
            </w:tcBorders>
            <w:vAlign w:val="center"/>
          </w:tcPr>
          <w:p w14:paraId="1D0C6F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4AB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3" w:type="pct"/>
            <w:tcBorders>
              <w:bottom w:val="single" w:color="auto" w:sz="4" w:space="0"/>
            </w:tcBorders>
            <w:vAlign w:val="center"/>
          </w:tcPr>
          <w:p w14:paraId="407D4A0A">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07" w:type="pct"/>
            <w:tcBorders>
              <w:bottom w:val="single" w:color="auto" w:sz="4" w:space="0"/>
            </w:tcBorders>
            <w:vAlign w:val="center"/>
          </w:tcPr>
          <w:p w14:paraId="1DADF2CF">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09" w:type="pct"/>
            <w:tcBorders>
              <w:bottom w:val="single" w:color="auto" w:sz="4" w:space="0"/>
            </w:tcBorders>
            <w:vAlign w:val="center"/>
          </w:tcPr>
          <w:p w14:paraId="3CF99E2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1B3EFE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7B18B1F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4A19916B">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337598C8">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219" w:type="pct"/>
            <w:vAlign w:val="center"/>
          </w:tcPr>
          <w:p w14:paraId="1BE0D14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6D6B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3" w:type="pct"/>
            <w:tcBorders>
              <w:bottom w:val="single" w:color="auto" w:sz="4" w:space="0"/>
            </w:tcBorders>
            <w:vAlign w:val="center"/>
          </w:tcPr>
          <w:p w14:paraId="127E638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07" w:type="pct"/>
            <w:tcBorders>
              <w:bottom w:val="single" w:color="auto" w:sz="4" w:space="0"/>
            </w:tcBorders>
            <w:vAlign w:val="center"/>
          </w:tcPr>
          <w:p w14:paraId="012AEF30">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09" w:type="pct"/>
            <w:tcBorders>
              <w:bottom w:val="single" w:color="auto" w:sz="4" w:space="0"/>
            </w:tcBorders>
            <w:vAlign w:val="center"/>
          </w:tcPr>
          <w:p w14:paraId="34D12226">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219" w:type="pct"/>
            <w:vAlign w:val="center"/>
          </w:tcPr>
          <w:p w14:paraId="441BE2C2">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29ED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082548D4">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07" w:type="pct"/>
            <w:tcBorders>
              <w:bottom w:val="single" w:color="auto" w:sz="4" w:space="0"/>
            </w:tcBorders>
            <w:vAlign w:val="center"/>
          </w:tcPr>
          <w:p w14:paraId="0273748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09" w:type="pct"/>
            <w:tcBorders>
              <w:bottom w:val="single" w:color="auto" w:sz="4" w:space="0"/>
            </w:tcBorders>
            <w:vAlign w:val="center"/>
          </w:tcPr>
          <w:p w14:paraId="47D16C40">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219" w:type="pct"/>
            <w:tcBorders>
              <w:bottom w:val="single" w:color="auto" w:sz="4" w:space="0"/>
            </w:tcBorders>
            <w:vAlign w:val="center"/>
          </w:tcPr>
          <w:p w14:paraId="315A4780">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12BD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64C9CFF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07" w:type="pct"/>
            <w:tcBorders>
              <w:bottom w:val="single" w:color="auto" w:sz="4" w:space="0"/>
            </w:tcBorders>
            <w:vAlign w:val="center"/>
          </w:tcPr>
          <w:p w14:paraId="04372416">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p>
        </w:tc>
        <w:tc>
          <w:tcPr>
            <w:tcW w:w="2509" w:type="pct"/>
            <w:tcBorders>
              <w:bottom w:val="single" w:color="auto" w:sz="4" w:space="0"/>
            </w:tcBorders>
            <w:vAlign w:val="top"/>
          </w:tcPr>
          <w:p w14:paraId="380767E8">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1AC0F244">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170F6C0B">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219" w:type="pct"/>
            <w:tcBorders>
              <w:bottom w:val="single" w:color="auto" w:sz="4" w:space="0"/>
            </w:tcBorders>
            <w:vAlign w:val="center"/>
          </w:tcPr>
          <w:p w14:paraId="6B589E9E">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5F4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Borders>
              <w:bottom w:val="single" w:color="auto" w:sz="4" w:space="0"/>
            </w:tcBorders>
            <w:vAlign w:val="center"/>
          </w:tcPr>
          <w:p w14:paraId="664A078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07" w:type="pct"/>
            <w:tcBorders>
              <w:bottom w:val="single" w:color="auto" w:sz="4" w:space="0"/>
            </w:tcBorders>
            <w:vAlign w:val="center"/>
          </w:tcPr>
          <w:p w14:paraId="7C7ECFC8">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09" w:type="pct"/>
            <w:tcBorders>
              <w:bottom w:val="single" w:color="auto" w:sz="4" w:space="0"/>
            </w:tcBorders>
            <w:vAlign w:val="center"/>
          </w:tcPr>
          <w:p w14:paraId="147D1961">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219" w:type="pct"/>
            <w:tcBorders>
              <w:bottom w:val="single" w:color="auto" w:sz="4" w:space="0"/>
            </w:tcBorders>
            <w:vAlign w:val="center"/>
          </w:tcPr>
          <w:p w14:paraId="704B93CD">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304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vAlign w:val="center"/>
          </w:tcPr>
          <w:p w14:paraId="16C19114">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907" w:type="pct"/>
            <w:vAlign w:val="center"/>
          </w:tcPr>
          <w:p w14:paraId="333EDF74">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09" w:type="pct"/>
            <w:vAlign w:val="center"/>
          </w:tcPr>
          <w:p w14:paraId="2F4CEE26">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219" w:type="pct"/>
            <w:vAlign w:val="center"/>
          </w:tcPr>
          <w:p w14:paraId="5E7F5A21">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E14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vAlign w:val="center"/>
          </w:tcPr>
          <w:p w14:paraId="57A89D3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w:t>
            </w:r>
          </w:p>
        </w:tc>
        <w:tc>
          <w:tcPr>
            <w:tcW w:w="907" w:type="pct"/>
            <w:shd w:val="clear" w:color="auto" w:fill="auto"/>
            <w:vAlign w:val="center"/>
          </w:tcPr>
          <w:p w14:paraId="3CCAAD1C">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z w:val="24"/>
                <w:szCs w:val="24"/>
                <w:highlight w:val="none"/>
              </w:rPr>
              <w:t>诚信投标承诺书</w:t>
            </w:r>
          </w:p>
        </w:tc>
        <w:tc>
          <w:tcPr>
            <w:tcW w:w="2509" w:type="pct"/>
            <w:shd w:val="clear" w:color="auto" w:fill="auto"/>
            <w:vAlign w:val="center"/>
          </w:tcPr>
          <w:p w14:paraId="723C1A4D">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1219" w:type="pct"/>
            <w:shd w:val="clear" w:color="auto" w:fill="auto"/>
            <w:vAlign w:val="center"/>
          </w:tcPr>
          <w:p w14:paraId="2219E7F7">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55AF4D28">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8177E2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DF0830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755"/>
        <w:gridCol w:w="4065"/>
        <w:gridCol w:w="3292"/>
      </w:tblGrid>
      <w:tr w14:paraId="1B5D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1A94A6BC">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A4F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89" w:type="pct"/>
            <w:tcBorders>
              <w:bottom w:val="single" w:color="auto" w:sz="4" w:space="0"/>
            </w:tcBorders>
            <w:vAlign w:val="center"/>
          </w:tcPr>
          <w:p w14:paraId="0894619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888" w:type="pct"/>
            <w:tcBorders>
              <w:bottom w:val="single" w:color="auto" w:sz="4" w:space="0"/>
            </w:tcBorders>
            <w:vAlign w:val="center"/>
          </w:tcPr>
          <w:p w14:paraId="649F8995">
            <w:pPr>
              <w:pStyle w:val="47"/>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2057" w:type="pct"/>
            <w:tcBorders>
              <w:bottom w:val="single" w:color="auto" w:sz="4" w:space="0"/>
            </w:tcBorders>
            <w:vAlign w:val="center"/>
          </w:tcPr>
          <w:p w14:paraId="1C259D3B">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664" w:type="pct"/>
            <w:tcBorders>
              <w:bottom w:val="single" w:color="auto" w:sz="4" w:space="0"/>
            </w:tcBorders>
            <w:vAlign w:val="center"/>
          </w:tcPr>
          <w:p w14:paraId="3BA59AE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67C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6D2E0CD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888" w:type="pct"/>
            <w:vAlign w:val="center"/>
          </w:tcPr>
          <w:p w14:paraId="064BD31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2057" w:type="pct"/>
            <w:vAlign w:val="center"/>
          </w:tcPr>
          <w:p w14:paraId="12B6F0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682645EF">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7FD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7D02878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88" w:type="pct"/>
            <w:vAlign w:val="center"/>
          </w:tcPr>
          <w:p w14:paraId="70C36BA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2057" w:type="pct"/>
            <w:vAlign w:val="center"/>
          </w:tcPr>
          <w:p w14:paraId="63B95A2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493832B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B5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493CD69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888" w:type="pct"/>
            <w:vAlign w:val="center"/>
          </w:tcPr>
          <w:p w14:paraId="701CC25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057" w:type="pct"/>
            <w:vAlign w:val="center"/>
          </w:tcPr>
          <w:p w14:paraId="10DC427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3A9CD99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4CE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4739EA8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888" w:type="pct"/>
            <w:vAlign w:val="center"/>
          </w:tcPr>
          <w:p w14:paraId="55239D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2057" w:type="pct"/>
            <w:vAlign w:val="center"/>
          </w:tcPr>
          <w:p w14:paraId="0EBDC92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664" w:type="pct"/>
            <w:vAlign w:val="center"/>
          </w:tcPr>
          <w:p w14:paraId="7DC542D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1F9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05A6FAA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888" w:type="pct"/>
            <w:vAlign w:val="center"/>
          </w:tcPr>
          <w:p w14:paraId="2A2CB6E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2057" w:type="pct"/>
            <w:vAlign w:val="center"/>
          </w:tcPr>
          <w:p w14:paraId="7D11CD4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664" w:type="pct"/>
            <w:vAlign w:val="center"/>
          </w:tcPr>
          <w:p w14:paraId="3D81E242">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757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58C46A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888" w:type="pct"/>
            <w:vAlign w:val="center"/>
          </w:tcPr>
          <w:p w14:paraId="1789D08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057" w:type="pct"/>
            <w:vAlign w:val="center"/>
          </w:tcPr>
          <w:p w14:paraId="44E5AE3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664" w:type="pct"/>
            <w:vAlign w:val="center"/>
          </w:tcPr>
          <w:p w14:paraId="15BE4ED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53B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63A774C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888" w:type="pct"/>
            <w:vAlign w:val="center"/>
          </w:tcPr>
          <w:p w14:paraId="140A5F5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057" w:type="pct"/>
            <w:vAlign w:val="center"/>
          </w:tcPr>
          <w:p w14:paraId="2BC4FFA5">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664" w:type="pct"/>
            <w:vAlign w:val="center"/>
          </w:tcPr>
          <w:p w14:paraId="29F64EF9">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57EA51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7184F48">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4ED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A52B513">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D33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D4BAEE5">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4AB2951F">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7115AC1C">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5813270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C25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7F09F1D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C1832D2">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5640C2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EF5DF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47E2B8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0424D77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47FB0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36CA053">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7E79CD6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C18025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84348A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6BCD984F">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5A7B51F4">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AF277C1">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3E59760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0D267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25015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8"/>
        <w:tblW w:w="5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221"/>
        <w:gridCol w:w="6321"/>
        <w:gridCol w:w="1189"/>
      </w:tblGrid>
      <w:tr w14:paraId="72DB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6709C4C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类别</w:t>
            </w:r>
          </w:p>
        </w:tc>
        <w:tc>
          <w:tcPr>
            <w:tcW w:w="601" w:type="pct"/>
            <w:tcBorders>
              <w:top w:val="single" w:color="auto" w:sz="4" w:space="0"/>
              <w:left w:val="single" w:color="auto" w:sz="4" w:space="0"/>
              <w:bottom w:val="single" w:color="auto" w:sz="4" w:space="0"/>
              <w:right w:val="single" w:color="auto" w:sz="4" w:space="0"/>
            </w:tcBorders>
            <w:vAlign w:val="center"/>
          </w:tcPr>
          <w:p w14:paraId="203EED6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评分内容</w:t>
            </w:r>
          </w:p>
        </w:tc>
        <w:tc>
          <w:tcPr>
            <w:tcW w:w="3111" w:type="pct"/>
            <w:tcBorders>
              <w:top w:val="single" w:color="auto" w:sz="4" w:space="0"/>
              <w:left w:val="single" w:color="auto" w:sz="4" w:space="0"/>
              <w:bottom w:val="single" w:color="auto" w:sz="4" w:space="0"/>
              <w:right w:val="single" w:color="auto" w:sz="4" w:space="0"/>
            </w:tcBorders>
            <w:vAlign w:val="center"/>
          </w:tcPr>
          <w:p w14:paraId="1175DF2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评分标准</w:t>
            </w:r>
          </w:p>
        </w:tc>
        <w:tc>
          <w:tcPr>
            <w:tcW w:w="584" w:type="pct"/>
            <w:tcBorders>
              <w:top w:val="single" w:color="auto" w:sz="4" w:space="0"/>
              <w:left w:val="single" w:color="auto" w:sz="4" w:space="0"/>
              <w:bottom w:val="single" w:color="auto" w:sz="4" w:space="0"/>
              <w:right w:val="single" w:color="auto" w:sz="4" w:space="0"/>
            </w:tcBorders>
            <w:vAlign w:val="center"/>
          </w:tcPr>
          <w:p w14:paraId="746CC11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分值范围</w:t>
            </w:r>
          </w:p>
        </w:tc>
      </w:tr>
      <w:tr w14:paraId="3AA0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46C1FA1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技术资信分</w:t>
            </w:r>
          </w:p>
          <w:p w14:paraId="57FF7EC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color w:val="auto"/>
                <w:sz w:val="24"/>
                <w:szCs w:val="24"/>
                <w:highlight w:val="none"/>
              </w:rPr>
              <w:t>（</w:t>
            </w:r>
            <w:r>
              <w:rPr>
                <w:rFonts w:hint="eastAsia" w:ascii="方正仿宋_GB2312" w:hAnsi="方正仿宋_GB2312" w:eastAsia="方正仿宋_GB2312" w:cs="方正仿宋_GB2312"/>
                <w:color w:val="auto"/>
                <w:sz w:val="24"/>
                <w:szCs w:val="24"/>
                <w:highlight w:val="none"/>
                <w:u w:val="single"/>
                <w:lang w:val="en-US" w:eastAsia="zh-CN"/>
              </w:rPr>
              <w:t>70</w:t>
            </w:r>
            <w:r>
              <w:rPr>
                <w:rFonts w:hint="eastAsia" w:ascii="方正仿宋_GB2312" w:hAnsi="方正仿宋_GB2312" w:eastAsia="方正仿宋_GB2312" w:cs="方正仿宋_GB2312"/>
                <w:color w:val="auto"/>
                <w:sz w:val="24"/>
                <w:szCs w:val="24"/>
                <w:highlight w:val="none"/>
              </w:rPr>
              <w:t>分）</w:t>
            </w:r>
          </w:p>
        </w:tc>
        <w:tc>
          <w:tcPr>
            <w:tcW w:w="601" w:type="pct"/>
            <w:tcBorders>
              <w:top w:val="single" w:color="auto" w:sz="4" w:space="0"/>
              <w:left w:val="single" w:color="auto" w:sz="4" w:space="0"/>
              <w:bottom w:val="single" w:color="auto" w:sz="4" w:space="0"/>
              <w:right w:val="single" w:color="auto" w:sz="4" w:space="0"/>
            </w:tcBorders>
            <w:vAlign w:val="center"/>
          </w:tcPr>
          <w:p w14:paraId="5FDFA0C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Cs/>
                <w:color w:val="auto"/>
                <w:sz w:val="24"/>
                <w:szCs w:val="24"/>
                <w:highlight w:val="none"/>
              </w:rPr>
            </w:pPr>
            <w:r>
              <w:rPr>
                <w:rFonts w:hint="eastAsia" w:ascii="方正仿宋_GB2312" w:hAnsi="方正仿宋_GB2312" w:eastAsia="方正仿宋_GB2312" w:cs="方正仿宋_GB2312"/>
                <w:bCs/>
                <w:color w:val="auto"/>
                <w:sz w:val="24"/>
                <w:szCs w:val="24"/>
                <w:highlight w:val="none"/>
              </w:rPr>
              <w:t>投标人业绩</w:t>
            </w:r>
          </w:p>
        </w:tc>
        <w:tc>
          <w:tcPr>
            <w:tcW w:w="3111" w:type="pct"/>
            <w:tcBorders>
              <w:top w:val="single" w:color="auto" w:sz="4" w:space="0"/>
              <w:left w:val="single" w:color="auto" w:sz="4" w:space="0"/>
              <w:bottom w:val="single" w:color="auto" w:sz="4" w:space="0"/>
              <w:right w:val="single" w:color="auto" w:sz="4" w:space="0"/>
            </w:tcBorders>
            <w:vAlign w:val="center"/>
          </w:tcPr>
          <w:p w14:paraId="1ABF9F5A">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lang w:val="zh-CN" w:eastAsia="zh-CN"/>
              </w:rPr>
            </w:pPr>
            <w:r>
              <w:rPr>
                <w:rFonts w:hint="eastAsia" w:ascii="方正仿宋_GB2312" w:hAnsi="方正仿宋_GB2312" w:eastAsia="方正仿宋_GB2312" w:cs="方正仿宋_GB2312"/>
                <w:color w:val="auto"/>
                <w:sz w:val="24"/>
                <w:szCs w:val="24"/>
                <w:highlight w:val="none"/>
                <w:lang w:val="zh-CN" w:eastAsia="zh-CN"/>
              </w:rPr>
              <w:t>自202</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lang w:val="zh-CN" w:eastAsia="zh-CN"/>
              </w:rPr>
              <w:t>年1月1日</w:t>
            </w:r>
            <w:r>
              <w:rPr>
                <w:rFonts w:hint="eastAsia" w:ascii="方正仿宋_GB2312" w:hAnsi="方正仿宋_GB2312" w:eastAsia="方正仿宋_GB2312" w:cs="方正仿宋_GB2312"/>
                <w:color w:val="auto"/>
                <w:sz w:val="24"/>
                <w:szCs w:val="24"/>
                <w:highlight w:val="none"/>
                <w:lang w:val="en-US" w:eastAsia="zh-CN"/>
              </w:rPr>
              <w:t>至投标截止日</w:t>
            </w:r>
            <w:r>
              <w:rPr>
                <w:rFonts w:hint="eastAsia" w:ascii="方正仿宋_GB2312" w:hAnsi="方正仿宋_GB2312" w:eastAsia="方正仿宋_GB2312" w:cs="方正仿宋_GB2312"/>
                <w:color w:val="auto"/>
                <w:sz w:val="24"/>
                <w:szCs w:val="24"/>
                <w:highlight w:val="none"/>
                <w:lang w:val="zh-CN" w:eastAsia="zh-CN"/>
              </w:rPr>
              <w:t>，投标人</w:t>
            </w:r>
            <w:r>
              <w:rPr>
                <w:rFonts w:hint="eastAsia" w:ascii="方正仿宋_GB2312" w:hAnsi="方正仿宋_GB2312" w:eastAsia="方正仿宋_GB2312" w:cs="方正仿宋_GB2312"/>
                <w:color w:val="auto"/>
                <w:sz w:val="24"/>
                <w:szCs w:val="24"/>
                <w:highlight w:val="none"/>
                <w:lang w:val="en-US" w:eastAsia="zh-CN"/>
              </w:rPr>
              <w:t>具有</w:t>
            </w:r>
            <w:r>
              <w:rPr>
                <w:rFonts w:hint="eastAsia" w:ascii="方正仿宋_GB2312" w:hAnsi="方正仿宋_GB2312" w:eastAsia="方正仿宋_GB2312" w:cs="方正仿宋_GB2312"/>
                <w:color w:val="auto"/>
                <w:sz w:val="24"/>
                <w:szCs w:val="24"/>
                <w:highlight w:val="none"/>
                <w:lang w:val="zh-CN" w:eastAsia="zh-CN"/>
              </w:rPr>
              <w:t>公寓组合家具</w:t>
            </w:r>
            <w:r>
              <w:rPr>
                <w:rFonts w:hint="eastAsia" w:ascii="方正仿宋_GB2312" w:hAnsi="方正仿宋_GB2312" w:eastAsia="方正仿宋_GB2312" w:cs="方正仿宋_GB2312"/>
                <w:color w:val="auto"/>
                <w:sz w:val="24"/>
                <w:szCs w:val="24"/>
                <w:highlight w:val="none"/>
                <w:lang w:val="en-US" w:eastAsia="zh-CN"/>
              </w:rPr>
              <w:t>供货业绩</w:t>
            </w:r>
            <w:r>
              <w:rPr>
                <w:rFonts w:hint="eastAsia" w:ascii="方正仿宋_GB2312" w:hAnsi="方正仿宋_GB2312" w:eastAsia="方正仿宋_GB2312" w:cs="方正仿宋_GB2312"/>
                <w:color w:val="auto"/>
                <w:sz w:val="24"/>
                <w:szCs w:val="24"/>
                <w:highlight w:val="none"/>
                <w:lang w:val="zh-CN" w:eastAsia="zh-CN"/>
              </w:rPr>
              <w:t>（</w:t>
            </w:r>
            <w:r>
              <w:rPr>
                <w:rFonts w:hint="eastAsia" w:ascii="方正仿宋_GB2312" w:hAnsi="方正仿宋_GB2312" w:eastAsia="方正仿宋_GB2312" w:cs="方正仿宋_GB2312"/>
                <w:color w:val="auto"/>
                <w:sz w:val="24"/>
                <w:szCs w:val="24"/>
                <w:highlight w:val="none"/>
                <w:lang w:val="en-US" w:eastAsia="zh-CN"/>
              </w:rPr>
              <w:t>且业绩内容须</w:t>
            </w:r>
            <w:r>
              <w:rPr>
                <w:rFonts w:hint="eastAsia" w:ascii="方正仿宋_GB2312" w:hAnsi="方正仿宋_GB2312" w:eastAsia="方正仿宋_GB2312" w:cs="方正仿宋_GB2312"/>
                <w:color w:val="auto"/>
                <w:sz w:val="24"/>
                <w:szCs w:val="24"/>
                <w:highlight w:val="none"/>
                <w:lang w:val="zh-CN" w:eastAsia="zh-CN"/>
              </w:rPr>
              <w:t>包含公寓床），每提供</w:t>
            </w:r>
            <w:r>
              <w:rPr>
                <w:rFonts w:hint="eastAsia" w:ascii="方正仿宋_GB2312" w:hAnsi="方正仿宋_GB2312" w:eastAsia="方正仿宋_GB2312" w:cs="方正仿宋_GB2312"/>
                <w:color w:val="auto"/>
                <w:sz w:val="24"/>
                <w:szCs w:val="24"/>
                <w:highlight w:val="none"/>
                <w:lang w:val="en-US" w:eastAsia="zh-CN"/>
              </w:rPr>
              <w:t>1个</w:t>
            </w:r>
            <w:r>
              <w:rPr>
                <w:rFonts w:hint="eastAsia" w:ascii="方正仿宋_GB2312" w:hAnsi="方正仿宋_GB2312" w:eastAsia="方正仿宋_GB2312" w:cs="方正仿宋_GB2312"/>
                <w:color w:val="auto"/>
                <w:sz w:val="24"/>
                <w:szCs w:val="24"/>
                <w:highlight w:val="none"/>
                <w:lang w:val="zh-CN" w:eastAsia="zh-CN"/>
              </w:rPr>
              <w:t>业绩得</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lang w:val="zh-CN" w:eastAsia="zh-CN"/>
              </w:rPr>
              <w:t>分，</w:t>
            </w:r>
            <w:r>
              <w:rPr>
                <w:rFonts w:hint="eastAsia" w:ascii="方正仿宋_GB2312" w:hAnsi="方正仿宋_GB2312" w:eastAsia="方正仿宋_GB2312" w:cs="方正仿宋_GB2312"/>
                <w:color w:val="auto"/>
                <w:sz w:val="24"/>
                <w:szCs w:val="24"/>
                <w:highlight w:val="none"/>
                <w:lang w:val="en-US" w:eastAsia="zh-CN"/>
              </w:rPr>
              <w:t>其他的不得分，满分4分。</w:t>
            </w:r>
          </w:p>
          <w:p w14:paraId="538BBEA2">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注：①投标文件中提供业绩合同扫描件，时间以合同签订时间为准；若合同材料中无法体现签订时间、供货内容等关键评审因素的，须另附业主（合同甲方）出具的证明材料，未提供或提供不全的不得分。</w:t>
            </w:r>
          </w:p>
          <w:p w14:paraId="63DDD3FC">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bCs/>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584" w:type="pct"/>
            <w:tcBorders>
              <w:top w:val="single" w:color="auto" w:sz="4" w:space="0"/>
              <w:left w:val="single" w:color="auto" w:sz="4" w:space="0"/>
              <w:bottom w:val="single" w:color="auto" w:sz="4" w:space="0"/>
              <w:right w:val="single" w:color="auto" w:sz="4" w:space="0"/>
            </w:tcBorders>
            <w:vAlign w:val="center"/>
          </w:tcPr>
          <w:p w14:paraId="15D6AA5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0-4分</w:t>
            </w:r>
          </w:p>
        </w:tc>
      </w:tr>
      <w:tr w14:paraId="319E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9B11D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方正仿宋_GB2312" w:hAnsi="方正仿宋_GB2312" w:eastAsia="方正仿宋_GB2312" w:cs="方正仿宋_GB2312"/>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5A21F93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Cs/>
                <w:color w:val="auto"/>
                <w:sz w:val="24"/>
                <w:szCs w:val="24"/>
                <w:highlight w:val="none"/>
              </w:rPr>
              <w:t>产品技术参数</w:t>
            </w:r>
          </w:p>
        </w:tc>
        <w:tc>
          <w:tcPr>
            <w:tcW w:w="3111" w:type="pct"/>
            <w:tcBorders>
              <w:top w:val="single" w:color="auto" w:sz="4" w:space="0"/>
              <w:left w:val="single" w:color="auto" w:sz="4" w:space="0"/>
              <w:bottom w:val="single" w:color="auto" w:sz="4" w:space="0"/>
              <w:right w:val="single" w:color="auto" w:sz="4" w:space="0"/>
            </w:tcBorders>
            <w:vAlign w:val="center"/>
          </w:tcPr>
          <w:p w14:paraId="58B7B64D">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1）</w:t>
            </w:r>
            <w:r>
              <w:rPr>
                <w:rFonts w:hint="eastAsia" w:ascii="方正仿宋_GB2312" w:hAnsi="方正仿宋_GB2312" w:eastAsia="方正仿宋_GB2312" w:cs="方正仿宋_GB2312"/>
                <w:color w:val="auto"/>
                <w:sz w:val="24"/>
                <w:szCs w:val="24"/>
                <w:highlight w:val="none"/>
              </w:rPr>
              <w:t>标注“★”的参数为必须响应参数，不得负偏离，否则投标无效；</w:t>
            </w:r>
          </w:p>
          <w:p w14:paraId="6D9946E8">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2）标注</w:t>
            </w:r>
            <w:r>
              <w:rPr>
                <w:rFonts w:hint="eastAsia" w:ascii="方正仿宋_GB2312" w:hAnsi="方正仿宋_GB2312" w:eastAsia="方正仿宋_GB2312" w:cs="方正仿宋_GB2312"/>
                <w:color w:val="auto"/>
                <w:sz w:val="24"/>
                <w:szCs w:val="24"/>
                <w:highlight w:val="none"/>
              </w:rPr>
              <w:t>“▲”的技术参数，每满足或优于一项得</w:t>
            </w:r>
            <w:r>
              <w:rPr>
                <w:rFonts w:hint="eastAsia" w:ascii="方正仿宋_GB2312" w:hAnsi="方正仿宋_GB2312" w:eastAsia="方正仿宋_GB2312" w:cs="方正仿宋_GB2312"/>
                <w:color w:val="auto"/>
                <w:sz w:val="24"/>
                <w:szCs w:val="24"/>
                <w:highlight w:val="none"/>
                <w:lang w:val="en-US" w:eastAsia="zh-CN"/>
              </w:rPr>
              <w:t>2</w:t>
            </w:r>
            <w:r>
              <w:rPr>
                <w:rFonts w:hint="eastAsia" w:ascii="方正仿宋_GB2312" w:hAnsi="方正仿宋_GB2312" w:eastAsia="方正仿宋_GB2312" w:cs="方正仿宋_GB2312"/>
                <w:color w:val="auto"/>
                <w:sz w:val="24"/>
                <w:szCs w:val="24"/>
                <w:highlight w:val="none"/>
              </w:rPr>
              <w:t>分，共</w:t>
            </w:r>
            <w:r>
              <w:rPr>
                <w:rFonts w:hint="eastAsia" w:ascii="方正仿宋_GB2312" w:hAnsi="方正仿宋_GB2312" w:eastAsia="方正仿宋_GB2312" w:cs="方正仿宋_GB2312"/>
                <w:color w:val="auto"/>
                <w:sz w:val="24"/>
                <w:szCs w:val="24"/>
                <w:highlight w:val="none"/>
                <w:lang w:val="en-US" w:eastAsia="zh-CN"/>
              </w:rPr>
              <w:t>17</w:t>
            </w:r>
            <w:r>
              <w:rPr>
                <w:rFonts w:hint="eastAsia" w:ascii="方正仿宋_GB2312" w:hAnsi="方正仿宋_GB2312" w:eastAsia="方正仿宋_GB2312" w:cs="方正仿宋_GB2312"/>
                <w:color w:val="auto"/>
                <w:sz w:val="24"/>
                <w:szCs w:val="24"/>
                <w:highlight w:val="none"/>
              </w:rPr>
              <w:t>项，满分</w:t>
            </w:r>
            <w:r>
              <w:rPr>
                <w:rFonts w:hint="eastAsia" w:ascii="方正仿宋_GB2312" w:hAnsi="方正仿宋_GB2312" w:eastAsia="方正仿宋_GB2312" w:cs="方正仿宋_GB2312"/>
                <w:color w:val="auto"/>
                <w:sz w:val="24"/>
                <w:szCs w:val="24"/>
                <w:highlight w:val="none"/>
                <w:lang w:val="en-US" w:eastAsia="zh-CN"/>
              </w:rPr>
              <w:t>34</w:t>
            </w:r>
            <w:r>
              <w:rPr>
                <w:rFonts w:hint="eastAsia" w:ascii="方正仿宋_GB2312" w:hAnsi="方正仿宋_GB2312" w:eastAsia="方正仿宋_GB2312" w:cs="方正仿宋_GB2312"/>
                <w:color w:val="auto"/>
                <w:sz w:val="24"/>
                <w:szCs w:val="24"/>
                <w:highlight w:val="none"/>
              </w:rPr>
              <w:t>分；</w:t>
            </w:r>
          </w:p>
          <w:p w14:paraId="7FE5E11B">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lang w:eastAsia="zh-CN"/>
              </w:rPr>
              <w:t>）未标注</w:t>
            </w:r>
            <w:r>
              <w:rPr>
                <w:rFonts w:hint="eastAsia" w:ascii="方正仿宋_GB2312" w:hAnsi="方正仿宋_GB2312" w:eastAsia="方正仿宋_GB2312" w:cs="方正仿宋_GB2312"/>
                <w:color w:val="auto"/>
                <w:sz w:val="24"/>
                <w:szCs w:val="24"/>
                <w:highlight w:val="none"/>
              </w:rPr>
              <w:t>的技术参数</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每满足或优于一项得</w:t>
            </w:r>
            <w:r>
              <w:rPr>
                <w:rFonts w:hint="eastAsia" w:ascii="方正仿宋_GB2312" w:hAnsi="方正仿宋_GB2312" w:eastAsia="方正仿宋_GB2312" w:cs="方正仿宋_GB2312"/>
                <w:color w:val="auto"/>
                <w:sz w:val="24"/>
                <w:szCs w:val="24"/>
                <w:highlight w:val="none"/>
                <w:lang w:val="en-US" w:eastAsia="zh-CN"/>
              </w:rPr>
              <w:t>1.2</w:t>
            </w:r>
            <w:r>
              <w:rPr>
                <w:rFonts w:hint="eastAsia" w:ascii="方正仿宋_GB2312" w:hAnsi="方正仿宋_GB2312" w:eastAsia="方正仿宋_GB2312" w:cs="方正仿宋_GB2312"/>
                <w:color w:val="auto"/>
                <w:sz w:val="24"/>
                <w:szCs w:val="24"/>
                <w:highlight w:val="none"/>
              </w:rPr>
              <w:t>分，共</w:t>
            </w:r>
            <w:r>
              <w:rPr>
                <w:rFonts w:hint="eastAsia" w:ascii="方正仿宋_GB2312" w:hAnsi="方正仿宋_GB2312" w:eastAsia="方正仿宋_GB2312" w:cs="方正仿宋_GB2312"/>
                <w:color w:val="auto"/>
                <w:sz w:val="24"/>
                <w:szCs w:val="24"/>
                <w:highlight w:val="none"/>
                <w:lang w:val="en-US" w:eastAsia="zh-CN"/>
              </w:rPr>
              <w:t>15</w:t>
            </w:r>
            <w:r>
              <w:rPr>
                <w:rFonts w:hint="eastAsia" w:ascii="方正仿宋_GB2312" w:hAnsi="方正仿宋_GB2312" w:eastAsia="方正仿宋_GB2312" w:cs="方正仿宋_GB2312"/>
                <w:color w:val="auto"/>
                <w:sz w:val="24"/>
                <w:szCs w:val="24"/>
                <w:highlight w:val="none"/>
              </w:rPr>
              <w:t>项，满分</w:t>
            </w:r>
            <w:r>
              <w:rPr>
                <w:rFonts w:hint="eastAsia" w:ascii="方正仿宋_GB2312" w:hAnsi="方正仿宋_GB2312" w:eastAsia="方正仿宋_GB2312" w:cs="方正仿宋_GB2312"/>
                <w:color w:val="auto"/>
                <w:sz w:val="24"/>
                <w:szCs w:val="24"/>
                <w:highlight w:val="none"/>
                <w:lang w:val="en-US" w:eastAsia="zh-CN"/>
              </w:rPr>
              <w:t>18</w:t>
            </w:r>
            <w:r>
              <w:rPr>
                <w:rFonts w:hint="eastAsia" w:ascii="方正仿宋_GB2312" w:hAnsi="方正仿宋_GB2312" w:eastAsia="方正仿宋_GB2312" w:cs="方正仿宋_GB2312"/>
                <w:color w:val="auto"/>
                <w:sz w:val="24"/>
                <w:szCs w:val="24"/>
                <w:highlight w:val="none"/>
              </w:rPr>
              <w:t>分；</w:t>
            </w:r>
          </w:p>
          <w:p w14:paraId="7D67E6D7">
            <w:pPr>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注：①如某项标识中包含多条技术参数或要求，则该项标识所含内容均需满足或优于招标文件要求，否则不予认可。</w:t>
            </w:r>
          </w:p>
          <w:p w14:paraId="39457727">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②</w:t>
            </w:r>
            <w:r>
              <w:rPr>
                <w:rFonts w:hint="eastAsia" w:ascii="方正仿宋_GB2312" w:hAnsi="方正仿宋_GB2312" w:eastAsia="方正仿宋_GB2312" w:cs="方正仿宋_GB2312"/>
                <w:bCs/>
                <w:color w:val="auto"/>
                <w:sz w:val="24"/>
                <w:szCs w:val="24"/>
                <w:highlight w:val="none"/>
              </w:rPr>
              <w:t>以技术响应表、货物</w:t>
            </w:r>
            <w:r>
              <w:rPr>
                <w:rFonts w:hint="eastAsia" w:ascii="方正仿宋_GB2312" w:hAnsi="方正仿宋_GB2312" w:eastAsia="方正仿宋_GB2312" w:cs="方正仿宋_GB2312"/>
                <w:bCs/>
                <w:color w:val="auto"/>
                <w:sz w:val="24"/>
                <w:szCs w:val="24"/>
                <w:highlight w:val="none"/>
                <w:lang w:val="en-US" w:eastAsia="zh-CN"/>
              </w:rPr>
              <w:t>需求</w:t>
            </w:r>
            <w:r>
              <w:rPr>
                <w:rFonts w:hint="eastAsia" w:ascii="方正仿宋_GB2312" w:hAnsi="方正仿宋_GB2312" w:eastAsia="方正仿宋_GB2312" w:cs="方正仿宋_GB2312"/>
                <w:bCs/>
                <w:color w:val="auto"/>
                <w:sz w:val="24"/>
                <w:szCs w:val="24"/>
                <w:highlight w:val="none"/>
              </w:rPr>
              <w:t>中要求提供的证明材料作为评审依据。</w:t>
            </w:r>
          </w:p>
        </w:tc>
        <w:tc>
          <w:tcPr>
            <w:tcW w:w="584" w:type="pct"/>
            <w:tcBorders>
              <w:top w:val="single" w:color="auto" w:sz="4" w:space="0"/>
              <w:left w:val="single" w:color="auto" w:sz="4" w:space="0"/>
              <w:bottom w:val="single" w:color="auto" w:sz="4" w:space="0"/>
              <w:right w:val="single" w:color="auto" w:sz="4" w:space="0"/>
            </w:tcBorders>
            <w:vAlign w:val="center"/>
          </w:tcPr>
          <w:p w14:paraId="5747FF3C">
            <w:pPr>
              <w:keepNext w:val="0"/>
              <w:keepLines w:val="0"/>
              <w:pageBreakBefore w:val="0"/>
              <w:widowControl w:val="0"/>
              <w:numPr>
                <w:ilvl w:val="0"/>
                <w:numId w:val="0"/>
              </w:numPr>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kern w:val="2"/>
                <w:sz w:val="24"/>
                <w:szCs w:val="24"/>
                <w:highlight w:val="none"/>
                <w:lang w:val="en-US" w:eastAsia="zh-CN" w:bidi="ar-SA"/>
              </w:rPr>
              <w:t>0-</w:t>
            </w:r>
            <w:r>
              <w:rPr>
                <w:rFonts w:hint="eastAsia" w:ascii="方正仿宋_GB2312" w:hAnsi="方正仿宋_GB2312" w:eastAsia="方正仿宋_GB2312" w:cs="方正仿宋_GB2312"/>
                <w:b/>
                <w:bCs/>
                <w:color w:val="auto"/>
                <w:sz w:val="24"/>
                <w:szCs w:val="24"/>
                <w:highlight w:val="none"/>
                <w:lang w:val="en-US" w:eastAsia="zh-CN"/>
              </w:rPr>
              <w:t>52分</w:t>
            </w:r>
          </w:p>
        </w:tc>
      </w:tr>
      <w:tr w14:paraId="5521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E7CDD80">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方正仿宋_GB2312" w:hAnsi="方正仿宋_GB2312" w:eastAsia="方正仿宋_GB2312" w:cs="方正仿宋_GB2312"/>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22EE78E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Cs/>
                <w:color w:val="auto"/>
                <w:sz w:val="24"/>
                <w:szCs w:val="24"/>
                <w:highlight w:val="none"/>
              </w:rPr>
            </w:pPr>
            <w:r>
              <w:rPr>
                <w:rFonts w:hint="eastAsia" w:ascii="方正仿宋_GB2312" w:hAnsi="方正仿宋_GB2312" w:eastAsia="方正仿宋_GB2312" w:cs="方正仿宋_GB2312"/>
                <w:bCs/>
                <w:color w:val="auto"/>
                <w:sz w:val="24"/>
                <w:szCs w:val="24"/>
                <w:highlight w:val="none"/>
              </w:rPr>
              <w:t>实施方案</w:t>
            </w:r>
          </w:p>
        </w:tc>
        <w:tc>
          <w:tcPr>
            <w:tcW w:w="3111" w:type="pct"/>
            <w:tcBorders>
              <w:top w:val="single" w:color="auto" w:sz="4" w:space="0"/>
              <w:left w:val="single" w:color="auto" w:sz="4" w:space="0"/>
              <w:bottom w:val="single" w:color="auto" w:sz="4" w:space="0"/>
              <w:right w:val="single" w:color="auto" w:sz="4" w:space="0"/>
            </w:tcBorders>
            <w:vAlign w:val="center"/>
          </w:tcPr>
          <w:p w14:paraId="7876B258">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投标人需提供本项目详细实施方案，实施方案中明确实施步骤、人员配备和实施规范等。评审专家对本项目实施方案的完整性、合理性、可实施性和可扩展性进行综合评审：</w:t>
            </w:r>
          </w:p>
          <w:p w14:paraId="2BE2A665">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1.投标人提供的实施方案完整，实施步骤明确，实施计划合理，符合项目实施规范，人员实力强、投入充足，符合项目实施需求，具有可实施性和可扩展性,实施内容包括后期的测试、验收等，得5分；</w:t>
            </w:r>
          </w:p>
          <w:p w14:paraId="219CE05D">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投标人提供的实施方案基本完整，实施步骤清晰但未写明实施内容，实施计划基本满足项目进程要求，基本符合项目实施规范，人员实力和投入可满足实施需求，实施内容有综合考虑后期的测试、验收等，得3分；</w:t>
            </w:r>
          </w:p>
          <w:p w14:paraId="3D7C4A61">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投标人提供的实施方案基本完成但出现非针对本项目内容，整体方案空洞，实施步骤未明确具体方案，人员实力一般、投入少，项目实施需求与实际要求结合不紧密,实施内容仅包括简单的后期测试、验收等，得1分；</w:t>
            </w:r>
          </w:p>
          <w:p w14:paraId="2958E4BD">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4.方案不能满足项目要求或未提供的不得分。</w:t>
            </w:r>
          </w:p>
        </w:tc>
        <w:tc>
          <w:tcPr>
            <w:tcW w:w="584" w:type="pct"/>
            <w:tcBorders>
              <w:top w:val="single" w:color="auto" w:sz="4" w:space="0"/>
              <w:left w:val="single" w:color="auto" w:sz="4" w:space="0"/>
              <w:bottom w:val="single" w:color="auto" w:sz="4" w:space="0"/>
              <w:right w:val="single" w:color="auto" w:sz="4" w:space="0"/>
            </w:tcBorders>
            <w:vAlign w:val="center"/>
          </w:tcPr>
          <w:p w14:paraId="2021514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0-5分</w:t>
            </w:r>
          </w:p>
        </w:tc>
      </w:tr>
      <w:tr w14:paraId="5969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0865ABF0">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方正仿宋_GB2312" w:hAnsi="方正仿宋_GB2312" w:eastAsia="方正仿宋_GB2312" w:cs="方正仿宋_GB2312"/>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0BDEF2E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Cs/>
                <w:color w:val="auto"/>
                <w:sz w:val="24"/>
                <w:szCs w:val="24"/>
                <w:highlight w:val="none"/>
              </w:rPr>
            </w:pPr>
            <w:r>
              <w:rPr>
                <w:rFonts w:hint="eastAsia" w:ascii="方正仿宋_GB2312" w:hAnsi="方正仿宋_GB2312" w:eastAsia="方正仿宋_GB2312" w:cs="方正仿宋_GB2312"/>
                <w:color w:val="auto"/>
                <w:sz w:val="24"/>
                <w:szCs w:val="24"/>
                <w:highlight w:val="none"/>
              </w:rPr>
              <w:t>售后服务方案</w:t>
            </w:r>
          </w:p>
        </w:tc>
        <w:tc>
          <w:tcPr>
            <w:tcW w:w="3111" w:type="pct"/>
            <w:tcBorders>
              <w:top w:val="single" w:color="auto" w:sz="4" w:space="0"/>
              <w:left w:val="single" w:color="auto" w:sz="4" w:space="0"/>
              <w:bottom w:val="single" w:color="auto" w:sz="4" w:space="0"/>
              <w:right w:val="single" w:color="auto" w:sz="4" w:space="0"/>
            </w:tcBorders>
            <w:vAlign w:val="center"/>
          </w:tcPr>
          <w:p w14:paraId="0B1FDF1F">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方案内容应详实、科学合理，售后服务响应时间，售后服务人员配备充足，能满足项目后期的维保需要。</w:t>
            </w:r>
          </w:p>
          <w:p w14:paraId="3E4A8C5D">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1.售后服务措施详尽、维修响应时间及时、备件供应保障充足、人员售后配置详细、远程报修服务方案全面、实时维修统计详尽，能保障采购人获得高质量售后服务的，得5分。</w:t>
            </w:r>
          </w:p>
          <w:p w14:paraId="27BD5757">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 xml:space="preserve">2.售后服务措施完整、维修响应时间及时、具有备件供应保障措施、配置售后人员、具有远程报修服务的，得3分。 </w:t>
            </w:r>
          </w:p>
          <w:p w14:paraId="16664F43">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 xml:space="preserve">3.售后服务措施、维修响应时间、备件供应保障、配置售后人员、远程报修服务措施不全或存在不足的，得1分。 </w:t>
            </w:r>
          </w:p>
          <w:p w14:paraId="2BD20FC6">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4.方案不能满足项目要求或未提供的不得分。</w:t>
            </w:r>
          </w:p>
        </w:tc>
        <w:tc>
          <w:tcPr>
            <w:tcW w:w="584" w:type="pct"/>
            <w:tcBorders>
              <w:top w:val="single" w:color="auto" w:sz="4" w:space="0"/>
              <w:left w:val="single" w:color="auto" w:sz="4" w:space="0"/>
              <w:bottom w:val="single" w:color="auto" w:sz="4" w:space="0"/>
              <w:right w:val="single" w:color="auto" w:sz="4" w:space="0"/>
            </w:tcBorders>
            <w:vAlign w:val="center"/>
          </w:tcPr>
          <w:p w14:paraId="6CAB46A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0-5分</w:t>
            </w:r>
          </w:p>
        </w:tc>
      </w:tr>
      <w:tr w14:paraId="69D8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DD04A48">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方正仿宋_GB2312" w:hAnsi="方正仿宋_GB2312" w:eastAsia="方正仿宋_GB2312" w:cs="方正仿宋_GB2312"/>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63E62BF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Cs/>
                <w:color w:val="auto"/>
                <w:sz w:val="24"/>
                <w:szCs w:val="24"/>
                <w:highlight w:val="none"/>
              </w:rPr>
            </w:pPr>
            <w:r>
              <w:rPr>
                <w:rFonts w:hint="eastAsia" w:ascii="方正仿宋_GB2312" w:hAnsi="方正仿宋_GB2312" w:eastAsia="方正仿宋_GB2312" w:cs="方正仿宋_GB2312"/>
                <w:color w:val="auto"/>
                <w:sz w:val="24"/>
                <w:szCs w:val="24"/>
                <w:highlight w:val="none"/>
              </w:rPr>
              <w:t>质保期</w:t>
            </w:r>
          </w:p>
        </w:tc>
        <w:tc>
          <w:tcPr>
            <w:tcW w:w="3111" w:type="pct"/>
            <w:tcBorders>
              <w:top w:val="single" w:color="auto" w:sz="4" w:space="0"/>
              <w:left w:val="single" w:color="auto" w:sz="4" w:space="0"/>
              <w:bottom w:val="single" w:color="auto" w:sz="4" w:space="0"/>
              <w:right w:val="single" w:color="auto" w:sz="4" w:space="0"/>
            </w:tcBorders>
            <w:vAlign w:val="center"/>
          </w:tcPr>
          <w:p w14:paraId="37A5C0B8">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投标人所投所有产品质保期比招标文件规定免费质保期每延长1年得2分，最高得</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分（所有产品质保期均做延长方予认可），延长不足一年的部分不得分。</w:t>
            </w:r>
          </w:p>
          <w:p w14:paraId="2E2345CD">
            <w:pPr>
              <w:keepNext w:val="0"/>
              <w:keepLines w:val="0"/>
              <w:pageBreakBefore w:val="0"/>
              <w:widowControl w:val="0"/>
              <w:kinsoku/>
              <w:wordWrap/>
              <w:overflowPunct/>
              <w:topLinePunct w:val="0"/>
              <w:autoSpaceDE/>
              <w:autoSpaceDN/>
              <w:bidi w:val="0"/>
              <w:spacing w:line="500" w:lineRule="exact"/>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bCs/>
                <w:color w:val="auto"/>
                <w:sz w:val="24"/>
                <w:szCs w:val="24"/>
                <w:highlight w:val="none"/>
              </w:rPr>
              <w:t>注：以投标人承诺的免费质保期为准。提供承诺函扫描件。</w:t>
            </w:r>
          </w:p>
        </w:tc>
        <w:tc>
          <w:tcPr>
            <w:tcW w:w="584" w:type="pct"/>
            <w:tcBorders>
              <w:top w:val="single" w:color="auto" w:sz="4" w:space="0"/>
              <w:left w:val="single" w:color="auto" w:sz="4" w:space="0"/>
              <w:bottom w:val="single" w:color="auto" w:sz="4" w:space="0"/>
              <w:right w:val="single" w:color="auto" w:sz="4" w:space="0"/>
            </w:tcBorders>
            <w:vAlign w:val="center"/>
          </w:tcPr>
          <w:p w14:paraId="36884C0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0-4分</w:t>
            </w:r>
          </w:p>
        </w:tc>
      </w:tr>
      <w:tr w14:paraId="2C6F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tcBorders>
              <w:left w:val="single" w:color="auto" w:sz="4" w:space="0"/>
              <w:right w:val="single" w:color="auto" w:sz="4" w:space="0"/>
            </w:tcBorders>
            <w:vAlign w:val="center"/>
          </w:tcPr>
          <w:p w14:paraId="721104F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价格分</w:t>
            </w:r>
          </w:p>
          <w:p w14:paraId="440C1EC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color w:val="auto"/>
                <w:sz w:val="24"/>
                <w:szCs w:val="24"/>
                <w:highlight w:val="none"/>
              </w:rPr>
              <w:t>（</w:t>
            </w:r>
            <w:r>
              <w:rPr>
                <w:rFonts w:hint="eastAsia" w:ascii="方正仿宋_GB2312" w:hAnsi="方正仿宋_GB2312" w:eastAsia="方正仿宋_GB2312" w:cs="方正仿宋_GB2312"/>
                <w:color w:val="auto"/>
                <w:sz w:val="24"/>
                <w:szCs w:val="24"/>
                <w:highlight w:val="none"/>
                <w:u w:val="single"/>
                <w:lang w:val="en-US" w:eastAsia="zh-CN"/>
              </w:rPr>
              <w:t>30</w:t>
            </w:r>
            <w:r>
              <w:rPr>
                <w:rFonts w:hint="eastAsia" w:ascii="方正仿宋_GB2312" w:hAnsi="方正仿宋_GB2312" w:eastAsia="方正仿宋_GB2312" w:cs="方正仿宋_GB2312"/>
                <w:color w:val="auto"/>
                <w:sz w:val="24"/>
                <w:szCs w:val="24"/>
                <w:highlight w:val="none"/>
              </w:rPr>
              <w:t>分）</w:t>
            </w:r>
          </w:p>
        </w:tc>
        <w:tc>
          <w:tcPr>
            <w:tcW w:w="4297" w:type="pct"/>
            <w:gridSpan w:val="3"/>
            <w:tcBorders>
              <w:top w:val="single" w:color="auto" w:sz="4" w:space="0"/>
              <w:left w:val="single" w:color="auto" w:sz="4" w:space="0"/>
              <w:bottom w:val="single" w:color="auto" w:sz="4" w:space="0"/>
              <w:right w:val="single" w:color="auto" w:sz="4" w:space="0"/>
            </w:tcBorders>
            <w:vAlign w:val="center"/>
          </w:tcPr>
          <w:p w14:paraId="2B3B09A5">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价格分统一采用低价优先法，即满足招标文件要求且投标价格最低的投标报价为评标基准价，其价格分为满分</w:t>
            </w:r>
            <w:r>
              <w:rPr>
                <w:rFonts w:hint="eastAsia" w:ascii="方正仿宋_GB2312" w:hAnsi="方正仿宋_GB2312" w:eastAsia="方正仿宋_GB2312" w:cs="方正仿宋_GB2312"/>
                <w:color w:val="auto"/>
                <w:sz w:val="24"/>
                <w:szCs w:val="24"/>
                <w:highlight w:val="none"/>
                <w:u w:val="single"/>
                <w:lang w:val="en-US" w:eastAsia="zh-CN"/>
              </w:rPr>
              <w:t>30</w:t>
            </w:r>
            <w:r>
              <w:rPr>
                <w:rFonts w:hint="eastAsia" w:ascii="方正仿宋_GB2312" w:hAnsi="方正仿宋_GB2312" w:eastAsia="方正仿宋_GB2312" w:cs="方正仿宋_GB2312"/>
                <w:color w:val="auto"/>
                <w:sz w:val="24"/>
                <w:szCs w:val="24"/>
                <w:highlight w:val="none"/>
              </w:rPr>
              <w:t>分。其他投标人的价格分统一按照下列公式计算：</w:t>
            </w:r>
          </w:p>
          <w:p w14:paraId="6CEC17F2">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color w:val="auto"/>
                <w:sz w:val="24"/>
                <w:szCs w:val="24"/>
                <w:highlight w:val="none"/>
              </w:rPr>
            </w:pPr>
            <w:r>
              <w:rPr>
                <w:rFonts w:hint="eastAsia" w:ascii="方正仿宋_GB2312" w:hAnsi="方正仿宋_GB2312" w:eastAsia="方正仿宋_GB2312" w:cs="方正仿宋_GB2312"/>
                <w:color w:val="auto"/>
                <w:sz w:val="24"/>
                <w:szCs w:val="24"/>
                <w:highlight w:val="none"/>
              </w:rPr>
              <w:t>投标报价得分＝（评标基准价/投标报价）×</w:t>
            </w:r>
            <w:r>
              <w:rPr>
                <w:rFonts w:hint="eastAsia" w:ascii="方正仿宋_GB2312" w:hAnsi="方正仿宋_GB2312" w:eastAsia="方正仿宋_GB2312" w:cs="方正仿宋_GB2312"/>
                <w:color w:val="auto"/>
                <w:sz w:val="24"/>
                <w:szCs w:val="24"/>
                <w:highlight w:val="none"/>
                <w:u w:val="single"/>
                <w:lang w:val="en-US" w:eastAsia="zh-CN"/>
              </w:rPr>
              <w:t>30</w:t>
            </w:r>
            <w:r>
              <w:rPr>
                <w:rFonts w:hint="eastAsia" w:ascii="方正仿宋_GB2312" w:hAnsi="方正仿宋_GB2312" w:eastAsia="方正仿宋_GB2312" w:cs="方正仿宋_GB2312"/>
                <w:color w:val="auto"/>
                <w:sz w:val="24"/>
                <w:szCs w:val="24"/>
                <w:highlight w:val="none"/>
              </w:rPr>
              <w:t>％×100</w:t>
            </w:r>
          </w:p>
        </w:tc>
      </w:tr>
    </w:tbl>
    <w:p w14:paraId="6480B0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A753B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6D7BC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CDAFAAB">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7594377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4505CEA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401CFC1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1B29DEA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532892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52AAE1C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775A99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0B1A8A7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0ABD5D3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5279988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301B786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39E5E03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33E0939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694766D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7B07B6C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685C926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6F807C1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55BEC7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6936367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575B0A8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56E2446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2440855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247941F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2CB8099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453137B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3E85C9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76891FC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0962A3A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1AAE474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0510745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5B98E2E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7FB30D0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435356D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35C1DB4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5D8A649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11B41F0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60DC975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0A5536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5216B96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87AA10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4A47C5B8">
      <w:pPr>
        <w:spacing w:line="360" w:lineRule="auto"/>
        <w:jc w:val="center"/>
        <w:outlineLvl w:val="0"/>
        <w:rPr>
          <w:rFonts w:hint="eastAsia" w:asciiTheme="minorEastAsia" w:hAnsiTheme="minorEastAsia" w:eastAsiaTheme="minorEastAsia"/>
          <w:b/>
          <w:color w:val="auto"/>
          <w:sz w:val="28"/>
          <w:highlight w:val="none"/>
          <w:lang w:eastAsia="zh-CN"/>
        </w:rPr>
      </w:pPr>
      <w:bookmarkStart w:id="28"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28"/>
    </w:p>
    <w:p w14:paraId="0A040B82">
      <w:pPr>
        <w:pStyle w:val="10"/>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23F0A728">
      <w:pPr>
        <w:pStyle w:val="10"/>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3DAA10CD">
      <w:pPr>
        <w:spacing w:line="360" w:lineRule="auto"/>
        <w:jc w:val="center"/>
        <w:outlineLvl w:val="1"/>
        <w:rPr>
          <w:rFonts w:hint="eastAsia" w:ascii="宋体" w:hAnsi="宋体" w:eastAsia="宋体"/>
          <w:b/>
          <w:color w:val="auto"/>
          <w:sz w:val="24"/>
          <w:highlight w:val="none"/>
        </w:rPr>
      </w:pPr>
    </w:p>
    <w:p w14:paraId="538BA661">
      <w:pPr>
        <w:spacing w:line="360" w:lineRule="auto"/>
        <w:jc w:val="center"/>
        <w:outlineLvl w:val="1"/>
        <w:rPr>
          <w:rFonts w:hint="eastAsia" w:ascii="宋体" w:hAnsi="宋体" w:eastAsia="宋体"/>
          <w:b/>
          <w:color w:val="auto"/>
          <w:sz w:val="24"/>
          <w:highlight w:val="none"/>
        </w:rPr>
      </w:pPr>
    </w:p>
    <w:p w14:paraId="63E2269C">
      <w:pPr>
        <w:spacing w:line="360" w:lineRule="auto"/>
        <w:jc w:val="center"/>
        <w:outlineLvl w:val="1"/>
        <w:rPr>
          <w:rFonts w:hint="eastAsia" w:ascii="宋体" w:hAnsi="宋体" w:eastAsia="宋体"/>
          <w:b/>
          <w:color w:val="auto"/>
          <w:sz w:val="24"/>
          <w:highlight w:val="none"/>
        </w:rPr>
      </w:pPr>
    </w:p>
    <w:p w14:paraId="63AE34A2">
      <w:pPr>
        <w:spacing w:line="360" w:lineRule="auto"/>
        <w:jc w:val="center"/>
        <w:outlineLvl w:val="1"/>
        <w:rPr>
          <w:rFonts w:ascii="宋体" w:hAnsi="宋体" w:eastAsia="宋体"/>
          <w:b/>
          <w:color w:val="auto"/>
          <w:sz w:val="24"/>
          <w:highlight w:val="none"/>
        </w:rPr>
      </w:pPr>
    </w:p>
    <w:p w14:paraId="53E1927C">
      <w:pPr>
        <w:spacing w:line="360" w:lineRule="auto"/>
        <w:jc w:val="center"/>
        <w:outlineLvl w:val="1"/>
        <w:rPr>
          <w:rFonts w:ascii="宋体" w:hAnsi="宋体" w:eastAsia="宋体"/>
          <w:b/>
          <w:color w:val="auto"/>
          <w:sz w:val="24"/>
          <w:highlight w:val="none"/>
        </w:rPr>
      </w:pPr>
    </w:p>
    <w:p w14:paraId="17B55A3B">
      <w:pPr>
        <w:spacing w:line="480" w:lineRule="auto"/>
        <w:jc w:val="center"/>
        <w:rPr>
          <w:rFonts w:ascii="宋体" w:hAnsi="宋体" w:eastAsia="宋体" w:cs="Times New Roman"/>
          <w:b/>
          <w:color w:val="auto"/>
          <w:sz w:val="24"/>
          <w:szCs w:val="24"/>
          <w:highlight w:val="none"/>
        </w:rPr>
      </w:pPr>
    </w:p>
    <w:p w14:paraId="10AC6562">
      <w:pPr>
        <w:spacing w:line="480" w:lineRule="auto"/>
        <w:jc w:val="center"/>
        <w:rPr>
          <w:rFonts w:ascii="宋体" w:hAnsi="宋体" w:eastAsia="宋体" w:cs="Times New Roman"/>
          <w:b/>
          <w:color w:val="auto"/>
          <w:sz w:val="24"/>
          <w:szCs w:val="24"/>
          <w:highlight w:val="none"/>
        </w:rPr>
      </w:pPr>
    </w:p>
    <w:p w14:paraId="317950EC">
      <w:pPr>
        <w:spacing w:line="480" w:lineRule="auto"/>
        <w:jc w:val="center"/>
        <w:rPr>
          <w:rFonts w:ascii="宋体" w:hAnsi="宋体" w:eastAsia="宋体" w:cs="Times New Roman"/>
          <w:b/>
          <w:color w:val="auto"/>
          <w:sz w:val="24"/>
          <w:szCs w:val="24"/>
          <w:highlight w:val="none"/>
        </w:rPr>
      </w:pPr>
    </w:p>
    <w:p w14:paraId="7C26B63F">
      <w:pPr>
        <w:spacing w:line="480" w:lineRule="auto"/>
        <w:jc w:val="center"/>
        <w:rPr>
          <w:rFonts w:ascii="宋体" w:hAnsi="宋体" w:eastAsia="宋体" w:cs="Times New Roman"/>
          <w:b/>
          <w:color w:val="auto"/>
          <w:sz w:val="24"/>
          <w:szCs w:val="24"/>
          <w:highlight w:val="none"/>
        </w:rPr>
      </w:pPr>
    </w:p>
    <w:p w14:paraId="6AACE5BC">
      <w:pPr>
        <w:spacing w:line="480" w:lineRule="auto"/>
        <w:jc w:val="center"/>
        <w:rPr>
          <w:rFonts w:ascii="宋体" w:hAnsi="宋体" w:eastAsia="宋体" w:cs="Times New Roman"/>
          <w:b/>
          <w:color w:val="auto"/>
          <w:sz w:val="24"/>
          <w:szCs w:val="24"/>
          <w:highlight w:val="none"/>
        </w:rPr>
      </w:pPr>
    </w:p>
    <w:p w14:paraId="0E127C13">
      <w:pPr>
        <w:spacing w:line="480" w:lineRule="auto"/>
        <w:jc w:val="center"/>
        <w:rPr>
          <w:rFonts w:ascii="宋体" w:hAnsi="宋体" w:eastAsia="宋体" w:cs="Times New Roman"/>
          <w:b/>
          <w:color w:val="auto"/>
          <w:sz w:val="24"/>
          <w:szCs w:val="24"/>
          <w:highlight w:val="none"/>
        </w:rPr>
      </w:pPr>
    </w:p>
    <w:p w14:paraId="1132E96F">
      <w:pPr>
        <w:spacing w:line="480" w:lineRule="auto"/>
        <w:jc w:val="center"/>
        <w:rPr>
          <w:rFonts w:ascii="宋体" w:hAnsi="宋体" w:eastAsia="宋体" w:cs="Times New Roman"/>
          <w:b/>
          <w:color w:val="auto"/>
          <w:sz w:val="24"/>
          <w:szCs w:val="24"/>
          <w:highlight w:val="none"/>
        </w:rPr>
      </w:pPr>
    </w:p>
    <w:p w14:paraId="712CF83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滁州市第二中学学生公寓家具采购项目</w:t>
      </w:r>
    </w:p>
    <w:p w14:paraId="35D66C83">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1E46D5EC">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滁州市第二中学</w:t>
      </w:r>
      <w:r>
        <w:rPr>
          <w:rFonts w:hint="eastAsia" w:ascii="宋体" w:hAnsi="宋体" w:eastAsia="宋体" w:cs="Times New Roman"/>
          <w:color w:val="auto"/>
          <w:sz w:val="24"/>
          <w:szCs w:val="24"/>
          <w:highlight w:val="none"/>
          <w:u w:val="single"/>
        </w:rPr>
        <w:t xml:space="preserve">     </w:t>
      </w:r>
    </w:p>
    <w:p w14:paraId="5126A5DF">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037FECB5">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646E8AAC">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55CB0FA3">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73E450BC">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13A0667A">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9680E77">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0FDA6C79">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463858A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748409B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07D24CE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EC1B4DF">
      <w:pPr>
        <w:pStyle w:val="22"/>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27D711D">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12EEC1A8">
      <w:pPr>
        <w:numPr>
          <w:ilvl w:val="0"/>
          <w:numId w:val="3"/>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滁州市第二中学学生公寓家具采购项目</w:t>
      </w:r>
      <w:r>
        <w:rPr>
          <w:rFonts w:hint="eastAsia" w:ascii="宋体" w:hAnsi="宋体" w:eastAsia="宋体" w:cs="宋体"/>
          <w:color w:val="auto"/>
          <w:sz w:val="24"/>
          <w:szCs w:val="24"/>
          <w:highlight w:val="none"/>
          <w:u w:val="single"/>
          <w:lang w:bidi="ar"/>
        </w:rPr>
        <w:t xml:space="preserve"> </w:t>
      </w:r>
    </w:p>
    <w:p w14:paraId="74BEC77C">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7BCED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B4B11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236C072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A8C60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p>
    <w:p w14:paraId="224DD6D7">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32877FA3">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579F48A6">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0492D29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68A929D0">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540F8826">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784C6678">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192CE798">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B75F51E">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684058">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☑否</w:t>
      </w:r>
    </w:p>
    <w:p w14:paraId="155B97E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（4）政府采购组织形式：☑政府集中采购  □部门集中采购  □分散采购</w:t>
      </w:r>
    </w:p>
    <w:p w14:paraId="7F8FD6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24E95DA2">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0506D57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中标（成交）采购标的制造商是否为中小企业：☑是      □否</w:t>
      </w:r>
    </w:p>
    <w:p w14:paraId="3609D2C6">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bidi="ar"/>
        </w:rPr>
        <w:t>☑是    □否</w:t>
      </w:r>
    </w:p>
    <w:p w14:paraId="41B61BAE">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bidi="ar"/>
        </w:rPr>
        <w:t>□是   □否</w:t>
      </w:r>
    </w:p>
    <w:p w14:paraId="44591194">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60E5205E">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5432EAF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5B5130FF">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4EC7F7D8">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70FA5010">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664F65F3">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1618BF0D">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30FC4137">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67332396">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061F6F47">
      <w:pPr>
        <w:pStyle w:val="22"/>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9C4060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0319B47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5C29F57B">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55A5431D">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63580CC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987266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2BFCBF0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B7B2FCA">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022CB4DD">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101CC026">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7CE64E3F">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7542504E">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3B169834">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662F9E34">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7BF46C01">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62B8BCA7">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607309C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4764CD1E">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07764A3E">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0A86C93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AA144D3">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512CC38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25CCDBEA">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4D0A37E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1F6C7D8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14BAE25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□固定总价 ☑固定单价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34FD118C">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5E515C81">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73F2B4DC">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none"/>
          <w:u w:val="single"/>
          <w:lang w:eastAsia="zh-CN" w:bidi="ar"/>
        </w:rPr>
        <w:t>合同签订且具备实施条件后，支付合同价的40%预付款（预付款支付前，中标人须提供同等金额的见索即付保函），全部供货安装调试完毕并由采购人验收合格后，采购人请款额度须在政府资金调度会批准且发票送达后完成支付。</w:t>
      </w:r>
    </w:p>
    <w:p w14:paraId="35C62F4C">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合同签订且具备实施条件后，支付合同价的40%预付款（预付款支付前，中标人须提供同等金额的见索即付保函）</w:t>
      </w:r>
      <w:r>
        <w:rPr>
          <w:rFonts w:hint="eastAsia" w:ascii="宋体" w:hAnsi="宋体" w:eastAsia="宋体" w:cs="宋体"/>
          <w:color w:val="auto"/>
          <w:sz w:val="24"/>
          <w:szCs w:val="24"/>
          <w:highlight w:val="none"/>
          <w:u w:val="single"/>
          <w:lang w:eastAsia="zh-CN" w:bidi="ar"/>
        </w:rPr>
        <w:t>。</w:t>
      </w:r>
    </w:p>
    <w:p w14:paraId="0C081154">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4C2B0E91">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44BB3FF7">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739B8C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511D80BE">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0206423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7EAFD1AE">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66D5DA92">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1974302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2A8BFBE1">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43536D7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470C6BD5">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75679ADD">
      <w:pPr>
        <w:numPr>
          <w:ilvl w:val="0"/>
          <w:numId w:val="4"/>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5E57264D">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76E6A2D5">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64338A5">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607170B">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628BD0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EF16D4B">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22509A3">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5E209A6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5A9208C">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5BF0BDE6">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512B29C0">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5D28021">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465B0C46">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7DCB6B38">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580588B7">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59BA146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34EE6B36">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的，采购人有权单方面解除合同；3、累计三次交货验收不合格的，采购人有权单方面解除合同；</w:t>
      </w:r>
    </w:p>
    <w:p w14:paraId="74794F49">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6EFE2AD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443F639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135D7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18AEE91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E94D29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6BD6567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5650209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470DCAD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763B0D7E">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52DDF1B5">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35728FF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3B28D022">
      <w:pPr>
        <w:numPr>
          <w:ilvl w:val="0"/>
          <w:numId w:val="2"/>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77DD267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50DF797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3173AB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30885BB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4814A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12B2F6AD">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7"/>
        <w:gridCol w:w="2118"/>
      </w:tblGrid>
      <w:tr w14:paraId="4E6C74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vAlign w:val="center"/>
          </w:tcPr>
          <w:p w14:paraId="33F7337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2" w:space="0"/>
              <w:right w:val="single" w:color="auto" w:sz="4" w:space="0"/>
            </w:tcBorders>
            <w:vAlign w:val="center"/>
          </w:tcPr>
          <w:p w14:paraId="08BCFC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36C521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vAlign w:val="center"/>
          </w:tcPr>
          <w:p w14:paraId="1C612F7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436" w:type="pct"/>
            <w:tcBorders>
              <w:top w:val="single" w:color="auto" w:sz="4" w:space="0"/>
              <w:left w:val="single" w:color="auto" w:sz="4" w:space="0"/>
              <w:bottom w:val="single" w:color="auto" w:sz="4" w:space="0"/>
              <w:right w:val="single" w:color="auto" w:sz="4" w:space="0"/>
            </w:tcBorders>
            <w:vAlign w:val="center"/>
          </w:tcPr>
          <w:p w14:paraId="5F7E5EC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517E8F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259" w:type="pct"/>
            <w:tcBorders>
              <w:top w:val="single" w:color="auto" w:sz="2" w:space="0"/>
              <w:left w:val="single" w:color="auto" w:sz="4" w:space="0"/>
              <w:bottom w:val="single" w:color="auto" w:sz="2" w:space="0"/>
              <w:right w:val="single" w:color="auto" w:sz="4" w:space="0"/>
            </w:tcBorders>
            <w:vAlign w:val="center"/>
          </w:tcPr>
          <w:p w14:paraId="3F682218">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06D32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vAlign w:val="center"/>
          </w:tcPr>
          <w:p w14:paraId="1A3DE9F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01E4BFC4">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vAlign w:val="center"/>
          </w:tcPr>
          <w:p w14:paraId="1E61A5C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7AF83B1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1711BD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259" w:type="pct"/>
            <w:tcBorders>
              <w:top w:val="single" w:color="auto" w:sz="2" w:space="0"/>
              <w:left w:val="single" w:color="auto" w:sz="4" w:space="0"/>
              <w:bottom w:val="single" w:color="auto" w:sz="2" w:space="0"/>
              <w:right w:val="single" w:color="auto" w:sz="4" w:space="0"/>
            </w:tcBorders>
            <w:vAlign w:val="center"/>
          </w:tcPr>
          <w:p w14:paraId="3F95C380">
            <w:pPr>
              <w:adjustRightInd w:val="0"/>
              <w:snapToGrid w:val="0"/>
              <w:spacing w:line="360" w:lineRule="auto"/>
              <w:jc w:val="center"/>
              <w:rPr>
                <w:rFonts w:hint="eastAsia" w:ascii="宋体" w:hAnsi="宋体" w:eastAsia="宋体" w:cs="宋体"/>
                <w:color w:val="auto"/>
                <w:sz w:val="24"/>
                <w:szCs w:val="24"/>
                <w:highlight w:val="none"/>
              </w:rPr>
            </w:pPr>
          </w:p>
        </w:tc>
      </w:tr>
      <w:tr w14:paraId="48BD68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vAlign w:val="center"/>
          </w:tcPr>
          <w:p w14:paraId="7394D3B7">
            <w:pPr>
              <w:rPr>
                <w:rFonts w:ascii="Times New Roman" w:hAnsi="Times New Roman" w:cs="Times New Roman"/>
                <w:color w:val="auto"/>
                <w:sz w:val="20"/>
                <w:highlight w:val="none"/>
              </w:rPr>
            </w:pPr>
          </w:p>
        </w:tc>
        <w:tc>
          <w:tcPr>
            <w:tcW w:w="1436" w:type="pct"/>
            <w:vMerge w:val="continue"/>
            <w:tcBorders>
              <w:top w:val="single" w:color="auto" w:sz="4" w:space="0"/>
              <w:left w:val="single" w:color="auto" w:sz="4" w:space="0"/>
              <w:bottom w:val="single" w:color="auto" w:sz="4" w:space="0"/>
              <w:right w:val="single" w:color="auto" w:sz="4" w:space="0"/>
            </w:tcBorders>
            <w:vAlign w:val="center"/>
          </w:tcPr>
          <w:p w14:paraId="3DD5474D">
            <w:pPr>
              <w:rPr>
                <w:rFonts w:ascii="Times New Roman" w:hAnsi="Times New Roman" w:cs="Times New Roman"/>
                <w:color w:val="auto"/>
                <w:sz w:val="20"/>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5774BD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1259" w:type="pct"/>
            <w:tcBorders>
              <w:top w:val="single" w:color="auto" w:sz="2" w:space="0"/>
              <w:left w:val="single" w:color="auto" w:sz="4" w:space="0"/>
              <w:bottom w:val="single" w:color="auto" w:sz="2" w:space="0"/>
              <w:right w:val="single" w:color="auto" w:sz="4" w:space="0"/>
            </w:tcBorders>
            <w:vAlign w:val="center"/>
          </w:tcPr>
          <w:p w14:paraId="4F115AD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AC496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2" w:space="0"/>
              <w:right w:val="single" w:color="auto" w:sz="4" w:space="0"/>
            </w:tcBorders>
            <w:vAlign w:val="center"/>
          </w:tcPr>
          <w:p w14:paraId="23A2AB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436" w:type="pct"/>
            <w:tcBorders>
              <w:top w:val="single" w:color="auto" w:sz="4" w:space="0"/>
              <w:left w:val="single" w:color="auto" w:sz="4" w:space="0"/>
              <w:bottom w:val="single" w:color="auto" w:sz="2" w:space="0"/>
              <w:right w:val="single" w:color="auto" w:sz="4" w:space="0"/>
            </w:tcBorders>
            <w:vAlign w:val="center"/>
          </w:tcPr>
          <w:p w14:paraId="676566F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BC84C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259" w:type="pct"/>
            <w:tcBorders>
              <w:top w:val="single" w:color="auto" w:sz="2" w:space="0"/>
              <w:left w:val="single" w:color="auto" w:sz="4" w:space="0"/>
              <w:bottom w:val="single" w:color="auto" w:sz="2" w:space="0"/>
              <w:right w:val="single" w:color="auto" w:sz="4" w:space="0"/>
            </w:tcBorders>
            <w:vAlign w:val="center"/>
          </w:tcPr>
          <w:p w14:paraId="613CFD47">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FF672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B86A3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436" w:type="pct"/>
            <w:tcBorders>
              <w:top w:val="single" w:color="auto" w:sz="2" w:space="0"/>
              <w:left w:val="single" w:color="auto" w:sz="4" w:space="0"/>
              <w:bottom w:val="single" w:color="auto" w:sz="2" w:space="0"/>
              <w:right w:val="single" w:color="auto" w:sz="4" w:space="0"/>
            </w:tcBorders>
            <w:vAlign w:val="center"/>
          </w:tcPr>
          <w:p w14:paraId="5FE6DE82">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5FC851F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259" w:type="pct"/>
            <w:tcBorders>
              <w:top w:val="single" w:color="auto" w:sz="2" w:space="0"/>
              <w:left w:val="single" w:color="auto" w:sz="4" w:space="0"/>
              <w:bottom w:val="single" w:color="auto" w:sz="2" w:space="0"/>
              <w:right w:val="single" w:color="auto" w:sz="4" w:space="0"/>
            </w:tcBorders>
            <w:vAlign w:val="center"/>
          </w:tcPr>
          <w:p w14:paraId="4B28ACE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C9133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DCA40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436" w:type="pct"/>
            <w:tcBorders>
              <w:top w:val="single" w:color="auto" w:sz="2" w:space="0"/>
              <w:left w:val="single" w:color="auto" w:sz="4" w:space="0"/>
              <w:bottom w:val="single" w:color="auto" w:sz="2" w:space="0"/>
              <w:right w:val="single" w:color="auto" w:sz="4" w:space="0"/>
            </w:tcBorders>
            <w:vAlign w:val="center"/>
          </w:tcPr>
          <w:p w14:paraId="1F0EB98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B3A36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259" w:type="pct"/>
            <w:tcBorders>
              <w:top w:val="single" w:color="auto" w:sz="2" w:space="0"/>
              <w:left w:val="single" w:color="auto" w:sz="4" w:space="0"/>
              <w:bottom w:val="single" w:color="auto" w:sz="2" w:space="0"/>
              <w:right w:val="single" w:color="auto" w:sz="4" w:space="0"/>
            </w:tcBorders>
            <w:vAlign w:val="center"/>
          </w:tcPr>
          <w:p w14:paraId="2E970F65">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6933C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29812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436" w:type="pct"/>
            <w:tcBorders>
              <w:top w:val="single" w:color="auto" w:sz="2" w:space="0"/>
              <w:left w:val="single" w:color="auto" w:sz="4" w:space="0"/>
              <w:bottom w:val="single" w:color="auto" w:sz="2" w:space="0"/>
              <w:right w:val="single" w:color="auto" w:sz="4" w:space="0"/>
            </w:tcBorders>
            <w:vAlign w:val="center"/>
          </w:tcPr>
          <w:p w14:paraId="2B4CFE9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5CC648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259" w:type="pct"/>
            <w:tcBorders>
              <w:top w:val="single" w:color="auto" w:sz="2" w:space="0"/>
              <w:left w:val="single" w:color="auto" w:sz="4" w:space="0"/>
              <w:bottom w:val="single" w:color="auto" w:sz="2" w:space="0"/>
              <w:right w:val="single" w:color="auto" w:sz="4" w:space="0"/>
            </w:tcBorders>
            <w:vAlign w:val="center"/>
          </w:tcPr>
          <w:p w14:paraId="543A0ECF">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29801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23DF16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436" w:type="pct"/>
            <w:tcBorders>
              <w:top w:val="single" w:color="auto" w:sz="2" w:space="0"/>
              <w:left w:val="single" w:color="auto" w:sz="4" w:space="0"/>
              <w:bottom w:val="single" w:color="auto" w:sz="2" w:space="0"/>
              <w:right w:val="single" w:color="auto" w:sz="4" w:space="0"/>
            </w:tcBorders>
            <w:vAlign w:val="center"/>
          </w:tcPr>
          <w:p w14:paraId="747F77AE">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60CD4A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259" w:type="pct"/>
            <w:tcBorders>
              <w:top w:val="single" w:color="auto" w:sz="2" w:space="0"/>
              <w:left w:val="single" w:color="auto" w:sz="4" w:space="0"/>
              <w:bottom w:val="single" w:color="auto" w:sz="2" w:space="0"/>
              <w:right w:val="single" w:color="auto" w:sz="4" w:space="0"/>
            </w:tcBorders>
            <w:vAlign w:val="center"/>
          </w:tcPr>
          <w:p w14:paraId="7A4A8C09">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B2B9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2292E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436" w:type="pct"/>
            <w:tcBorders>
              <w:top w:val="single" w:color="auto" w:sz="2" w:space="0"/>
              <w:left w:val="single" w:color="auto" w:sz="4" w:space="0"/>
              <w:bottom w:val="single" w:color="auto" w:sz="2" w:space="0"/>
              <w:right w:val="single" w:color="auto" w:sz="4" w:space="0"/>
            </w:tcBorders>
            <w:vAlign w:val="center"/>
          </w:tcPr>
          <w:p w14:paraId="323306D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3811CEA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259" w:type="pct"/>
            <w:tcBorders>
              <w:top w:val="single" w:color="auto" w:sz="2" w:space="0"/>
              <w:left w:val="single" w:color="auto" w:sz="4" w:space="0"/>
              <w:bottom w:val="single" w:color="auto" w:sz="2" w:space="0"/>
              <w:right w:val="single" w:color="auto" w:sz="4" w:space="0"/>
            </w:tcBorders>
            <w:vAlign w:val="center"/>
          </w:tcPr>
          <w:p w14:paraId="1CE46CB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BAA47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3CEEAE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436" w:type="pct"/>
            <w:tcBorders>
              <w:top w:val="single" w:color="auto" w:sz="2" w:space="0"/>
              <w:left w:val="single" w:color="auto" w:sz="4" w:space="0"/>
              <w:bottom w:val="single" w:color="auto" w:sz="2" w:space="0"/>
              <w:right w:val="single" w:color="auto" w:sz="4" w:space="0"/>
            </w:tcBorders>
            <w:vAlign w:val="center"/>
          </w:tcPr>
          <w:p w14:paraId="4753041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0773B00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259" w:type="pct"/>
            <w:tcBorders>
              <w:top w:val="single" w:color="auto" w:sz="2" w:space="0"/>
              <w:left w:val="single" w:color="auto" w:sz="4" w:space="0"/>
              <w:bottom w:val="single" w:color="auto" w:sz="2" w:space="0"/>
              <w:right w:val="single" w:color="auto" w:sz="4" w:space="0"/>
            </w:tcBorders>
            <w:vAlign w:val="center"/>
          </w:tcPr>
          <w:p w14:paraId="3E7A70B1">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033FE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484205A">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23AF059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53F04D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1259" w:type="pct"/>
            <w:tcBorders>
              <w:top w:val="single" w:color="auto" w:sz="2" w:space="0"/>
              <w:left w:val="single" w:color="auto" w:sz="4" w:space="0"/>
              <w:bottom w:val="single" w:color="auto" w:sz="2" w:space="0"/>
              <w:right w:val="single" w:color="auto" w:sz="4" w:space="0"/>
            </w:tcBorders>
            <w:vAlign w:val="center"/>
          </w:tcPr>
          <w:p w14:paraId="2331B3E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DE703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0B566BE">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1E5396C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3AB9D76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1259" w:type="pct"/>
            <w:tcBorders>
              <w:top w:val="single" w:color="auto" w:sz="2" w:space="0"/>
              <w:left w:val="single" w:color="auto" w:sz="4" w:space="0"/>
              <w:bottom w:val="single" w:color="auto" w:sz="2" w:space="0"/>
              <w:right w:val="single" w:color="auto" w:sz="4" w:space="0"/>
            </w:tcBorders>
            <w:vAlign w:val="center"/>
          </w:tcPr>
          <w:p w14:paraId="653064F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AE1E9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59906E1A">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4" w:space="0"/>
              <w:right w:val="single" w:color="auto" w:sz="4" w:space="0"/>
            </w:tcBorders>
            <w:vAlign w:val="center"/>
          </w:tcPr>
          <w:p w14:paraId="625FFFF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2A68E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1259" w:type="pct"/>
            <w:tcBorders>
              <w:top w:val="single" w:color="auto" w:sz="2" w:space="0"/>
              <w:left w:val="single" w:color="auto" w:sz="4" w:space="0"/>
              <w:bottom w:val="single" w:color="auto" w:sz="2" w:space="0"/>
              <w:right w:val="single" w:color="auto" w:sz="4" w:space="0"/>
            </w:tcBorders>
            <w:vAlign w:val="center"/>
          </w:tcPr>
          <w:p w14:paraId="5EAC383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6EAAD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BFE4D20">
            <w:pPr>
              <w:pStyle w:val="22"/>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14D10842">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73E2CE7A">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7BA1F8A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0FB2F1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0A240F5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1C40602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76ACBF41">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7612B0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C65D0B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3C7DED14">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32CD750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1CC642F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30A7029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1A2361C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2CADB207">
      <w:pPr>
        <w:numPr>
          <w:ilvl w:val="0"/>
          <w:numId w:val="5"/>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1F613B1A">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213B46C4">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5970D6B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1BEB754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38A75F6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EB8959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1F3F811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2CF7B6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788F8B0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11191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B02FF13">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594638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3ABC9C1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AF13A70">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97F4A27">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4D0E8FC3">
      <w:pPr>
        <w:numPr>
          <w:ilvl w:val="0"/>
          <w:numId w:val="6"/>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2AB891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3949C21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70FAAA43">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108EE7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72BC345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32E7C19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70A4191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3F4CE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3837845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9FEDEB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1D303D7C">
      <w:pPr>
        <w:pStyle w:val="22"/>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0EE04C4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CF71B03">
      <w:pPr>
        <w:pStyle w:val="22"/>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10BF05D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3901ECC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2E9F52B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4D0EC1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106D78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210A7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6B38D75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39E370E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6433D4BD">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6D79D4F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07EBC5B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56CAADE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5626283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7E0DF3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2462338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6F49EEF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60C7692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69928B1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571F6B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605A54AC">
      <w:pPr>
        <w:pStyle w:val="22"/>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3E103B5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CFBDBB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4BE5D724">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1F57955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09FF1E4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4C225E6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6BF767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3FF3DB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08E2FF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77D7F9B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7B1E48B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22AB990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105FA1B5">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6A4AACD2">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4E4F8C3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1F2216F1">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7CF4792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A2BB5E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2386D50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4BB2020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56B1F0B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493B2011">
      <w:pPr>
        <w:numPr>
          <w:ilvl w:val="0"/>
          <w:numId w:val="7"/>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694BA1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46FFB19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D73C20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128039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754AB0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5213D4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73D79756">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324102F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275BEC6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16EE674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0588EBF3">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3FD2708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61267690">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5F5671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4A4F001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3E943E62">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A08FAC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57EA77C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5314DA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4271CF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5ECFC8F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6F1A778B">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1D3A812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7ED776D8">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7199F70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182BBF7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6C82FE4B">
      <w:pPr>
        <w:pStyle w:val="22"/>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2C45ECF">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3D0B33C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1DDD71AE">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7C2BE1C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31497612">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00CE1EE6">
      <w:pPr>
        <w:pStyle w:val="22"/>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70198F7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7C0D52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05CE0F27">
      <w:pPr>
        <w:numPr>
          <w:ilvl w:val="0"/>
          <w:numId w:val="8"/>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EEDAFDF">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539892C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684BA43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CCA6F8">
      <w:pPr>
        <w:pStyle w:val="3"/>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8"/>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8E0C83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537D0A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B4408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0907DC7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05691F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593AC35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661AA6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450876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19C7F6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315C93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71F375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EA595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01B529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90D81E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4028FF8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3B3D94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EE5A20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1881E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4051C28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24DE459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673B4CD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458F78C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5BCDCC3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FE9126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0F0CF10">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38742D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619E59C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12CADF0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71B28184">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0FBA54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422D56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2C25BE8">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02CDDF9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504AD4C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71A7E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620EB51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0E051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158BC56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33283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7EF257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6E34CCF4">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1C86F2C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1BAB7BF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5FD84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467754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2548EB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108B9C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13FF35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1BF0E93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62320B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EBBE3D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1EF304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A4BD01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1D59E75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E94DF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AEFFF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0753431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7822784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54830D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F5E8A6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05835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3EE043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15AC21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7C4D4F1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如货物出现故障，电话响应无法解决，卖方必须在接报修电话24小时内到现场并解决问题。</w:t>
            </w:r>
          </w:p>
        </w:tc>
      </w:tr>
      <w:tr w14:paraId="080237E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8DF73DE">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9B47CFE">
            <w:pPr>
              <w:pStyle w:val="22"/>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6303275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32246D8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56BB25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5ED500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30289F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3061EC8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4E0480B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0652DD7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59BD72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2B89F3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9B5CA9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604CE364">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4EDCE4D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7BDD96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5AB8B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C3FD00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57EFD1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7F6A9C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28239D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8E996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73989A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2D3E908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34A42FB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DF5BE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E7C211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80BB7F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1EF1AC5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3E8A901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17F9B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57C3BC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3CF3240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768EE7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0AEC6FB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DD65C7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2147F2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0DB8C2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439C2EF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4960FCB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1760B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9AA17F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8B1B03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5469CBF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55A770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401F114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EACD0C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EA26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75D138A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1870B202">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53B2F4F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517907E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01DE7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02B59F9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64AA371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6FA4A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72E87F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6EA065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09773C4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701C69E1">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（1） </w:t>
            </w:r>
            <w:r>
              <w:rPr>
                <w:rFonts w:hint="eastAsia" w:ascii="宋体" w:hAnsi="宋体" w:eastAsia="宋体" w:cs="宋体"/>
                <w:iCs/>
                <w:color w:val="auto"/>
                <w:sz w:val="24"/>
                <w:szCs w:val="24"/>
                <w:highlight w:val="none"/>
                <w:lang w:bidi="ar"/>
              </w:rPr>
              <w:t>种方式解决：</w:t>
            </w:r>
          </w:p>
          <w:p w14:paraId="1B249E06">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61AC749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1417651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198EF4A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F30900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101CC73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1595B2F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197C2B82">
      <w:pPr>
        <w:pStyle w:val="12"/>
        <w:rPr>
          <w:rFonts w:hint="eastAsia"/>
          <w:color w:val="auto"/>
          <w:highlight w:val="none"/>
        </w:rPr>
      </w:pPr>
    </w:p>
    <w:p w14:paraId="77104C3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62D0A7">
      <w:pPr>
        <w:spacing w:line="360" w:lineRule="auto"/>
        <w:jc w:val="center"/>
        <w:outlineLvl w:val="0"/>
        <w:rPr>
          <w:rFonts w:asciiTheme="minorEastAsia" w:hAnsiTheme="minorEastAsia" w:eastAsiaTheme="minorEastAsia"/>
          <w:b/>
          <w:color w:val="auto"/>
          <w:sz w:val="28"/>
          <w:highlight w:val="none"/>
        </w:rPr>
      </w:pPr>
      <w:bookmarkStart w:id="29" w:name="_Toc22492"/>
      <w:r>
        <w:rPr>
          <w:rFonts w:hint="eastAsia" w:asciiTheme="minorEastAsia" w:hAnsiTheme="minorEastAsia" w:eastAsiaTheme="minorEastAsia"/>
          <w:b/>
          <w:color w:val="auto"/>
          <w:sz w:val="28"/>
          <w:highlight w:val="none"/>
        </w:rPr>
        <w:t>第六章  投标文件格式</w:t>
      </w:r>
      <w:bookmarkEnd w:id="29"/>
    </w:p>
    <w:p w14:paraId="1AF98527">
      <w:pPr>
        <w:spacing w:line="900" w:lineRule="exact"/>
        <w:jc w:val="center"/>
        <w:rPr>
          <w:rFonts w:asciiTheme="minorEastAsia" w:hAnsiTheme="minorEastAsia" w:eastAsiaTheme="minorEastAsia"/>
          <w:b/>
          <w:color w:val="auto"/>
          <w:sz w:val="72"/>
          <w:highlight w:val="none"/>
        </w:rPr>
      </w:pPr>
    </w:p>
    <w:p w14:paraId="10E35E8A">
      <w:pPr>
        <w:spacing w:line="900" w:lineRule="exact"/>
        <w:jc w:val="center"/>
        <w:outlineLvl w:val="1"/>
        <w:rPr>
          <w:rFonts w:asciiTheme="minorEastAsia" w:hAnsiTheme="minorEastAsia" w:eastAsiaTheme="minorEastAsia"/>
          <w:b/>
          <w:color w:val="auto"/>
          <w:sz w:val="72"/>
          <w:highlight w:val="none"/>
        </w:rPr>
      </w:pPr>
      <w:bookmarkStart w:id="30" w:name="_Toc651"/>
      <w:r>
        <w:rPr>
          <w:rFonts w:hint="eastAsia" w:asciiTheme="minorEastAsia" w:hAnsiTheme="minorEastAsia" w:eastAsiaTheme="minorEastAsia"/>
          <w:b/>
          <w:color w:val="auto"/>
          <w:sz w:val="72"/>
          <w:highlight w:val="none"/>
        </w:rPr>
        <w:t>投</w:t>
      </w:r>
      <w:bookmarkEnd w:id="30"/>
    </w:p>
    <w:p w14:paraId="0C75F631">
      <w:pPr>
        <w:spacing w:line="900" w:lineRule="exact"/>
        <w:jc w:val="center"/>
        <w:rPr>
          <w:rFonts w:asciiTheme="minorEastAsia" w:hAnsiTheme="minorEastAsia" w:eastAsiaTheme="minorEastAsia"/>
          <w:b/>
          <w:color w:val="auto"/>
          <w:sz w:val="72"/>
          <w:highlight w:val="none"/>
        </w:rPr>
      </w:pPr>
    </w:p>
    <w:p w14:paraId="7B5CAFAC">
      <w:pPr>
        <w:spacing w:line="900" w:lineRule="exact"/>
        <w:jc w:val="center"/>
        <w:outlineLvl w:val="1"/>
        <w:rPr>
          <w:rFonts w:asciiTheme="minorEastAsia" w:hAnsiTheme="minorEastAsia" w:eastAsiaTheme="minorEastAsia"/>
          <w:b/>
          <w:color w:val="auto"/>
          <w:sz w:val="72"/>
          <w:highlight w:val="none"/>
        </w:rPr>
      </w:pPr>
      <w:bookmarkStart w:id="31" w:name="_Toc6148"/>
      <w:r>
        <w:rPr>
          <w:rFonts w:hint="eastAsia" w:asciiTheme="minorEastAsia" w:hAnsiTheme="minorEastAsia" w:eastAsiaTheme="minorEastAsia"/>
          <w:b/>
          <w:color w:val="auto"/>
          <w:sz w:val="72"/>
          <w:highlight w:val="none"/>
        </w:rPr>
        <w:t>标</w:t>
      </w:r>
      <w:bookmarkEnd w:id="31"/>
    </w:p>
    <w:p w14:paraId="1244BC68">
      <w:pPr>
        <w:spacing w:line="900" w:lineRule="exact"/>
        <w:jc w:val="center"/>
        <w:rPr>
          <w:rFonts w:asciiTheme="minorEastAsia" w:hAnsiTheme="minorEastAsia" w:eastAsiaTheme="minorEastAsia"/>
          <w:b/>
          <w:color w:val="auto"/>
          <w:sz w:val="72"/>
          <w:highlight w:val="none"/>
        </w:rPr>
      </w:pPr>
    </w:p>
    <w:p w14:paraId="0F586624">
      <w:pPr>
        <w:spacing w:line="900" w:lineRule="exact"/>
        <w:jc w:val="center"/>
        <w:outlineLvl w:val="1"/>
        <w:rPr>
          <w:rFonts w:asciiTheme="minorEastAsia" w:hAnsiTheme="minorEastAsia" w:eastAsiaTheme="minorEastAsia"/>
          <w:b/>
          <w:color w:val="auto"/>
          <w:sz w:val="72"/>
          <w:highlight w:val="none"/>
        </w:rPr>
      </w:pPr>
      <w:bookmarkStart w:id="32" w:name="_Toc1338"/>
      <w:r>
        <w:rPr>
          <w:rFonts w:hint="eastAsia" w:asciiTheme="minorEastAsia" w:hAnsiTheme="minorEastAsia" w:eastAsiaTheme="minorEastAsia"/>
          <w:b/>
          <w:color w:val="auto"/>
          <w:sz w:val="72"/>
          <w:highlight w:val="none"/>
        </w:rPr>
        <w:t>文</w:t>
      </w:r>
      <w:bookmarkEnd w:id="32"/>
    </w:p>
    <w:p w14:paraId="01768507">
      <w:pPr>
        <w:spacing w:line="900" w:lineRule="exact"/>
        <w:jc w:val="center"/>
        <w:rPr>
          <w:rFonts w:asciiTheme="minorEastAsia" w:hAnsiTheme="minorEastAsia" w:eastAsiaTheme="minorEastAsia"/>
          <w:b/>
          <w:color w:val="auto"/>
          <w:sz w:val="72"/>
          <w:highlight w:val="none"/>
        </w:rPr>
      </w:pPr>
    </w:p>
    <w:p w14:paraId="3916DF4B">
      <w:pPr>
        <w:jc w:val="center"/>
        <w:outlineLvl w:val="1"/>
        <w:rPr>
          <w:rFonts w:asciiTheme="minorEastAsia" w:hAnsiTheme="minorEastAsia" w:eastAsiaTheme="minorEastAsia"/>
          <w:b/>
          <w:color w:val="auto"/>
          <w:sz w:val="72"/>
          <w:highlight w:val="none"/>
        </w:rPr>
      </w:pPr>
      <w:bookmarkStart w:id="33" w:name="_Toc10796"/>
      <w:r>
        <w:rPr>
          <w:rFonts w:hint="eastAsia" w:asciiTheme="minorEastAsia" w:hAnsiTheme="minorEastAsia" w:eastAsiaTheme="minorEastAsia"/>
          <w:b/>
          <w:color w:val="auto"/>
          <w:sz w:val="72"/>
          <w:highlight w:val="none"/>
        </w:rPr>
        <w:t>件</w:t>
      </w:r>
      <w:bookmarkEnd w:id="33"/>
    </w:p>
    <w:p w14:paraId="4D195CF3">
      <w:pPr>
        <w:spacing w:after="156" w:afterLines="50"/>
        <w:jc w:val="center"/>
        <w:rPr>
          <w:rFonts w:asciiTheme="minorEastAsia" w:hAnsiTheme="minorEastAsia" w:eastAsiaTheme="minorEastAsia"/>
          <w:b/>
          <w:color w:val="auto"/>
          <w:sz w:val="72"/>
          <w:highlight w:val="none"/>
        </w:rPr>
      </w:pPr>
    </w:p>
    <w:p w14:paraId="759B157C">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9F1B12">
      <w:pPr>
        <w:spacing w:after="156" w:afterLines="50" w:line="500" w:lineRule="exact"/>
        <w:jc w:val="center"/>
        <w:rPr>
          <w:rFonts w:asciiTheme="minorEastAsia" w:hAnsiTheme="minorEastAsia" w:eastAsiaTheme="minorEastAsia"/>
          <w:b/>
          <w:color w:val="auto"/>
          <w:sz w:val="28"/>
          <w:szCs w:val="28"/>
          <w:highlight w:val="none"/>
        </w:rPr>
      </w:pPr>
    </w:p>
    <w:p w14:paraId="511567BD">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3D9FCA9">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F3ED52E">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BAABCDF">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34" w:name="_Toc8037"/>
      <w:bookmarkStart w:id="35"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34"/>
      <w:bookmarkEnd w:id="35"/>
    </w:p>
    <w:p w14:paraId="4A93E4A3">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0C860D04">
      <w:pPr>
        <w:spacing w:line="360" w:lineRule="auto"/>
        <w:jc w:val="center"/>
        <w:outlineLvl w:val="1"/>
        <w:rPr>
          <w:rFonts w:asciiTheme="minorEastAsia" w:hAnsiTheme="minorEastAsia" w:eastAsiaTheme="minorEastAsia"/>
          <w:b/>
          <w:color w:val="auto"/>
          <w:sz w:val="24"/>
          <w:highlight w:val="none"/>
        </w:rPr>
      </w:pPr>
      <w:bookmarkStart w:id="36" w:name="_Toc28960"/>
      <w:bookmarkStart w:id="37" w:name="_Toc5555"/>
      <w:r>
        <w:rPr>
          <w:rFonts w:hint="eastAsia" w:asciiTheme="minorEastAsia" w:hAnsiTheme="minorEastAsia" w:eastAsiaTheme="minorEastAsia"/>
          <w:b/>
          <w:color w:val="auto"/>
          <w:sz w:val="24"/>
          <w:highlight w:val="none"/>
        </w:rPr>
        <w:t>一、开标一览表</w:t>
      </w:r>
      <w:bookmarkEnd w:id="36"/>
      <w:bookmarkEnd w:id="37"/>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129C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6C58321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18E8D974">
            <w:pPr>
              <w:spacing w:line="360" w:lineRule="exact"/>
              <w:jc w:val="center"/>
              <w:rPr>
                <w:rFonts w:asciiTheme="minorEastAsia" w:hAnsiTheme="minorEastAsia" w:eastAsiaTheme="minorEastAsia"/>
                <w:bCs/>
                <w:color w:val="auto"/>
                <w:sz w:val="24"/>
                <w:highlight w:val="none"/>
                <w:u w:val="single"/>
              </w:rPr>
            </w:pPr>
          </w:p>
        </w:tc>
      </w:tr>
      <w:tr w14:paraId="5780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EF58A5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79033302">
            <w:pPr>
              <w:spacing w:line="360" w:lineRule="auto"/>
              <w:rPr>
                <w:rFonts w:asciiTheme="minorEastAsia" w:hAnsiTheme="minorEastAsia" w:eastAsiaTheme="minorEastAsia"/>
                <w:color w:val="auto"/>
                <w:sz w:val="24"/>
                <w:highlight w:val="none"/>
              </w:rPr>
            </w:pPr>
          </w:p>
        </w:tc>
      </w:tr>
      <w:tr w14:paraId="4168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89101AC">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17D83307">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6B3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41CFCF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570A2749">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3F5BFB3">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1ED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E5C3718">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1472E6F">
            <w:pPr>
              <w:spacing w:line="360" w:lineRule="auto"/>
              <w:jc w:val="left"/>
              <w:rPr>
                <w:rFonts w:asciiTheme="minorEastAsia" w:hAnsiTheme="minorEastAsia" w:eastAsiaTheme="minorEastAsia"/>
                <w:color w:val="auto"/>
                <w:sz w:val="24"/>
                <w:szCs w:val="28"/>
                <w:highlight w:val="none"/>
              </w:rPr>
            </w:pPr>
          </w:p>
        </w:tc>
      </w:tr>
    </w:tbl>
    <w:p w14:paraId="731F99C0">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8396D4E">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B3FB09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6B4100BF">
      <w:pPr>
        <w:spacing w:line="360" w:lineRule="auto"/>
        <w:ind w:firstLine="360" w:firstLineChars="150"/>
        <w:rPr>
          <w:rFonts w:asciiTheme="minorEastAsia" w:hAnsiTheme="minorEastAsia" w:eastAsiaTheme="minorEastAsia"/>
          <w:color w:val="auto"/>
          <w:sz w:val="24"/>
          <w:highlight w:val="none"/>
        </w:rPr>
      </w:pPr>
    </w:p>
    <w:p w14:paraId="2F3A8CA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625B4DF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47D1072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4F98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5FD7422A">
      <w:pPr>
        <w:spacing w:line="360" w:lineRule="auto"/>
        <w:jc w:val="center"/>
        <w:outlineLvl w:val="1"/>
        <w:rPr>
          <w:rFonts w:asciiTheme="minorEastAsia" w:hAnsiTheme="minorEastAsia" w:eastAsiaTheme="minorEastAsia"/>
          <w:b/>
          <w:color w:val="auto"/>
          <w:sz w:val="24"/>
          <w:highlight w:val="none"/>
        </w:rPr>
      </w:pPr>
      <w:bookmarkStart w:id="38" w:name="_Toc6441"/>
      <w:bookmarkStart w:id="39" w:name="_Toc18010"/>
      <w:r>
        <w:rPr>
          <w:rFonts w:hint="eastAsia" w:asciiTheme="minorEastAsia" w:hAnsiTheme="minorEastAsia" w:eastAsiaTheme="minorEastAsia"/>
          <w:b/>
          <w:color w:val="auto"/>
          <w:sz w:val="24"/>
          <w:highlight w:val="none"/>
        </w:rPr>
        <w:t>二、投标函</w:t>
      </w:r>
      <w:bookmarkEnd w:id="38"/>
      <w:bookmarkEnd w:id="39"/>
    </w:p>
    <w:p w14:paraId="2E887A1D">
      <w:pPr>
        <w:pStyle w:val="15"/>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18A929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7FE39B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0BC759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5FEE25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2C8A0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37625540">
      <w:pPr>
        <w:spacing w:line="360" w:lineRule="auto"/>
        <w:ind w:firstLine="4800" w:firstLineChars="2000"/>
        <w:rPr>
          <w:rFonts w:ascii="宋体" w:hAnsi="宋体" w:eastAsia="宋体"/>
          <w:color w:val="auto"/>
          <w:sz w:val="24"/>
          <w:highlight w:val="none"/>
        </w:rPr>
      </w:pPr>
    </w:p>
    <w:p w14:paraId="415E700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7815C5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C93E05">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E4AAB55">
      <w:pPr>
        <w:spacing w:line="360" w:lineRule="auto"/>
        <w:jc w:val="center"/>
        <w:outlineLvl w:val="1"/>
        <w:rPr>
          <w:rFonts w:hint="eastAsia" w:asciiTheme="minorEastAsia" w:hAnsiTheme="minorEastAsia" w:eastAsiaTheme="minorEastAsia"/>
          <w:b/>
          <w:color w:val="auto"/>
          <w:sz w:val="24"/>
          <w:highlight w:val="none"/>
        </w:rPr>
      </w:pPr>
      <w:bookmarkStart w:id="40" w:name="_Toc1328"/>
      <w:r>
        <w:rPr>
          <w:rFonts w:hint="eastAsia" w:asciiTheme="minorEastAsia" w:hAnsiTheme="minorEastAsia" w:eastAsiaTheme="minorEastAsia"/>
          <w:b/>
          <w:color w:val="auto"/>
          <w:sz w:val="24"/>
          <w:highlight w:val="none"/>
          <w:lang w:val="en-US" w:eastAsia="zh-CN"/>
        </w:rPr>
        <w:t>三．投标人资格声明书</w:t>
      </w:r>
      <w:bookmarkEnd w:id="40"/>
      <w:r>
        <w:rPr>
          <w:rFonts w:hint="eastAsia" w:asciiTheme="minorEastAsia" w:hAnsiTheme="minorEastAsia" w:eastAsiaTheme="minorEastAsia"/>
          <w:b/>
          <w:color w:val="auto"/>
          <w:sz w:val="24"/>
          <w:highlight w:val="none"/>
          <w:lang w:val="en-US" w:eastAsia="zh-CN"/>
        </w:rPr>
        <w:t xml:space="preserve"> </w:t>
      </w:r>
    </w:p>
    <w:p w14:paraId="4B339DCB">
      <w:pPr>
        <w:pStyle w:val="1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F7192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232C8D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422C1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6BDE10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40FFDA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036434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F47C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AA9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54317BE">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E30D52F">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45471E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43D4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BC85A9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16B4559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0F1FAD1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B44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97894F6">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F1E77B4">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4007743">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B9BFB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6BDEC4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C39AADA">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CB03ECF">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567E3CF0">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02EBCB25">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524EAD46">
      <w:pPr>
        <w:rPr>
          <w:rFonts w:hint="eastAsia" w:asciiTheme="minorEastAsia" w:hAnsiTheme="minorEastAsia" w:eastAsiaTheme="minorEastAsia"/>
          <w:b/>
          <w:color w:val="auto"/>
          <w:sz w:val="24"/>
          <w:highlight w:val="none"/>
        </w:rPr>
      </w:pPr>
      <w:bookmarkStart w:id="41" w:name="_Toc11607"/>
      <w:r>
        <w:rPr>
          <w:rFonts w:hint="eastAsia" w:asciiTheme="minorEastAsia" w:hAnsiTheme="minorEastAsia" w:eastAsiaTheme="minorEastAsia"/>
          <w:b/>
          <w:color w:val="auto"/>
          <w:sz w:val="24"/>
          <w:highlight w:val="none"/>
        </w:rPr>
        <w:br w:type="page"/>
      </w:r>
    </w:p>
    <w:p w14:paraId="2B5D74D2">
      <w:pPr>
        <w:spacing w:line="360" w:lineRule="auto"/>
        <w:jc w:val="center"/>
        <w:outlineLvl w:val="1"/>
        <w:rPr>
          <w:rFonts w:asciiTheme="minorEastAsia" w:hAnsiTheme="minorEastAsia" w:eastAsiaTheme="minorEastAsia"/>
          <w:b/>
          <w:color w:val="auto"/>
          <w:sz w:val="24"/>
          <w:highlight w:val="none"/>
        </w:rPr>
      </w:pPr>
      <w:bookmarkStart w:id="42" w:name="_Toc16960"/>
      <w:r>
        <w:rPr>
          <w:rFonts w:hint="eastAsia" w:asciiTheme="minorEastAsia" w:hAnsiTheme="minorEastAsia" w:eastAsiaTheme="minorEastAsia"/>
          <w:b/>
          <w:color w:val="auto"/>
          <w:sz w:val="24"/>
          <w:highlight w:val="none"/>
        </w:rPr>
        <w:t>四、授权书</w:t>
      </w:r>
      <w:bookmarkEnd w:id="41"/>
      <w:bookmarkEnd w:id="42"/>
    </w:p>
    <w:p w14:paraId="3FF6F608">
      <w:pPr>
        <w:pStyle w:val="14"/>
        <w:snapToGrid w:val="0"/>
        <w:spacing w:line="360" w:lineRule="auto"/>
        <w:ind w:firstLine="480" w:firstLineChars="200"/>
        <w:jc w:val="left"/>
        <w:rPr>
          <w:rFonts w:hAnsi="宋体" w:eastAsia="宋体"/>
          <w:color w:val="auto"/>
          <w:sz w:val="24"/>
          <w:szCs w:val="28"/>
          <w:highlight w:val="none"/>
        </w:rPr>
      </w:pPr>
    </w:p>
    <w:p w14:paraId="191EF04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6B305B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0EA6781">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DB05BD">
      <w:pPr>
        <w:spacing w:line="360" w:lineRule="auto"/>
        <w:ind w:firstLine="435"/>
        <w:rPr>
          <w:rFonts w:asciiTheme="minorEastAsia" w:hAnsiTheme="minorEastAsia" w:eastAsiaTheme="minorEastAsia"/>
          <w:color w:val="auto"/>
          <w:sz w:val="24"/>
          <w:highlight w:val="none"/>
        </w:rPr>
      </w:pPr>
    </w:p>
    <w:p w14:paraId="2BAE10DD">
      <w:pPr>
        <w:spacing w:line="360" w:lineRule="auto"/>
        <w:ind w:firstLine="435"/>
        <w:rPr>
          <w:rFonts w:asciiTheme="minorEastAsia" w:hAnsiTheme="minorEastAsia" w:eastAsiaTheme="minorEastAsia"/>
          <w:color w:val="auto"/>
          <w:sz w:val="24"/>
          <w:highlight w:val="none"/>
        </w:rPr>
      </w:pPr>
    </w:p>
    <w:p w14:paraId="3246BDAE">
      <w:pPr>
        <w:spacing w:line="360" w:lineRule="auto"/>
        <w:ind w:firstLine="435"/>
        <w:rPr>
          <w:rFonts w:asciiTheme="minorEastAsia" w:hAnsiTheme="minorEastAsia" w:eastAsiaTheme="minorEastAsia"/>
          <w:color w:val="auto"/>
          <w:sz w:val="24"/>
          <w:highlight w:val="none"/>
        </w:rPr>
      </w:pPr>
    </w:p>
    <w:p w14:paraId="3537D490">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86E4C24">
      <w:pPr>
        <w:spacing w:line="360" w:lineRule="auto"/>
        <w:ind w:firstLine="435"/>
        <w:rPr>
          <w:rFonts w:hAnsi="宋体" w:eastAsia="宋体"/>
          <w:color w:val="auto"/>
          <w:sz w:val="24"/>
          <w:szCs w:val="28"/>
          <w:highlight w:val="none"/>
          <w:lang w:val="zh-CN"/>
        </w:rPr>
      </w:pPr>
    </w:p>
    <w:p w14:paraId="3BB5B9D9">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1922F0FE">
      <w:pPr>
        <w:spacing w:line="360" w:lineRule="auto"/>
        <w:rPr>
          <w:rFonts w:ascii="宋体" w:hAnsi="宋体" w:eastAsia="宋体"/>
          <w:color w:val="auto"/>
          <w:sz w:val="24"/>
          <w:szCs w:val="28"/>
          <w:highlight w:val="none"/>
        </w:rPr>
      </w:pPr>
    </w:p>
    <w:p w14:paraId="34592FE7">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17E6162A">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ED22158">
      <w:pPr>
        <w:spacing w:line="360" w:lineRule="auto"/>
        <w:ind w:firstLine="435"/>
        <w:rPr>
          <w:rFonts w:asciiTheme="minorEastAsia" w:hAnsiTheme="minorEastAsia" w:eastAsiaTheme="minorEastAsia"/>
          <w:color w:val="auto"/>
          <w:sz w:val="24"/>
          <w:highlight w:val="none"/>
        </w:rPr>
      </w:pPr>
    </w:p>
    <w:p w14:paraId="271E9458">
      <w:pPr>
        <w:spacing w:line="360" w:lineRule="auto"/>
        <w:ind w:firstLine="435"/>
        <w:rPr>
          <w:rFonts w:asciiTheme="minorEastAsia" w:hAnsiTheme="minorEastAsia" w:eastAsiaTheme="minorEastAsia"/>
          <w:color w:val="auto"/>
          <w:sz w:val="24"/>
          <w:highlight w:val="none"/>
        </w:rPr>
      </w:pPr>
    </w:p>
    <w:p w14:paraId="2B1DF59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88F0F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E298C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579B41A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20DF75">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43" w:name="_Toc6796"/>
      <w:bookmarkStart w:id="44" w:name="_Toc31991"/>
      <w:r>
        <w:rPr>
          <w:rFonts w:hint="eastAsia" w:asciiTheme="minorEastAsia" w:hAnsiTheme="minorEastAsia" w:eastAsiaTheme="minorEastAsia"/>
          <w:b/>
          <w:color w:val="auto"/>
          <w:sz w:val="24"/>
          <w:highlight w:val="none"/>
        </w:rPr>
        <w:t>五、投标分项报价表</w:t>
      </w:r>
      <w:bookmarkEnd w:id="43"/>
      <w:bookmarkEnd w:id="44"/>
    </w:p>
    <w:p w14:paraId="2B7CA9A5">
      <w:pPr>
        <w:pStyle w:val="54"/>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7086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3E04BA45">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862" w:type="pct"/>
            <w:noWrap w:val="0"/>
            <w:vAlign w:val="center"/>
          </w:tcPr>
          <w:p w14:paraId="1FB2626D">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686" w:type="pct"/>
            <w:noWrap w:val="0"/>
            <w:vAlign w:val="center"/>
          </w:tcPr>
          <w:p w14:paraId="7391A509">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019C90C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0D5C4AD2">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01CDAF56">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7C24263B">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1532E164">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612EAEF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AA954E6">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7C27CEB3">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0875EA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28A8CB35">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3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center"/>
          </w:tcPr>
          <w:p w14:paraId="7F3450B3">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862" w:type="pct"/>
            <w:noWrap w:val="0"/>
            <w:vAlign w:val="center"/>
          </w:tcPr>
          <w:p w14:paraId="05AB97F0">
            <w:pPr>
              <w:keepNext w:val="0"/>
              <w:keepLines w:val="0"/>
              <w:widowControl/>
              <w:suppressLineNumbers w:val="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公寓床</w:t>
            </w:r>
          </w:p>
        </w:tc>
        <w:tc>
          <w:tcPr>
            <w:tcW w:w="686" w:type="pct"/>
            <w:noWrap w:val="0"/>
            <w:vAlign w:val="center"/>
          </w:tcPr>
          <w:p w14:paraId="705D4EE6">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17659CB1">
            <w:pPr>
              <w:jc w:val="center"/>
              <w:rPr>
                <w:rFonts w:ascii="宋体" w:hAnsi="宋体" w:eastAsia="宋体"/>
                <w:color w:val="auto"/>
                <w:sz w:val="21"/>
                <w:szCs w:val="21"/>
                <w:highlight w:val="none"/>
              </w:rPr>
            </w:pPr>
          </w:p>
        </w:tc>
        <w:tc>
          <w:tcPr>
            <w:tcW w:w="394" w:type="pct"/>
            <w:noWrap w:val="0"/>
            <w:vAlign w:val="center"/>
          </w:tcPr>
          <w:p w14:paraId="032A53FF">
            <w:pPr>
              <w:jc w:val="center"/>
              <w:rPr>
                <w:rFonts w:ascii="宋体" w:hAnsi="宋体" w:eastAsia="宋体"/>
                <w:color w:val="auto"/>
                <w:sz w:val="21"/>
                <w:szCs w:val="21"/>
                <w:highlight w:val="none"/>
              </w:rPr>
            </w:pPr>
            <w:r>
              <w:rPr>
                <w:rFonts w:hint="eastAsia" w:ascii="宋体" w:hAnsi="宋体" w:eastAsia="宋体" w:cs="宋体"/>
                <w:color w:val="auto"/>
                <w:kern w:val="0"/>
                <w:sz w:val="21"/>
                <w:szCs w:val="21"/>
                <w:highlight w:val="none"/>
                <w:lang w:val="en-US" w:eastAsia="zh-CN" w:bidi="ar"/>
              </w:rPr>
              <w:t>组</w:t>
            </w:r>
          </w:p>
        </w:tc>
        <w:tc>
          <w:tcPr>
            <w:tcW w:w="394" w:type="pct"/>
            <w:noWrap w:val="0"/>
            <w:vAlign w:val="center"/>
          </w:tcPr>
          <w:p w14:paraId="47386C02">
            <w:pPr>
              <w:widowControl/>
              <w:spacing w:line="500" w:lineRule="exact"/>
              <w:jc w:val="center"/>
              <w:textAlignment w:val="center"/>
              <w:rPr>
                <w:rFonts w:hint="default" w:ascii="宋体" w:hAnsi="宋体" w:eastAsia="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218</w:t>
            </w:r>
          </w:p>
        </w:tc>
        <w:tc>
          <w:tcPr>
            <w:tcW w:w="551" w:type="pct"/>
            <w:noWrap w:val="0"/>
            <w:vAlign w:val="top"/>
          </w:tcPr>
          <w:p w14:paraId="29F15A1B">
            <w:pPr>
              <w:rPr>
                <w:rFonts w:ascii="宋体" w:hAnsi="宋体" w:eastAsia="宋体"/>
                <w:color w:val="auto"/>
                <w:sz w:val="24"/>
                <w:highlight w:val="none"/>
              </w:rPr>
            </w:pPr>
          </w:p>
        </w:tc>
        <w:tc>
          <w:tcPr>
            <w:tcW w:w="551" w:type="pct"/>
            <w:noWrap w:val="0"/>
            <w:vAlign w:val="top"/>
          </w:tcPr>
          <w:p w14:paraId="4B5A4A6E">
            <w:pPr>
              <w:rPr>
                <w:rFonts w:ascii="宋体" w:hAnsi="宋体" w:eastAsia="宋体"/>
                <w:color w:val="auto"/>
                <w:sz w:val="24"/>
                <w:highlight w:val="none"/>
              </w:rPr>
            </w:pPr>
          </w:p>
        </w:tc>
        <w:tc>
          <w:tcPr>
            <w:tcW w:w="393" w:type="pct"/>
            <w:noWrap w:val="0"/>
            <w:vAlign w:val="top"/>
          </w:tcPr>
          <w:p w14:paraId="005BEB18">
            <w:pPr>
              <w:rPr>
                <w:rFonts w:ascii="宋体" w:hAnsi="宋体" w:eastAsia="宋体"/>
                <w:color w:val="auto"/>
                <w:sz w:val="24"/>
                <w:highlight w:val="none"/>
              </w:rPr>
            </w:pPr>
          </w:p>
        </w:tc>
      </w:tr>
      <w:tr w14:paraId="70AD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29D856E7">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862" w:type="pct"/>
            <w:noWrap w:val="0"/>
            <w:vAlign w:val="center"/>
          </w:tcPr>
          <w:p w14:paraId="5849EDA1">
            <w:pPr>
              <w:keepNext w:val="0"/>
              <w:keepLines w:val="0"/>
              <w:widowControl/>
              <w:suppressLineNumbers w:val="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学习椅</w:t>
            </w:r>
          </w:p>
        </w:tc>
        <w:tc>
          <w:tcPr>
            <w:tcW w:w="686" w:type="pct"/>
            <w:noWrap w:val="0"/>
            <w:vAlign w:val="center"/>
          </w:tcPr>
          <w:p w14:paraId="3BCBBC2F">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71035650">
            <w:pPr>
              <w:jc w:val="center"/>
              <w:rPr>
                <w:rFonts w:ascii="宋体" w:hAnsi="宋体" w:eastAsia="宋体"/>
                <w:color w:val="auto"/>
                <w:sz w:val="21"/>
                <w:szCs w:val="21"/>
                <w:highlight w:val="none"/>
              </w:rPr>
            </w:pPr>
          </w:p>
        </w:tc>
        <w:tc>
          <w:tcPr>
            <w:tcW w:w="394" w:type="pct"/>
            <w:noWrap w:val="0"/>
            <w:vAlign w:val="center"/>
          </w:tcPr>
          <w:p w14:paraId="34C3058C">
            <w:pPr>
              <w:jc w:val="center"/>
              <w:rPr>
                <w:rFonts w:ascii="宋体" w:hAnsi="宋体" w:eastAsia="宋体"/>
                <w:color w:val="auto"/>
                <w:sz w:val="21"/>
                <w:szCs w:val="21"/>
                <w:highlight w:val="none"/>
              </w:rPr>
            </w:pPr>
            <w:r>
              <w:rPr>
                <w:rFonts w:hint="eastAsia" w:ascii="宋体" w:hAnsi="宋体" w:eastAsia="宋体" w:cs="宋体"/>
                <w:color w:val="auto"/>
                <w:kern w:val="0"/>
                <w:sz w:val="21"/>
                <w:szCs w:val="21"/>
                <w:highlight w:val="none"/>
                <w:lang w:val="en-US" w:eastAsia="zh-CN" w:bidi="ar"/>
              </w:rPr>
              <w:t>把</w:t>
            </w:r>
          </w:p>
        </w:tc>
        <w:tc>
          <w:tcPr>
            <w:tcW w:w="394" w:type="pct"/>
            <w:noWrap w:val="0"/>
            <w:vAlign w:val="center"/>
          </w:tcPr>
          <w:p w14:paraId="708604A6">
            <w:pPr>
              <w:widowControl/>
              <w:spacing w:line="500" w:lineRule="exact"/>
              <w:jc w:val="center"/>
              <w:textAlignment w:val="center"/>
              <w:rPr>
                <w:rFonts w:hint="default" w:ascii="宋体" w:hAnsi="宋体" w:eastAsia="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654</w:t>
            </w:r>
          </w:p>
        </w:tc>
        <w:tc>
          <w:tcPr>
            <w:tcW w:w="551" w:type="pct"/>
            <w:noWrap w:val="0"/>
            <w:vAlign w:val="top"/>
          </w:tcPr>
          <w:p w14:paraId="2F975EA0">
            <w:pPr>
              <w:rPr>
                <w:rFonts w:ascii="宋体" w:hAnsi="宋体" w:eastAsia="宋体"/>
                <w:color w:val="auto"/>
                <w:sz w:val="24"/>
                <w:highlight w:val="none"/>
              </w:rPr>
            </w:pPr>
          </w:p>
        </w:tc>
        <w:tc>
          <w:tcPr>
            <w:tcW w:w="551" w:type="pct"/>
            <w:noWrap w:val="0"/>
            <w:vAlign w:val="top"/>
          </w:tcPr>
          <w:p w14:paraId="287611FB">
            <w:pPr>
              <w:rPr>
                <w:rFonts w:ascii="宋体" w:hAnsi="宋体" w:eastAsia="宋体"/>
                <w:color w:val="auto"/>
                <w:sz w:val="24"/>
                <w:highlight w:val="none"/>
              </w:rPr>
            </w:pPr>
          </w:p>
        </w:tc>
        <w:tc>
          <w:tcPr>
            <w:tcW w:w="393" w:type="pct"/>
            <w:noWrap w:val="0"/>
            <w:vAlign w:val="top"/>
          </w:tcPr>
          <w:p w14:paraId="3EF974C4">
            <w:pPr>
              <w:rPr>
                <w:rFonts w:ascii="宋体" w:hAnsi="宋体" w:eastAsia="宋体"/>
                <w:color w:val="auto"/>
                <w:sz w:val="24"/>
                <w:highlight w:val="none"/>
              </w:rPr>
            </w:pPr>
          </w:p>
        </w:tc>
      </w:tr>
      <w:tr w14:paraId="77D3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2F180C2D">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862" w:type="pct"/>
            <w:noWrap w:val="0"/>
            <w:vAlign w:val="center"/>
          </w:tcPr>
          <w:p w14:paraId="70727D9C">
            <w:pPr>
              <w:keepNext w:val="0"/>
              <w:keepLines w:val="0"/>
              <w:widowControl/>
              <w:suppressLineNumbers w:val="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六门储物柜</w:t>
            </w:r>
          </w:p>
        </w:tc>
        <w:tc>
          <w:tcPr>
            <w:tcW w:w="686" w:type="pct"/>
            <w:noWrap w:val="0"/>
            <w:vAlign w:val="center"/>
          </w:tcPr>
          <w:p w14:paraId="3857E483">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2DADB5DE">
            <w:pPr>
              <w:jc w:val="center"/>
              <w:rPr>
                <w:rFonts w:ascii="宋体" w:hAnsi="宋体" w:eastAsia="宋体"/>
                <w:color w:val="auto"/>
                <w:sz w:val="21"/>
                <w:szCs w:val="21"/>
                <w:highlight w:val="none"/>
              </w:rPr>
            </w:pPr>
          </w:p>
        </w:tc>
        <w:tc>
          <w:tcPr>
            <w:tcW w:w="394" w:type="pct"/>
            <w:noWrap w:val="0"/>
            <w:vAlign w:val="center"/>
          </w:tcPr>
          <w:p w14:paraId="52B6F864">
            <w:pPr>
              <w:jc w:val="center"/>
              <w:rPr>
                <w:rFonts w:ascii="宋体" w:hAnsi="宋体" w:eastAsia="宋体"/>
                <w:color w:val="auto"/>
                <w:sz w:val="21"/>
                <w:szCs w:val="21"/>
                <w:highlight w:val="none"/>
              </w:rPr>
            </w:pPr>
            <w:r>
              <w:rPr>
                <w:rFonts w:hint="eastAsia" w:ascii="宋体" w:hAnsi="宋体" w:eastAsia="宋体" w:cs="宋体"/>
                <w:color w:val="auto"/>
                <w:kern w:val="0"/>
                <w:sz w:val="21"/>
                <w:szCs w:val="21"/>
                <w:highlight w:val="none"/>
                <w:lang w:val="en-US" w:eastAsia="zh-CN" w:bidi="ar"/>
              </w:rPr>
              <w:t>套</w:t>
            </w:r>
          </w:p>
        </w:tc>
        <w:tc>
          <w:tcPr>
            <w:tcW w:w="394" w:type="pct"/>
            <w:noWrap w:val="0"/>
            <w:vAlign w:val="center"/>
          </w:tcPr>
          <w:p w14:paraId="4C3D6788">
            <w:pPr>
              <w:widowControl/>
              <w:spacing w:line="500" w:lineRule="exact"/>
              <w:jc w:val="center"/>
              <w:textAlignment w:val="center"/>
              <w:rPr>
                <w:rFonts w:hint="default" w:ascii="宋体" w:hAnsi="宋体" w:eastAsia="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109</w:t>
            </w:r>
          </w:p>
        </w:tc>
        <w:tc>
          <w:tcPr>
            <w:tcW w:w="551" w:type="pct"/>
            <w:noWrap w:val="0"/>
            <w:vAlign w:val="top"/>
          </w:tcPr>
          <w:p w14:paraId="3651A679">
            <w:pPr>
              <w:rPr>
                <w:rFonts w:ascii="宋体" w:hAnsi="宋体" w:eastAsia="宋体"/>
                <w:color w:val="auto"/>
                <w:sz w:val="24"/>
                <w:highlight w:val="none"/>
              </w:rPr>
            </w:pPr>
          </w:p>
        </w:tc>
        <w:tc>
          <w:tcPr>
            <w:tcW w:w="551" w:type="pct"/>
            <w:noWrap w:val="0"/>
            <w:vAlign w:val="top"/>
          </w:tcPr>
          <w:p w14:paraId="425CA928">
            <w:pPr>
              <w:rPr>
                <w:rFonts w:ascii="宋体" w:hAnsi="宋体" w:eastAsia="宋体"/>
                <w:color w:val="auto"/>
                <w:sz w:val="24"/>
                <w:highlight w:val="none"/>
              </w:rPr>
            </w:pPr>
          </w:p>
        </w:tc>
        <w:tc>
          <w:tcPr>
            <w:tcW w:w="393" w:type="pct"/>
            <w:noWrap w:val="0"/>
            <w:vAlign w:val="top"/>
          </w:tcPr>
          <w:p w14:paraId="51DF4463">
            <w:pPr>
              <w:rPr>
                <w:rFonts w:ascii="宋体" w:hAnsi="宋体" w:eastAsia="宋体"/>
                <w:color w:val="auto"/>
                <w:sz w:val="24"/>
                <w:highlight w:val="none"/>
              </w:rPr>
            </w:pPr>
          </w:p>
        </w:tc>
      </w:tr>
      <w:tr w14:paraId="5E29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29779074">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02717F6D">
            <w:pPr>
              <w:rPr>
                <w:rFonts w:ascii="宋体" w:hAnsi="宋体" w:eastAsia="宋体"/>
                <w:color w:val="auto"/>
                <w:sz w:val="24"/>
                <w:highlight w:val="none"/>
              </w:rPr>
            </w:pPr>
          </w:p>
        </w:tc>
      </w:tr>
    </w:tbl>
    <w:p w14:paraId="79D48364">
      <w:pPr>
        <w:pStyle w:val="54"/>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200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4CF977B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7F4B082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7FDE844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2C8D60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536C80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75FF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133B17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581EFF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1D5C88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76FA84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CFD4A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354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CD693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6E4F9C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7BB8675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5FA8B5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3F0DD87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2AF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F378E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57DDFF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8B62C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2880C03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606CD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51B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43D8D35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6B8D8A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197D6F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7B71CA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38B14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6A1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73967E9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12EB51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7D2E891">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ED65732">
      <w:pPr>
        <w:pStyle w:val="54"/>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A71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00B91F78">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B2C2E93">
            <w:pPr>
              <w:spacing w:line="360" w:lineRule="auto"/>
              <w:rPr>
                <w:rFonts w:hint="eastAsia" w:ascii="宋体" w:hAnsi="宋体" w:eastAsia="宋体" w:cs="宋体"/>
                <w:color w:val="auto"/>
                <w:sz w:val="24"/>
                <w:szCs w:val="24"/>
                <w:highlight w:val="none"/>
                <w:u w:val="single"/>
                <w:lang w:val="en-US" w:eastAsia="zh-CN"/>
              </w:rPr>
            </w:pPr>
          </w:p>
          <w:p w14:paraId="1ED9CE43">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42AA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1C998F19">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6BE1C44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41EB683">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61530A30">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39658003">
      <w:pPr>
        <w:spacing w:line="360" w:lineRule="auto"/>
        <w:rPr>
          <w:rFonts w:hint="eastAsia" w:ascii="宋体" w:hAnsi="宋体" w:eastAsia="宋体"/>
          <w:b/>
          <w:bCs/>
          <w:color w:val="auto"/>
          <w:sz w:val="21"/>
          <w:szCs w:val="21"/>
          <w:highlight w:val="none"/>
          <w:lang w:eastAsia="zh-CN"/>
        </w:rPr>
      </w:pPr>
    </w:p>
    <w:p w14:paraId="47CE130F">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DD2932">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1C89EDB">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CDA2D7A">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4CFF3D1F">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1147950F">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45537C">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5" w:name="_Toc11940"/>
      <w:bookmarkStart w:id="46" w:name="_Toc20329"/>
      <w:r>
        <w:rPr>
          <w:rFonts w:hint="eastAsia" w:asciiTheme="minorEastAsia" w:hAnsiTheme="minorEastAsia" w:eastAsiaTheme="minorEastAsia"/>
          <w:b/>
          <w:color w:val="auto"/>
          <w:sz w:val="24"/>
          <w:highlight w:val="none"/>
        </w:rPr>
        <w:t>六、投标响应表</w:t>
      </w:r>
      <w:bookmarkEnd w:id="45"/>
      <w:bookmarkEnd w:id="46"/>
    </w:p>
    <w:p w14:paraId="349EB62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1269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7476B3B7">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DE06833">
            <w:pPr>
              <w:pStyle w:val="1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5B19A9">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78AAF5C">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13C07E31">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1E3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3D2D50E">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98FD6E5">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5FE3F476">
            <w:pPr>
              <w:jc w:val="center"/>
              <w:rPr>
                <w:rFonts w:asciiTheme="minorEastAsia" w:hAnsiTheme="minorEastAsia" w:eastAsiaTheme="minorEastAsia"/>
                <w:color w:val="auto"/>
                <w:sz w:val="24"/>
                <w:highlight w:val="none"/>
              </w:rPr>
            </w:pPr>
          </w:p>
        </w:tc>
        <w:tc>
          <w:tcPr>
            <w:tcW w:w="1510" w:type="pct"/>
            <w:vAlign w:val="center"/>
          </w:tcPr>
          <w:p w14:paraId="016D97C4">
            <w:pPr>
              <w:jc w:val="center"/>
              <w:rPr>
                <w:rFonts w:asciiTheme="minorEastAsia" w:hAnsiTheme="minorEastAsia" w:eastAsiaTheme="minorEastAsia"/>
                <w:color w:val="auto"/>
                <w:sz w:val="24"/>
                <w:highlight w:val="none"/>
              </w:rPr>
            </w:pPr>
          </w:p>
        </w:tc>
        <w:tc>
          <w:tcPr>
            <w:tcW w:w="475" w:type="pct"/>
            <w:vAlign w:val="center"/>
          </w:tcPr>
          <w:p w14:paraId="157C5827">
            <w:pPr>
              <w:jc w:val="center"/>
              <w:rPr>
                <w:rFonts w:asciiTheme="minorEastAsia" w:hAnsiTheme="minorEastAsia" w:eastAsiaTheme="minorEastAsia"/>
                <w:color w:val="auto"/>
                <w:sz w:val="24"/>
                <w:highlight w:val="none"/>
              </w:rPr>
            </w:pPr>
          </w:p>
        </w:tc>
      </w:tr>
      <w:tr w14:paraId="0500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991DA2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38E26934">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507AED41">
            <w:pPr>
              <w:jc w:val="center"/>
              <w:rPr>
                <w:rFonts w:asciiTheme="minorEastAsia" w:hAnsiTheme="minorEastAsia" w:eastAsiaTheme="minorEastAsia"/>
                <w:color w:val="auto"/>
                <w:sz w:val="24"/>
                <w:highlight w:val="none"/>
              </w:rPr>
            </w:pPr>
          </w:p>
        </w:tc>
        <w:tc>
          <w:tcPr>
            <w:tcW w:w="1510" w:type="pct"/>
            <w:vAlign w:val="center"/>
          </w:tcPr>
          <w:p w14:paraId="3220CF12">
            <w:pPr>
              <w:jc w:val="center"/>
              <w:rPr>
                <w:rFonts w:asciiTheme="minorEastAsia" w:hAnsiTheme="minorEastAsia" w:eastAsiaTheme="minorEastAsia"/>
                <w:color w:val="auto"/>
                <w:sz w:val="24"/>
                <w:highlight w:val="none"/>
              </w:rPr>
            </w:pPr>
          </w:p>
        </w:tc>
        <w:tc>
          <w:tcPr>
            <w:tcW w:w="475" w:type="pct"/>
            <w:vAlign w:val="center"/>
          </w:tcPr>
          <w:p w14:paraId="65D160FD">
            <w:pPr>
              <w:jc w:val="center"/>
              <w:rPr>
                <w:rFonts w:asciiTheme="minorEastAsia" w:hAnsiTheme="minorEastAsia" w:eastAsiaTheme="minorEastAsia"/>
                <w:color w:val="auto"/>
                <w:sz w:val="24"/>
                <w:highlight w:val="none"/>
              </w:rPr>
            </w:pPr>
          </w:p>
        </w:tc>
      </w:tr>
      <w:tr w14:paraId="41F8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D7AE3E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6A55F0F">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099431CB">
            <w:pPr>
              <w:jc w:val="center"/>
              <w:rPr>
                <w:rFonts w:asciiTheme="minorEastAsia" w:hAnsiTheme="minorEastAsia" w:eastAsiaTheme="minorEastAsia"/>
                <w:color w:val="auto"/>
                <w:sz w:val="24"/>
                <w:highlight w:val="none"/>
              </w:rPr>
            </w:pPr>
          </w:p>
        </w:tc>
        <w:tc>
          <w:tcPr>
            <w:tcW w:w="1510" w:type="pct"/>
            <w:vAlign w:val="center"/>
          </w:tcPr>
          <w:p w14:paraId="45A35710">
            <w:pPr>
              <w:pStyle w:val="54"/>
              <w:jc w:val="center"/>
              <w:rPr>
                <w:rFonts w:asciiTheme="minorEastAsia" w:hAnsiTheme="minorEastAsia" w:eastAsiaTheme="minorEastAsia"/>
                <w:color w:val="auto"/>
                <w:highlight w:val="none"/>
              </w:rPr>
            </w:pPr>
          </w:p>
        </w:tc>
        <w:tc>
          <w:tcPr>
            <w:tcW w:w="475" w:type="pct"/>
            <w:vAlign w:val="center"/>
          </w:tcPr>
          <w:p w14:paraId="76865EF5">
            <w:pPr>
              <w:jc w:val="center"/>
              <w:rPr>
                <w:rFonts w:asciiTheme="minorEastAsia" w:hAnsiTheme="minorEastAsia" w:eastAsiaTheme="minorEastAsia"/>
                <w:color w:val="auto"/>
                <w:sz w:val="24"/>
                <w:highlight w:val="none"/>
              </w:rPr>
            </w:pPr>
          </w:p>
        </w:tc>
      </w:tr>
      <w:tr w14:paraId="58E4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25F260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99667A0">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1975D43A">
            <w:pPr>
              <w:jc w:val="center"/>
              <w:rPr>
                <w:rFonts w:asciiTheme="minorEastAsia" w:hAnsiTheme="minorEastAsia" w:eastAsiaTheme="minorEastAsia"/>
                <w:color w:val="auto"/>
                <w:sz w:val="24"/>
                <w:highlight w:val="none"/>
              </w:rPr>
            </w:pPr>
          </w:p>
        </w:tc>
        <w:tc>
          <w:tcPr>
            <w:tcW w:w="1510" w:type="pct"/>
            <w:vAlign w:val="center"/>
          </w:tcPr>
          <w:p w14:paraId="48BE5A5C">
            <w:pPr>
              <w:jc w:val="center"/>
              <w:rPr>
                <w:rFonts w:asciiTheme="minorEastAsia" w:hAnsiTheme="minorEastAsia" w:eastAsiaTheme="minorEastAsia"/>
                <w:color w:val="auto"/>
                <w:sz w:val="24"/>
                <w:highlight w:val="none"/>
              </w:rPr>
            </w:pPr>
          </w:p>
        </w:tc>
        <w:tc>
          <w:tcPr>
            <w:tcW w:w="475" w:type="pct"/>
            <w:vAlign w:val="center"/>
          </w:tcPr>
          <w:p w14:paraId="0A7A21B7">
            <w:pPr>
              <w:jc w:val="center"/>
              <w:rPr>
                <w:rFonts w:asciiTheme="minorEastAsia" w:hAnsiTheme="minorEastAsia" w:eastAsiaTheme="minorEastAsia"/>
                <w:color w:val="auto"/>
                <w:sz w:val="24"/>
                <w:highlight w:val="none"/>
              </w:rPr>
            </w:pPr>
          </w:p>
        </w:tc>
      </w:tr>
      <w:tr w14:paraId="11C6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DE86FC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3DDC4B5E">
            <w:pPr>
              <w:jc w:val="center"/>
              <w:rPr>
                <w:rFonts w:ascii="宋体" w:hAnsi="宋体" w:eastAsia="宋体"/>
                <w:color w:val="auto"/>
                <w:sz w:val="24"/>
                <w:highlight w:val="none"/>
              </w:rPr>
            </w:pPr>
          </w:p>
        </w:tc>
        <w:tc>
          <w:tcPr>
            <w:tcW w:w="1465" w:type="pct"/>
            <w:vAlign w:val="center"/>
          </w:tcPr>
          <w:p w14:paraId="04A7AEB2">
            <w:pPr>
              <w:jc w:val="center"/>
              <w:rPr>
                <w:rFonts w:asciiTheme="minorEastAsia" w:hAnsiTheme="minorEastAsia" w:eastAsiaTheme="minorEastAsia"/>
                <w:color w:val="auto"/>
                <w:sz w:val="24"/>
                <w:highlight w:val="none"/>
              </w:rPr>
            </w:pPr>
          </w:p>
        </w:tc>
        <w:tc>
          <w:tcPr>
            <w:tcW w:w="1510" w:type="pct"/>
            <w:vAlign w:val="center"/>
          </w:tcPr>
          <w:p w14:paraId="406CD1E6">
            <w:pPr>
              <w:jc w:val="center"/>
              <w:rPr>
                <w:rFonts w:asciiTheme="minorEastAsia" w:hAnsiTheme="minorEastAsia" w:eastAsiaTheme="minorEastAsia"/>
                <w:color w:val="auto"/>
                <w:sz w:val="24"/>
                <w:highlight w:val="none"/>
              </w:rPr>
            </w:pPr>
          </w:p>
        </w:tc>
        <w:tc>
          <w:tcPr>
            <w:tcW w:w="475" w:type="pct"/>
            <w:vAlign w:val="center"/>
          </w:tcPr>
          <w:p w14:paraId="7378D599">
            <w:pPr>
              <w:jc w:val="center"/>
              <w:rPr>
                <w:rFonts w:asciiTheme="minorEastAsia" w:hAnsiTheme="minorEastAsia" w:eastAsiaTheme="minorEastAsia"/>
                <w:color w:val="auto"/>
                <w:sz w:val="24"/>
                <w:highlight w:val="none"/>
              </w:rPr>
            </w:pPr>
          </w:p>
        </w:tc>
      </w:tr>
    </w:tbl>
    <w:p w14:paraId="479EA01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5A77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F34129C">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6B826223">
            <w:pPr>
              <w:pStyle w:val="1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0E219CB">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6B8BB434">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082BDE6D">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109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B0035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4451EF55">
            <w:pPr>
              <w:jc w:val="center"/>
              <w:rPr>
                <w:rFonts w:asciiTheme="minorEastAsia" w:hAnsiTheme="minorEastAsia" w:eastAsiaTheme="minorEastAsia"/>
                <w:color w:val="auto"/>
                <w:sz w:val="24"/>
                <w:highlight w:val="none"/>
              </w:rPr>
            </w:pPr>
          </w:p>
        </w:tc>
        <w:tc>
          <w:tcPr>
            <w:tcW w:w="1680" w:type="pct"/>
            <w:vAlign w:val="center"/>
          </w:tcPr>
          <w:p w14:paraId="7B99106B">
            <w:pPr>
              <w:jc w:val="center"/>
              <w:rPr>
                <w:rFonts w:asciiTheme="minorEastAsia" w:hAnsiTheme="minorEastAsia" w:eastAsiaTheme="minorEastAsia"/>
                <w:color w:val="auto"/>
                <w:sz w:val="24"/>
                <w:highlight w:val="none"/>
              </w:rPr>
            </w:pPr>
          </w:p>
        </w:tc>
        <w:tc>
          <w:tcPr>
            <w:tcW w:w="1456" w:type="pct"/>
            <w:vAlign w:val="center"/>
          </w:tcPr>
          <w:p w14:paraId="6C490589">
            <w:pPr>
              <w:jc w:val="center"/>
              <w:rPr>
                <w:rFonts w:asciiTheme="minorEastAsia" w:hAnsiTheme="minorEastAsia" w:eastAsiaTheme="minorEastAsia"/>
                <w:color w:val="auto"/>
                <w:sz w:val="24"/>
                <w:highlight w:val="none"/>
              </w:rPr>
            </w:pPr>
          </w:p>
        </w:tc>
        <w:tc>
          <w:tcPr>
            <w:tcW w:w="502" w:type="pct"/>
            <w:vAlign w:val="center"/>
          </w:tcPr>
          <w:p w14:paraId="448D8F18">
            <w:pPr>
              <w:jc w:val="center"/>
              <w:rPr>
                <w:rFonts w:asciiTheme="minorEastAsia" w:hAnsiTheme="minorEastAsia" w:eastAsiaTheme="minorEastAsia"/>
                <w:color w:val="auto"/>
                <w:sz w:val="24"/>
                <w:highlight w:val="none"/>
              </w:rPr>
            </w:pPr>
          </w:p>
        </w:tc>
      </w:tr>
      <w:tr w14:paraId="218C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4C7BE4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12CE6BAF">
            <w:pPr>
              <w:jc w:val="center"/>
              <w:rPr>
                <w:rFonts w:asciiTheme="minorEastAsia" w:hAnsiTheme="minorEastAsia" w:eastAsiaTheme="minorEastAsia"/>
                <w:color w:val="auto"/>
                <w:sz w:val="24"/>
                <w:highlight w:val="none"/>
              </w:rPr>
            </w:pPr>
          </w:p>
        </w:tc>
        <w:tc>
          <w:tcPr>
            <w:tcW w:w="1680" w:type="pct"/>
            <w:vAlign w:val="center"/>
          </w:tcPr>
          <w:p w14:paraId="23F2ADDE">
            <w:pPr>
              <w:jc w:val="center"/>
              <w:rPr>
                <w:rFonts w:asciiTheme="minorEastAsia" w:hAnsiTheme="minorEastAsia" w:eastAsiaTheme="minorEastAsia"/>
                <w:color w:val="auto"/>
                <w:sz w:val="24"/>
                <w:highlight w:val="none"/>
              </w:rPr>
            </w:pPr>
          </w:p>
        </w:tc>
        <w:tc>
          <w:tcPr>
            <w:tcW w:w="1456" w:type="pct"/>
            <w:vAlign w:val="center"/>
          </w:tcPr>
          <w:p w14:paraId="74D31106">
            <w:pPr>
              <w:jc w:val="center"/>
              <w:rPr>
                <w:rFonts w:asciiTheme="minorEastAsia" w:hAnsiTheme="minorEastAsia" w:eastAsiaTheme="minorEastAsia"/>
                <w:color w:val="auto"/>
                <w:sz w:val="24"/>
                <w:highlight w:val="none"/>
              </w:rPr>
            </w:pPr>
          </w:p>
        </w:tc>
        <w:tc>
          <w:tcPr>
            <w:tcW w:w="502" w:type="pct"/>
            <w:vAlign w:val="center"/>
          </w:tcPr>
          <w:p w14:paraId="5D2B3600">
            <w:pPr>
              <w:jc w:val="center"/>
              <w:rPr>
                <w:rFonts w:asciiTheme="minorEastAsia" w:hAnsiTheme="minorEastAsia" w:eastAsiaTheme="minorEastAsia"/>
                <w:color w:val="auto"/>
                <w:sz w:val="24"/>
                <w:highlight w:val="none"/>
              </w:rPr>
            </w:pPr>
          </w:p>
        </w:tc>
      </w:tr>
      <w:tr w14:paraId="1E58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3209F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7A35A5B">
            <w:pPr>
              <w:jc w:val="center"/>
              <w:rPr>
                <w:rFonts w:asciiTheme="minorEastAsia" w:hAnsiTheme="minorEastAsia" w:eastAsiaTheme="minorEastAsia"/>
                <w:color w:val="auto"/>
                <w:sz w:val="24"/>
                <w:highlight w:val="none"/>
              </w:rPr>
            </w:pPr>
          </w:p>
        </w:tc>
        <w:tc>
          <w:tcPr>
            <w:tcW w:w="1680" w:type="pct"/>
            <w:vAlign w:val="center"/>
          </w:tcPr>
          <w:p w14:paraId="6A4C0CDF">
            <w:pPr>
              <w:jc w:val="center"/>
              <w:rPr>
                <w:rFonts w:asciiTheme="minorEastAsia" w:hAnsiTheme="minorEastAsia" w:eastAsiaTheme="minorEastAsia"/>
                <w:color w:val="auto"/>
                <w:sz w:val="24"/>
                <w:highlight w:val="none"/>
              </w:rPr>
            </w:pPr>
          </w:p>
        </w:tc>
        <w:tc>
          <w:tcPr>
            <w:tcW w:w="1456" w:type="pct"/>
            <w:vAlign w:val="center"/>
          </w:tcPr>
          <w:p w14:paraId="3D46312A">
            <w:pPr>
              <w:pStyle w:val="54"/>
              <w:jc w:val="center"/>
              <w:rPr>
                <w:rFonts w:asciiTheme="minorEastAsia" w:hAnsiTheme="minorEastAsia" w:eastAsiaTheme="minorEastAsia"/>
                <w:color w:val="auto"/>
                <w:highlight w:val="none"/>
              </w:rPr>
            </w:pPr>
          </w:p>
        </w:tc>
        <w:tc>
          <w:tcPr>
            <w:tcW w:w="502" w:type="pct"/>
            <w:vAlign w:val="center"/>
          </w:tcPr>
          <w:p w14:paraId="52968288">
            <w:pPr>
              <w:jc w:val="center"/>
              <w:rPr>
                <w:rFonts w:asciiTheme="minorEastAsia" w:hAnsiTheme="minorEastAsia" w:eastAsiaTheme="minorEastAsia"/>
                <w:color w:val="auto"/>
                <w:sz w:val="24"/>
                <w:highlight w:val="none"/>
              </w:rPr>
            </w:pPr>
          </w:p>
        </w:tc>
      </w:tr>
      <w:tr w14:paraId="594E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2F0D3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F1BDC92">
            <w:pPr>
              <w:jc w:val="center"/>
              <w:rPr>
                <w:rFonts w:asciiTheme="minorEastAsia" w:hAnsiTheme="minorEastAsia" w:eastAsiaTheme="minorEastAsia"/>
                <w:color w:val="auto"/>
                <w:sz w:val="24"/>
                <w:highlight w:val="none"/>
              </w:rPr>
            </w:pPr>
          </w:p>
        </w:tc>
        <w:tc>
          <w:tcPr>
            <w:tcW w:w="1680" w:type="pct"/>
            <w:vAlign w:val="center"/>
          </w:tcPr>
          <w:p w14:paraId="563C3759">
            <w:pPr>
              <w:jc w:val="center"/>
              <w:rPr>
                <w:rFonts w:asciiTheme="minorEastAsia" w:hAnsiTheme="minorEastAsia" w:eastAsiaTheme="minorEastAsia"/>
                <w:color w:val="auto"/>
                <w:sz w:val="24"/>
                <w:highlight w:val="none"/>
              </w:rPr>
            </w:pPr>
          </w:p>
        </w:tc>
        <w:tc>
          <w:tcPr>
            <w:tcW w:w="1456" w:type="pct"/>
            <w:vAlign w:val="center"/>
          </w:tcPr>
          <w:p w14:paraId="5F7122F2">
            <w:pPr>
              <w:pStyle w:val="54"/>
              <w:jc w:val="center"/>
              <w:rPr>
                <w:rFonts w:asciiTheme="minorEastAsia" w:hAnsiTheme="minorEastAsia" w:eastAsiaTheme="minorEastAsia"/>
                <w:color w:val="auto"/>
                <w:highlight w:val="none"/>
              </w:rPr>
            </w:pPr>
          </w:p>
        </w:tc>
        <w:tc>
          <w:tcPr>
            <w:tcW w:w="502" w:type="pct"/>
            <w:vAlign w:val="center"/>
          </w:tcPr>
          <w:p w14:paraId="5994FEEA">
            <w:pPr>
              <w:jc w:val="center"/>
              <w:rPr>
                <w:rFonts w:asciiTheme="minorEastAsia" w:hAnsiTheme="minorEastAsia" w:eastAsiaTheme="minorEastAsia"/>
                <w:color w:val="auto"/>
                <w:sz w:val="24"/>
                <w:highlight w:val="none"/>
              </w:rPr>
            </w:pPr>
          </w:p>
        </w:tc>
      </w:tr>
      <w:tr w14:paraId="2BA0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6F07FA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3D257C4B">
            <w:pPr>
              <w:jc w:val="center"/>
              <w:rPr>
                <w:rFonts w:asciiTheme="minorEastAsia" w:hAnsiTheme="minorEastAsia" w:eastAsiaTheme="minorEastAsia"/>
                <w:color w:val="auto"/>
                <w:sz w:val="24"/>
                <w:highlight w:val="none"/>
              </w:rPr>
            </w:pPr>
          </w:p>
        </w:tc>
        <w:tc>
          <w:tcPr>
            <w:tcW w:w="1680" w:type="pct"/>
            <w:vAlign w:val="center"/>
          </w:tcPr>
          <w:p w14:paraId="277FBE05">
            <w:pPr>
              <w:jc w:val="center"/>
              <w:rPr>
                <w:rFonts w:asciiTheme="minorEastAsia" w:hAnsiTheme="minorEastAsia" w:eastAsiaTheme="minorEastAsia"/>
                <w:color w:val="auto"/>
                <w:sz w:val="24"/>
                <w:highlight w:val="none"/>
              </w:rPr>
            </w:pPr>
          </w:p>
        </w:tc>
        <w:tc>
          <w:tcPr>
            <w:tcW w:w="1456" w:type="pct"/>
            <w:vAlign w:val="center"/>
          </w:tcPr>
          <w:p w14:paraId="5E0DBBD6">
            <w:pPr>
              <w:jc w:val="center"/>
              <w:rPr>
                <w:rFonts w:asciiTheme="minorEastAsia" w:hAnsiTheme="minorEastAsia" w:eastAsiaTheme="minorEastAsia"/>
                <w:color w:val="auto"/>
                <w:sz w:val="24"/>
                <w:highlight w:val="none"/>
              </w:rPr>
            </w:pPr>
          </w:p>
        </w:tc>
        <w:tc>
          <w:tcPr>
            <w:tcW w:w="502" w:type="pct"/>
            <w:vAlign w:val="center"/>
          </w:tcPr>
          <w:p w14:paraId="50D74B2C">
            <w:pPr>
              <w:jc w:val="center"/>
              <w:rPr>
                <w:rFonts w:asciiTheme="minorEastAsia" w:hAnsiTheme="minorEastAsia" w:eastAsiaTheme="minorEastAsia"/>
                <w:color w:val="auto"/>
                <w:sz w:val="24"/>
                <w:highlight w:val="none"/>
              </w:rPr>
            </w:pPr>
          </w:p>
        </w:tc>
      </w:tr>
    </w:tbl>
    <w:p w14:paraId="003B602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5EBD4CF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919CFF7">
      <w:pPr>
        <w:pStyle w:val="15"/>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3CF54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7" w:name="_Toc9573"/>
      <w:bookmarkStart w:id="48" w:name="_Toc31244"/>
      <w:bookmarkStart w:id="49" w:name="OLE_LINK13"/>
      <w:bookmarkStart w:id="50" w:name="OLE_LINK14"/>
      <w:r>
        <w:rPr>
          <w:rFonts w:hint="eastAsia" w:asciiTheme="minorEastAsia" w:hAnsiTheme="minorEastAsia" w:eastAsiaTheme="minorEastAsia"/>
          <w:b/>
          <w:color w:val="auto"/>
          <w:sz w:val="24"/>
          <w:highlight w:val="none"/>
          <w:lang w:val="en-US" w:eastAsia="zh-CN"/>
        </w:rPr>
        <w:t>七、中小企业声明函</w:t>
      </w:r>
      <w:bookmarkEnd w:id="47"/>
      <w:bookmarkEnd w:id="48"/>
    </w:p>
    <w:p w14:paraId="55254EE0">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19F7E88B">
      <w:pPr>
        <w:rPr>
          <w:rFonts w:asciiTheme="minorEastAsia" w:hAnsiTheme="minorEastAsia" w:eastAsiaTheme="minorEastAsia"/>
          <w:color w:val="auto"/>
          <w:sz w:val="24"/>
          <w:szCs w:val="24"/>
          <w:highlight w:val="none"/>
        </w:rPr>
      </w:pPr>
    </w:p>
    <w:p w14:paraId="4CE2F7C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3BDE74B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275A46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6C6901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9E61EE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B7E63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248C82FA">
      <w:pPr>
        <w:spacing w:line="360" w:lineRule="auto"/>
        <w:ind w:firstLine="435"/>
        <w:rPr>
          <w:rFonts w:asciiTheme="minorEastAsia" w:hAnsiTheme="minorEastAsia" w:eastAsiaTheme="minorEastAsia"/>
          <w:color w:val="auto"/>
          <w:sz w:val="24"/>
          <w:szCs w:val="24"/>
          <w:highlight w:val="none"/>
        </w:rPr>
      </w:pPr>
    </w:p>
    <w:p w14:paraId="783937D3">
      <w:pPr>
        <w:spacing w:line="360" w:lineRule="auto"/>
        <w:ind w:firstLine="435"/>
        <w:rPr>
          <w:rFonts w:asciiTheme="minorEastAsia" w:hAnsiTheme="minorEastAsia" w:eastAsiaTheme="minorEastAsia"/>
          <w:color w:val="auto"/>
          <w:sz w:val="24"/>
          <w:szCs w:val="24"/>
          <w:highlight w:val="none"/>
        </w:rPr>
      </w:pPr>
    </w:p>
    <w:p w14:paraId="137C208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76085F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B2CF406">
      <w:pPr>
        <w:tabs>
          <w:tab w:val="left" w:pos="4620"/>
        </w:tabs>
        <w:spacing w:line="360" w:lineRule="auto"/>
        <w:jc w:val="left"/>
        <w:rPr>
          <w:rFonts w:asciiTheme="minorEastAsia" w:hAnsiTheme="minorEastAsia" w:eastAsiaTheme="minorEastAsia"/>
          <w:color w:val="auto"/>
          <w:sz w:val="24"/>
          <w:szCs w:val="24"/>
          <w:highlight w:val="none"/>
        </w:rPr>
      </w:pPr>
    </w:p>
    <w:p w14:paraId="6F47AB80">
      <w:pPr>
        <w:tabs>
          <w:tab w:val="left" w:pos="4620"/>
        </w:tabs>
        <w:spacing w:line="360" w:lineRule="auto"/>
        <w:jc w:val="left"/>
        <w:rPr>
          <w:rFonts w:asciiTheme="minorEastAsia" w:hAnsiTheme="minorEastAsia" w:eastAsiaTheme="minorEastAsia"/>
          <w:color w:val="auto"/>
          <w:sz w:val="24"/>
          <w:szCs w:val="24"/>
          <w:highlight w:val="none"/>
        </w:rPr>
      </w:pPr>
    </w:p>
    <w:p w14:paraId="4048229E">
      <w:pPr>
        <w:tabs>
          <w:tab w:val="left" w:pos="4620"/>
        </w:tabs>
        <w:spacing w:line="360" w:lineRule="auto"/>
        <w:jc w:val="left"/>
        <w:rPr>
          <w:rFonts w:asciiTheme="minorEastAsia" w:hAnsiTheme="minorEastAsia" w:eastAsiaTheme="minorEastAsia"/>
          <w:color w:val="auto"/>
          <w:sz w:val="24"/>
          <w:szCs w:val="24"/>
          <w:highlight w:val="none"/>
        </w:rPr>
      </w:pPr>
    </w:p>
    <w:p w14:paraId="0B2780AB">
      <w:pPr>
        <w:tabs>
          <w:tab w:val="left" w:pos="4620"/>
        </w:tabs>
        <w:spacing w:line="360" w:lineRule="auto"/>
        <w:jc w:val="left"/>
        <w:rPr>
          <w:rFonts w:asciiTheme="minorEastAsia" w:hAnsiTheme="minorEastAsia" w:eastAsiaTheme="minorEastAsia"/>
          <w:color w:val="auto"/>
          <w:sz w:val="24"/>
          <w:szCs w:val="24"/>
          <w:highlight w:val="none"/>
        </w:rPr>
      </w:pPr>
    </w:p>
    <w:p w14:paraId="061DBD95">
      <w:pPr>
        <w:tabs>
          <w:tab w:val="left" w:pos="4620"/>
        </w:tabs>
        <w:spacing w:line="360" w:lineRule="auto"/>
        <w:jc w:val="left"/>
        <w:rPr>
          <w:rFonts w:asciiTheme="minorEastAsia" w:hAnsiTheme="minorEastAsia" w:eastAsiaTheme="minorEastAsia"/>
          <w:color w:val="auto"/>
          <w:sz w:val="24"/>
          <w:szCs w:val="24"/>
          <w:highlight w:val="none"/>
        </w:rPr>
      </w:pPr>
    </w:p>
    <w:p w14:paraId="77328082">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07F5B980">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11A55C4">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1883F04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6ED013B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8BB2DFE">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8072F7D">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49"/>
      <w:bookmarkEnd w:id="50"/>
    </w:p>
    <w:p w14:paraId="1C028C3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51" w:name="_Toc16713"/>
      <w:bookmarkStart w:id="52" w:name="_Toc24563"/>
      <w:r>
        <w:rPr>
          <w:rFonts w:hint="eastAsia" w:asciiTheme="minorEastAsia" w:hAnsiTheme="minorEastAsia" w:eastAsiaTheme="minorEastAsia"/>
          <w:b/>
          <w:color w:val="auto"/>
          <w:sz w:val="24"/>
          <w:highlight w:val="none"/>
          <w:lang w:val="en-US" w:eastAsia="zh-CN"/>
        </w:rPr>
        <w:t>八、残疾人福利性单位声明函</w:t>
      </w:r>
      <w:bookmarkEnd w:id="51"/>
      <w:bookmarkEnd w:id="52"/>
    </w:p>
    <w:p w14:paraId="7708EA47">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4C678D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365B6C6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44549BCE">
      <w:pPr>
        <w:spacing w:line="360" w:lineRule="auto"/>
        <w:ind w:firstLine="4228" w:firstLineChars="1762"/>
        <w:rPr>
          <w:rFonts w:asciiTheme="minorEastAsia" w:hAnsiTheme="minorEastAsia" w:eastAsiaTheme="minorEastAsia"/>
          <w:color w:val="auto"/>
          <w:sz w:val="24"/>
          <w:szCs w:val="24"/>
          <w:highlight w:val="none"/>
        </w:rPr>
      </w:pPr>
    </w:p>
    <w:p w14:paraId="5C38B443">
      <w:pPr>
        <w:spacing w:line="360" w:lineRule="auto"/>
        <w:ind w:firstLine="4228" w:firstLineChars="1762"/>
        <w:rPr>
          <w:rFonts w:asciiTheme="minorEastAsia" w:hAnsiTheme="minorEastAsia" w:eastAsiaTheme="minorEastAsia"/>
          <w:color w:val="auto"/>
          <w:sz w:val="24"/>
          <w:szCs w:val="24"/>
          <w:highlight w:val="none"/>
        </w:rPr>
      </w:pPr>
    </w:p>
    <w:p w14:paraId="35C5892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942EBBA">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5D33676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4492A2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53" w:name="_Toc520299348"/>
      <w:bookmarkStart w:id="54" w:name="_Toc457768004"/>
      <w:bookmarkStart w:id="55" w:name="_Toc300210382"/>
      <w:bookmarkStart w:id="56" w:name="_Toc26536"/>
      <w:bookmarkStart w:id="57" w:name="_Toc25813"/>
      <w:bookmarkStart w:id="58"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4B877AC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5252BC2D">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514B4EA3">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13C41A6">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445B96C4">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78FBDA1B">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5CFCD70A">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DF598AD">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1DBA2226">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90AB324">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1D63837">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4A665285">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8570BDE">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21C27F8C">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C6D6117">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067C3400">
      <w:pPr>
        <w:pStyle w:val="26"/>
        <w:rPr>
          <w:rFonts w:hint="eastAsia" w:asciiTheme="minorEastAsia" w:hAnsiTheme="minorEastAsia" w:eastAsiaTheme="minorEastAsia"/>
          <w:b/>
          <w:color w:val="auto"/>
          <w:sz w:val="24"/>
          <w:highlight w:val="none"/>
          <w:lang w:val="en-US" w:eastAsia="zh-CN"/>
        </w:rPr>
      </w:pPr>
    </w:p>
    <w:p w14:paraId="6ABD5A9C">
      <w:pPr>
        <w:pStyle w:val="26"/>
        <w:rPr>
          <w:rFonts w:hint="eastAsia" w:asciiTheme="minorEastAsia" w:hAnsiTheme="minorEastAsia" w:eastAsiaTheme="minorEastAsia"/>
          <w:b/>
          <w:color w:val="auto"/>
          <w:sz w:val="24"/>
          <w:highlight w:val="none"/>
          <w:lang w:val="en-US" w:eastAsia="zh-CN"/>
        </w:rPr>
      </w:pPr>
    </w:p>
    <w:p w14:paraId="0DCD671D">
      <w:pPr>
        <w:pStyle w:val="26"/>
        <w:rPr>
          <w:rFonts w:hint="eastAsia" w:asciiTheme="minorEastAsia" w:hAnsiTheme="minorEastAsia" w:eastAsiaTheme="minorEastAsia"/>
          <w:b/>
          <w:color w:val="auto"/>
          <w:sz w:val="24"/>
          <w:highlight w:val="none"/>
          <w:lang w:val="en-US" w:eastAsia="zh-CN"/>
        </w:rPr>
      </w:pPr>
    </w:p>
    <w:p w14:paraId="77A95EC4">
      <w:pPr>
        <w:pStyle w:val="26"/>
        <w:rPr>
          <w:rFonts w:hint="eastAsia" w:asciiTheme="minorEastAsia" w:hAnsiTheme="minorEastAsia" w:eastAsiaTheme="minorEastAsia"/>
          <w:b/>
          <w:color w:val="auto"/>
          <w:sz w:val="24"/>
          <w:highlight w:val="none"/>
          <w:lang w:val="en-US" w:eastAsia="zh-CN"/>
        </w:rPr>
      </w:pPr>
    </w:p>
    <w:p w14:paraId="47F825D7">
      <w:pPr>
        <w:pStyle w:val="26"/>
        <w:rPr>
          <w:rFonts w:hint="eastAsia" w:asciiTheme="minorEastAsia" w:hAnsiTheme="minorEastAsia" w:eastAsiaTheme="minorEastAsia"/>
          <w:b/>
          <w:color w:val="auto"/>
          <w:sz w:val="24"/>
          <w:highlight w:val="none"/>
          <w:lang w:val="en-US" w:eastAsia="zh-CN"/>
        </w:rPr>
      </w:pPr>
    </w:p>
    <w:p w14:paraId="1767B446">
      <w:pPr>
        <w:pStyle w:val="26"/>
        <w:rPr>
          <w:rFonts w:hint="eastAsia" w:asciiTheme="minorEastAsia" w:hAnsiTheme="minorEastAsia" w:eastAsiaTheme="minorEastAsia"/>
          <w:b/>
          <w:color w:val="auto"/>
          <w:sz w:val="24"/>
          <w:highlight w:val="none"/>
          <w:lang w:val="en-US" w:eastAsia="zh-CN"/>
        </w:rPr>
      </w:pPr>
    </w:p>
    <w:p w14:paraId="14541B9D">
      <w:pPr>
        <w:pStyle w:val="26"/>
        <w:rPr>
          <w:rFonts w:hint="eastAsia" w:asciiTheme="minorEastAsia" w:hAnsiTheme="minorEastAsia" w:eastAsiaTheme="minorEastAsia"/>
          <w:b/>
          <w:color w:val="auto"/>
          <w:sz w:val="24"/>
          <w:highlight w:val="none"/>
          <w:lang w:val="en-US" w:eastAsia="zh-CN"/>
        </w:rPr>
      </w:pPr>
    </w:p>
    <w:p w14:paraId="3D9698FE">
      <w:pPr>
        <w:pStyle w:val="26"/>
        <w:rPr>
          <w:rFonts w:hint="eastAsia" w:asciiTheme="minorEastAsia" w:hAnsiTheme="minorEastAsia" w:eastAsiaTheme="minorEastAsia"/>
          <w:b/>
          <w:color w:val="auto"/>
          <w:sz w:val="24"/>
          <w:highlight w:val="none"/>
          <w:lang w:val="en-US" w:eastAsia="zh-CN"/>
        </w:rPr>
      </w:pPr>
    </w:p>
    <w:p w14:paraId="43E97C66">
      <w:pPr>
        <w:pStyle w:val="26"/>
        <w:rPr>
          <w:rFonts w:hint="eastAsia" w:asciiTheme="minorEastAsia" w:hAnsiTheme="minorEastAsia" w:eastAsiaTheme="minorEastAsia"/>
          <w:b/>
          <w:color w:val="auto"/>
          <w:sz w:val="24"/>
          <w:highlight w:val="none"/>
          <w:lang w:val="en-US" w:eastAsia="zh-CN"/>
        </w:rPr>
      </w:pPr>
    </w:p>
    <w:p w14:paraId="2C5850E4">
      <w:pPr>
        <w:pStyle w:val="26"/>
        <w:rPr>
          <w:rFonts w:hint="eastAsia" w:asciiTheme="minorEastAsia" w:hAnsiTheme="minorEastAsia" w:eastAsiaTheme="minorEastAsia"/>
          <w:b/>
          <w:color w:val="auto"/>
          <w:sz w:val="24"/>
          <w:highlight w:val="none"/>
          <w:lang w:val="en-US" w:eastAsia="zh-CN"/>
        </w:rPr>
      </w:pPr>
    </w:p>
    <w:p w14:paraId="39783644">
      <w:pPr>
        <w:pStyle w:val="26"/>
        <w:rPr>
          <w:rFonts w:hint="eastAsia" w:asciiTheme="minorEastAsia" w:hAnsiTheme="minorEastAsia" w:eastAsiaTheme="minorEastAsia"/>
          <w:b/>
          <w:color w:val="auto"/>
          <w:sz w:val="24"/>
          <w:highlight w:val="none"/>
          <w:lang w:val="en-US" w:eastAsia="zh-CN"/>
        </w:rPr>
      </w:pPr>
    </w:p>
    <w:p w14:paraId="594BFB6E">
      <w:pPr>
        <w:pStyle w:val="26"/>
        <w:rPr>
          <w:rFonts w:hint="eastAsia" w:asciiTheme="minorEastAsia" w:hAnsiTheme="minorEastAsia" w:eastAsiaTheme="minorEastAsia"/>
          <w:b/>
          <w:color w:val="auto"/>
          <w:sz w:val="24"/>
          <w:highlight w:val="none"/>
          <w:lang w:val="en-US" w:eastAsia="zh-CN"/>
        </w:rPr>
      </w:pPr>
    </w:p>
    <w:p w14:paraId="762231F1">
      <w:pPr>
        <w:pStyle w:val="26"/>
        <w:rPr>
          <w:rFonts w:hint="eastAsia" w:asciiTheme="minorEastAsia" w:hAnsiTheme="minorEastAsia" w:eastAsiaTheme="minorEastAsia"/>
          <w:b/>
          <w:color w:val="auto"/>
          <w:sz w:val="24"/>
          <w:highlight w:val="none"/>
          <w:lang w:val="en-US" w:eastAsia="zh-CN"/>
        </w:rPr>
      </w:pPr>
    </w:p>
    <w:p w14:paraId="1928F17A">
      <w:pPr>
        <w:pStyle w:val="26"/>
        <w:rPr>
          <w:rFonts w:hint="eastAsia" w:asciiTheme="minorEastAsia" w:hAnsiTheme="minorEastAsia" w:eastAsiaTheme="minorEastAsia"/>
          <w:b/>
          <w:color w:val="auto"/>
          <w:sz w:val="24"/>
          <w:highlight w:val="none"/>
          <w:lang w:val="en-US" w:eastAsia="zh-CN"/>
        </w:rPr>
      </w:pPr>
    </w:p>
    <w:p w14:paraId="16101722">
      <w:pPr>
        <w:pStyle w:val="26"/>
        <w:rPr>
          <w:rFonts w:hint="eastAsia" w:asciiTheme="minorEastAsia" w:hAnsiTheme="minorEastAsia" w:eastAsiaTheme="minorEastAsia"/>
          <w:b/>
          <w:color w:val="auto"/>
          <w:sz w:val="24"/>
          <w:highlight w:val="none"/>
          <w:lang w:val="en-US" w:eastAsia="zh-CN"/>
        </w:rPr>
      </w:pPr>
    </w:p>
    <w:p w14:paraId="3511E794">
      <w:pPr>
        <w:pStyle w:val="26"/>
        <w:rPr>
          <w:rFonts w:hint="eastAsia" w:asciiTheme="minorEastAsia" w:hAnsiTheme="minorEastAsia" w:eastAsiaTheme="minorEastAsia"/>
          <w:b/>
          <w:color w:val="auto"/>
          <w:sz w:val="24"/>
          <w:highlight w:val="none"/>
          <w:lang w:val="en-US" w:eastAsia="zh-CN"/>
        </w:rPr>
      </w:pPr>
    </w:p>
    <w:p w14:paraId="7BC79047">
      <w:pPr>
        <w:pStyle w:val="26"/>
        <w:rPr>
          <w:rFonts w:hint="eastAsia" w:asciiTheme="minorEastAsia" w:hAnsiTheme="minorEastAsia" w:eastAsiaTheme="minorEastAsia"/>
          <w:b/>
          <w:color w:val="auto"/>
          <w:sz w:val="24"/>
          <w:highlight w:val="none"/>
          <w:lang w:val="en-US" w:eastAsia="zh-CN"/>
        </w:rPr>
      </w:pPr>
    </w:p>
    <w:p w14:paraId="3ECE6D84">
      <w:pPr>
        <w:pStyle w:val="26"/>
        <w:rPr>
          <w:rFonts w:hint="eastAsia" w:asciiTheme="minorEastAsia" w:hAnsiTheme="minorEastAsia" w:eastAsiaTheme="minorEastAsia"/>
          <w:b/>
          <w:color w:val="auto"/>
          <w:sz w:val="24"/>
          <w:highlight w:val="none"/>
          <w:lang w:val="en-US" w:eastAsia="zh-CN"/>
        </w:rPr>
      </w:pPr>
    </w:p>
    <w:p w14:paraId="3A4C2DF7">
      <w:pPr>
        <w:pStyle w:val="26"/>
        <w:rPr>
          <w:rFonts w:hint="eastAsia" w:asciiTheme="minorEastAsia" w:hAnsiTheme="minorEastAsia" w:eastAsiaTheme="minorEastAsia"/>
          <w:b/>
          <w:color w:val="auto"/>
          <w:sz w:val="24"/>
          <w:highlight w:val="none"/>
          <w:lang w:val="en-US" w:eastAsia="zh-CN"/>
        </w:rPr>
      </w:pPr>
    </w:p>
    <w:p w14:paraId="719F7F5F">
      <w:pPr>
        <w:pStyle w:val="26"/>
        <w:rPr>
          <w:rFonts w:hint="eastAsia" w:asciiTheme="minorEastAsia" w:hAnsiTheme="minorEastAsia" w:eastAsiaTheme="minorEastAsia"/>
          <w:b/>
          <w:color w:val="auto"/>
          <w:sz w:val="24"/>
          <w:highlight w:val="none"/>
          <w:lang w:val="en-US" w:eastAsia="zh-CN"/>
        </w:rPr>
      </w:pPr>
    </w:p>
    <w:p w14:paraId="34500115">
      <w:pPr>
        <w:pStyle w:val="26"/>
        <w:rPr>
          <w:rFonts w:hint="eastAsia" w:asciiTheme="minorEastAsia" w:hAnsiTheme="minorEastAsia" w:eastAsiaTheme="minorEastAsia"/>
          <w:b/>
          <w:color w:val="auto"/>
          <w:sz w:val="24"/>
          <w:highlight w:val="none"/>
          <w:lang w:val="en-US" w:eastAsia="zh-CN"/>
        </w:rPr>
      </w:pPr>
    </w:p>
    <w:p w14:paraId="45E341BE">
      <w:pPr>
        <w:pStyle w:val="26"/>
        <w:rPr>
          <w:rFonts w:hint="eastAsia" w:asciiTheme="minorEastAsia" w:hAnsiTheme="minorEastAsia" w:eastAsiaTheme="minorEastAsia"/>
          <w:b/>
          <w:color w:val="auto"/>
          <w:sz w:val="24"/>
          <w:highlight w:val="none"/>
          <w:lang w:val="en-US" w:eastAsia="zh-CN"/>
        </w:rPr>
      </w:pPr>
    </w:p>
    <w:p w14:paraId="172A631B">
      <w:pPr>
        <w:pStyle w:val="26"/>
        <w:rPr>
          <w:rFonts w:hint="eastAsia" w:asciiTheme="minorEastAsia" w:hAnsiTheme="minorEastAsia" w:eastAsiaTheme="minorEastAsia"/>
          <w:b/>
          <w:color w:val="auto"/>
          <w:sz w:val="24"/>
          <w:highlight w:val="none"/>
          <w:lang w:val="en-US" w:eastAsia="zh-CN"/>
        </w:rPr>
      </w:pPr>
    </w:p>
    <w:p w14:paraId="6864D6BD">
      <w:pPr>
        <w:pStyle w:val="26"/>
        <w:rPr>
          <w:rFonts w:hint="eastAsia" w:asciiTheme="minorEastAsia" w:hAnsiTheme="minorEastAsia" w:eastAsiaTheme="minorEastAsia"/>
          <w:b/>
          <w:color w:val="auto"/>
          <w:sz w:val="24"/>
          <w:highlight w:val="none"/>
          <w:lang w:val="en-US" w:eastAsia="zh-CN"/>
        </w:rPr>
      </w:pPr>
    </w:p>
    <w:p w14:paraId="072CAE91">
      <w:pPr>
        <w:pStyle w:val="26"/>
        <w:rPr>
          <w:rFonts w:hint="eastAsia" w:asciiTheme="minorEastAsia" w:hAnsiTheme="minorEastAsia" w:eastAsiaTheme="minorEastAsia"/>
          <w:b/>
          <w:color w:val="auto"/>
          <w:sz w:val="24"/>
          <w:highlight w:val="none"/>
          <w:lang w:val="en-US" w:eastAsia="zh-CN"/>
        </w:rPr>
      </w:pPr>
    </w:p>
    <w:p w14:paraId="12A1A635">
      <w:pPr>
        <w:pStyle w:val="26"/>
        <w:rPr>
          <w:rFonts w:hint="eastAsia" w:asciiTheme="minorEastAsia" w:hAnsiTheme="minorEastAsia" w:eastAsiaTheme="minorEastAsia"/>
          <w:b/>
          <w:color w:val="auto"/>
          <w:sz w:val="24"/>
          <w:highlight w:val="none"/>
          <w:lang w:val="en-US" w:eastAsia="zh-CN"/>
        </w:rPr>
      </w:pPr>
    </w:p>
    <w:p w14:paraId="41079F7E">
      <w:pPr>
        <w:pStyle w:val="26"/>
        <w:rPr>
          <w:rFonts w:hint="eastAsia" w:asciiTheme="minorEastAsia" w:hAnsiTheme="minorEastAsia" w:eastAsiaTheme="minorEastAsia"/>
          <w:b/>
          <w:color w:val="auto"/>
          <w:sz w:val="24"/>
          <w:highlight w:val="none"/>
          <w:lang w:val="en-US" w:eastAsia="zh-CN"/>
        </w:rPr>
      </w:pPr>
    </w:p>
    <w:p w14:paraId="557E6994">
      <w:pPr>
        <w:pStyle w:val="26"/>
        <w:rPr>
          <w:rFonts w:hint="eastAsia" w:asciiTheme="minorEastAsia" w:hAnsiTheme="minorEastAsia" w:eastAsiaTheme="minorEastAsia"/>
          <w:b/>
          <w:color w:val="auto"/>
          <w:sz w:val="24"/>
          <w:highlight w:val="none"/>
          <w:lang w:val="en-US" w:eastAsia="zh-CN"/>
        </w:rPr>
      </w:pPr>
    </w:p>
    <w:p w14:paraId="5DDD85B7">
      <w:pPr>
        <w:pStyle w:val="26"/>
        <w:rPr>
          <w:rFonts w:hint="eastAsia" w:asciiTheme="minorEastAsia" w:hAnsiTheme="minorEastAsia" w:eastAsiaTheme="minorEastAsia"/>
          <w:b/>
          <w:color w:val="auto"/>
          <w:sz w:val="24"/>
          <w:highlight w:val="none"/>
          <w:lang w:val="en-US" w:eastAsia="zh-CN"/>
        </w:rPr>
      </w:pPr>
    </w:p>
    <w:p w14:paraId="2B014478">
      <w:pPr>
        <w:pStyle w:val="26"/>
        <w:ind w:left="0" w:leftChars="0" w:firstLine="0" w:firstLineChars="0"/>
        <w:rPr>
          <w:rFonts w:hint="eastAsia" w:asciiTheme="minorEastAsia" w:hAnsiTheme="minorEastAsia" w:eastAsiaTheme="minorEastAsia"/>
          <w:b/>
          <w:color w:val="auto"/>
          <w:sz w:val="24"/>
          <w:highlight w:val="none"/>
          <w:lang w:val="en-US" w:eastAsia="zh-CN"/>
        </w:rPr>
      </w:pPr>
    </w:p>
    <w:p w14:paraId="1B3B2CD6">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53"/>
      <w:bookmarkEnd w:id="54"/>
      <w:bookmarkEnd w:id="55"/>
      <w:r>
        <w:rPr>
          <w:rFonts w:hint="eastAsia" w:asciiTheme="minorEastAsia" w:hAnsiTheme="minorEastAsia" w:eastAsiaTheme="minorEastAsia"/>
          <w:b/>
          <w:color w:val="auto"/>
          <w:sz w:val="24"/>
          <w:highlight w:val="none"/>
          <w:lang w:val="en-US" w:eastAsia="zh-CN"/>
        </w:rPr>
        <w:t>诚信履约承诺函</w:t>
      </w:r>
      <w:bookmarkEnd w:id="56"/>
      <w:bookmarkEnd w:id="57"/>
    </w:p>
    <w:p w14:paraId="4EA1DAD4">
      <w:pPr>
        <w:spacing w:line="360" w:lineRule="auto"/>
        <w:rPr>
          <w:rFonts w:asciiTheme="minorEastAsia" w:hAnsiTheme="minorEastAsia" w:eastAsiaTheme="minorEastAsia"/>
          <w:b/>
          <w:bCs/>
          <w:color w:val="auto"/>
          <w:sz w:val="24"/>
          <w:highlight w:val="none"/>
        </w:rPr>
      </w:pPr>
    </w:p>
    <w:p w14:paraId="59AD4BD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9FA1DD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0EF4D8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5423B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6156C3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17E957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AA58D2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43A5DC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40F9301">
      <w:pPr>
        <w:spacing w:line="360" w:lineRule="auto"/>
        <w:rPr>
          <w:rFonts w:asciiTheme="minorEastAsia" w:hAnsiTheme="minorEastAsia" w:eastAsiaTheme="minorEastAsia"/>
          <w:bCs/>
          <w:color w:val="auto"/>
          <w:sz w:val="24"/>
          <w:highlight w:val="none"/>
        </w:rPr>
      </w:pPr>
    </w:p>
    <w:p w14:paraId="47625E16">
      <w:pPr>
        <w:spacing w:line="360" w:lineRule="auto"/>
        <w:rPr>
          <w:rFonts w:asciiTheme="minorEastAsia" w:hAnsiTheme="minorEastAsia" w:eastAsiaTheme="minorEastAsia"/>
          <w:bCs/>
          <w:color w:val="auto"/>
          <w:sz w:val="24"/>
          <w:highlight w:val="none"/>
        </w:rPr>
      </w:pPr>
    </w:p>
    <w:p w14:paraId="267A850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45C6A4">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4D75B7D">
      <w:pPr>
        <w:rPr>
          <w:rFonts w:ascii="宋体" w:hAnsi="宋体" w:eastAsia="宋体" w:cs="Arial"/>
          <w:color w:val="auto"/>
          <w:sz w:val="24"/>
          <w:highlight w:val="none"/>
        </w:rPr>
      </w:pPr>
      <w:r>
        <w:rPr>
          <w:rFonts w:ascii="宋体" w:hAnsi="宋体" w:eastAsia="宋体" w:cs="Arial"/>
          <w:color w:val="auto"/>
          <w:sz w:val="24"/>
          <w:highlight w:val="none"/>
        </w:rPr>
        <w:br w:type="page"/>
      </w:r>
    </w:p>
    <w:p w14:paraId="74B18816">
      <w:pPr>
        <w:spacing w:line="360" w:lineRule="auto"/>
        <w:jc w:val="center"/>
        <w:outlineLvl w:val="1"/>
        <w:rPr>
          <w:rFonts w:hint="eastAsia" w:ascii="宋体" w:hAnsi="宋体" w:eastAsia="宋体"/>
          <w:b/>
          <w:color w:val="auto"/>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宋体"/>
          <w:b/>
          <w:color w:val="auto"/>
          <w:sz w:val="24"/>
          <w:szCs w:val="24"/>
          <w:highlight w:val="none"/>
          <w:lang w:bidi="ar"/>
        </w:rPr>
        <w:t>诚信投标承诺书</w:t>
      </w:r>
    </w:p>
    <w:p w14:paraId="68AD13E6">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67FA5BDC">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36460919">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861E4B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177D982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4DFE2F6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044B66F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43521DC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49BD647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66D42D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138FDAD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58D6BC7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8BF498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227319A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6439350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610ACF4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54072D8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0F7CDB97">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707195F5">
      <w:pPr>
        <w:pStyle w:val="12"/>
        <w:rPr>
          <w:color w:val="auto"/>
          <w:highlight w:val="none"/>
        </w:rPr>
      </w:pPr>
    </w:p>
    <w:bookmarkEnd w:id="58"/>
    <w:p w14:paraId="7AC8F8D6">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59" w:name="_Toc32633"/>
      <w:bookmarkStart w:id="60" w:name="_Toc2683"/>
      <w:r>
        <w:rPr>
          <w:rFonts w:hint="eastAsia" w:asciiTheme="minorEastAsia" w:hAnsiTheme="minorEastAsia" w:eastAsiaTheme="minorEastAsia"/>
          <w:b/>
          <w:color w:val="auto"/>
          <w:sz w:val="24"/>
          <w:highlight w:val="none"/>
          <w:lang w:val="en-US" w:eastAsia="zh-CN"/>
        </w:rPr>
        <w:t>十二、其他相关证明材料</w:t>
      </w:r>
      <w:bookmarkEnd w:id="59"/>
      <w:bookmarkEnd w:id="60"/>
    </w:p>
    <w:p w14:paraId="7460AB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F8012CF">
      <w:pPr>
        <w:spacing w:line="360" w:lineRule="auto"/>
        <w:ind w:firstLine="480" w:firstLineChars="200"/>
        <w:rPr>
          <w:rFonts w:asciiTheme="minorEastAsia" w:hAnsiTheme="minorEastAsia" w:eastAsiaTheme="minorEastAsia"/>
          <w:color w:val="auto"/>
          <w:sz w:val="24"/>
          <w:highlight w:val="none"/>
        </w:rPr>
      </w:pPr>
    </w:p>
    <w:p w14:paraId="6072E75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5B1EFE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4910FF6">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C03B5FE">
      <w:pPr>
        <w:spacing w:line="360" w:lineRule="auto"/>
        <w:jc w:val="center"/>
        <w:outlineLvl w:val="0"/>
        <w:rPr>
          <w:rFonts w:ascii="宋体" w:hAnsi="宋体" w:eastAsia="宋体"/>
          <w:b/>
          <w:bCs/>
          <w:color w:val="auto"/>
          <w:sz w:val="28"/>
          <w:highlight w:val="none"/>
        </w:rPr>
      </w:pPr>
      <w:bookmarkStart w:id="61" w:name="_Toc18131"/>
      <w:bookmarkStart w:id="6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61"/>
      <w:bookmarkEnd w:id="62"/>
    </w:p>
    <w:p w14:paraId="1066B407">
      <w:pPr>
        <w:spacing w:line="360" w:lineRule="auto"/>
        <w:jc w:val="center"/>
        <w:outlineLvl w:val="1"/>
        <w:rPr>
          <w:rFonts w:ascii="仿宋" w:hAnsi="仿宋" w:eastAsia="仿宋" w:cs="仿宋"/>
          <w:b/>
          <w:bCs/>
          <w:color w:val="auto"/>
          <w:sz w:val="32"/>
          <w:szCs w:val="44"/>
          <w:highlight w:val="none"/>
        </w:rPr>
      </w:pPr>
      <w:bookmarkStart w:id="63" w:name="_Toc27489"/>
      <w:bookmarkStart w:id="64" w:name="_Toc27159"/>
      <w:r>
        <w:rPr>
          <w:rFonts w:hint="eastAsia" w:ascii="仿宋" w:hAnsi="仿宋" w:eastAsia="仿宋" w:cs="仿宋"/>
          <w:b/>
          <w:bCs/>
          <w:color w:val="auto"/>
          <w:sz w:val="32"/>
          <w:szCs w:val="44"/>
          <w:highlight w:val="none"/>
        </w:rPr>
        <w:t>询问函范本</w:t>
      </w:r>
      <w:bookmarkEnd w:id="63"/>
      <w:bookmarkEnd w:id="64"/>
    </w:p>
    <w:p w14:paraId="6E9BBADF">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7FD0F54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1037825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9CD8E40">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 w:name="_Toc13899"/>
      <w:r>
        <w:rPr>
          <w:rFonts w:hint="eastAsia" w:cs="仿宋" w:asciiTheme="minorEastAsia" w:hAnsiTheme="minorEastAsia" w:eastAsiaTheme="minorEastAsia"/>
          <w:color w:val="auto"/>
          <w:sz w:val="24"/>
          <w:szCs w:val="24"/>
          <w:highlight w:val="none"/>
        </w:rPr>
        <w:t>一、(事项一)</w:t>
      </w:r>
      <w:bookmarkEnd w:id="65"/>
    </w:p>
    <w:p w14:paraId="28FADC0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1E7C99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496A5F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BD936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6" w:name="_Toc3352"/>
      <w:r>
        <w:rPr>
          <w:rFonts w:hint="eastAsia" w:cs="仿宋" w:asciiTheme="minorEastAsia" w:hAnsiTheme="minorEastAsia" w:eastAsiaTheme="minorEastAsia"/>
          <w:color w:val="auto"/>
          <w:sz w:val="24"/>
          <w:szCs w:val="24"/>
          <w:highlight w:val="none"/>
        </w:rPr>
        <w:t>二、(事项二)</w:t>
      </w:r>
      <w:bookmarkEnd w:id="66"/>
    </w:p>
    <w:p w14:paraId="29C0641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E890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94AE67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E3FCF9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FF5D55D">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B301B3F">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2C6EC227">
      <w:pPr>
        <w:jc w:val="center"/>
        <w:outlineLvl w:val="1"/>
        <w:rPr>
          <w:rFonts w:ascii="仿宋" w:hAnsi="仿宋" w:eastAsia="仿宋" w:cs="仿宋"/>
          <w:b/>
          <w:bCs/>
          <w:color w:val="auto"/>
          <w:sz w:val="32"/>
          <w:szCs w:val="44"/>
          <w:highlight w:val="none"/>
        </w:rPr>
      </w:pPr>
      <w:bookmarkStart w:id="67" w:name="_Toc1575"/>
      <w:bookmarkStart w:id="68" w:name="_Toc3245"/>
      <w:r>
        <w:rPr>
          <w:rFonts w:hint="eastAsia" w:ascii="仿宋" w:hAnsi="仿宋" w:eastAsia="仿宋" w:cs="仿宋"/>
          <w:b/>
          <w:bCs/>
          <w:color w:val="auto"/>
          <w:sz w:val="32"/>
          <w:szCs w:val="44"/>
          <w:highlight w:val="none"/>
        </w:rPr>
        <w:t>质疑函范本</w:t>
      </w:r>
      <w:bookmarkEnd w:id="67"/>
      <w:bookmarkEnd w:id="68"/>
    </w:p>
    <w:p w14:paraId="447ADE15">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9" w:name="_Toc21381"/>
      <w:r>
        <w:rPr>
          <w:rFonts w:hint="eastAsia" w:cs="仿宋" w:asciiTheme="minorEastAsia" w:hAnsiTheme="minorEastAsia" w:eastAsiaTheme="minorEastAsia"/>
          <w:b/>
          <w:bCs/>
          <w:color w:val="auto"/>
          <w:sz w:val="24"/>
          <w:szCs w:val="24"/>
          <w:highlight w:val="none"/>
        </w:rPr>
        <w:t>一、质疑供应商基本信息</w:t>
      </w:r>
      <w:bookmarkEnd w:id="69"/>
    </w:p>
    <w:p w14:paraId="7EC1532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89F680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1DD694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2EF999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A2B686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D1C00A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25DA05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0" w:name="_Toc28415"/>
      <w:r>
        <w:rPr>
          <w:rFonts w:hint="eastAsia" w:cs="仿宋" w:asciiTheme="minorEastAsia" w:hAnsiTheme="minorEastAsia" w:eastAsiaTheme="minorEastAsia"/>
          <w:b/>
          <w:bCs/>
          <w:color w:val="auto"/>
          <w:sz w:val="24"/>
          <w:szCs w:val="24"/>
          <w:highlight w:val="none"/>
        </w:rPr>
        <w:t>二、质疑项目基本情况</w:t>
      </w:r>
      <w:bookmarkEnd w:id="70"/>
    </w:p>
    <w:p w14:paraId="0DDF40B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034DBBE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83F5C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96D767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12596F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 w:name="_Toc19014"/>
      <w:r>
        <w:rPr>
          <w:rFonts w:hint="eastAsia" w:cs="仿宋" w:asciiTheme="minorEastAsia" w:hAnsiTheme="minorEastAsia" w:eastAsiaTheme="minorEastAsia"/>
          <w:b/>
          <w:bCs/>
          <w:color w:val="auto"/>
          <w:sz w:val="24"/>
          <w:szCs w:val="24"/>
          <w:highlight w:val="none"/>
        </w:rPr>
        <w:t>三、质疑事项具体内容</w:t>
      </w:r>
      <w:bookmarkEnd w:id="71"/>
    </w:p>
    <w:p w14:paraId="268FEE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FF3617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6CF244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AB77CC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EFB681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41044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1695F8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D48913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2" w:name="_Toc17919"/>
      <w:r>
        <w:rPr>
          <w:rFonts w:hint="eastAsia" w:cs="仿宋" w:asciiTheme="minorEastAsia" w:hAnsiTheme="minorEastAsia" w:eastAsiaTheme="minorEastAsia"/>
          <w:b/>
          <w:bCs/>
          <w:color w:val="auto"/>
          <w:sz w:val="24"/>
          <w:szCs w:val="24"/>
          <w:highlight w:val="none"/>
        </w:rPr>
        <w:t>四、与质疑事项相关的质疑请求</w:t>
      </w:r>
      <w:bookmarkEnd w:id="72"/>
    </w:p>
    <w:p w14:paraId="11ED960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81C656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E7ADEA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E13C2B">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5AAF772">
      <w:pPr>
        <w:outlineLvl w:val="0"/>
        <w:rPr>
          <w:rFonts w:asciiTheme="minorEastAsia" w:hAnsiTheme="minorEastAsia" w:eastAsiaTheme="minorEastAsia"/>
          <w:b/>
          <w:color w:val="auto"/>
          <w:sz w:val="28"/>
          <w:szCs w:val="32"/>
          <w:highlight w:val="none"/>
        </w:rPr>
      </w:pPr>
      <w:bookmarkStart w:id="73" w:name="_Toc26836"/>
      <w:bookmarkStart w:id="74" w:name="_Toc9754"/>
      <w:r>
        <w:rPr>
          <w:rFonts w:hint="eastAsia" w:asciiTheme="minorEastAsia" w:hAnsiTheme="minorEastAsia" w:eastAsiaTheme="minorEastAsia"/>
          <w:b/>
          <w:color w:val="auto"/>
          <w:sz w:val="28"/>
          <w:szCs w:val="32"/>
          <w:highlight w:val="none"/>
        </w:rPr>
        <w:t>质疑函制作说明：</w:t>
      </w:r>
      <w:bookmarkEnd w:id="73"/>
      <w:bookmarkEnd w:id="74"/>
    </w:p>
    <w:p w14:paraId="799C9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D1820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94F0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4A8CD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8A0B5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AC05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22A8D2D">
      <w:pP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br w:type="page"/>
      </w:r>
    </w:p>
    <w:p w14:paraId="21A81122">
      <w:pPr>
        <w:keepNext/>
        <w:keepLines/>
        <w:spacing w:before="200" w:after="200" w:line="600" w:lineRule="exact"/>
        <w:outlineLvl w:val="0"/>
        <w:rPr>
          <w:rFonts w:ascii="黑体" w:hAnsi="黑体" w:eastAsia="黑体" w:cs="Times New Roman"/>
          <w:b/>
          <w:bCs/>
          <w:color w:val="auto"/>
          <w:kern w:val="44"/>
          <w:sz w:val="28"/>
          <w:szCs w:val="28"/>
          <w:highlight w:val="none"/>
        </w:rPr>
      </w:pPr>
      <w:r>
        <w:rPr>
          <w:rFonts w:hint="eastAsia" w:ascii="黑体" w:hAnsi="黑体" w:eastAsia="黑体" w:cs="Times New Roman"/>
          <w:b/>
          <w:bCs/>
          <w:color w:val="auto"/>
          <w:kern w:val="44"/>
          <w:sz w:val="36"/>
          <w:szCs w:val="28"/>
          <w:highlight w:val="none"/>
        </w:rPr>
        <w:t>附件1 关于联合惩戒失信行为加强信用查询管理的通知</w:t>
      </w:r>
    </w:p>
    <w:p w14:paraId="6D6D99BC">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一、失信行为联合惩戒的范围和查询渠道</w:t>
      </w:r>
    </w:p>
    <w:p w14:paraId="167CAB31">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在我市公共资源交易活动中对存在下列失信行为的投标人、法定代表人及其项目经理（建造师）实施联合惩戒，禁止参与我市公共资源交易活动。</w:t>
      </w:r>
    </w:p>
    <w:p w14:paraId="66F653E2">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（一）工程建设项目</w:t>
      </w:r>
    </w:p>
    <w:p w14:paraId="05B1D00B">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1、“信用中国”网站（www.creditchina.gov.cn）查询</w:t>
      </w:r>
      <w:bookmarkStart w:id="75" w:name="OLE_LINK93"/>
      <w:bookmarkStart w:id="76" w:name="OLE_LINK103"/>
      <w:bookmarkStart w:id="77" w:name="OLE_LINK92"/>
      <w:bookmarkStart w:id="78" w:name="OLE_LINK91"/>
      <w:r>
        <w:rPr>
          <w:rFonts w:hint="eastAsia" w:ascii="仿宋_GB2312" w:hAnsi="宋体" w:eastAsia="仿宋_GB2312" w:cs="Times New Roman"/>
          <w:color w:val="auto"/>
          <w:sz w:val="28"/>
          <w:szCs w:val="28"/>
          <w:highlight w:val="none"/>
        </w:rPr>
        <w:t>投标人、法定代表人及其项目经理(建造师)</w:t>
      </w:r>
      <w:bookmarkEnd w:id="75"/>
      <w:bookmarkEnd w:id="76"/>
      <w:bookmarkEnd w:id="77"/>
      <w:bookmarkEnd w:id="78"/>
      <w:r>
        <w:rPr>
          <w:rFonts w:hint="eastAsia" w:ascii="仿宋_GB2312" w:hAnsi="宋体" w:eastAsia="仿宋_GB2312" w:cs="Times New Roman"/>
          <w:color w:val="auto"/>
          <w:sz w:val="28"/>
          <w:szCs w:val="28"/>
          <w:highlight w:val="none"/>
        </w:rPr>
        <w:t>以下失信行为：</w:t>
      </w:r>
    </w:p>
    <w:p w14:paraId="114944BD">
      <w:pPr>
        <w:adjustRightInd w:val="0"/>
        <w:snapToGrid w:val="0"/>
        <w:spacing w:line="560" w:lineRule="exact"/>
        <w:ind w:firstLine="560" w:firstLineChars="200"/>
        <w:rPr>
          <w:rFonts w:ascii="仿宋_GB2312" w:hAnsi="宋体" w:eastAsia="仿宋_GB2312" w:cs="Times New Roman"/>
          <w:color w:val="auto"/>
          <w:sz w:val="28"/>
          <w:szCs w:val="28"/>
          <w:highlight w:val="none"/>
        </w:rPr>
      </w:pPr>
      <w:bookmarkStart w:id="79" w:name="OLE_LINK94"/>
      <w:bookmarkStart w:id="80" w:name="OLE_LINK119"/>
      <w:bookmarkStart w:id="81" w:name="OLE_LINK87"/>
      <w:bookmarkStart w:id="82" w:name="OLE_LINK86"/>
      <w:r>
        <w:rPr>
          <w:rFonts w:hint="eastAsia" w:ascii="仿宋_GB2312" w:hAnsi="宋体" w:eastAsia="仿宋_GB2312" w:cs="Times New Roman"/>
          <w:color w:val="auto"/>
          <w:sz w:val="28"/>
          <w:szCs w:val="28"/>
          <w:highlight w:val="none"/>
        </w:rPr>
        <w:t>①被列入“失信被执行人”的;</w:t>
      </w:r>
    </w:p>
    <w:p w14:paraId="6AE53792">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②被列入</w:t>
      </w:r>
      <w:bookmarkStart w:id="83" w:name="OLE_LINK118"/>
      <w:bookmarkStart w:id="84" w:name="OLE_LINK116"/>
      <w:bookmarkStart w:id="85" w:name="OLE_LINK117"/>
      <w:bookmarkStart w:id="86" w:name="OLE_LINK115"/>
      <w:r>
        <w:rPr>
          <w:rFonts w:hint="eastAsia" w:ascii="仿宋_GB2312" w:hAnsi="宋体" w:eastAsia="仿宋_GB2312" w:cs="Times New Roman"/>
          <w:color w:val="auto"/>
          <w:sz w:val="28"/>
          <w:szCs w:val="28"/>
          <w:highlight w:val="none"/>
        </w:rPr>
        <w:t>“重大税收违法失信主体”</w:t>
      </w:r>
      <w:bookmarkEnd w:id="83"/>
      <w:bookmarkEnd w:id="84"/>
      <w:bookmarkEnd w:id="85"/>
      <w:bookmarkEnd w:id="86"/>
      <w:r>
        <w:rPr>
          <w:rFonts w:hint="eastAsia" w:ascii="仿宋_GB2312" w:hAnsi="宋体" w:eastAsia="仿宋_GB2312" w:cs="Times New Roman"/>
          <w:color w:val="auto"/>
          <w:sz w:val="28"/>
          <w:szCs w:val="28"/>
          <w:highlight w:val="none"/>
        </w:rPr>
        <w:t>的；</w:t>
      </w:r>
    </w:p>
    <w:p w14:paraId="734DCF96">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③被列入“拖欠</w:t>
      </w:r>
      <w:bookmarkStart w:id="87" w:name="OLE_LINK85"/>
      <w:bookmarkStart w:id="88" w:name="OLE_LINK84"/>
      <w:r>
        <w:rPr>
          <w:rFonts w:hint="eastAsia" w:ascii="仿宋_GB2312" w:hAnsi="宋体" w:eastAsia="仿宋_GB2312" w:cs="Times New Roman"/>
          <w:color w:val="auto"/>
          <w:sz w:val="28"/>
          <w:szCs w:val="28"/>
          <w:highlight w:val="none"/>
        </w:rPr>
        <w:t>农民工工资失信联合惩戒对象</w:t>
      </w:r>
      <w:bookmarkEnd w:id="87"/>
      <w:bookmarkEnd w:id="88"/>
      <w:r>
        <w:rPr>
          <w:rFonts w:hint="eastAsia" w:ascii="仿宋_GB2312" w:hAnsi="宋体" w:eastAsia="仿宋_GB2312" w:cs="Times New Roman"/>
          <w:color w:val="auto"/>
          <w:sz w:val="28"/>
          <w:szCs w:val="28"/>
          <w:highlight w:val="none"/>
        </w:rPr>
        <w:t>名单”的；</w:t>
      </w:r>
    </w:p>
    <w:p w14:paraId="05594CD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④被列入 “严重失信主体名单”的；</w:t>
      </w:r>
    </w:p>
    <w:p w14:paraId="402F1C18">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⑤在“信用中国”网站上披露的仍在公示期的严重失信行为(具体行为类别及判定依据见附件2)的。</w:t>
      </w:r>
    </w:p>
    <w:bookmarkEnd w:id="79"/>
    <w:bookmarkEnd w:id="80"/>
    <w:bookmarkEnd w:id="81"/>
    <w:bookmarkEnd w:id="82"/>
    <w:p w14:paraId="554FDEF5">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w:t>
      </w:r>
      <w:bookmarkStart w:id="89" w:name="OLE_LINK130"/>
      <w:r>
        <w:rPr>
          <w:rFonts w:hint="eastAsia" w:ascii="仿宋_GB2312" w:hAnsi="宋体" w:eastAsia="仿宋_GB2312" w:cs="Times New Roman"/>
          <w:color w:val="auto"/>
          <w:sz w:val="28"/>
          <w:szCs w:val="28"/>
          <w:highlight w:val="none"/>
        </w:rPr>
        <w:t>国家企业信用信息公示系统网站</w:t>
      </w:r>
      <w:bookmarkEnd w:id="89"/>
      <w:r>
        <w:rPr>
          <w:rFonts w:hint="eastAsia" w:ascii="仿宋_GB2312" w:hAnsi="宋体" w:eastAsia="仿宋_GB2312" w:cs="Times New Roman"/>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bookmarkStart w:id="90" w:name="OLE_LINK90"/>
      <w:bookmarkStart w:id="91" w:name="OLE_LINK89"/>
      <w:r>
        <w:rPr>
          <w:rStyle w:val="38"/>
          <w:rFonts w:hint="eastAsia" w:ascii="仿宋_GB2312" w:hAnsi="宋体" w:eastAsia="仿宋_GB2312" w:cs="Times New Roman"/>
          <w:color w:val="auto"/>
          <w:sz w:val="28"/>
          <w:szCs w:val="28"/>
          <w:highlight w:val="none"/>
        </w:rPr>
        <w:t>www.gsxt.gov.cn</w:t>
      </w:r>
      <w:bookmarkEnd w:id="90"/>
      <w:bookmarkEnd w:id="91"/>
      <w:r>
        <w:rPr>
          <w:rStyle w:val="38"/>
          <w:rFonts w:hint="eastAsia" w:ascii="仿宋_GB2312" w:hAnsi="宋体" w:eastAsia="仿宋_GB2312" w:cs="Times New Roman"/>
          <w:color w:val="auto"/>
          <w:sz w:val="28"/>
          <w:szCs w:val="28"/>
          <w:highlight w:val="none"/>
        </w:rPr>
        <w:t>）</w:t>
      </w:r>
      <w:r>
        <w:rPr>
          <w:rStyle w:val="38"/>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查询投标人以下失信行为：</w:t>
      </w:r>
    </w:p>
    <w:p w14:paraId="6CF8473D">
      <w:pPr>
        <w:adjustRightInd w:val="0"/>
        <w:snapToGrid w:val="0"/>
        <w:spacing w:line="560" w:lineRule="exact"/>
        <w:ind w:firstLine="560" w:firstLineChars="200"/>
        <w:rPr>
          <w:rFonts w:ascii="仿宋_GB2312" w:hAnsi="宋体" w:eastAsia="仿宋_GB2312" w:cs="Times New Roman"/>
          <w:color w:val="auto"/>
          <w:sz w:val="28"/>
          <w:szCs w:val="28"/>
          <w:highlight w:val="none"/>
        </w:rPr>
      </w:pPr>
      <w:bookmarkStart w:id="92" w:name="OLE_LINK122"/>
      <w:bookmarkStart w:id="93" w:name="OLE_LINK121"/>
      <w:bookmarkStart w:id="94" w:name="OLE_LINK120"/>
      <w:r>
        <w:rPr>
          <w:rFonts w:hint="eastAsia" w:ascii="仿宋_GB2312" w:hAnsi="宋体" w:eastAsia="仿宋_GB2312" w:cs="Times New Roman"/>
          <w:color w:val="auto"/>
          <w:sz w:val="28"/>
          <w:szCs w:val="28"/>
          <w:highlight w:val="none"/>
        </w:rPr>
        <w:t>①</w:t>
      </w:r>
      <w:bookmarkStart w:id="95" w:name="OLE_LINK114"/>
      <w:bookmarkStart w:id="96" w:name="OLE_LINK113"/>
      <w:r>
        <w:rPr>
          <w:rFonts w:hint="eastAsia" w:ascii="仿宋_GB2312" w:hAnsi="宋体" w:eastAsia="仿宋_GB2312" w:cs="Times New Roman"/>
          <w:color w:val="auto"/>
          <w:sz w:val="28"/>
          <w:szCs w:val="28"/>
          <w:highlight w:val="none"/>
        </w:rPr>
        <w:t>被列入“经营异常名录”或者“严重违法失信名单”的</w:t>
      </w:r>
      <w:bookmarkEnd w:id="95"/>
      <w:bookmarkEnd w:id="96"/>
      <w:r>
        <w:rPr>
          <w:rFonts w:hint="eastAsia" w:ascii="仿宋_GB2312" w:hAnsi="宋体" w:eastAsia="仿宋_GB2312" w:cs="Times New Roman"/>
          <w:color w:val="auto"/>
          <w:sz w:val="28"/>
          <w:szCs w:val="28"/>
          <w:highlight w:val="none"/>
        </w:rPr>
        <w:t>。</w:t>
      </w:r>
      <w:bookmarkEnd w:id="92"/>
      <w:bookmarkEnd w:id="93"/>
      <w:bookmarkEnd w:id="94"/>
    </w:p>
    <w:p w14:paraId="0E50AD8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3、由</w:t>
      </w:r>
      <w:r>
        <w:rPr>
          <w:rFonts w:hint="eastAsia" w:ascii="仿宋_GB2312" w:hAnsi="宋体" w:eastAsia="仿宋_GB2312" w:cs="Times New Roman"/>
          <w:color w:val="auto"/>
          <w:kern w:val="0"/>
          <w:sz w:val="28"/>
          <w:szCs w:val="28"/>
          <w:highlight w:val="none"/>
        </w:rPr>
        <w:t>投标人、法定代表人及其项目经理(建造师)</w:t>
      </w:r>
      <w:r>
        <w:rPr>
          <w:rFonts w:hint="eastAsia" w:ascii="仿宋_GB2312" w:hAnsi="宋体" w:eastAsia="仿宋_GB2312" w:cs="Times New Roman"/>
          <w:color w:val="auto"/>
          <w:sz w:val="28"/>
          <w:szCs w:val="28"/>
          <w:highlight w:val="none"/>
        </w:rPr>
        <w:t>进行承诺，不进行现场网上信用查询的失信行为：</w:t>
      </w:r>
    </w:p>
    <w:p w14:paraId="7101CE49">
      <w:pPr>
        <w:adjustRightInd w:val="0"/>
        <w:snapToGrid w:val="0"/>
        <w:spacing w:line="560" w:lineRule="exact"/>
        <w:ind w:firstLine="560" w:firstLineChars="200"/>
        <w:rPr>
          <w:rFonts w:ascii="仿宋_GB2312" w:hAnsi="宋体" w:eastAsia="仿宋_GB2312" w:cs="楷体"/>
          <w:color w:val="auto"/>
          <w:sz w:val="28"/>
          <w:szCs w:val="28"/>
          <w:highlight w:val="none"/>
        </w:rPr>
      </w:pPr>
      <w:bookmarkStart w:id="97" w:name="OLE_LINK123"/>
      <w:bookmarkStart w:id="98" w:name="OLE_LINK124"/>
      <w:r>
        <w:rPr>
          <w:rFonts w:hint="eastAsia" w:ascii="仿宋_GB2312" w:hAnsi="宋体" w:eastAsia="仿宋_GB2312" w:cs="Times New Roman"/>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3060BA8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②被滁州市县两级公管部门取消在一定期限内的投标资格且在取消期限内的；</w:t>
      </w:r>
    </w:p>
    <w:p w14:paraId="51D71C34">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③被滁州市县两级各行业主管部门取消在一定期限内的投标资格且在取消期限内的；</w:t>
      </w:r>
    </w:p>
    <w:p w14:paraId="3A32A38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④因拖欠农民工工资被</w:t>
      </w:r>
      <w:bookmarkStart w:id="99" w:name="OLE_LINK107"/>
      <w:bookmarkStart w:id="100" w:name="OLE_LINK108"/>
      <w:r>
        <w:rPr>
          <w:rFonts w:hint="eastAsia" w:ascii="仿宋_GB2312" w:hAnsi="宋体" w:eastAsia="仿宋_GB2312" w:cs="Times New Roman"/>
          <w:color w:val="auto"/>
          <w:sz w:val="28"/>
          <w:szCs w:val="28"/>
          <w:highlight w:val="none"/>
        </w:rPr>
        <w:t>县级及以上有关行政主管部门限制投标资格且在限制期限内的</w:t>
      </w:r>
      <w:bookmarkEnd w:id="99"/>
      <w:bookmarkEnd w:id="100"/>
      <w:r>
        <w:rPr>
          <w:rFonts w:hint="eastAsia" w:ascii="仿宋_GB2312" w:hAnsi="宋体" w:eastAsia="仿宋_GB2312" w:cs="Times New Roman"/>
          <w:color w:val="auto"/>
          <w:sz w:val="28"/>
          <w:szCs w:val="28"/>
          <w:highlight w:val="none"/>
        </w:rPr>
        <w:t>；</w:t>
      </w:r>
    </w:p>
    <w:p w14:paraId="049AAFA5">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97"/>
    <w:bookmarkEnd w:id="98"/>
    <w:p w14:paraId="31B5951D">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（二）政府采购项目</w:t>
      </w:r>
    </w:p>
    <w:p w14:paraId="7A8E4C3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1、“信用中国”网站</w:t>
      </w:r>
      <w:r>
        <w:rPr>
          <w:rFonts w:hint="eastAsia" w:ascii="仿宋" w:hAnsi="仿宋" w:eastAsia="仿宋" w:cs="Times New Roman"/>
          <w:color w:val="auto"/>
          <w:sz w:val="28"/>
          <w:szCs w:val="28"/>
          <w:highlight w:val="none"/>
        </w:rPr>
        <w:t>（</w:t>
      </w:r>
      <w:r>
        <w:rPr>
          <w:rStyle w:val="38"/>
          <w:rFonts w:hint="eastAsia" w:ascii="仿宋" w:hAnsi="仿宋" w:eastAsia="仿宋"/>
          <w:color w:val="auto"/>
          <w:sz w:val="28"/>
          <w:szCs w:val="28"/>
          <w:highlight w:val="none"/>
        </w:rPr>
        <w:t>www.creditchina.gov.cn</w:t>
      </w:r>
      <w:r>
        <w:rPr>
          <w:rFonts w:hint="eastAsia" w:ascii="仿宋" w:hAnsi="仿宋" w:eastAsia="仿宋" w:cs="Times New Roman"/>
          <w:color w:val="auto"/>
          <w:sz w:val="28"/>
          <w:szCs w:val="28"/>
          <w:highlight w:val="none"/>
        </w:rPr>
        <w:t>）</w:t>
      </w:r>
      <w:r>
        <w:rPr>
          <w:rFonts w:hint="eastAsia" w:ascii="仿宋_GB2312" w:hAnsi="宋体" w:eastAsia="仿宋_GB2312" w:cs="Times New Roman"/>
          <w:color w:val="auto"/>
          <w:sz w:val="28"/>
          <w:szCs w:val="28"/>
          <w:highlight w:val="none"/>
        </w:rPr>
        <w:t>查询供应商、法定代表人及其项目负责人以下失信行为：</w:t>
      </w:r>
    </w:p>
    <w:p w14:paraId="544DAA7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①被列入“失信被执行人”的;</w:t>
      </w:r>
    </w:p>
    <w:p w14:paraId="7F25303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②被列入“重大税收违法失信主体”的；</w:t>
      </w:r>
    </w:p>
    <w:p w14:paraId="2F87B82D">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③被列入 “严重失信主体名单”的；</w:t>
      </w:r>
    </w:p>
    <w:p w14:paraId="045E0D11">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④在“信用中国”网站上披露的仍在公示期的严重失信行为(具体行为类别及判定依据见附件2)的。</w:t>
      </w:r>
    </w:p>
    <w:p w14:paraId="1CBC055F">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2、国家企业信用信息公示系统网站</w:t>
      </w:r>
      <w:r>
        <w:rPr>
          <w:rFonts w:hint="eastAsia" w:ascii="仿宋" w:hAnsi="仿宋" w:eastAsia="仿宋" w:cs="Times New Roman"/>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Fonts w:hint="eastAsia" w:ascii="仿宋" w:hAnsi="仿宋" w:eastAsia="仿宋"/>
          <w:color w:val="auto"/>
          <w:sz w:val="28"/>
          <w:szCs w:val="28"/>
          <w:highlight w:val="none"/>
        </w:rPr>
        <w:t>www.gsxt.gov.cn）</w:t>
      </w:r>
      <w:r>
        <w:rPr>
          <w:rFonts w:hint="eastAsia" w:ascii="仿宋" w:hAnsi="仿宋" w:eastAsia="仿宋"/>
          <w:color w:val="auto"/>
          <w:sz w:val="28"/>
          <w:szCs w:val="28"/>
          <w:highlight w:val="none"/>
        </w:rPr>
        <w:fldChar w:fldCharType="end"/>
      </w:r>
      <w:r>
        <w:rPr>
          <w:rFonts w:hint="eastAsia" w:ascii="仿宋_GB2312" w:hAnsi="宋体" w:eastAsia="仿宋_GB2312" w:cs="Times New Roman"/>
          <w:color w:val="auto"/>
          <w:sz w:val="28"/>
          <w:szCs w:val="28"/>
          <w:highlight w:val="none"/>
        </w:rPr>
        <w:t>查询供应商以下失信行为：</w:t>
      </w:r>
    </w:p>
    <w:p w14:paraId="59006478">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w:t>
      </w:r>
      <w:bookmarkStart w:id="101" w:name="OLE_LINK100"/>
      <w:bookmarkStart w:id="102" w:name="OLE_LINK102"/>
      <w:bookmarkStart w:id="103" w:name="OLE_LINK101"/>
      <w:r>
        <w:rPr>
          <w:rFonts w:hint="eastAsia" w:ascii="仿宋_GB2312" w:hAnsi="宋体" w:eastAsia="仿宋_GB2312" w:cs="Times New Roman"/>
          <w:color w:val="auto"/>
          <w:sz w:val="28"/>
          <w:szCs w:val="28"/>
          <w:highlight w:val="none"/>
        </w:rPr>
        <w:t>被列入“经营异常名录”或者“严重违法失信名单”的</w:t>
      </w:r>
      <w:bookmarkEnd w:id="101"/>
      <w:bookmarkEnd w:id="102"/>
      <w:bookmarkEnd w:id="103"/>
      <w:r>
        <w:rPr>
          <w:rFonts w:hint="eastAsia" w:ascii="仿宋_GB2312" w:hAnsi="宋体" w:eastAsia="仿宋_GB2312" w:cs="Times New Roman"/>
          <w:color w:val="auto"/>
          <w:sz w:val="28"/>
          <w:szCs w:val="28"/>
          <w:highlight w:val="none"/>
        </w:rPr>
        <w:t>。</w:t>
      </w:r>
    </w:p>
    <w:p w14:paraId="1E3ED6A6">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3、中国政府采购网站</w:t>
      </w:r>
      <w:r>
        <w:rPr>
          <w:rFonts w:hint="eastAsia" w:ascii="仿宋" w:hAnsi="仿宋" w:eastAsia="仿宋" w:cs="Times New Roman"/>
          <w:color w:val="auto"/>
          <w:sz w:val="28"/>
          <w:szCs w:val="28"/>
          <w:highlight w:val="none"/>
        </w:rPr>
        <w:t>（</w:t>
      </w:r>
      <w:bookmarkStart w:id="104" w:name="OLE_LINK95"/>
      <w:bookmarkStart w:id="105" w:name="OLE_LINK96"/>
      <w:r>
        <w:rPr>
          <w:rFonts w:ascii="仿宋" w:hAnsi="仿宋" w:eastAsia="仿宋" w:cs="Times New Roman"/>
          <w:color w:val="auto"/>
          <w:sz w:val="28"/>
          <w:szCs w:val="28"/>
          <w:highlight w:val="none"/>
        </w:rPr>
        <w:fldChar w:fldCharType="begin"/>
      </w:r>
      <w:r>
        <w:rPr>
          <w:rFonts w:ascii="仿宋" w:hAnsi="仿宋" w:eastAsia="仿宋" w:cs="Times New Roman"/>
          <w:color w:val="auto"/>
          <w:sz w:val="28"/>
          <w:szCs w:val="28"/>
          <w:highlight w:val="none"/>
        </w:rPr>
        <w:instrText xml:space="preserve"> HYPERLINK "http://www.ccgp.gov.cn" </w:instrText>
      </w:r>
      <w:r>
        <w:rPr>
          <w:rFonts w:ascii="仿宋" w:hAnsi="仿宋" w:eastAsia="仿宋" w:cs="Times New Roman"/>
          <w:color w:val="auto"/>
          <w:sz w:val="28"/>
          <w:szCs w:val="28"/>
          <w:highlight w:val="none"/>
        </w:rPr>
        <w:fldChar w:fldCharType="separate"/>
      </w:r>
      <w:r>
        <w:rPr>
          <w:rFonts w:hint="eastAsia" w:ascii="仿宋" w:hAnsi="仿宋" w:eastAsia="仿宋"/>
          <w:color w:val="auto"/>
          <w:sz w:val="28"/>
          <w:szCs w:val="28"/>
          <w:highlight w:val="none"/>
        </w:rPr>
        <w:t>www.ccgp.gov.cn</w:t>
      </w:r>
      <w:r>
        <w:rPr>
          <w:rFonts w:ascii="仿宋" w:hAnsi="仿宋" w:eastAsia="仿宋" w:cs="Times New Roman"/>
          <w:color w:val="auto"/>
          <w:sz w:val="28"/>
          <w:szCs w:val="28"/>
          <w:highlight w:val="none"/>
        </w:rPr>
        <w:fldChar w:fldCharType="end"/>
      </w:r>
      <w:bookmarkEnd w:id="104"/>
      <w:bookmarkEnd w:id="105"/>
      <w:r>
        <w:rPr>
          <w:rFonts w:hint="eastAsia" w:ascii="仿宋" w:hAnsi="仿宋" w:eastAsia="仿宋" w:cs="Times New Roman"/>
          <w:color w:val="auto"/>
          <w:sz w:val="28"/>
          <w:szCs w:val="28"/>
          <w:highlight w:val="none"/>
        </w:rPr>
        <w:t>）</w:t>
      </w:r>
      <w:r>
        <w:rPr>
          <w:rFonts w:hint="eastAsia" w:ascii="仿宋_GB2312" w:hAnsi="宋体" w:eastAsia="仿宋_GB2312" w:cs="Times New Roman"/>
          <w:color w:val="auto"/>
          <w:sz w:val="28"/>
          <w:szCs w:val="28"/>
          <w:highlight w:val="none"/>
        </w:rPr>
        <w:t>查询以下失信行为：</w:t>
      </w:r>
    </w:p>
    <w:p w14:paraId="4250EF32">
      <w:pPr>
        <w:adjustRightInd w:val="0"/>
        <w:snapToGrid w:val="0"/>
        <w:spacing w:line="560" w:lineRule="exact"/>
        <w:ind w:firstLine="560" w:firstLineChars="200"/>
        <w:rPr>
          <w:rFonts w:ascii="仿宋_GB2312" w:hAnsi="宋体" w:eastAsia="仿宋_GB2312" w:cs="楷体"/>
          <w:color w:val="auto"/>
          <w:sz w:val="28"/>
          <w:szCs w:val="28"/>
          <w:highlight w:val="none"/>
        </w:rPr>
      </w:pPr>
      <w:r>
        <w:rPr>
          <w:rFonts w:hint="eastAsia" w:ascii="仿宋_GB2312" w:hAnsi="宋体" w:eastAsia="仿宋_GB2312" w:cs="Times New Roman"/>
          <w:color w:val="auto"/>
          <w:sz w:val="28"/>
          <w:szCs w:val="28"/>
          <w:highlight w:val="none"/>
        </w:rPr>
        <w:t>①</w:t>
      </w:r>
      <w:bookmarkStart w:id="106" w:name="OLE_LINK104"/>
      <w:bookmarkStart w:id="107" w:name="OLE_LINK105"/>
      <w:bookmarkStart w:id="108" w:name="OLE_LINK106"/>
      <w:r>
        <w:rPr>
          <w:rFonts w:hint="eastAsia" w:ascii="仿宋_GB2312" w:hAnsi="宋体" w:eastAsia="仿宋_GB2312" w:cs="Times New Roman"/>
          <w:color w:val="auto"/>
          <w:sz w:val="28"/>
          <w:szCs w:val="28"/>
          <w:highlight w:val="none"/>
        </w:rPr>
        <w:t>被列入“政府采购严重违法失信行为信息记录”的</w:t>
      </w:r>
      <w:bookmarkEnd w:id="106"/>
      <w:bookmarkEnd w:id="107"/>
      <w:bookmarkEnd w:id="108"/>
      <w:r>
        <w:rPr>
          <w:rFonts w:hint="eastAsia" w:ascii="仿宋_GB2312" w:hAnsi="宋体" w:eastAsia="仿宋_GB2312" w:cs="楷体"/>
          <w:color w:val="auto"/>
          <w:sz w:val="28"/>
          <w:szCs w:val="28"/>
          <w:highlight w:val="none"/>
        </w:rPr>
        <w:t>。</w:t>
      </w:r>
    </w:p>
    <w:p w14:paraId="19FB944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4、由竞争主体进行承诺，不进行现场网上信用查询的失信行为：</w:t>
      </w:r>
    </w:p>
    <w:p w14:paraId="04CD8944">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s="Times New Roman"/>
          <w:color w:val="auto"/>
          <w:sz w:val="28"/>
          <w:szCs w:val="28"/>
          <w:highlight w:val="none"/>
        </w:rPr>
        <w:t>。</w:t>
      </w:r>
    </w:p>
    <w:p w14:paraId="6C1FE5EB">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二、在开评标活动中的查询程序</w:t>
      </w:r>
    </w:p>
    <w:p w14:paraId="33CA0F1C">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10893493">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1BF4F107">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3、项目单位及其委托的代理机构应当做好信用查询结果截图和记录留存。</w:t>
      </w:r>
    </w:p>
    <w:p w14:paraId="738045C6">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三、相关要求</w:t>
      </w:r>
    </w:p>
    <w:p w14:paraId="6A37E70E">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3F7289D0">
      <w:pPr>
        <w:adjustRightInd w:val="0"/>
        <w:snapToGrid w:val="0"/>
        <w:spacing w:line="560" w:lineRule="exact"/>
        <w:ind w:firstLine="560" w:firstLineChars="200"/>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72FFF169">
      <w:pPr>
        <w:wordWrap w:val="0"/>
        <w:adjustRightInd w:val="0"/>
        <w:snapToGrid w:val="0"/>
        <w:spacing w:line="560" w:lineRule="exact"/>
        <w:ind w:firstLine="560" w:firstLineChars="200"/>
        <w:rPr>
          <w:rFonts w:ascii="Times New Roman" w:hAnsi="Times New Roman" w:eastAsia="宋体" w:cs="Times New Roman"/>
          <w:color w:val="auto"/>
          <w:szCs w:val="24"/>
          <w:highlight w:val="none"/>
        </w:rPr>
      </w:pPr>
      <w:r>
        <w:rPr>
          <w:rFonts w:hint="eastAsia" w:ascii="仿宋_GB2312" w:hAnsi="宋体" w:eastAsia="仿宋_GB2312" w:cs="Times New Roman"/>
          <w:color w:val="auto"/>
          <w:sz w:val="28"/>
          <w:szCs w:val="28"/>
          <w:highlight w:val="none"/>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color w:val="auto"/>
          <w:highlight w:val="none"/>
        </w:rPr>
        <w:fldChar w:fldCharType="begin"/>
      </w:r>
      <w:r>
        <w:rPr>
          <w:color w:val="auto"/>
          <w:highlight w:val="none"/>
        </w:rPr>
        <w:instrText xml:space="preserve"> HYPERLINK "https://credit.ah.gov.cn/xinyong-fuwu/xvbahv/index.html" </w:instrText>
      </w:r>
      <w:r>
        <w:rPr>
          <w:color w:val="auto"/>
          <w:highlight w:val="none"/>
        </w:rPr>
        <w:fldChar w:fldCharType="separate"/>
      </w:r>
      <w:r>
        <w:rPr>
          <w:rFonts w:hint="eastAsia" w:ascii="仿宋_GB2312" w:hAnsi="宋体" w:eastAsia="仿宋_GB2312" w:cs="Times New Roman"/>
          <w:color w:val="auto"/>
          <w:sz w:val="28"/>
          <w:szCs w:val="28"/>
          <w:highlight w:val="none"/>
        </w:rPr>
        <w:t>https://credit.ah.gov.cn/xinyong-fuwu/xvbahv/index.html</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103495F8">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2、“信用中国”查询的严重失信行为判定依据为各行业主管部门下发的联合惩戒文件中规定的行为（按附件2执行）。</w:t>
      </w:r>
    </w:p>
    <w:p w14:paraId="13CBCF3D">
      <w:pPr>
        <w:wordWrap w:val="0"/>
        <w:adjustRightInd w:val="0"/>
        <w:snapToGrid w:val="0"/>
        <w:spacing w:line="560" w:lineRule="exact"/>
        <w:ind w:firstLine="560" w:firstLineChars="200"/>
        <w:rPr>
          <w:rFonts w:hint="eastAsia"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3、资格预审的项目以递交资格预审申请文件截止时间查询为准；资格后审的项目以递交投标文件截止时间查询为准。</w:t>
      </w:r>
    </w:p>
    <w:p w14:paraId="4BD07F35">
      <w:pPr>
        <w:wordWrap w:val="0"/>
        <w:adjustRightInd w:val="0"/>
        <w:snapToGrid w:val="0"/>
        <w:spacing w:line="560" w:lineRule="exact"/>
        <w:ind w:firstLine="560" w:firstLineChars="200"/>
        <w:rPr>
          <w:rFonts w:hint="eastAsia" w:ascii="仿宋_GB2312" w:hAnsi="宋体" w:eastAsia="仿宋_GB2312" w:cs="Times New Roman"/>
          <w:color w:val="auto"/>
          <w:sz w:val="28"/>
          <w:szCs w:val="28"/>
          <w:highlight w:val="none"/>
        </w:rPr>
      </w:pPr>
    </w:p>
    <w:p w14:paraId="3256AFDD">
      <w:pPr>
        <w:ind w:right="-92" w:rightChars="-44"/>
        <w:rPr>
          <w:rFonts w:ascii="宋体" w:hAnsi="宋体" w:eastAsia="宋体" w:cs="宋体"/>
          <w:bCs/>
          <w:color w:val="auto"/>
          <w:szCs w:val="21"/>
          <w:highlight w:val="none"/>
        </w:rPr>
      </w:pPr>
    </w:p>
    <w:p w14:paraId="2BFF6018">
      <w:pPr>
        <w:ind w:right="-92" w:rightChars="-44"/>
        <w:rPr>
          <w:rFonts w:ascii="宋体" w:hAnsi="宋体" w:eastAsia="宋体" w:cs="宋体"/>
          <w:bCs/>
          <w:color w:val="auto"/>
          <w:sz w:val="32"/>
          <w:szCs w:val="32"/>
          <w:highlight w:val="none"/>
        </w:rPr>
      </w:pPr>
    </w:p>
    <w:p w14:paraId="3B07E2F8">
      <w:pPr>
        <w:ind w:right="-92" w:rightChars="-44"/>
        <w:rPr>
          <w:rFonts w:ascii="宋体" w:hAnsi="宋体" w:eastAsia="宋体" w:cs="宋体"/>
          <w:bCs/>
          <w:color w:val="auto"/>
          <w:sz w:val="32"/>
          <w:szCs w:val="32"/>
          <w:highlight w:val="none"/>
        </w:rPr>
      </w:pPr>
    </w:p>
    <w:p w14:paraId="7CF1DC41">
      <w:pPr>
        <w:ind w:right="-92" w:rightChars="-44"/>
        <w:rPr>
          <w:rFonts w:ascii="宋体" w:hAnsi="宋体" w:eastAsia="宋体" w:cs="宋体"/>
          <w:bCs/>
          <w:color w:val="auto"/>
          <w:sz w:val="32"/>
          <w:szCs w:val="32"/>
          <w:highlight w:val="none"/>
        </w:rPr>
      </w:pPr>
    </w:p>
    <w:p w14:paraId="12052E74">
      <w:pPr>
        <w:ind w:right="-92" w:rightChars="-44"/>
        <w:rPr>
          <w:rFonts w:ascii="宋体" w:hAnsi="宋体" w:eastAsia="宋体" w:cs="宋体"/>
          <w:bCs/>
          <w:color w:val="auto"/>
          <w:sz w:val="32"/>
          <w:szCs w:val="32"/>
          <w:highlight w:val="none"/>
        </w:rPr>
      </w:pPr>
    </w:p>
    <w:p w14:paraId="28C8EDAE">
      <w:pPr>
        <w:ind w:right="-92" w:rightChars="-44"/>
        <w:rPr>
          <w:rFonts w:ascii="宋体" w:hAnsi="宋体" w:eastAsia="宋体" w:cs="宋体"/>
          <w:bCs/>
          <w:color w:val="auto"/>
          <w:sz w:val="32"/>
          <w:szCs w:val="32"/>
          <w:highlight w:val="none"/>
        </w:rPr>
      </w:pPr>
    </w:p>
    <w:p w14:paraId="26C564E2">
      <w:pPr>
        <w:ind w:right="-92" w:rightChars="-44"/>
        <w:rPr>
          <w:rFonts w:ascii="宋体" w:hAnsi="宋体" w:eastAsia="宋体" w:cs="宋体"/>
          <w:bCs/>
          <w:color w:val="auto"/>
          <w:sz w:val="32"/>
          <w:szCs w:val="32"/>
          <w:highlight w:val="none"/>
        </w:rPr>
      </w:pPr>
    </w:p>
    <w:p w14:paraId="375A4750">
      <w:pPr>
        <w:ind w:right="-92" w:rightChars="-44"/>
        <w:rPr>
          <w:rFonts w:ascii="宋体" w:hAnsi="宋体" w:eastAsia="宋体" w:cs="宋体"/>
          <w:bCs/>
          <w:color w:val="auto"/>
          <w:sz w:val="32"/>
          <w:szCs w:val="32"/>
          <w:highlight w:val="none"/>
        </w:rPr>
      </w:pPr>
    </w:p>
    <w:p w14:paraId="4550DD10">
      <w:pPr>
        <w:ind w:right="-92" w:rightChars="-44"/>
        <w:rPr>
          <w:rFonts w:ascii="宋体" w:hAnsi="宋体" w:eastAsia="宋体" w:cs="宋体"/>
          <w:bCs/>
          <w:color w:val="auto"/>
          <w:sz w:val="32"/>
          <w:szCs w:val="32"/>
          <w:highlight w:val="none"/>
        </w:rPr>
      </w:pPr>
    </w:p>
    <w:p w14:paraId="3EB4AAB8">
      <w:pPr>
        <w:keepNext/>
        <w:keepLines/>
        <w:spacing w:before="200" w:after="200" w:line="600" w:lineRule="exact"/>
        <w:outlineLvl w:val="0"/>
        <w:rPr>
          <w:rFonts w:ascii="黑体" w:hAnsi="黑体" w:eastAsia="黑体" w:cs="Times New Roman"/>
          <w:b/>
          <w:bCs/>
          <w:color w:val="auto"/>
          <w:kern w:val="44"/>
          <w:sz w:val="36"/>
          <w:szCs w:val="28"/>
          <w:highlight w:val="none"/>
        </w:rPr>
      </w:pPr>
      <w:bookmarkStart w:id="109" w:name="_Toc95223549"/>
      <w:bookmarkStart w:id="110" w:name="OLE_LINK31"/>
      <w:bookmarkStart w:id="111" w:name="OLE_LINK32"/>
      <w:bookmarkStart w:id="112" w:name="OLE_LINK41"/>
      <w:r>
        <w:rPr>
          <w:rFonts w:hint="eastAsia" w:ascii="黑体" w:hAnsi="黑体" w:eastAsia="黑体" w:cs="Times New Roman"/>
          <w:b/>
          <w:bCs/>
          <w:color w:val="auto"/>
          <w:kern w:val="44"/>
          <w:sz w:val="36"/>
          <w:szCs w:val="28"/>
          <w:highlight w:val="none"/>
        </w:rPr>
        <w:t xml:space="preserve">附件2 </w:t>
      </w:r>
      <w:bookmarkStart w:id="113" w:name="OLE_LINK75"/>
      <w:bookmarkStart w:id="114" w:name="OLE_LINK74"/>
      <w:r>
        <w:rPr>
          <w:rFonts w:hint="eastAsia" w:ascii="黑体" w:hAnsi="黑体" w:eastAsia="黑体" w:cs="Times New Roman"/>
          <w:b/>
          <w:bCs/>
          <w:color w:val="auto"/>
          <w:kern w:val="44"/>
          <w:sz w:val="36"/>
          <w:szCs w:val="28"/>
          <w:highlight w:val="none"/>
        </w:rPr>
        <w:t>“信用中国”查询的严重失信行为</w:t>
      </w:r>
      <w:bookmarkStart w:id="115" w:name="OLE_LINK76"/>
      <w:bookmarkStart w:id="116" w:name="OLE_LINK38"/>
      <w:bookmarkStart w:id="117" w:name="OLE_LINK39"/>
      <w:bookmarkStart w:id="118" w:name="OLE_LINK40"/>
      <w:r>
        <w:rPr>
          <w:rFonts w:hint="eastAsia" w:ascii="黑体" w:hAnsi="黑体" w:eastAsia="黑体" w:cs="Times New Roman"/>
          <w:b/>
          <w:bCs/>
          <w:color w:val="auto"/>
          <w:kern w:val="44"/>
          <w:sz w:val="36"/>
          <w:szCs w:val="28"/>
          <w:highlight w:val="none"/>
        </w:rPr>
        <w:t>类别及判定依据</w:t>
      </w:r>
      <w:bookmarkEnd w:id="109"/>
      <w:bookmarkEnd w:id="113"/>
      <w:bookmarkEnd w:id="114"/>
      <w:bookmarkEnd w:id="115"/>
      <w:bookmarkEnd w:id="116"/>
      <w:bookmarkEnd w:id="117"/>
      <w:bookmarkEnd w:id="118"/>
    </w:p>
    <w:bookmarkEnd w:id="110"/>
    <w:bookmarkEnd w:id="111"/>
    <w:bookmarkEnd w:id="112"/>
    <w:p w14:paraId="3DC3B626">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32"/>
          <w:szCs w:val="32"/>
          <w:highlight w:val="none"/>
        </w:rPr>
        <w:t>“</w:t>
      </w:r>
      <w:r>
        <w:rPr>
          <w:rFonts w:hint="eastAsia" w:ascii="仿宋_GB2312" w:hAnsi="宋体" w:eastAsia="仿宋_GB2312" w:cs="Times New Roman"/>
          <w:color w:val="auto"/>
          <w:sz w:val="28"/>
          <w:szCs w:val="28"/>
          <w:highlight w:val="none"/>
        </w:rPr>
        <w:t>信用中国”查询的严重失信行为判定依据为各行业主管部门下发的联合惩戒文件中规定的行为。下面将部分类别的严重失信行为列举如下：</w:t>
      </w:r>
    </w:p>
    <w:p w14:paraId="5E55DF1A">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一、安全生产领域严重失信行为：</w:t>
      </w:r>
    </w:p>
    <w:p w14:paraId="54A7B7A9">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（一）下列发生生产安全事故的生产经营单位及其有关人员应当列入严重失信主体名单：</w:t>
      </w:r>
    </w:p>
    <w:p w14:paraId="20363A26">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1、发生特别重大、重大生产安全事故的生产经营单位及其主要负责人，以及经调查认定对该事故发生负有责任，应当列入名单的其他单位和人员；</w:t>
      </w:r>
    </w:p>
    <w:p w14:paraId="694DCF98">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2、12个月内累计发生2起以上较大生产安全事故的生产经营单位及其主要负责人；</w:t>
      </w:r>
    </w:p>
    <w:p w14:paraId="264EA91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5ACCAEFC">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4、瞒报、谎报生产安全事故的生产经营单位及其有关责任人员；</w:t>
      </w:r>
    </w:p>
    <w:p w14:paraId="7991B1B3">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5、发生生产安全事故后，不立即组织抢救或者在事故调查处理期间擅离职守或者逃匿的生产经营单位主要负责人。</w:t>
      </w:r>
    </w:p>
    <w:p w14:paraId="484027F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（二）下列未发生生产安全事故，但因安全生产违法行为，受到行政处罚的生产经营单位或者机构及其有关人员，应当列入严重失信主体名单：</w:t>
      </w:r>
    </w:p>
    <w:p w14:paraId="72C62D27">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1、未依法取得安全生产相关许可或者许可被暂扣、吊销期间从事相关生产经营活动的生产经营单位及其主要负责人；</w:t>
      </w:r>
    </w:p>
    <w:p w14:paraId="5E70F975">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2、承担安全评价、认证、检测、检验职责的机构及其直接责任人员租借资质、挂靠、出具虚假报告或者证书的；</w:t>
      </w:r>
    </w:p>
    <w:p w14:paraId="409D218A">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3、在应急管理部门作出行政处罚后，有执行能力拒不执行或者逃避执行的生产经营单位及其主要负责人；</w:t>
      </w:r>
    </w:p>
    <w:p w14:paraId="4E8ACBD9">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4、其他违反安全生产法律法规受到行政处罚，且性质恶劣、情节严重的。</w:t>
      </w:r>
    </w:p>
    <w:p w14:paraId="24F295C3">
      <w:pPr>
        <w:adjustRightInd w:val="0"/>
        <w:snapToGrid w:val="0"/>
        <w:spacing w:line="560" w:lineRule="exact"/>
        <w:ind w:firstLine="645"/>
        <w:jc w:val="left"/>
        <w:rPr>
          <w:rFonts w:ascii="仿宋_GB2312" w:hAnsi="Calibri"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依据：《安全生产严重失信主体名单管理办法》</w:t>
      </w:r>
      <w:r>
        <w:rPr>
          <w:rFonts w:hint="eastAsia" w:ascii="仿宋_GB2312" w:hAnsi="Calibri" w:eastAsia="仿宋_GB2312" w:cs="Times New Roman"/>
          <w:b/>
          <w:color w:val="auto"/>
          <w:sz w:val="28"/>
          <w:szCs w:val="28"/>
          <w:highlight w:val="none"/>
        </w:rPr>
        <w:t>（2023年8月8日应急管理部令第11号）</w:t>
      </w:r>
    </w:p>
    <w:p w14:paraId="5FD438EB">
      <w:pPr>
        <w:adjustRightInd w:val="0"/>
        <w:snapToGrid w:val="0"/>
        <w:spacing w:line="560" w:lineRule="exact"/>
        <w:ind w:firstLine="645"/>
        <w:jc w:val="left"/>
        <w:rPr>
          <w:rFonts w:ascii="仿宋_GB2312" w:hAnsi="宋体" w:eastAsia="仿宋_GB2312" w:cs="Times New Roman"/>
          <w:b/>
          <w:color w:val="auto"/>
          <w:sz w:val="28"/>
          <w:szCs w:val="28"/>
          <w:highlight w:val="none"/>
        </w:rPr>
      </w:pPr>
    </w:p>
    <w:p w14:paraId="440D6291">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二、环境保护领域严重失信行为：</w:t>
      </w:r>
    </w:p>
    <w:p w14:paraId="6B8F09FB">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（一）因为环境违法构成</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"https://baike.sogou.com/m/fullLemma?lid=10403954&amp;g_ut=3"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环境犯罪</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的；</w:t>
      </w:r>
    </w:p>
    <w:p w14:paraId="5FF4D542">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（二）</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"https://baike.sogou.com/m/fullLemma?lid=76033123&amp;g_ut=3"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建设项目环境影响评价</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文件未按规定通过审批，擅自开工建设的；</w:t>
      </w:r>
    </w:p>
    <w:p w14:paraId="7655FAE5">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（三）建设项目环保设施未建成、环保措施未落实、未通过</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"https://baike.sogou.com/m/fullLemma?lid=6470550&amp;g_ut=3"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竣工环保验收</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或者验收不合格，主体工程正式投入生产或者使用的；</w:t>
      </w:r>
    </w:p>
    <w:p w14:paraId="00503389">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（四）建设项目性质、规模、地点、采用的生产工艺或者防治污染、防止生态破坏的措施发生重大变动，未重新报批环境影响评价文件，擅自投入生产或者使用的；</w:t>
      </w:r>
    </w:p>
    <w:p w14:paraId="014A6B47">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（五）主要污染物排放总量超过控制指标的；</w:t>
      </w:r>
    </w:p>
    <w:p w14:paraId="549E8F36">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（六）私设暗管或者利用</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"https://baike.sogou.com/m/fullLemma?lid=41657319&amp;g_ut=3"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渗井</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、渗坑、裂隙、溶洞等排放、倾倒、处置水污染物，或者通过私设旁路排放</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"https://baike.sogou.com/m/fullLemma?lid=7758328&amp;g_ut=3"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大气污染物</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的；</w:t>
      </w:r>
    </w:p>
    <w:p w14:paraId="2048265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（七）非法排放、倾倒、处置危险废物，或者向无</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"https://baike.sogou.com/m/fullLemma?lid=5923292&amp;g_ut=3"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经营许可证</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或者超出经营许可范围的单位或个人提供或者委托其收集、贮存、利用、处置危险废物的；</w:t>
      </w:r>
    </w:p>
    <w:p w14:paraId="57569A7B">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（八）</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"https://baike.sogou.com/m/fullLemma?lid=167759803&amp;g_ut=3"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环境违法行为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造成集中式生活饮用水水源取水中断的；</w:t>
      </w:r>
    </w:p>
    <w:p w14:paraId="082C4B57">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（九）环境违法行为对生活饮用水水源保护区、自然保护区、</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"https://baike.sogou.com/m/fullLemma?lid=155199213&amp;g_ut=3"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国家重点生态功能区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、风景名胜区、居住功能区、</w:t>
      </w:r>
      <w:r>
        <w:rPr>
          <w:rFonts w:ascii="Calibri" w:hAnsi="Calibri" w:eastAsia="宋体" w:cs="Times New Roman"/>
          <w:color w:val="auto"/>
          <w:szCs w:val="22"/>
          <w:highlight w:val="none"/>
        </w:rPr>
        <w:fldChar w:fldCharType="begin"/>
      </w:r>
      <w:r>
        <w:rPr>
          <w:rFonts w:ascii="Calibri" w:hAnsi="Calibri" w:eastAsia="宋体" w:cs="Times New Roman"/>
          <w:color w:val="auto"/>
          <w:szCs w:val="22"/>
          <w:highlight w:val="none"/>
        </w:rPr>
        <w:instrText xml:space="preserve"> HYPERLINK "https://baike.sogou.com/m/fullLemma?lid=7757164&amp;g_ut=3" \t "https://baike.sogou.com/m/_blank" </w:instrText>
      </w:r>
      <w:r>
        <w:rPr>
          <w:rFonts w:ascii="Calibri" w:hAnsi="Calibri" w:eastAsia="宋体" w:cs="Times New Roman"/>
          <w:color w:val="auto"/>
          <w:szCs w:val="22"/>
          <w:highlight w:val="none"/>
        </w:rPr>
        <w:fldChar w:fldCharType="separate"/>
      </w:r>
      <w:r>
        <w:rPr>
          <w:rFonts w:hint="eastAsia" w:ascii="仿宋_GB2312" w:hAnsi="宋体" w:eastAsia="仿宋_GB2312" w:cs="Times New Roman"/>
          <w:color w:val="auto"/>
          <w:sz w:val="28"/>
          <w:szCs w:val="28"/>
          <w:highlight w:val="none"/>
        </w:rPr>
        <w:t>基本农田保护区</w:t>
      </w:r>
      <w:r>
        <w:rPr>
          <w:rFonts w:hint="eastAsia" w:ascii="仿宋_GB2312" w:hAnsi="宋体" w:eastAsia="仿宋_GB2312" w:cs="Times New Roman"/>
          <w:color w:val="auto"/>
          <w:sz w:val="28"/>
          <w:szCs w:val="28"/>
          <w:highlight w:val="none"/>
        </w:rPr>
        <w:fldChar w:fldCharType="end"/>
      </w:r>
      <w:r>
        <w:rPr>
          <w:rFonts w:hint="eastAsia" w:ascii="仿宋_GB2312" w:hAnsi="宋体" w:eastAsia="仿宋_GB2312" w:cs="Times New Roman"/>
          <w:color w:val="auto"/>
          <w:sz w:val="28"/>
          <w:szCs w:val="28"/>
          <w:highlight w:val="none"/>
        </w:rPr>
        <w:t>等环境敏感区造成重大不利影响的；</w:t>
      </w:r>
    </w:p>
    <w:p w14:paraId="31A0D3DC">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（十）违法从事自然资源开发、交通基础设施建设，以及其他开发建设活动，造成严重生态破坏的；</w:t>
      </w:r>
    </w:p>
    <w:p w14:paraId="3630FA33">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（十一）发生较大及以上突发环境事件的；</w:t>
      </w:r>
    </w:p>
    <w:p w14:paraId="485E176A">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（十二）被环保部门挂牌督办，整改逾期未完成的；</w:t>
      </w:r>
    </w:p>
    <w:p w14:paraId="0C883D06">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（十三）以暴力、威胁等方式拒绝、阻挠环保部门工作人员现场检查的；</w:t>
      </w:r>
    </w:p>
    <w:p w14:paraId="0543CE9F">
      <w:pPr>
        <w:adjustRightInd w:val="0"/>
        <w:snapToGrid w:val="0"/>
        <w:spacing w:line="560" w:lineRule="exact"/>
        <w:ind w:firstLine="645"/>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（十四）违反重污染天气应急预案有关规定，对重污染天气响应不力的。</w:t>
      </w:r>
    </w:p>
    <w:p w14:paraId="4AA508E5">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w:t>
      </w:r>
      <w:bookmarkStart w:id="119" w:name="OLE_LINK8"/>
      <w:bookmarkStart w:id="120" w:name="OLE_LINK9"/>
      <w:bookmarkStart w:id="121" w:name="OLE_LINK10"/>
      <w:r>
        <w:rPr>
          <w:rFonts w:hint="eastAsia" w:ascii="仿宋_GB2312" w:hAnsi="宋体" w:eastAsia="仿宋_GB2312" w:cs="Times New Roman"/>
          <w:b/>
          <w:color w:val="auto"/>
          <w:sz w:val="28"/>
          <w:szCs w:val="28"/>
          <w:highlight w:val="none"/>
        </w:rPr>
        <w:t>关于对环境保护领域失信生产经营单位及其有关人员开展联合惩戒的合作备忘录</w:t>
      </w:r>
      <w:bookmarkEnd w:id="119"/>
      <w:bookmarkEnd w:id="120"/>
      <w:bookmarkEnd w:id="121"/>
      <w:r>
        <w:rPr>
          <w:rFonts w:hint="eastAsia" w:ascii="仿宋_GB2312" w:hAnsi="宋体" w:eastAsia="仿宋_GB2312" w:cs="Times New Roman"/>
          <w:b/>
          <w:color w:val="auto"/>
          <w:sz w:val="28"/>
          <w:szCs w:val="28"/>
          <w:highlight w:val="none"/>
        </w:rPr>
        <w:t>》、《</w:t>
      </w:r>
      <w:bookmarkStart w:id="122" w:name="OLE_LINK11"/>
      <w:bookmarkStart w:id="123" w:name="OLE_LINK12"/>
      <w:r>
        <w:rPr>
          <w:rFonts w:hint="eastAsia" w:ascii="仿宋_GB2312" w:hAnsi="宋体" w:eastAsia="仿宋_GB2312" w:cs="Times New Roman"/>
          <w:b/>
          <w:color w:val="auto"/>
          <w:sz w:val="28"/>
          <w:szCs w:val="28"/>
          <w:highlight w:val="none"/>
        </w:rPr>
        <w:t>企业环境信用评价办法（试行）</w:t>
      </w:r>
      <w:bookmarkEnd w:id="122"/>
      <w:bookmarkEnd w:id="123"/>
      <w:r>
        <w:rPr>
          <w:rFonts w:hint="eastAsia" w:ascii="仿宋_GB2312" w:hAnsi="宋体" w:eastAsia="仿宋_GB2312" w:cs="Times New Roman"/>
          <w:b/>
          <w:color w:val="auto"/>
          <w:sz w:val="28"/>
          <w:szCs w:val="28"/>
          <w:highlight w:val="none"/>
        </w:rPr>
        <w:t>》（环发〔2013〕150号）</w:t>
      </w:r>
    </w:p>
    <w:p w14:paraId="79850472">
      <w:pPr>
        <w:adjustRightInd w:val="0"/>
        <w:snapToGrid w:val="0"/>
        <w:spacing w:line="560" w:lineRule="exact"/>
        <w:ind w:firstLine="645"/>
        <w:jc w:val="left"/>
        <w:rPr>
          <w:rFonts w:ascii="仿宋_GB2312" w:hAnsi="宋体" w:eastAsia="仿宋_GB2312" w:cs="Times New Roman"/>
          <w:b/>
          <w:color w:val="auto"/>
          <w:sz w:val="28"/>
          <w:szCs w:val="28"/>
          <w:highlight w:val="none"/>
        </w:rPr>
      </w:pPr>
    </w:p>
    <w:p w14:paraId="4AAE297A">
      <w:pPr>
        <w:adjustRightInd w:val="0"/>
        <w:snapToGrid w:val="0"/>
        <w:spacing w:line="560" w:lineRule="exact"/>
        <w:ind w:firstLine="645"/>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三、</w:t>
      </w:r>
      <w:r>
        <w:rPr>
          <w:rFonts w:hint="eastAsia" w:ascii="仿宋_GB2312" w:hAnsi="宋体" w:eastAsia="仿宋_GB2312" w:cs="Times New Roman"/>
          <w:b/>
          <w:bCs/>
          <w:color w:val="auto"/>
          <w:sz w:val="28"/>
          <w:szCs w:val="28"/>
          <w:highlight w:val="none"/>
        </w:rPr>
        <w:t>公共资源交易领域严重失信行为</w:t>
      </w:r>
    </w:p>
    <w:p w14:paraId="6E97133D">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（一）违反法律规定，必须进行招标的项目而不招标的，将必须进行招标的项目化整为零或者以其他任何方式规避招标的； </w:t>
      </w:r>
    </w:p>
    <w:p w14:paraId="28A97B17">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（二）招标代理机构违反法律规定，泄露应当保密的与招标投标活动有关的情况和资料的，或者与招标人、投标人串通损害 国家利益、社会公共利益或者他人合法权益的；</w:t>
      </w:r>
    </w:p>
    <w:p w14:paraId="2E1A8F7D">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1EB1E04B">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56CECAB1">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（五）投标人相互串通投标或者与招标人串通投标的，投标人以向招标人或者评标委员会成员行贿的手段谋取中标的； </w:t>
      </w:r>
    </w:p>
    <w:p w14:paraId="393B922C">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（六）投标人以他人名义投标或者以其他方式弄虚作假，骗取中标的；</w:t>
      </w:r>
    </w:p>
    <w:p w14:paraId="73714DC6">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（七）依法必须进行招标的项目，招标人违反法律规定，与投标人就投标价格、投标方案等实质性内容进行谈判的；</w:t>
      </w:r>
    </w:p>
    <w:p w14:paraId="47843BFC">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73369EE9">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229B563A">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5F9D4957">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（十一）招标人与中标人不按照招标文件和中标人的投标文件订立合同的，或者招标人、中标人订立背离合同实质性内容的 协议的； </w:t>
      </w:r>
    </w:p>
    <w:p w14:paraId="288B4443">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（十二）中标人不按照与招标人订立的合同履行义务，情节严重的； </w:t>
      </w:r>
    </w:p>
    <w:p w14:paraId="3EDD9F29">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CB23F23">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14700C61">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 （十五）采购人对应当实行集中采购的政府采购项目，不委托集中采购机构实行集中采购的； </w:t>
      </w:r>
    </w:p>
    <w:p w14:paraId="0B07036C">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（十六）采购人、采购代理机构违反法律规定隐匿、销毁应当保存的采购文件或者伪造、变造采购文件的； </w:t>
      </w:r>
    </w:p>
    <w:p w14:paraId="7DB505CC">
      <w:pPr>
        <w:adjustRightInd w:val="0"/>
        <w:snapToGrid w:val="0"/>
        <w:spacing w:line="560" w:lineRule="exact"/>
        <w:ind w:firstLine="645"/>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42D168EE">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（十八）疫苗生产企业向县级疾病预防控制机构以外的单位或者个人销售第二类疫苗的； </w:t>
      </w:r>
    </w:p>
    <w:p w14:paraId="6193E734">
      <w:pPr>
        <w:adjustRightInd w:val="0"/>
        <w:snapToGrid w:val="0"/>
        <w:spacing w:line="560" w:lineRule="exact"/>
        <w:ind w:left="141" w:leftChars="67" w:firstLine="420" w:firstLineChars="150"/>
        <w:jc w:val="left"/>
        <w:rPr>
          <w:rFonts w:ascii="仿宋_GB2312" w:hAnsi="宋体"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（十九）存在其他违反公共资源交易法律法规行为的。</w:t>
      </w:r>
    </w:p>
    <w:p w14:paraId="24153E54">
      <w:pPr>
        <w:adjustRightInd w:val="0"/>
        <w:snapToGrid w:val="0"/>
        <w:spacing w:line="560" w:lineRule="exact"/>
        <w:ind w:firstLine="894" w:firstLineChars="318"/>
        <w:jc w:val="left"/>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依据：《关于对公共资源交易领域严重失信主体开展联合惩戒的备忘录》（发改法规〔2018〕457号）</w:t>
      </w:r>
    </w:p>
    <w:p w14:paraId="2123A909">
      <w:pPr>
        <w:adjustRightInd w:val="0"/>
        <w:snapToGrid w:val="0"/>
        <w:spacing w:line="560" w:lineRule="exact"/>
        <w:ind w:firstLine="645"/>
        <w:jc w:val="left"/>
        <w:rPr>
          <w:rFonts w:ascii="仿宋_GB2312" w:hAnsi="宋体" w:eastAsia="仿宋_GB2312" w:cs="Times New Roman"/>
          <w:color w:val="auto"/>
          <w:sz w:val="28"/>
          <w:szCs w:val="28"/>
          <w:highlight w:val="none"/>
        </w:rPr>
      </w:pPr>
    </w:p>
    <w:p w14:paraId="7195D52D">
      <w:pPr>
        <w:adjustRightInd w:val="0"/>
        <w:snapToGrid w:val="0"/>
        <w:spacing w:line="560" w:lineRule="exact"/>
        <w:ind w:firstLine="645"/>
        <w:jc w:val="left"/>
        <w:rPr>
          <w:rFonts w:ascii="仿宋_GB2312" w:hAnsi="宋体" w:eastAsia="仿宋_GB2312" w:cs="Times New Roman"/>
          <w:b/>
          <w:bCs/>
          <w:color w:val="auto"/>
          <w:sz w:val="28"/>
          <w:szCs w:val="28"/>
          <w:highlight w:val="none"/>
        </w:rPr>
      </w:pPr>
      <w:r>
        <w:rPr>
          <w:rFonts w:hint="eastAsia" w:ascii="仿宋_GB2312" w:hAnsi="宋体" w:eastAsia="仿宋_GB2312" w:cs="Times New Roman"/>
          <w:b/>
          <w:color w:val="auto"/>
          <w:sz w:val="28"/>
          <w:szCs w:val="28"/>
          <w:highlight w:val="none"/>
        </w:rPr>
        <w:t>四、</w:t>
      </w:r>
      <w:r>
        <w:rPr>
          <w:rFonts w:hint="eastAsia" w:ascii="仿宋_GB2312" w:hAnsi="宋体" w:eastAsia="仿宋_GB2312" w:cs="Times New Roman"/>
          <w:b/>
          <w:bCs/>
          <w:color w:val="auto"/>
          <w:sz w:val="28"/>
          <w:szCs w:val="28"/>
          <w:highlight w:val="none"/>
        </w:rPr>
        <w:t>社会保险领域严重失信行为</w:t>
      </w:r>
    </w:p>
    <w:p w14:paraId="1E15F60E">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（一）用人单位未按相关规定参加社会保险且拒不整改的； </w:t>
      </w:r>
    </w:p>
    <w:p w14:paraId="3E189F00">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（二）用人单位未如实申报社会保险缴费基数且拒不整改的； </w:t>
      </w:r>
    </w:p>
    <w:p w14:paraId="74C03EC8">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（三）应缴纳社会保险费却拒不缴纳的； </w:t>
      </w:r>
    </w:p>
    <w:p w14:paraId="246B8966">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（四）隐匿、转移、侵占、挪用社会保险费款、基金或者违规投资运营的；</w:t>
      </w:r>
    </w:p>
    <w:p w14:paraId="2734822C">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（五）以欺诈、伪造证明材料或者其他手段参加、申报社会保险和骗取社会保险基金支出或社会保险待遇的； </w:t>
      </w:r>
    </w:p>
    <w:p w14:paraId="4E511EA1">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（六）非法获取、出售或变相交易社会保险个人权益数据的； </w:t>
      </w:r>
    </w:p>
    <w:p w14:paraId="1D8A6351">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（七）社会保险服务机构违反服务协议或相关规定的； </w:t>
      </w:r>
    </w:p>
    <w:p w14:paraId="680E58BB">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3A0CAEC6">
      <w:pPr>
        <w:adjustRightInd w:val="0"/>
        <w:snapToGrid w:val="0"/>
        <w:spacing w:line="560" w:lineRule="exact"/>
        <w:ind w:left="141" w:leftChars="67" w:firstLine="420" w:firstLineChars="15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（九）其他违反法律法规规定的。</w:t>
      </w:r>
    </w:p>
    <w:p w14:paraId="61DF9EF9">
      <w:pPr>
        <w:adjustRightInd w:val="0"/>
        <w:snapToGrid w:val="0"/>
        <w:spacing w:line="560" w:lineRule="exact"/>
        <w:ind w:firstLine="551" w:firstLineChars="196"/>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b/>
          <w:color w:val="auto"/>
          <w:sz w:val="28"/>
          <w:szCs w:val="28"/>
          <w:highlight w:val="none"/>
        </w:rPr>
        <w:t>依据：《</w:t>
      </w:r>
      <w:bookmarkStart w:id="124" w:name="OLE_LINK15"/>
      <w:bookmarkStart w:id="125" w:name="OLE_LINK16"/>
      <w:r>
        <w:rPr>
          <w:rFonts w:hint="eastAsia" w:ascii="仿宋_GB2312" w:hAnsi="Calibri" w:eastAsia="仿宋_GB2312" w:cs="Times New Roman"/>
          <w:b/>
          <w:color w:val="auto"/>
          <w:sz w:val="28"/>
          <w:szCs w:val="28"/>
          <w:highlight w:val="none"/>
        </w:rPr>
        <w:t>关于对社会保险领域严重失信企业及其有关人员实施联合惩戒的合作备忘录</w:t>
      </w:r>
      <w:bookmarkEnd w:id="124"/>
      <w:bookmarkEnd w:id="125"/>
      <w:r>
        <w:rPr>
          <w:rFonts w:hint="eastAsia" w:ascii="仿宋_GB2312" w:hAnsi="Calibri" w:eastAsia="仿宋_GB2312" w:cs="Times New Roman"/>
          <w:b/>
          <w:color w:val="auto"/>
          <w:sz w:val="28"/>
          <w:szCs w:val="28"/>
          <w:highlight w:val="none"/>
        </w:rPr>
        <w:t>》（发改财金〔2018〕1704号）</w:t>
      </w:r>
    </w:p>
    <w:p w14:paraId="6CC59243">
      <w:pPr>
        <w:adjustRightInd w:val="0"/>
        <w:snapToGrid w:val="0"/>
        <w:spacing w:line="560" w:lineRule="exact"/>
        <w:jc w:val="left"/>
        <w:rPr>
          <w:rFonts w:ascii="仿宋_GB2312" w:hAnsi="宋体"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 xml:space="preserve">     </w:t>
      </w:r>
    </w:p>
    <w:p w14:paraId="4B9B899F">
      <w:pPr>
        <w:adjustRightInd w:val="0"/>
        <w:snapToGrid w:val="0"/>
        <w:spacing w:line="560" w:lineRule="exact"/>
        <w:ind w:firstLine="562" w:firstLineChars="200"/>
        <w:jc w:val="left"/>
        <w:rPr>
          <w:rFonts w:ascii="仿宋_GB2312" w:hAnsi="宋体" w:eastAsia="仿宋_GB2312" w:cs="Times New Roman"/>
          <w:b/>
          <w:bCs/>
          <w:color w:val="auto"/>
          <w:sz w:val="28"/>
          <w:szCs w:val="28"/>
          <w:highlight w:val="none"/>
        </w:rPr>
      </w:pPr>
      <w:r>
        <w:rPr>
          <w:rFonts w:hint="eastAsia" w:ascii="仿宋_GB2312" w:hAnsi="宋体" w:eastAsia="仿宋_GB2312" w:cs="Times New Roman"/>
          <w:b/>
          <w:color w:val="auto"/>
          <w:sz w:val="28"/>
          <w:szCs w:val="28"/>
          <w:highlight w:val="none"/>
        </w:rPr>
        <w:t>五、建筑市场领域</w:t>
      </w:r>
      <w:r>
        <w:rPr>
          <w:rFonts w:hint="eastAsia" w:ascii="仿宋_GB2312" w:hAnsi="宋体" w:eastAsia="仿宋_GB2312" w:cs="Times New Roman"/>
          <w:b/>
          <w:bCs/>
          <w:color w:val="auto"/>
          <w:sz w:val="28"/>
          <w:szCs w:val="28"/>
          <w:highlight w:val="none"/>
        </w:rPr>
        <w:t>严重失信行为</w:t>
      </w:r>
    </w:p>
    <w:p w14:paraId="0B59286A">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（一）利用虚假材料、以欺骗手段取得企业资质的；</w:t>
      </w:r>
    </w:p>
    <w:p w14:paraId="6DE3CC35">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（二）发生转包、出借资质，受到行政处罚的；</w:t>
      </w:r>
    </w:p>
    <w:p w14:paraId="0F5C3D22">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32C32450">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（四）经法院判决或仲裁机构裁决，认定为拖欠工程款,且拒不履行生效法律文书确定的义务的。</w:t>
      </w:r>
    </w:p>
    <w:p w14:paraId="213F876B">
      <w:pPr>
        <w:adjustRightInd w:val="0"/>
        <w:snapToGrid w:val="0"/>
        <w:spacing w:line="560" w:lineRule="exact"/>
        <w:ind w:firstLine="560" w:firstLineChars="200"/>
        <w:jc w:val="left"/>
        <w:rPr>
          <w:rFonts w:ascii="仿宋_GB2312" w:hAnsi="Calibri" w:eastAsia="仿宋_GB2312" w:cs="Times New Roman"/>
          <w:color w:val="auto"/>
          <w:sz w:val="28"/>
          <w:szCs w:val="28"/>
          <w:highlight w:val="none"/>
        </w:rPr>
      </w:pPr>
      <w:r>
        <w:rPr>
          <w:rFonts w:hint="eastAsia" w:ascii="仿宋_GB2312" w:hAnsi="Calibri" w:eastAsia="仿宋_GB2312" w:cs="Times New Roman"/>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03E3EC2F">
      <w:pPr>
        <w:ind w:firstLine="562" w:firstLineChars="200"/>
        <w:jc w:val="left"/>
        <w:rPr>
          <w:rFonts w:ascii="宋体" w:hAnsi="宋体" w:eastAsia="宋体" w:cs="Times New Roman"/>
          <w:color w:val="auto"/>
          <w:sz w:val="28"/>
          <w:szCs w:val="28"/>
          <w:highlight w:val="none"/>
        </w:rPr>
      </w:pPr>
      <w:r>
        <w:rPr>
          <w:rFonts w:hint="eastAsia" w:ascii="仿宋_GB2312" w:hAnsi="Calibri" w:eastAsia="仿宋_GB2312" w:cs="Times New Roman"/>
          <w:b/>
          <w:color w:val="auto"/>
          <w:sz w:val="28"/>
          <w:szCs w:val="28"/>
          <w:highlight w:val="none"/>
        </w:rPr>
        <w:t>依据：《</w:t>
      </w:r>
      <w:bookmarkStart w:id="126" w:name="OLE_LINK17"/>
      <w:bookmarkStart w:id="127" w:name="OLE_LINK18"/>
      <w:r>
        <w:rPr>
          <w:rFonts w:hint="eastAsia" w:ascii="仿宋_GB2312" w:hAnsi="Calibri" w:eastAsia="仿宋_GB2312" w:cs="Times New Roman"/>
          <w:b/>
          <w:color w:val="auto"/>
          <w:sz w:val="28"/>
          <w:szCs w:val="28"/>
          <w:highlight w:val="none"/>
        </w:rPr>
        <w:t>建筑市场信用管理暂行办法</w:t>
      </w:r>
      <w:bookmarkEnd w:id="126"/>
      <w:bookmarkEnd w:id="127"/>
      <w:r>
        <w:rPr>
          <w:rFonts w:hint="eastAsia" w:ascii="仿宋_GB2312" w:hAnsi="Calibri" w:eastAsia="仿宋_GB2312" w:cs="Times New Roman"/>
          <w:b/>
          <w:color w:val="auto"/>
          <w:sz w:val="28"/>
          <w:szCs w:val="28"/>
          <w:highlight w:val="none"/>
        </w:rPr>
        <w:t>》（建市〔2017〕241号）</w:t>
      </w:r>
    </w:p>
    <w:p w14:paraId="493CDA45">
      <w:pPr>
        <w:adjustRightInd w:val="0"/>
        <w:snapToGrid w:val="0"/>
        <w:spacing w:line="560" w:lineRule="exact"/>
        <w:rPr>
          <w:rFonts w:ascii="仿宋_GB2312" w:hAnsi="宋体" w:eastAsia="仿宋_GB2312" w:cs="Times New Roman"/>
          <w:b/>
          <w:color w:val="auto"/>
          <w:sz w:val="28"/>
          <w:szCs w:val="28"/>
          <w:highlight w:val="none"/>
        </w:rPr>
      </w:pPr>
    </w:p>
    <w:p w14:paraId="4878DCD2">
      <w:pPr>
        <w:adjustRightInd w:val="0"/>
        <w:snapToGrid w:val="0"/>
        <w:spacing w:line="560" w:lineRule="exact"/>
        <w:ind w:firstLine="562" w:firstLineChars="200"/>
        <w:rPr>
          <w:rFonts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六、</w:t>
      </w:r>
      <w:bookmarkStart w:id="128" w:name="OLE_LINK20"/>
      <w:bookmarkStart w:id="129" w:name="OLE_LINK19"/>
      <w:r>
        <w:rPr>
          <w:rFonts w:hint="eastAsia" w:ascii="仿宋_GB2312" w:hAnsi="宋体" w:eastAsia="仿宋_GB2312" w:cs="Times New Roman"/>
          <w:b/>
          <w:color w:val="auto"/>
          <w:sz w:val="28"/>
          <w:szCs w:val="28"/>
          <w:highlight w:val="none"/>
        </w:rPr>
        <w:t>政府采购严重失信行为</w:t>
      </w:r>
      <w:bookmarkEnd w:id="128"/>
      <w:bookmarkEnd w:id="129"/>
    </w:p>
    <w:p w14:paraId="05C0AE99">
      <w:pPr>
        <w:adjustRightInd w:val="0"/>
        <w:snapToGrid w:val="0"/>
        <w:spacing w:line="560" w:lineRule="exact"/>
        <w:ind w:firstLine="615"/>
        <w:rPr>
          <w:rFonts w:hint="eastAsia" w:ascii="仿宋_GB2312" w:hAnsi="Calibri" w:eastAsia="仿宋_GB2312" w:cs="Times New Roman"/>
          <w:color w:val="auto"/>
          <w:sz w:val="28"/>
          <w:szCs w:val="28"/>
          <w:highlight w:val="none"/>
          <w:lang w:eastAsia="zh-CN"/>
        </w:rPr>
      </w:pPr>
      <w:r>
        <w:rPr>
          <w:rFonts w:hint="eastAsia" w:ascii="仿宋_GB2312" w:hAnsi="Calibri" w:eastAsia="仿宋_GB2312" w:cs="Times New Roman"/>
          <w:color w:val="auto"/>
          <w:sz w:val="28"/>
          <w:szCs w:val="28"/>
          <w:highlight w:val="none"/>
        </w:rPr>
        <w:t>供应商、采购代理机构在三年内受到财政部门作出下列情形之一的行政处罚，列入政府采购严重违法失信行为记录名单。</w:t>
      </w:r>
    </w:p>
    <w:p w14:paraId="614BDE0B">
      <w:pPr>
        <w:adjustRightInd w:val="0"/>
        <w:snapToGrid w:val="0"/>
        <w:spacing w:line="560" w:lineRule="exact"/>
        <w:ind w:firstLine="615"/>
        <w:rPr>
          <w:rFonts w:hint="eastAsia" w:ascii="仿宋_GB2312" w:hAnsi="Calibri" w:eastAsia="仿宋_GB2312" w:cs="Times New Roman"/>
          <w:color w:val="auto"/>
          <w:sz w:val="28"/>
          <w:szCs w:val="28"/>
          <w:highlight w:val="none"/>
          <w:lang w:eastAsia="zh-CN"/>
        </w:rPr>
      </w:pPr>
      <w:r>
        <w:rPr>
          <w:rFonts w:hint="eastAsia" w:ascii="仿宋_GB2312" w:hAnsi="Calibri" w:eastAsia="仿宋_GB2312" w:cs="Times New Roman"/>
          <w:color w:val="auto"/>
          <w:sz w:val="28"/>
          <w:szCs w:val="28"/>
          <w:highlight w:val="none"/>
        </w:rPr>
        <w:t>　　（一）三万元以上罚款；</w:t>
      </w:r>
    </w:p>
    <w:p w14:paraId="7C342394">
      <w:pPr>
        <w:adjustRightInd w:val="0"/>
        <w:snapToGrid w:val="0"/>
        <w:spacing w:line="560" w:lineRule="exact"/>
        <w:ind w:firstLine="615"/>
        <w:rPr>
          <w:rFonts w:hint="eastAsia" w:ascii="仿宋_GB2312" w:hAnsi="Calibri" w:eastAsia="仿宋_GB2312" w:cs="Times New Roman"/>
          <w:color w:val="auto"/>
          <w:sz w:val="28"/>
          <w:szCs w:val="28"/>
          <w:highlight w:val="none"/>
          <w:lang w:eastAsia="zh-CN"/>
        </w:rPr>
      </w:pPr>
      <w:r>
        <w:rPr>
          <w:rFonts w:hint="eastAsia" w:ascii="仿宋_GB2312" w:hAnsi="Calibri" w:eastAsia="仿宋_GB2312" w:cs="Times New Roman"/>
          <w:color w:val="auto"/>
          <w:sz w:val="28"/>
          <w:szCs w:val="28"/>
          <w:highlight w:val="none"/>
        </w:rPr>
        <w:t>　　（二）在一至三年内禁止参加政府采购活动（处罚期限届满的除外）；</w:t>
      </w:r>
    </w:p>
    <w:p w14:paraId="3B233688">
      <w:pPr>
        <w:adjustRightInd w:val="0"/>
        <w:snapToGrid w:val="0"/>
        <w:spacing w:line="560" w:lineRule="exact"/>
        <w:ind w:firstLine="615"/>
        <w:rPr>
          <w:rFonts w:hint="eastAsia" w:ascii="仿宋_GB2312" w:hAnsi="Calibri" w:eastAsia="仿宋_GB2312" w:cs="Times New Roman"/>
          <w:color w:val="auto"/>
          <w:sz w:val="28"/>
          <w:szCs w:val="28"/>
          <w:highlight w:val="none"/>
          <w:lang w:eastAsia="zh-CN"/>
        </w:rPr>
      </w:pPr>
      <w:r>
        <w:rPr>
          <w:rFonts w:hint="eastAsia" w:ascii="仿宋_GB2312" w:hAnsi="Calibri" w:eastAsia="仿宋_GB2312" w:cs="Times New Roman"/>
          <w:color w:val="auto"/>
          <w:sz w:val="28"/>
          <w:szCs w:val="28"/>
          <w:highlight w:val="none"/>
        </w:rPr>
        <w:t>　　（三）在一至三年内禁止代理政府采购业务（处罚期限届满的除外）；</w:t>
      </w:r>
    </w:p>
    <w:p w14:paraId="25FA3381">
      <w:pPr>
        <w:adjustRightInd w:val="0"/>
        <w:snapToGrid w:val="0"/>
        <w:spacing w:line="560" w:lineRule="exact"/>
        <w:ind w:firstLine="615"/>
        <w:rPr>
          <w:rFonts w:ascii="仿宋_GB2312" w:hAnsi="Calibri" w:eastAsia="仿宋_GB2312" w:cs="Times New Roman"/>
          <w:color w:val="auto"/>
          <w:sz w:val="28"/>
          <w:szCs w:val="28"/>
          <w:highlight w:val="none"/>
        </w:rPr>
      </w:pPr>
      <w:r>
        <w:rPr>
          <w:rFonts w:hint="eastAsia" w:ascii="仿宋_GB2312" w:hAnsi="宋体" w:eastAsia="仿宋_GB2312" w:cs="Times New Roman"/>
          <w:color w:val="auto"/>
          <w:sz w:val="28"/>
          <w:szCs w:val="28"/>
          <w:highlight w:val="none"/>
        </w:rPr>
        <w:t xml:space="preserve">　 </w:t>
      </w:r>
      <w:r>
        <w:rPr>
          <w:rFonts w:hint="eastAsia" w:ascii="仿宋_GB2312" w:hAnsi="Calibri" w:eastAsia="仿宋_GB2312" w:cs="Times New Roman"/>
          <w:color w:val="auto"/>
          <w:sz w:val="28"/>
          <w:szCs w:val="28"/>
          <w:highlight w:val="none"/>
        </w:rPr>
        <w:t>（四）撤销政府采购代理机构资格（仅针对《政府采购法》第78条修改前作出的处罚决定）。</w:t>
      </w:r>
    </w:p>
    <w:p w14:paraId="332F205F">
      <w:pPr>
        <w:adjustRightInd w:val="0"/>
        <w:snapToGrid w:val="0"/>
        <w:spacing w:line="560" w:lineRule="exact"/>
        <w:ind w:firstLine="562" w:firstLineChars="200"/>
        <w:jc w:val="left"/>
        <w:rPr>
          <w:rFonts w:ascii="仿宋_GB2312" w:hAnsi="Calibri" w:eastAsia="仿宋_GB2312" w:cs="Times New Roman"/>
          <w:b/>
          <w:color w:val="auto"/>
          <w:sz w:val="28"/>
          <w:szCs w:val="28"/>
          <w:highlight w:val="none"/>
        </w:rPr>
      </w:pPr>
      <w:r>
        <w:rPr>
          <w:rFonts w:hint="eastAsia" w:ascii="仿宋_GB2312" w:hAnsi="Calibri" w:eastAsia="仿宋_GB2312" w:cs="Times New Roman"/>
          <w:b/>
          <w:color w:val="auto"/>
          <w:sz w:val="28"/>
          <w:szCs w:val="28"/>
          <w:highlight w:val="none"/>
        </w:rPr>
        <w:t>依据：《关于报送政府采购严重违法失信行为信息记录的通知》</w:t>
      </w:r>
      <w:r>
        <w:rPr>
          <w:rFonts w:ascii="Calibri" w:hAnsi="Calibri" w:eastAsia="宋体" w:cs="Times New Roman"/>
          <w:b/>
          <w:color w:val="auto"/>
          <w:sz w:val="28"/>
          <w:szCs w:val="28"/>
          <w:highlight w:val="none"/>
        </w:rPr>
        <w:t>（</w:t>
      </w:r>
      <w:r>
        <w:rPr>
          <w:rFonts w:hint="eastAsia" w:ascii="Calibri" w:hAnsi="Calibri" w:eastAsia="宋体" w:cs="Times New Roman"/>
          <w:b/>
          <w:color w:val="auto"/>
          <w:sz w:val="28"/>
          <w:szCs w:val="28"/>
          <w:highlight w:val="none"/>
        </w:rPr>
        <w:t>财办库〔</w:t>
      </w:r>
      <w:r>
        <w:rPr>
          <w:rFonts w:ascii="Calibri" w:hAnsi="Calibri" w:eastAsia="宋体" w:cs="Times New Roman"/>
          <w:b/>
          <w:color w:val="auto"/>
          <w:sz w:val="28"/>
          <w:szCs w:val="28"/>
          <w:highlight w:val="none"/>
        </w:rPr>
        <w:t>201</w:t>
      </w:r>
      <w:r>
        <w:rPr>
          <w:rFonts w:hint="eastAsia" w:ascii="Calibri" w:hAnsi="Calibri" w:eastAsia="宋体" w:cs="Times New Roman"/>
          <w:b/>
          <w:color w:val="auto"/>
          <w:sz w:val="28"/>
          <w:szCs w:val="28"/>
          <w:highlight w:val="none"/>
        </w:rPr>
        <w:t>4〕526</w:t>
      </w:r>
      <w:r>
        <w:rPr>
          <w:rFonts w:ascii="Calibri" w:hAnsi="Calibri" w:eastAsia="宋体" w:cs="Times New Roman"/>
          <w:b/>
          <w:color w:val="auto"/>
          <w:sz w:val="28"/>
          <w:szCs w:val="28"/>
          <w:highlight w:val="none"/>
        </w:rPr>
        <w:t>号）</w:t>
      </w:r>
    </w:p>
    <w:p w14:paraId="223FC066">
      <w:pPr>
        <w:adjustRightInd w:val="0"/>
        <w:snapToGrid w:val="0"/>
        <w:spacing w:line="560" w:lineRule="exact"/>
        <w:rPr>
          <w:rFonts w:ascii="仿宋_GB2312" w:hAnsi="宋体" w:eastAsia="仿宋_GB2312" w:cs="Times New Roman"/>
          <w:b/>
          <w:color w:val="auto"/>
          <w:sz w:val="28"/>
          <w:szCs w:val="28"/>
          <w:highlight w:val="none"/>
        </w:rPr>
      </w:pPr>
    </w:p>
    <w:p w14:paraId="718D5B0F">
      <w:pPr>
        <w:spacing w:line="440" w:lineRule="exact"/>
        <w:ind w:right="-92" w:rightChars="-44" w:firstLine="615"/>
        <w:rPr>
          <w:rFonts w:ascii="宋体" w:hAnsi="宋体" w:eastAsia="宋体" w:cs="宋体"/>
          <w:bCs/>
          <w:color w:val="auto"/>
          <w:sz w:val="24"/>
          <w:highlight w:val="none"/>
        </w:rPr>
      </w:pPr>
      <w:r>
        <w:rPr>
          <w:rFonts w:hint="eastAsia" w:ascii="仿宋_GB2312" w:hAnsi="宋体" w:eastAsia="仿宋_GB2312" w:cs="Times New Roman"/>
          <w:b/>
          <w:color w:val="auto"/>
          <w:sz w:val="28"/>
          <w:szCs w:val="28"/>
          <w:highlight w:val="none"/>
        </w:rPr>
        <w:t>未列出的其他类别严重失信行为，由招标人（代理机构）根据各类别行业主管部门下发的联合惩戒文件进行判断。</w:t>
      </w:r>
    </w:p>
    <w:p w14:paraId="5E311ABE">
      <w:pPr>
        <w:pStyle w:val="12"/>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7E171C7-30E1-43E1-A26A-705CBEEC7426}"/>
  </w:font>
  <w:font w:name="Arial">
    <w:panose1 w:val="020B0604020202020204"/>
    <w:charset w:val="01"/>
    <w:family w:val="swiss"/>
    <w:pitch w:val="default"/>
    <w:sig w:usb0="E0002EFF" w:usb1="C000785B" w:usb2="00000009" w:usb3="00000000" w:csb0="400001FF" w:csb1="FFFF0000"/>
    <w:embedRegular r:id="rId2" w:fontKey="{9DFAAF38-E846-4412-839C-BD666CC0DCFF}"/>
  </w:font>
  <w:font w:name="黑体">
    <w:panose1 w:val="02010609060101010101"/>
    <w:charset w:val="86"/>
    <w:family w:val="auto"/>
    <w:pitch w:val="default"/>
    <w:sig w:usb0="800002BF" w:usb1="38CF7CFA" w:usb2="00000016" w:usb3="00000000" w:csb0="00040001" w:csb1="00000000"/>
    <w:embedRegular r:id="rId3" w:fontKey="{9F3B5BB1-A692-4C38-8971-2E2152A70A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809C88B-3153-4195-98EA-8529D4AD192E}"/>
  </w:font>
  <w:font w:name="@仿宋_GB2312">
    <w:altName w:val="仿宋"/>
    <w:panose1 w:val="02010609030101010101"/>
    <w:charset w:val="86"/>
    <w:family w:val="modern"/>
    <w:pitch w:val="default"/>
    <w:sig w:usb0="00000000" w:usb1="00000000" w:usb2="00000000" w:usb3="00000000" w:csb0="00040000" w:csb1="00000000"/>
    <w:embedRegular r:id="rId5" w:fontKey="{D1533D69-64E9-4278-9005-2DB8964FB024}"/>
  </w:font>
  <w:font w:name="仿宋">
    <w:panose1 w:val="02010609060101010101"/>
    <w:charset w:val="86"/>
    <w:family w:val="modern"/>
    <w:pitch w:val="default"/>
    <w:sig w:usb0="800002BF" w:usb1="38CF7CFA" w:usb2="00000016" w:usb3="00000000" w:csb0="00040001" w:csb1="00000000"/>
    <w:embedRegular r:id="rId6" w:fontKey="{6D819FD6-14EA-4216-B33D-F84E5990D91C}"/>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仿宋_GB2312">
    <w:altName w:val="仿宋"/>
    <w:panose1 w:val="02010609030101010101"/>
    <w:charset w:val="86"/>
    <w:family w:val="auto"/>
    <w:pitch w:val="default"/>
    <w:sig w:usb0="00000000" w:usb1="00000000" w:usb2="00000000" w:usb3="00000000" w:csb0="00040000" w:csb1="00000000"/>
    <w:embedRegular r:id="rId7" w:fontKey="{9D95A7D1-9F15-49D8-BCD5-E064443856C9}"/>
  </w:font>
  <w:font w:name="方正仿宋_GB2312">
    <w:panose1 w:val="02000000000000000000"/>
    <w:charset w:val="86"/>
    <w:family w:val="auto"/>
    <w:pitch w:val="default"/>
    <w:sig w:usb0="A00002BF" w:usb1="184F6CFA" w:usb2="00000012" w:usb3="00000000" w:csb0="00040001" w:csb1="00000000"/>
    <w:embedRegular r:id="rId8" w:fontKey="{462468AA-BD54-423B-9369-A4AC7D2A724C}"/>
  </w:font>
  <w:font w:name="楷体">
    <w:panose1 w:val="02010609060101010101"/>
    <w:charset w:val="86"/>
    <w:family w:val="auto"/>
    <w:pitch w:val="default"/>
    <w:sig w:usb0="800002BF" w:usb1="38CF7CFA" w:usb2="00000016" w:usb3="00000000" w:csb0="00040001" w:csb1="00000000"/>
    <w:embedRegular r:id="rId9" w:fontKey="{BF92DF36-6A43-4593-9BD5-B5288D638236}"/>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668F2">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06B61">
                          <w:pPr>
                            <w:pStyle w:val="17"/>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6A06B61">
                    <w:pPr>
                      <w:pStyle w:val="17"/>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823F6">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03539">
                          <w:pPr>
                            <w:pStyle w:val="17"/>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90</w:t>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A03539">
                    <w:pPr>
                      <w:pStyle w:val="17"/>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90</w:t>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B95FE">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7"/>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5"/>
  </w:num>
  <w:num w:numId="4">
    <w:abstractNumId w:val="6"/>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A84053"/>
    <w:rsid w:val="01E054EB"/>
    <w:rsid w:val="01E93A1B"/>
    <w:rsid w:val="0214602E"/>
    <w:rsid w:val="03486B27"/>
    <w:rsid w:val="03C2134C"/>
    <w:rsid w:val="03C413AE"/>
    <w:rsid w:val="040A094E"/>
    <w:rsid w:val="056F201D"/>
    <w:rsid w:val="05B664D4"/>
    <w:rsid w:val="064B485A"/>
    <w:rsid w:val="068C65C4"/>
    <w:rsid w:val="07076C01"/>
    <w:rsid w:val="071C12AC"/>
    <w:rsid w:val="07A934B3"/>
    <w:rsid w:val="07BA4A57"/>
    <w:rsid w:val="07EB6287"/>
    <w:rsid w:val="0806421B"/>
    <w:rsid w:val="0980799C"/>
    <w:rsid w:val="09944B8E"/>
    <w:rsid w:val="09951550"/>
    <w:rsid w:val="0A0E19EA"/>
    <w:rsid w:val="0A6A18DB"/>
    <w:rsid w:val="0A825391"/>
    <w:rsid w:val="0A975B48"/>
    <w:rsid w:val="0AB17C0E"/>
    <w:rsid w:val="0AEF3828"/>
    <w:rsid w:val="0B406381"/>
    <w:rsid w:val="0BB452AA"/>
    <w:rsid w:val="0BBB665B"/>
    <w:rsid w:val="0BDC700F"/>
    <w:rsid w:val="0C595C85"/>
    <w:rsid w:val="0D3B1FC6"/>
    <w:rsid w:val="0EEA6FC1"/>
    <w:rsid w:val="0F790928"/>
    <w:rsid w:val="10CD72BB"/>
    <w:rsid w:val="12197477"/>
    <w:rsid w:val="131B5CD3"/>
    <w:rsid w:val="133E02C4"/>
    <w:rsid w:val="13776448"/>
    <w:rsid w:val="14263231"/>
    <w:rsid w:val="1466407E"/>
    <w:rsid w:val="14834E28"/>
    <w:rsid w:val="148E7D65"/>
    <w:rsid w:val="15231BF9"/>
    <w:rsid w:val="15C4546D"/>
    <w:rsid w:val="191173C1"/>
    <w:rsid w:val="19DD2D01"/>
    <w:rsid w:val="1A064976"/>
    <w:rsid w:val="1A3B68AA"/>
    <w:rsid w:val="1A3E1C1E"/>
    <w:rsid w:val="1B5A4701"/>
    <w:rsid w:val="1B6F4F40"/>
    <w:rsid w:val="1C141836"/>
    <w:rsid w:val="1C76537D"/>
    <w:rsid w:val="1D24052A"/>
    <w:rsid w:val="1DEF28E6"/>
    <w:rsid w:val="1E6B6A14"/>
    <w:rsid w:val="1F6115C2"/>
    <w:rsid w:val="1FE80168"/>
    <w:rsid w:val="20202956"/>
    <w:rsid w:val="20550D9A"/>
    <w:rsid w:val="205545EA"/>
    <w:rsid w:val="215F7913"/>
    <w:rsid w:val="218E2416"/>
    <w:rsid w:val="21B75E11"/>
    <w:rsid w:val="21C31F1F"/>
    <w:rsid w:val="226915FE"/>
    <w:rsid w:val="229273EC"/>
    <w:rsid w:val="23BC656D"/>
    <w:rsid w:val="241804A5"/>
    <w:rsid w:val="24B97929"/>
    <w:rsid w:val="24D632D7"/>
    <w:rsid w:val="2621364C"/>
    <w:rsid w:val="27323351"/>
    <w:rsid w:val="27D65DBA"/>
    <w:rsid w:val="285F40CA"/>
    <w:rsid w:val="289E1AF0"/>
    <w:rsid w:val="28C01ECB"/>
    <w:rsid w:val="290275F9"/>
    <w:rsid w:val="296138D0"/>
    <w:rsid w:val="29BF71E3"/>
    <w:rsid w:val="29D6387F"/>
    <w:rsid w:val="2A127B63"/>
    <w:rsid w:val="2A451A6C"/>
    <w:rsid w:val="2A990D4C"/>
    <w:rsid w:val="2AAA4765"/>
    <w:rsid w:val="2AC21606"/>
    <w:rsid w:val="2AD63D42"/>
    <w:rsid w:val="2B3060CD"/>
    <w:rsid w:val="2B7E7608"/>
    <w:rsid w:val="2B7F04E9"/>
    <w:rsid w:val="2B8B554A"/>
    <w:rsid w:val="2CDA07B4"/>
    <w:rsid w:val="2D496D68"/>
    <w:rsid w:val="2E7A48DE"/>
    <w:rsid w:val="2EBA5177"/>
    <w:rsid w:val="2EDC3ED8"/>
    <w:rsid w:val="2F104B00"/>
    <w:rsid w:val="2F6351B4"/>
    <w:rsid w:val="2FC86126"/>
    <w:rsid w:val="2FCF199E"/>
    <w:rsid w:val="2FE34275"/>
    <w:rsid w:val="2FE760BA"/>
    <w:rsid w:val="30483E83"/>
    <w:rsid w:val="30BF3991"/>
    <w:rsid w:val="310315DB"/>
    <w:rsid w:val="3111619A"/>
    <w:rsid w:val="319775DB"/>
    <w:rsid w:val="31B139DC"/>
    <w:rsid w:val="32497AF3"/>
    <w:rsid w:val="343C0775"/>
    <w:rsid w:val="356C50EC"/>
    <w:rsid w:val="36137E45"/>
    <w:rsid w:val="36376E0A"/>
    <w:rsid w:val="3700166C"/>
    <w:rsid w:val="37857B97"/>
    <w:rsid w:val="37985945"/>
    <w:rsid w:val="379A1012"/>
    <w:rsid w:val="38694EE9"/>
    <w:rsid w:val="38E069CE"/>
    <w:rsid w:val="3A6818FA"/>
    <w:rsid w:val="3B365CC9"/>
    <w:rsid w:val="3B9A7B88"/>
    <w:rsid w:val="3D2C7AC8"/>
    <w:rsid w:val="3D855D12"/>
    <w:rsid w:val="3D8B42FF"/>
    <w:rsid w:val="3DE86C4C"/>
    <w:rsid w:val="3DF36A6E"/>
    <w:rsid w:val="3EBA1EE9"/>
    <w:rsid w:val="3F792F1E"/>
    <w:rsid w:val="40824826"/>
    <w:rsid w:val="40E63923"/>
    <w:rsid w:val="43A91E5B"/>
    <w:rsid w:val="449E0D39"/>
    <w:rsid w:val="45E32B26"/>
    <w:rsid w:val="463A3650"/>
    <w:rsid w:val="46461627"/>
    <w:rsid w:val="469F0116"/>
    <w:rsid w:val="46E0714F"/>
    <w:rsid w:val="47315BD2"/>
    <w:rsid w:val="475259B7"/>
    <w:rsid w:val="488302AE"/>
    <w:rsid w:val="48831CF9"/>
    <w:rsid w:val="49024C9C"/>
    <w:rsid w:val="49B1408D"/>
    <w:rsid w:val="4A7D4FD2"/>
    <w:rsid w:val="4A913C9A"/>
    <w:rsid w:val="4B1F70AC"/>
    <w:rsid w:val="4B240F94"/>
    <w:rsid w:val="4C0832E5"/>
    <w:rsid w:val="4C1907C8"/>
    <w:rsid w:val="4C3C565C"/>
    <w:rsid w:val="4C3E2B07"/>
    <w:rsid w:val="4CC254E6"/>
    <w:rsid w:val="4CCC79C7"/>
    <w:rsid w:val="4D7555C7"/>
    <w:rsid w:val="4EAE6DA0"/>
    <w:rsid w:val="4ECF79AE"/>
    <w:rsid w:val="4FE617D9"/>
    <w:rsid w:val="5016514B"/>
    <w:rsid w:val="50BD4329"/>
    <w:rsid w:val="50BD4DF3"/>
    <w:rsid w:val="50FC1A26"/>
    <w:rsid w:val="51723664"/>
    <w:rsid w:val="51CB1C78"/>
    <w:rsid w:val="51D35A9F"/>
    <w:rsid w:val="51FD6A51"/>
    <w:rsid w:val="52391104"/>
    <w:rsid w:val="526B680A"/>
    <w:rsid w:val="52836F71"/>
    <w:rsid w:val="52D26B02"/>
    <w:rsid w:val="541A5D30"/>
    <w:rsid w:val="54300F0A"/>
    <w:rsid w:val="553A0FF7"/>
    <w:rsid w:val="55C1559C"/>
    <w:rsid w:val="55F068CD"/>
    <w:rsid w:val="566C3136"/>
    <w:rsid w:val="568D04F2"/>
    <w:rsid w:val="58D04AE7"/>
    <w:rsid w:val="59D653D9"/>
    <w:rsid w:val="5A526582"/>
    <w:rsid w:val="5A5F5C77"/>
    <w:rsid w:val="5A711A0D"/>
    <w:rsid w:val="5B1613E4"/>
    <w:rsid w:val="5B50604C"/>
    <w:rsid w:val="5B78003B"/>
    <w:rsid w:val="5BC11A60"/>
    <w:rsid w:val="5C7A4D54"/>
    <w:rsid w:val="5CD23B73"/>
    <w:rsid w:val="5D144A17"/>
    <w:rsid w:val="5F00691E"/>
    <w:rsid w:val="5F127819"/>
    <w:rsid w:val="60350ED3"/>
    <w:rsid w:val="60B72AEE"/>
    <w:rsid w:val="61025188"/>
    <w:rsid w:val="61057D5F"/>
    <w:rsid w:val="6126068F"/>
    <w:rsid w:val="614D4977"/>
    <w:rsid w:val="62FD1A73"/>
    <w:rsid w:val="63133D14"/>
    <w:rsid w:val="63C60FC0"/>
    <w:rsid w:val="64BA3D7A"/>
    <w:rsid w:val="64F179BC"/>
    <w:rsid w:val="65DF0A5F"/>
    <w:rsid w:val="665704D3"/>
    <w:rsid w:val="666D151C"/>
    <w:rsid w:val="67C065A4"/>
    <w:rsid w:val="67D359C9"/>
    <w:rsid w:val="68042537"/>
    <w:rsid w:val="68FE36DD"/>
    <w:rsid w:val="694E60FC"/>
    <w:rsid w:val="69E95A08"/>
    <w:rsid w:val="6A256904"/>
    <w:rsid w:val="6AEE1907"/>
    <w:rsid w:val="6B656832"/>
    <w:rsid w:val="6BD66471"/>
    <w:rsid w:val="6C675CE6"/>
    <w:rsid w:val="6D4F4321"/>
    <w:rsid w:val="6DBE07A5"/>
    <w:rsid w:val="6DF41B82"/>
    <w:rsid w:val="6DFF7360"/>
    <w:rsid w:val="6E7A5F73"/>
    <w:rsid w:val="6E873A42"/>
    <w:rsid w:val="6EE90F9D"/>
    <w:rsid w:val="6FD74228"/>
    <w:rsid w:val="7021106F"/>
    <w:rsid w:val="71633091"/>
    <w:rsid w:val="718801FD"/>
    <w:rsid w:val="72734A09"/>
    <w:rsid w:val="73081CA5"/>
    <w:rsid w:val="74201F7D"/>
    <w:rsid w:val="7487762D"/>
    <w:rsid w:val="74C33AA4"/>
    <w:rsid w:val="75210D7A"/>
    <w:rsid w:val="75385498"/>
    <w:rsid w:val="75F37776"/>
    <w:rsid w:val="76BC207F"/>
    <w:rsid w:val="76EB4904"/>
    <w:rsid w:val="77645DCD"/>
    <w:rsid w:val="777378F5"/>
    <w:rsid w:val="777A2D3C"/>
    <w:rsid w:val="78474930"/>
    <w:rsid w:val="79074B81"/>
    <w:rsid w:val="794F0939"/>
    <w:rsid w:val="79AF0FCA"/>
    <w:rsid w:val="7A9D05C5"/>
    <w:rsid w:val="7AF9279C"/>
    <w:rsid w:val="7B870811"/>
    <w:rsid w:val="7CC51958"/>
    <w:rsid w:val="7CD53DF9"/>
    <w:rsid w:val="7D097C86"/>
    <w:rsid w:val="7E2936C3"/>
    <w:rsid w:val="7E6411B9"/>
    <w:rsid w:val="7EB46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ascii="Calibri" w:hAnsi="Calibri" w:cs="Calibri"/>
      <w:kern w:val="2"/>
      <w:sz w:val="18"/>
      <w:szCs w:val="18"/>
    </w:rPr>
  </w:style>
  <w:style w:type="paragraph" w:styleId="7">
    <w:name w:val="List Number"/>
    <w:basedOn w:val="1"/>
    <w:autoRedefine/>
    <w:semiHidden/>
    <w:unhideWhenUsed/>
    <w:qFormat/>
    <w:uiPriority w:val="99"/>
    <w:pPr>
      <w:numPr>
        <w:ilvl w:val="0"/>
        <w:numId w:val="1"/>
      </w:numPr>
    </w:p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Body Text Indent"/>
    <w:basedOn w:val="1"/>
    <w:autoRedefine/>
    <w:qFormat/>
    <w:uiPriority w:val="0"/>
    <w:pPr>
      <w:spacing w:after="120"/>
      <w:ind w:left="420" w:leftChars="200"/>
    </w:pPr>
  </w:style>
  <w:style w:type="paragraph" w:styleId="12">
    <w:name w:val="index 4"/>
    <w:basedOn w:val="1"/>
    <w:next w:val="1"/>
    <w:qFormat/>
    <w:uiPriority w:val="0"/>
    <w:pPr>
      <w:ind w:left="600" w:leftChars="600"/>
    </w:pPr>
    <w:rPr>
      <w:rFonts w:ascii="Times New Roman" w:hAnsi="Times New Roman" w:eastAsia="宋体" w:cs="Times New Roman"/>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alloon Text"/>
    <w:basedOn w:val="1"/>
    <w:link w:val="44"/>
    <w:autoRedefine/>
    <w:semiHidden/>
    <w:unhideWhenUsed/>
    <w:qFormat/>
    <w:uiPriority w:val="99"/>
    <w:rPr>
      <w:sz w:val="18"/>
      <w:szCs w:val="18"/>
    </w:rPr>
  </w:style>
  <w:style w:type="paragraph" w:styleId="17">
    <w:name w:val="footer"/>
    <w:basedOn w:val="1"/>
    <w:link w:val="49"/>
    <w:autoRedefine/>
    <w:unhideWhenUsed/>
    <w:qFormat/>
    <w:uiPriority w:val="99"/>
    <w:pPr>
      <w:tabs>
        <w:tab w:val="center" w:pos="4153"/>
        <w:tab w:val="right" w:pos="8306"/>
      </w:tabs>
      <w:snapToGrid w:val="0"/>
      <w:jc w:val="left"/>
    </w:pPr>
    <w:rPr>
      <w:sz w:val="18"/>
      <w:szCs w:val="18"/>
    </w:rPr>
  </w:style>
  <w:style w:type="paragraph" w:styleId="18">
    <w:name w:val="envelope return"/>
    <w:basedOn w:val="1"/>
    <w:next w:val="6"/>
    <w:qFormat/>
    <w:uiPriority w:val="0"/>
    <w:pPr>
      <w:snapToGrid w:val="0"/>
    </w:pPr>
    <w:rPr>
      <w:rFonts w:ascii="Arial" w:hAnsi="Arial"/>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next w:val="23"/>
    <w:autoRedefine/>
    <w:qFormat/>
    <w:uiPriority w:val="0"/>
    <w:pPr>
      <w:spacing w:before="100" w:beforeAutospacing="1" w:after="100" w:afterAutospacing="1"/>
      <w:jc w:val="left"/>
    </w:pPr>
    <w:rPr>
      <w:rFonts w:cs="Times New Roman"/>
      <w:kern w:val="0"/>
      <w:sz w:val="24"/>
    </w:rPr>
  </w:style>
  <w:style w:type="paragraph" w:customStyle="1" w:styleId="23">
    <w:name w:val="正文文字 8"/>
    <w:basedOn w:val="1"/>
    <w:next w:val="1"/>
    <w:qFormat/>
    <w:uiPriority w:val="0"/>
    <w:pPr>
      <w:ind w:left="240"/>
    </w:pPr>
    <w:rPr>
      <w:sz w:val="16"/>
    </w:rPr>
  </w:style>
  <w:style w:type="paragraph" w:styleId="24">
    <w:name w:val="index 1"/>
    <w:basedOn w:val="1"/>
    <w:next w:val="1"/>
    <w:autoRedefine/>
    <w:qFormat/>
    <w:uiPriority w:val="0"/>
    <w:pPr>
      <w:jc w:val="center"/>
    </w:pPr>
    <w:rPr>
      <w:rFonts w:ascii="Arial" w:hAnsi="Arial" w:eastAsia="Arial" w:cs="Arial"/>
      <w:b/>
      <w:bCs/>
      <w:sz w:val="28"/>
    </w:rPr>
  </w:style>
  <w:style w:type="paragraph" w:styleId="25">
    <w:name w:val="annotation subject"/>
    <w:basedOn w:val="9"/>
    <w:next w:val="9"/>
    <w:link w:val="71"/>
    <w:autoRedefine/>
    <w:semiHidden/>
    <w:unhideWhenUsed/>
    <w:qFormat/>
    <w:uiPriority w:val="99"/>
    <w:rPr>
      <w:rFonts w:ascii="@仿宋_GB2312" w:hAnsi="@仿宋_GB2312" w:eastAsia="@仿宋_GB2312" w:cs="@仿宋_GB2312"/>
      <w:b/>
      <w:bCs/>
    </w:rPr>
  </w:style>
  <w:style w:type="paragraph" w:styleId="26">
    <w:name w:val="Body Text First Indent"/>
    <w:basedOn w:val="10"/>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rPr>
      <w:sz w:val="21"/>
    </w:r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hint="default"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rPr>
  </w:style>
  <w:style w:type="character" w:styleId="43">
    <w:name w:val="HTML Sample"/>
    <w:basedOn w:val="30"/>
    <w:semiHidden/>
    <w:unhideWhenUsed/>
    <w:qFormat/>
    <w:uiPriority w:val="99"/>
    <w:rPr>
      <w:rFonts w:ascii="monospace" w:hAnsi="monospace" w:eastAsia="monospace" w:cs="monospace"/>
    </w:rPr>
  </w:style>
  <w:style w:type="character" w:customStyle="1" w:styleId="44">
    <w:name w:val="批注框文本 Char"/>
    <w:basedOn w:val="30"/>
    <w:link w:val="16"/>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7"/>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9"/>
    <w:autoRedefine/>
    <w:qFormat/>
    <w:uiPriority w:val="0"/>
    <w:rPr>
      <w:rFonts w:ascii="Arial" w:hAnsi="Arial" w:eastAsia="黑体" w:cs="Arial"/>
      <w:szCs w:val="20"/>
    </w:rPr>
  </w:style>
  <w:style w:type="character" w:customStyle="1" w:styleId="61">
    <w:name w:val="标题 1 Char"/>
    <w:basedOn w:val="30"/>
    <w:link w:val="2"/>
    <w:autoRedefine/>
    <w:qFormat/>
    <w:uiPriority w:val="9"/>
    <w:rPr>
      <w:rFonts w:ascii="@仿宋_GB2312" w:hAnsi="@仿宋_GB2312" w:eastAsia="@仿宋_GB2312" w:cs="@仿宋_GB2312"/>
      <w:b/>
      <w:bCs/>
      <w:kern w:val="44"/>
      <w:sz w:val="44"/>
      <w:szCs w:val="44"/>
    </w:rPr>
  </w:style>
  <w:style w:type="paragraph" w:customStyle="1" w:styleId="62">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4"/>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5"/>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5">
    <w:name w:val="列出段落1"/>
    <w:basedOn w:val="1"/>
    <w:autoRedefine/>
    <w:qFormat/>
    <w:uiPriority w:val="0"/>
    <w:pPr>
      <w:ind w:firstLine="420" w:firstLineChars="200"/>
    </w:pPr>
    <w:rPr>
      <w:szCs w:val="21"/>
    </w:rPr>
  </w:style>
  <w:style w:type="paragraph" w:customStyle="1" w:styleId="76">
    <w:name w:val="样式1无缩进"/>
    <w:basedOn w:val="1"/>
    <w:autoRedefine/>
    <w:qFormat/>
    <w:uiPriority w:val="0"/>
    <w:pPr>
      <w:ind w:firstLine="0" w:firstLineChars="0"/>
    </w:pPr>
  </w:style>
  <w:style w:type="character" w:customStyle="1" w:styleId="77">
    <w:name w:val="hover"/>
    <w:basedOn w:val="30"/>
    <w:qFormat/>
    <w:uiPriority w:val="0"/>
  </w:style>
  <w:style w:type="character" w:customStyle="1" w:styleId="78">
    <w:name w:val="hover1"/>
    <w:basedOn w:val="30"/>
    <w:qFormat/>
    <w:uiPriority w:val="0"/>
    <w:rPr>
      <w:color w:val="2590EB"/>
    </w:rPr>
  </w:style>
  <w:style w:type="character" w:customStyle="1" w:styleId="79">
    <w:name w:val="hover2"/>
    <w:basedOn w:val="30"/>
    <w:qFormat/>
    <w:uiPriority w:val="0"/>
    <w:rPr>
      <w:color w:val="2590EB"/>
    </w:rPr>
  </w:style>
  <w:style w:type="character" w:customStyle="1" w:styleId="80">
    <w:name w:val="hover3"/>
    <w:basedOn w:val="30"/>
    <w:qFormat/>
    <w:uiPriority w:val="0"/>
    <w:rPr>
      <w:color w:val="2590EB"/>
      <w:shd w:val="clear" w:fill="E9F4FD"/>
    </w:rPr>
  </w:style>
  <w:style w:type="character" w:customStyle="1" w:styleId="81">
    <w:name w:val="hover4"/>
    <w:basedOn w:val="30"/>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90</Pages>
  <Words>2292</Words>
  <Characters>2649</Characters>
  <Lines>244</Lines>
  <Paragraphs>68</Paragraphs>
  <TotalTime>0</TotalTime>
  <ScaleCrop>false</ScaleCrop>
  <LinksUpToDate>false</LinksUpToDate>
  <CharactersWithSpaces>2743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倪荣</dc:creator>
  <cp:lastModifiedBy>傻傻一辈子</cp:lastModifiedBy>
  <cp:lastPrinted>2019-12-07T15:18:00Z</cp:lastPrinted>
  <dcterms:modified xsi:type="dcterms:W3CDTF">2026-08-05T06:44:11Z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1C60B33A0F1D4E068AF30FD0D16C3F70_13</vt:lpwstr>
  </property>
  <property fmtid="{D5CDD505-2E9C-101B-9397-08002B2CF9AE}" pid="4" name="KSOTemplateDocerSaveRecord">
    <vt:lpwstr>eyJoZGlkIjoiMTljMDcwYWJmYjExZWQzNTVmZDAzZTYwM2JlMzJmZDYiLCJ1c2VySWQiOiIzODU2Mzk2OTQifQ==</vt:lpwstr>
  </property>
</Properties>
</file>