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148CC9">
      <w:pPr>
        <w:jc w:val="center"/>
        <w:rPr>
          <w:rFonts w:ascii="宋体" w:hAnsi="宋体" w:cs="宋体"/>
          <w:b/>
          <w:kern w:val="0"/>
          <w:sz w:val="44"/>
          <w:szCs w:val="44"/>
          <w:highlight w:val="none"/>
        </w:rPr>
      </w:pPr>
      <w:bookmarkStart w:id="0" w:name="_Toc15058843"/>
      <w:bookmarkStart w:id="1" w:name="_Toc506107265"/>
      <w:bookmarkStart w:id="2" w:name="_Toc461631222"/>
      <w:bookmarkStart w:id="3" w:name="_Toc324404811"/>
      <w:bookmarkStart w:id="4" w:name="_Toc246996898"/>
      <w:bookmarkStart w:id="5" w:name="_Toc296602400"/>
      <w:bookmarkStart w:id="6" w:name="_Toc247085669"/>
      <w:bookmarkStart w:id="7" w:name="OLE_LINK2"/>
      <w:bookmarkStart w:id="8" w:name="OLE_LINK3"/>
      <w:bookmarkStart w:id="9" w:name="OLE_LINK1"/>
      <w:bookmarkStart w:id="10" w:name="OLE_LINK5"/>
      <w:bookmarkStart w:id="11" w:name="OLE_LINK4"/>
    </w:p>
    <w:p w14:paraId="03BEA7F1">
      <w:pPr>
        <w:pStyle w:val="14"/>
        <w:ind w:left="0" w:leftChars="0" w:firstLine="0" w:firstLineChars="0"/>
        <w:jc w:val="center"/>
        <w:rPr>
          <w:rFonts w:hint="eastAsia" w:hAnsi="宋体" w:cs="宋体"/>
          <w:b/>
          <w:color w:val="auto"/>
          <w:kern w:val="0"/>
          <w:sz w:val="52"/>
          <w:szCs w:val="52"/>
          <w:highlight w:val="none"/>
          <w:lang w:eastAsia="zh-CN"/>
        </w:rPr>
      </w:pPr>
    </w:p>
    <w:p w14:paraId="7C55BBF9">
      <w:pPr>
        <w:jc w:val="center"/>
        <w:rPr>
          <w:rFonts w:hint="eastAsia" w:ascii="宋体" w:hAnsi="宋体"/>
          <w:b/>
          <w:bCs/>
          <w:color w:val="auto"/>
          <w:sz w:val="96"/>
          <w:szCs w:val="96"/>
          <w:highlight w:val="none"/>
        </w:rPr>
      </w:pPr>
      <w:r>
        <w:rPr>
          <w:rFonts w:hint="eastAsia" w:hAnsi="宋体" w:cs="宋体"/>
          <w:b/>
          <w:color w:val="auto"/>
          <w:kern w:val="0"/>
          <w:sz w:val="56"/>
          <w:szCs w:val="56"/>
          <w:highlight w:val="none"/>
          <w:lang w:eastAsia="zh-CN"/>
        </w:rPr>
        <w:t>2026年度</w:t>
      </w:r>
      <w:r>
        <w:rPr>
          <w:rFonts w:hint="eastAsia" w:hAnsi="宋体" w:cs="宋体"/>
          <w:b/>
          <w:color w:val="auto"/>
          <w:kern w:val="0"/>
          <w:sz w:val="56"/>
          <w:szCs w:val="56"/>
          <w:highlight w:val="none"/>
          <w:lang w:val="en-US" w:eastAsia="zh-CN"/>
        </w:rPr>
        <w:t>新能源</w:t>
      </w:r>
      <w:r>
        <w:rPr>
          <w:rFonts w:hint="eastAsia" w:hAnsi="宋体" w:cs="宋体"/>
          <w:b/>
          <w:color w:val="auto"/>
          <w:kern w:val="0"/>
          <w:sz w:val="56"/>
          <w:szCs w:val="56"/>
          <w:highlight w:val="none"/>
          <w:lang w:eastAsia="zh-CN"/>
        </w:rPr>
        <w:t>工程检测（含见证取样检测）项目</w:t>
      </w:r>
    </w:p>
    <w:p w14:paraId="7D884F81">
      <w:pPr>
        <w:jc w:val="center"/>
        <w:rPr>
          <w:rFonts w:hint="eastAsia" w:ascii="宋体" w:hAnsi="宋体"/>
          <w:b/>
          <w:bCs/>
          <w:color w:val="auto"/>
          <w:sz w:val="96"/>
          <w:szCs w:val="96"/>
          <w:highlight w:val="none"/>
        </w:rPr>
      </w:pPr>
    </w:p>
    <w:p w14:paraId="4BB8E937">
      <w:pPr>
        <w:jc w:val="center"/>
        <w:rPr>
          <w:color w:val="auto"/>
          <w:sz w:val="28"/>
          <w:szCs w:val="28"/>
          <w:highlight w:val="none"/>
        </w:rPr>
      </w:pPr>
      <w:r>
        <w:rPr>
          <w:rFonts w:hint="eastAsia" w:ascii="宋体" w:hAnsi="宋体"/>
          <w:b/>
          <w:bCs/>
          <w:color w:val="auto"/>
          <w:sz w:val="96"/>
          <w:szCs w:val="96"/>
          <w:highlight w:val="none"/>
        </w:rPr>
        <w:t>招</w:t>
      </w:r>
      <w:r>
        <w:rPr>
          <w:rFonts w:hint="eastAsia" w:ascii="宋体" w:hAnsi="宋体"/>
          <w:b/>
          <w:bCs/>
          <w:color w:val="auto"/>
          <w:sz w:val="96"/>
          <w:szCs w:val="96"/>
          <w:highlight w:val="none"/>
          <w:lang w:val="en-US" w:eastAsia="zh-CN"/>
        </w:rPr>
        <w:t xml:space="preserve"> </w:t>
      </w:r>
      <w:r>
        <w:rPr>
          <w:rFonts w:hint="eastAsia" w:ascii="宋体"/>
          <w:b/>
          <w:bCs/>
          <w:color w:val="auto"/>
          <w:sz w:val="96"/>
          <w:szCs w:val="96"/>
          <w:highlight w:val="none"/>
        </w:rPr>
        <w:t>标</w:t>
      </w:r>
      <w:r>
        <w:rPr>
          <w:rFonts w:hint="eastAsia" w:ascii="宋体"/>
          <w:b/>
          <w:bCs/>
          <w:color w:val="auto"/>
          <w:sz w:val="96"/>
          <w:szCs w:val="96"/>
          <w:highlight w:val="none"/>
          <w:lang w:val="en-US" w:eastAsia="zh-CN"/>
        </w:rPr>
        <w:t xml:space="preserve"> </w:t>
      </w:r>
      <w:r>
        <w:rPr>
          <w:rFonts w:hint="eastAsia" w:ascii="宋体" w:hAnsi="宋体"/>
          <w:b/>
          <w:bCs/>
          <w:color w:val="auto"/>
          <w:sz w:val="96"/>
          <w:szCs w:val="96"/>
          <w:highlight w:val="none"/>
        </w:rPr>
        <w:t>文</w:t>
      </w:r>
      <w:r>
        <w:rPr>
          <w:rFonts w:hint="eastAsia" w:ascii="宋体" w:hAnsi="宋体"/>
          <w:b/>
          <w:bCs/>
          <w:color w:val="auto"/>
          <w:sz w:val="96"/>
          <w:szCs w:val="96"/>
          <w:highlight w:val="none"/>
          <w:lang w:val="en-US" w:eastAsia="zh-CN"/>
        </w:rPr>
        <w:t xml:space="preserve"> </w:t>
      </w:r>
      <w:r>
        <w:rPr>
          <w:rFonts w:hint="eastAsia" w:ascii="宋体" w:hAnsi="宋体"/>
          <w:b/>
          <w:bCs/>
          <w:color w:val="auto"/>
          <w:sz w:val="96"/>
          <w:szCs w:val="96"/>
          <w:highlight w:val="none"/>
        </w:rPr>
        <w:t>件</w:t>
      </w:r>
    </w:p>
    <w:p w14:paraId="201544BF">
      <w:pPr>
        <w:spacing w:line="400" w:lineRule="exact"/>
        <w:jc w:val="center"/>
        <w:rPr>
          <w:rFonts w:ascii="宋体" w:hAnsi="宋体"/>
          <w:b/>
          <w:color w:val="auto"/>
          <w:sz w:val="39"/>
          <w:highlight w:val="none"/>
        </w:rPr>
      </w:pPr>
    </w:p>
    <w:p w14:paraId="3187D452">
      <w:pPr>
        <w:spacing w:line="400" w:lineRule="exact"/>
        <w:rPr>
          <w:color w:val="auto"/>
          <w:highlight w:val="none"/>
        </w:rPr>
      </w:pPr>
    </w:p>
    <w:p w14:paraId="307F53F6">
      <w:pPr>
        <w:pStyle w:val="14"/>
        <w:jc w:val="center"/>
        <w:rPr>
          <w:rFonts w:hint="eastAsia"/>
          <w:color w:val="auto"/>
          <w:highlight w:val="none"/>
          <w:lang w:val="en-US" w:eastAsia="zh-CN"/>
        </w:rPr>
      </w:pPr>
      <w:r>
        <w:rPr>
          <w:rFonts w:hint="eastAsia"/>
          <w:color w:val="auto"/>
          <w:highlight w:val="none"/>
          <w:lang w:val="en-US" w:eastAsia="zh-CN"/>
        </w:rPr>
        <w:t>项目编号：HXJY1110001064109001</w:t>
      </w:r>
    </w:p>
    <w:p w14:paraId="691FE4D6">
      <w:pPr>
        <w:rPr>
          <w:color w:val="auto"/>
          <w:highlight w:val="none"/>
        </w:rPr>
      </w:pPr>
    </w:p>
    <w:p w14:paraId="7E411827">
      <w:pPr>
        <w:pStyle w:val="14"/>
        <w:rPr>
          <w:color w:val="auto"/>
          <w:highlight w:val="none"/>
        </w:rPr>
      </w:pPr>
    </w:p>
    <w:p w14:paraId="6CF62471">
      <w:pPr>
        <w:rPr>
          <w:color w:val="auto"/>
          <w:highlight w:val="none"/>
        </w:rPr>
      </w:pPr>
    </w:p>
    <w:p w14:paraId="276FE2C2">
      <w:pPr>
        <w:pStyle w:val="14"/>
        <w:rPr>
          <w:color w:val="auto"/>
          <w:highlight w:val="none"/>
        </w:rPr>
      </w:pPr>
    </w:p>
    <w:p w14:paraId="3BD0CE75">
      <w:pPr>
        <w:rPr>
          <w:color w:val="auto"/>
          <w:highlight w:val="none"/>
        </w:rPr>
      </w:pPr>
    </w:p>
    <w:p w14:paraId="31EEA548">
      <w:pPr>
        <w:pStyle w:val="14"/>
      </w:pPr>
    </w:p>
    <w:p w14:paraId="6EBADFFD"/>
    <w:p w14:paraId="57C971B3">
      <w:pPr>
        <w:pStyle w:val="14"/>
      </w:pPr>
    </w:p>
    <w:p w14:paraId="34E1CE7D">
      <w:pPr>
        <w:spacing w:line="720" w:lineRule="exact"/>
        <w:rPr>
          <w:b/>
          <w:bCs/>
          <w:color w:val="auto"/>
          <w:sz w:val="28"/>
          <w:szCs w:val="28"/>
          <w:highlight w:val="none"/>
        </w:rPr>
      </w:pPr>
    </w:p>
    <w:p w14:paraId="600C11DF">
      <w:pPr>
        <w:spacing w:line="800" w:lineRule="exact"/>
        <w:ind w:firstLine="600" w:firstLineChars="200"/>
        <w:rPr>
          <w:rFonts w:hint="default" w:ascii="宋体" w:hAnsi="Times New Roman" w:eastAsia="宋体" w:cs="Times New Roman"/>
          <w:sz w:val="30"/>
          <w:szCs w:val="30"/>
          <w:highlight w:val="none"/>
          <w:u w:val="single"/>
          <w:lang w:val="en-US" w:eastAsia="zh-CN"/>
        </w:rPr>
      </w:pPr>
      <w:r>
        <w:rPr>
          <w:rFonts w:hint="eastAsia"/>
          <w:bCs/>
          <w:color w:val="auto"/>
          <w:sz w:val="30"/>
          <w:szCs w:val="30"/>
          <w:highlight w:val="none"/>
        </w:rPr>
        <w:t>招</w:t>
      </w:r>
      <w:r>
        <w:rPr>
          <w:rFonts w:hint="eastAsia"/>
          <w:bCs/>
          <w:color w:val="auto"/>
          <w:sz w:val="30"/>
          <w:szCs w:val="30"/>
          <w:highlight w:val="none"/>
          <w:lang w:val="en-US" w:eastAsia="zh-CN"/>
        </w:rPr>
        <w:t xml:space="preserve">  </w:t>
      </w:r>
      <w:r>
        <w:rPr>
          <w:rFonts w:hint="eastAsia"/>
          <w:bCs/>
          <w:color w:val="auto"/>
          <w:sz w:val="30"/>
          <w:szCs w:val="30"/>
          <w:highlight w:val="none"/>
        </w:rPr>
        <w:t>标</w:t>
      </w:r>
      <w:r>
        <w:rPr>
          <w:rFonts w:hint="eastAsia"/>
          <w:bCs/>
          <w:color w:val="auto"/>
          <w:sz w:val="30"/>
          <w:szCs w:val="30"/>
          <w:highlight w:val="none"/>
          <w:lang w:val="en-US" w:eastAsia="zh-CN"/>
        </w:rPr>
        <w:t xml:space="preserve">  人</w:t>
      </w:r>
      <w:r>
        <w:rPr>
          <w:rFonts w:hint="eastAsia"/>
          <w:bCs/>
          <w:color w:val="auto"/>
          <w:sz w:val="30"/>
          <w:szCs w:val="30"/>
          <w:highlight w:val="none"/>
        </w:rPr>
        <w:t>：</w:t>
      </w:r>
      <w:r>
        <w:rPr>
          <w:rFonts w:hint="eastAsia"/>
          <w:bCs/>
          <w:color w:val="auto"/>
          <w:sz w:val="30"/>
          <w:szCs w:val="30"/>
          <w:highlight w:val="none"/>
          <w:u w:val="single"/>
          <w:lang w:val="en-US" w:eastAsia="zh-CN"/>
        </w:rPr>
        <w:t xml:space="preserve">   </w:t>
      </w:r>
      <w:r>
        <w:rPr>
          <w:rFonts w:hint="eastAsia" w:ascii="宋体" w:cs="Times New Roman"/>
          <w:sz w:val="30"/>
          <w:szCs w:val="30"/>
          <w:highlight w:val="none"/>
          <w:u w:val="single"/>
          <w:lang w:eastAsia="zh-CN"/>
        </w:rPr>
        <w:t>滁州市翼然新能源开发有限公司</w:t>
      </w:r>
      <w:r>
        <w:rPr>
          <w:rFonts w:hint="eastAsia" w:ascii="宋体" w:cs="Times New Roman"/>
          <w:sz w:val="30"/>
          <w:szCs w:val="30"/>
          <w:highlight w:val="none"/>
          <w:u w:val="single"/>
          <w:lang w:val="en-US" w:eastAsia="zh-CN"/>
        </w:rPr>
        <w:t xml:space="preserve"> </w:t>
      </w:r>
    </w:p>
    <w:p w14:paraId="2C39D907">
      <w:pPr>
        <w:spacing w:line="800" w:lineRule="exact"/>
        <w:ind w:firstLine="600" w:firstLineChars="200"/>
        <w:rPr>
          <w:bCs/>
          <w:spacing w:val="-20"/>
          <w:sz w:val="30"/>
          <w:szCs w:val="30"/>
          <w:highlight w:val="none"/>
          <w:u w:val="thick"/>
        </w:rPr>
      </w:pPr>
      <w:r>
        <w:rPr>
          <w:rFonts w:hint="eastAsia"/>
          <w:bCs/>
          <w:sz w:val="30"/>
          <w:szCs w:val="30"/>
          <w:highlight w:val="none"/>
        </w:rPr>
        <w:t>招标代理机构：</w:t>
      </w:r>
      <w:r>
        <w:rPr>
          <w:rFonts w:hint="eastAsia" w:ascii="宋体"/>
          <w:sz w:val="30"/>
          <w:szCs w:val="30"/>
          <w:highlight w:val="none"/>
          <w:u w:val="single"/>
        </w:rPr>
        <w:t>滁州市城投工程咨询管理有限公司</w:t>
      </w:r>
    </w:p>
    <w:p w14:paraId="529E7FC8">
      <w:pPr>
        <w:spacing w:line="720" w:lineRule="exact"/>
        <w:jc w:val="center"/>
        <w:rPr>
          <w:rFonts w:ascii="黑体" w:eastAsia="黑体"/>
          <w:b/>
          <w:color w:val="auto"/>
          <w:sz w:val="32"/>
          <w:szCs w:val="32"/>
          <w:highlight w:val="none"/>
        </w:rPr>
      </w:pPr>
      <w:r>
        <w:rPr>
          <w:rFonts w:ascii="宋体" w:hAnsi="宋体"/>
          <w:color w:val="auto"/>
          <w:sz w:val="30"/>
          <w:szCs w:val="30"/>
          <w:highlight w:val="none"/>
          <w:u w:val="single"/>
        </w:rPr>
        <w:t>202</w:t>
      </w:r>
      <w:r>
        <w:rPr>
          <w:rFonts w:hint="eastAsia" w:ascii="宋体" w:hAnsi="宋体"/>
          <w:color w:val="auto"/>
          <w:sz w:val="30"/>
          <w:szCs w:val="30"/>
          <w:highlight w:val="none"/>
          <w:u w:val="single"/>
          <w:lang w:val="en-US" w:eastAsia="zh-CN"/>
        </w:rPr>
        <w:t>6</w:t>
      </w:r>
      <w:r>
        <w:rPr>
          <w:rFonts w:hint="eastAsia" w:ascii="宋体" w:hAnsi="宋体"/>
          <w:color w:val="auto"/>
          <w:sz w:val="30"/>
          <w:szCs w:val="30"/>
          <w:highlight w:val="none"/>
        </w:rPr>
        <w:t>年</w:t>
      </w:r>
      <w:r>
        <w:rPr>
          <w:rFonts w:hint="eastAsia" w:ascii="宋体" w:hAnsi="宋体"/>
          <w:color w:val="auto"/>
          <w:sz w:val="30"/>
          <w:szCs w:val="30"/>
          <w:highlight w:val="none"/>
          <w:u w:val="single"/>
          <w:lang w:val="en-US" w:eastAsia="zh-CN"/>
        </w:rPr>
        <w:t>9</w:t>
      </w:r>
      <w:r>
        <w:rPr>
          <w:rFonts w:hint="eastAsia" w:ascii="宋体" w:hAnsi="宋体"/>
          <w:color w:val="auto"/>
          <w:sz w:val="30"/>
          <w:szCs w:val="30"/>
          <w:highlight w:val="none"/>
        </w:rPr>
        <w:t>月</w:t>
      </w:r>
    </w:p>
    <w:p w14:paraId="68344BF2">
      <w:pPr>
        <w:jc w:val="center"/>
        <w:rPr>
          <w:sz w:val="44"/>
          <w:szCs w:val="44"/>
          <w:highlight w:val="none"/>
        </w:rPr>
        <w:sectPr>
          <w:headerReference r:id="rId3" w:type="default"/>
          <w:footerReference r:id="rId4" w:type="default"/>
          <w:pgSz w:w="11906" w:h="16838"/>
          <w:pgMar w:top="1134" w:right="1417" w:bottom="1134" w:left="1417" w:header="851" w:footer="992" w:gutter="0"/>
          <w:cols w:space="720" w:num="1"/>
          <w:docGrid w:type="lines" w:linePitch="312" w:charSpace="0"/>
        </w:sectPr>
      </w:pPr>
    </w:p>
    <w:p w14:paraId="738D69FE">
      <w:pPr>
        <w:spacing w:line="700" w:lineRule="exact"/>
        <w:jc w:val="center"/>
        <w:rPr>
          <w:rFonts w:hint="eastAsia"/>
          <w:sz w:val="44"/>
          <w:szCs w:val="44"/>
          <w:highlight w:val="none"/>
        </w:rPr>
      </w:pPr>
    </w:p>
    <w:p w14:paraId="09796EC2">
      <w:pPr>
        <w:spacing w:line="700" w:lineRule="exact"/>
        <w:jc w:val="center"/>
        <w:rPr>
          <w:sz w:val="44"/>
          <w:szCs w:val="44"/>
          <w:highlight w:val="none"/>
        </w:rPr>
      </w:pPr>
      <w:r>
        <w:rPr>
          <w:rFonts w:hint="eastAsia"/>
          <w:sz w:val="44"/>
          <w:szCs w:val="44"/>
          <w:highlight w:val="none"/>
        </w:rPr>
        <w:t>目   录</w:t>
      </w:r>
      <w:bookmarkEnd w:id="0"/>
      <w:bookmarkEnd w:id="1"/>
      <w:bookmarkEnd w:id="2"/>
      <w:bookmarkEnd w:id="3"/>
      <w:bookmarkEnd w:id="4"/>
      <w:bookmarkEnd w:id="5"/>
      <w:bookmarkEnd w:id="6"/>
      <w:bookmarkStart w:id="12" w:name="_Toc152042287"/>
      <w:bookmarkStart w:id="13" w:name="_Toc152045511"/>
      <w:bookmarkStart w:id="14" w:name="_Toc144974479"/>
      <w:bookmarkStart w:id="15" w:name="_Toc179632527"/>
    </w:p>
    <w:p w14:paraId="2AB96290">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招标公告信息..................................................1</w:t>
      </w:r>
    </w:p>
    <w:p w14:paraId="71FA9264">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第一章 投标人须知.............................................3</w:t>
      </w:r>
    </w:p>
    <w:p w14:paraId="7562FD93">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第二章 </w:t>
      </w:r>
      <w:r>
        <w:rPr>
          <w:rFonts w:hint="eastAsia" w:ascii="宋体" w:hAnsi="宋体" w:eastAsia="宋体" w:cs="宋体"/>
          <w:b w:val="0"/>
          <w:bCs w:val="0"/>
          <w:caps w:val="0"/>
          <w:sz w:val="24"/>
          <w:szCs w:val="24"/>
          <w:highlight w:val="none"/>
          <w:lang w:val="en-US" w:eastAsia="zh-CN"/>
        </w:rPr>
        <w:t>资格审查办法</w:t>
      </w:r>
      <w:r>
        <w:rPr>
          <w:rFonts w:hint="eastAsia" w:ascii="宋体" w:hAnsi="宋体" w:cs="宋体"/>
          <w:b w:val="0"/>
          <w:bCs w:val="0"/>
          <w:caps w:val="0"/>
          <w:sz w:val="24"/>
          <w:szCs w:val="24"/>
          <w:highlight w:val="none"/>
          <w:lang w:val="en-US" w:eastAsia="zh-CN"/>
        </w:rPr>
        <w:t>...........................................14</w:t>
      </w:r>
    </w:p>
    <w:p w14:paraId="076B34F6">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第三章 评标办法...............................................16</w:t>
      </w:r>
    </w:p>
    <w:p w14:paraId="02CBB3F5">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第四章 </w:t>
      </w:r>
      <w:r>
        <w:rPr>
          <w:rFonts w:hint="eastAsia" w:ascii="宋体" w:hAnsi="宋体" w:eastAsia="宋体" w:cs="宋体"/>
          <w:b w:val="0"/>
          <w:bCs w:val="0"/>
          <w:caps w:val="0"/>
          <w:sz w:val="24"/>
          <w:szCs w:val="24"/>
          <w:highlight w:val="none"/>
          <w:lang w:val="en-US" w:eastAsia="zh-CN"/>
        </w:rPr>
        <w:t>合同条款及格式</w:t>
      </w:r>
      <w:r>
        <w:rPr>
          <w:rFonts w:hint="eastAsia" w:ascii="宋体" w:hAnsi="宋体" w:cs="宋体"/>
          <w:b w:val="0"/>
          <w:bCs w:val="0"/>
          <w:caps w:val="0"/>
          <w:sz w:val="24"/>
          <w:szCs w:val="24"/>
          <w:highlight w:val="none"/>
          <w:lang w:val="en-US" w:eastAsia="zh-CN"/>
        </w:rPr>
        <w:t>.........................................22</w:t>
      </w:r>
    </w:p>
    <w:p w14:paraId="21B1162F">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eastAsia="宋体" w:cs="宋体"/>
          <w:b w:val="0"/>
          <w:bCs w:val="0"/>
          <w:caps w:val="0"/>
          <w:sz w:val="24"/>
          <w:szCs w:val="24"/>
          <w:highlight w:val="none"/>
          <w:lang w:val="en-US" w:eastAsia="zh-CN"/>
        </w:rPr>
        <w:t>第五章 技术标准和要求</w:t>
      </w:r>
      <w:r>
        <w:rPr>
          <w:rFonts w:hint="eastAsia" w:ascii="宋体" w:hAnsi="宋体" w:cs="宋体"/>
          <w:b w:val="0"/>
          <w:bCs w:val="0"/>
          <w:caps w:val="0"/>
          <w:sz w:val="24"/>
          <w:szCs w:val="24"/>
          <w:highlight w:val="none"/>
          <w:lang w:val="en-US" w:eastAsia="zh-CN"/>
        </w:rPr>
        <w:t>.........................................33</w:t>
      </w:r>
    </w:p>
    <w:p w14:paraId="6BF78672">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第六章 </w:t>
      </w:r>
      <w:r>
        <w:rPr>
          <w:rFonts w:hint="eastAsia" w:ascii="宋体" w:hAnsi="宋体" w:eastAsia="宋体" w:cs="宋体"/>
          <w:b w:val="0"/>
          <w:bCs w:val="0"/>
          <w:caps w:val="0"/>
          <w:sz w:val="24"/>
          <w:szCs w:val="24"/>
          <w:highlight w:val="none"/>
          <w:lang w:val="en-US" w:eastAsia="zh-CN"/>
        </w:rPr>
        <w:t>投标文件格式</w:t>
      </w:r>
      <w:r>
        <w:rPr>
          <w:rFonts w:hint="eastAsia" w:ascii="宋体" w:hAnsi="宋体" w:cs="宋体"/>
          <w:b w:val="0"/>
          <w:bCs w:val="0"/>
          <w:caps w:val="0"/>
          <w:sz w:val="24"/>
          <w:szCs w:val="24"/>
          <w:highlight w:val="none"/>
          <w:lang w:val="en-US" w:eastAsia="zh-CN"/>
        </w:rPr>
        <w:t>...........................................36</w:t>
      </w:r>
    </w:p>
    <w:p w14:paraId="21286270">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第七章 </w:t>
      </w:r>
      <w:r>
        <w:rPr>
          <w:rFonts w:hint="eastAsia" w:ascii="宋体" w:hAnsi="宋体" w:eastAsia="宋体" w:cs="宋体"/>
          <w:b w:val="0"/>
          <w:bCs w:val="0"/>
          <w:caps w:val="0"/>
          <w:sz w:val="24"/>
          <w:szCs w:val="24"/>
          <w:highlight w:val="none"/>
          <w:lang w:val="en-US" w:eastAsia="zh-CN"/>
        </w:rPr>
        <w:t>招标单位、招标代理机构对本招标文件的确认</w:t>
      </w:r>
      <w:r>
        <w:rPr>
          <w:rFonts w:hint="eastAsia" w:ascii="宋体" w:hAnsi="宋体" w:cs="宋体"/>
          <w:b w:val="0"/>
          <w:bCs w:val="0"/>
          <w:caps w:val="0"/>
          <w:sz w:val="24"/>
          <w:szCs w:val="24"/>
          <w:highlight w:val="none"/>
          <w:lang w:val="en-US" w:eastAsia="zh-CN"/>
        </w:rPr>
        <w:t>...............46</w:t>
      </w:r>
    </w:p>
    <w:p w14:paraId="35CE4D10">
      <w:pPr>
        <w:pStyle w:val="14"/>
        <w:spacing w:line="700" w:lineRule="exact"/>
        <w:ind w:left="0" w:leftChars="0" w:firstLine="480"/>
        <w:jc w:val="left"/>
        <w:rPr>
          <w:sz w:val="24"/>
          <w:szCs w:val="24"/>
          <w:highlight w:val="none"/>
        </w:rPr>
      </w:pPr>
    </w:p>
    <w:p w14:paraId="3004C8EC">
      <w:pPr>
        <w:pStyle w:val="44"/>
        <w:spacing w:line="700" w:lineRule="exact"/>
        <w:jc w:val="left"/>
        <w:rPr>
          <w:sz w:val="24"/>
          <w:szCs w:val="24"/>
          <w:highlight w:val="none"/>
        </w:rPr>
        <w:sectPr>
          <w:footerReference r:id="rId5" w:type="default"/>
          <w:pgSz w:w="11906" w:h="16838"/>
          <w:pgMar w:top="1134" w:right="1417" w:bottom="1134" w:left="1417" w:header="851" w:footer="992" w:gutter="0"/>
          <w:pgNumType w:start="1"/>
          <w:cols w:space="720" w:num="1"/>
          <w:docGrid w:type="lines" w:linePitch="312" w:charSpace="0"/>
        </w:sectPr>
      </w:pPr>
    </w:p>
    <w:bookmarkEnd w:id="12"/>
    <w:bookmarkEnd w:id="13"/>
    <w:bookmarkEnd w:id="14"/>
    <w:bookmarkEnd w:id="15"/>
    <w:p w14:paraId="2EC261B3">
      <w:pPr>
        <w:pStyle w:val="44"/>
        <w:spacing w:beforeLines="50" w:afterLines="50" w:line="440" w:lineRule="exact"/>
        <w:rPr>
          <w:bCs/>
          <w:szCs w:val="32"/>
          <w:highlight w:val="none"/>
        </w:rPr>
      </w:pPr>
      <w:bookmarkStart w:id="16" w:name="_Toc78803320"/>
      <w:bookmarkStart w:id="17" w:name="_Toc324404813"/>
      <w:bookmarkStart w:id="18" w:name="_Toc144974495"/>
      <w:bookmarkStart w:id="19" w:name="_Toc247085687"/>
      <w:bookmarkStart w:id="20" w:name="_Toc35424883"/>
      <w:bookmarkStart w:id="21" w:name="_Toc246996173"/>
      <w:bookmarkStart w:id="22" w:name="_Toc246996916"/>
      <w:bookmarkStart w:id="23" w:name="_Toc506107267"/>
      <w:bookmarkStart w:id="24" w:name="_Toc179632544"/>
      <w:bookmarkStart w:id="25" w:name="_Toc15058844"/>
      <w:bookmarkStart w:id="26" w:name="_Toc152042303"/>
      <w:bookmarkStart w:id="27" w:name="_Toc152045527"/>
      <w:bookmarkStart w:id="28" w:name="_Toc35425050"/>
      <w:r>
        <w:rPr>
          <w:rFonts w:hint="eastAsia"/>
          <w:bCs/>
          <w:color w:val="auto"/>
          <w:szCs w:val="32"/>
          <w:highlight w:val="none"/>
          <w:lang w:eastAsia="zh-CN"/>
        </w:rPr>
        <w:t>2026年度新能源工程检测（含见证取样检测）项目</w:t>
      </w:r>
      <w:r>
        <w:rPr>
          <w:rFonts w:hint="eastAsia"/>
          <w:bCs/>
          <w:color w:val="auto"/>
          <w:szCs w:val="32"/>
          <w:highlight w:val="none"/>
        </w:rPr>
        <w:t>招标</w:t>
      </w:r>
      <w:r>
        <w:rPr>
          <w:rFonts w:hint="eastAsia"/>
          <w:bCs/>
          <w:szCs w:val="32"/>
          <w:highlight w:val="none"/>
        </w:rPr>
        <w:t>公告信息</w:t>
      </w:r>
      <w:bookmarkEnd w:id="16"/>
    </w:p>
    <w:tbl>
      <w:tblPr>
        <w:tblStyle w:val="47"/>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7997"/>
      </w:tblGrid>
      <w:tr w14:paraId="48A3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4E31D11C">
            <w:pPr>
              <w:keepNext w:val="0"/>
              <w:keepLines w:val="0"/>
              <w:pageBreakBefore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07E8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3" w:type="dxa"/>
            <w:noWrap w:val="0"/>
            <w:vAlign w:val="center"/>
          </w:tcPr>
          <w:p w14:paraId="2E39E459">
            <w:pPr>
              <w:keepNext w:val="0"/>
              <w:keepLines w:val="0"/>
              <w:pageBreakBefore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7997" w:type="dxa"/>
            <w:noWrap w:val="0"/>
            <w:vAlign w:val="top"/>
          </w:tcPr>
          <w:p w14:paraId="223FE30B">
            <w:pPr>
              <w:keepNext w:val="0"/>
              <w:keepLines w:val="0"/>
              <w:pageBreakBefore w:val="0"/>
              <w:kinsoku/>
              <w:wordWrap w:val="0"/>
              <w:overflowPunct/>
              <w:topLinePunct w:val="0"/>
              <w:autoSpaceDE/>
              <w:autoSpaceDN/>
              <w:bidi w:val="0"/>
              <w:adjustRightInd/>
              <w:snapToGrid/>
              <w:spacing w:line="440" w:lineRule="exact"/>
              <w:jc w:val="left"/>
              <w:textAlignment w:val="auto"/>
              <w:rPr>
                <w:rFonts w:hint="default" w:ascii="宋体" w:hAnsi="宋体" w:eastAsia="宋体" w:cs="宋体"/>
                <w:bCs/>
                <w:color w:val="auto"/>
                <w:kern w:val="1"/>
                <w:sz w:val="21"/>
                <w:szCs w:val="21"/>
                <w:highlight w:val="none"/>
                <w:lang w:val="en-US"/>
              </w:rPr>
            </w:pPr>
            <w:r>
              <w:rPr>
                <w:rFonts w:hint="eastAsia" w:ascii="宋体" w:hAnsi="宋体" w:cs="宋体"/>
                <w:bCs/>
                <w:color w:val="auto"/>
                <w:kern w:val="1"/>
                <w:sz w:val="21"/>
                <w:szCs w:val="21"/>
                <w:highlight w:val="none"/>
                <w:lang w:eastAsia="zh-CN"/>
              </w:rPr>
              <w:t>2026年度新能源工程检测（含见证取样检测）项目</w:t>
            </w:r>
          </w:p>
        </w:tc>
      </w:tr>
      <w:tr w14:paraId="7AEE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B4E6DE0">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项目审批、核准或备案机关名称</w:t>
            </w:r>
          </w:p>
        </w:tc>
        <w:tc>
          <w:tcPr>
            <w:tcW w:w="7997" w:type="dxa"/>
            <w:noWrap w:val="0"/>
            <w:vAlign w:val="center"/>
          </w:tcPr>
          <w:p w14:paraId="224D5931">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87B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91BC43F">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批文名称及编号</w:t>
            </w:r>
          </w:p>
        </w:tc>
        <w:tc>
          <w:tcPr>
            <w:tcW w:w="7997" w:type="dxa"/>
            <w:noWrap w:val="0"/>
            <w:vAlign w:val="center"/>
          </w:tcPr>
          <w:p w14:paraId="7D9E5005">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EF6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32571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招标人</w:t>
            </w:r>
          </w:p>
        </w:tc>
        <w:tc>
          <w:tcPr>
            <w:tcW w:w="7997" w:type="dxa"/>
            <w:noWrap w:val="0"/>
            <w:vAlign w:val="center"/>
          </w:tcPr>
          <w:p w14:paraId="41AA07EF">
            <w:pPr>
              <w:keepNext w:val="0"/>
              <w:keepLines w:val="0"/>
              <w:pageBreakBefore w:val="0"/>
              <w:widowControl/>
              <w:shd w:val="clear" w:color="auto" w:fill="auto"/>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2A24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638D1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项目业主</w:t>
            </w:r>
          </w:p>
        </w:tc>
        <w:tc>
          <w:tcPr>
            <w:tcW w:w="7997" w:type="dxa"/>
            <w:noWrap w:val="0"/>
            <w:vAlign w:val="center"/>
          </w:tcPr>
          <w:p w14:paraId="3EF79F1D">
            <w:pPr>
              <w:keepNext w:val="0"/>
              <w:keepLines w:val="0"/>
              <w:pageBreakBefore w:val="0"/>
              <w:widowControl/>
              <w:shd w:val="clear" w:color="auto" w:fill="auto"/>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515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ECD1AE3">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7997" w:type="dxa"/>
            <w:noWrap w:val="0"/>
            <w:vAlign w:val="center"/>
          </w:tcPr>
          <w:p w14:paraId="13E4CD21">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自筹资金</w:t>
            </w:r>
          </w:p>
        </w:tc>
      </w:tr>
      <w:tr w14:paraId="1CA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489FD2">
            <w:pPr>
              <w:keepNext w:val="0"/>
              <w:keepLines w:val="0"/>
              <w:pageBreakBefore w:val="0"/>
              <w:widowControl/>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7997" w:type="dxa"/>
            <w:noWrap w:val="0"/>
            <w:vAlign w:val="center"/>
          </w:tcPr>
          <w:p w14:paraId="612A619C">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r w14:paraId="2F99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EFCFF6">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7997" w:type="dxa"/>
            <w:noWrap w:val="0"/>
            <w:vAlign w:val="center"/>
          </w:tcPr>
          <w:p w14:paraId="53A0BB3B">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公开招标</w:t>
            </w:r>
          </w:p>
        </w:tc>
      </w:tr>
      <w:tr w14:paraId="6288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933" w:type="dxa"/>
            <w:noWrap w:val="0"/>
            <w:vAlign w:val="center"/>
          </w:tcPr>
          <w:p w14:paraId="70C4438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7997" w:type="dxa"/>
            <w:noWrap w:val="0"/>
            <w:vAlign w:val="center"/>
          </w:tcPr>
          <w:p w14:paraId="64728417">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综合评估法</w:t>
            </w:r>
          </w:p>
        </w:tc>
      </w:tr>
      <w:tr w14:paraId="3CB3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EBFED8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1B54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A1F1B52">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7997" w:type="dxa"/>
            <w:noWrap w:val="0"/>
            <w:vAlign w:val="center"/>
          </w:tcPr>
          <w:p w14:paraId="3BB4B76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2026年度新能源工程检测（含见证取样检测）项目</w:t>
            </w:r>
          </w:p>
        </w:tc>
      </w:tr>
      <w:tr w14:paraId="488A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0B1C46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7997" w:type="dxa"/>
            <w:noWrap w:val="0"/>
            <w:vAlign w:val="center"/>
          </w:tcPr>
          <w:p w14:paraId="062D55A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szCs w:val="21"/>
                <w:highlight w:val="none"/>
                <w:lang w:val="en-US" w:eastAsia="zh-CN"/>
              </w:rPr>
              <w:t>一个标段</w:t>
            </w:r>
          </w:p>
        </w:tc>
      </w:tr>
      <w:tr w14:paraId="407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4A4EA6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7997" w:type="dxa"/>
            <w:noWrap w:val="0"/>
            <w:vAlign w:val="center"/>
          </w:tcPr>
          <w:p w14:paraId="2C527A97">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招标人指定地点（不限于滁州市内）</w:t>
            </w:r>
          </w:p>
        </w:tc>
      </w:tr>
      <w:tr w14:paraId="3A6E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BF1A7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建设规模</w:t>
            </w:r>
          </w:p>
        </w:tc>
        <w:tc>
          <w:tcPr>
            <w:tcW w:w="7997" w:type="dxa"/>
            <w:noWrap w:val="0"/>
            <w:vAlign w:val="center"/>
          </w:tcPr>
          <w:p w14:paraId="3DB75AE9">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color w:val="auto"/>
                <w:sz w:val="21"/>
                <w:szCs w:val="21"/>
                <w:highlight w:val="none"/>
                <w:lang w:eastAsia="zh-CN"/>
              </w:rPr>
              <w:t>滁州市翼然新能源开发有限公司</w:t>
            </w:r>
            <w:r>
              <w:rPr>
                <w:rFonts w:hint="eastAsia" w:hAnsi="宋体" w:cs="宋体"/>
                <w:szCs w:val="21"/>
                <w:highlight w:val="none"/>
                <w:lang w:val="en-US" w:eastAsia="zh-CN"/>
              </w:rPr>
              <w:t>合同期内</w:t>
            </w:r>
            <w:r>
              <w:rPr>
                <w:rFonts w:hint="eastAsia" w:ascii="宋体" w:hAnsi="宋体" w:eastAsia="宋体" w:cs="宋体"/>
                <w:szCs w:val="21"/>
                <w:highlight w:val="none"/>
                <w:lang w:val="en-US" w:eastAsia="zh-CN"/>
              </w:rPr>
              <w:t>所有新能源工程的</w:t>
            </w:r>
            <w:r>
              <w:rPr>
                <w:rFonts w:hint="eastAsia" w:ascii="宋体" w:hAnsi="宋体" w:cs="宋体"/>
                <w:color w:val="auto"/>
                <w:sz w:val="21"/>
                <w:szCs w:val="21"/>
                <w:highlight w:val="none"/>
                <w:lang w:eastAsia="zh-CN"/>
              </w:rPr>
              <w:t>检测（含见证取样检测）</w:t>
            </w:r>
            <w:r>
              <w:rPr>
                <w:rFonts w:hint="eastAsia" w:ascii="宋体" w:hAnsi="宋体" w:eastAsia="宋体" w:cs="宋体"/>
                <w:szCs w:val="21"/>
                <w:highlight w:val="none"/>
                <w:lang w:val="en-US" w:eastAsia="zh-CN"/>
              </w:rPr>
              <w:t>服务。</w:t>
            </w:r>
          </w:p>
        </w:tc>
      </w:tr>
      <w:tr w14:paraId="6BEC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947A">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7997" w:type="dxa"/>
            <w:noWrap w:val="0"/>
            <w:vAlign w:val="center"/>
          </w:tcPr>
          <w:p w14:paraId="241300BA">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从合同签订之日起至工程缺陷责任期满28天止，总体服务期一年</w:t>
            </w:r>
          </w:p>
        </w:tc>
      </w:tr>
      <w:tr w14:paraId="42C9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CAB73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997" w:type="dxa"/>
            <w:noWrap w:val="0"/>
            <w:vAlign w:val="center"/>
          </w:tcPr>
          <w:p w14:paraId="2450FD06">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202</w:t>
            </w:r>
            <w:r>
              <w:rPr>
                <w:rFonts w:hint="eastAsia" w:hAnsi="宋体" w:cs="宋体"/>
                <w:szCs w:val="21"/>
                <w:highlight w:val="none"/>
                <w:lang w:val="en-US" w:eastAsia="zh-CN"/>
              </w:rPr>
              <w:t>6</w:t>
            </w:r>
            <w:r>
              <w:rPr>
                <w:rFonts w:hint="eastAsia" w:ascii="宋体" w:hAnsi="宋体" w:eastAsia="宋体" w:cs="宋体"/>
                <w:szCs w:val="21"/>
                <w:highlight w:val="none"/>
                <w:lang w:val="en-US" w:eastAsia="zh-CN"/>
              </w:rPr>
              <w:t>年度内各工程的材料见证取样检测和专项检测，详见技术标准和要求</w:t>
            </w:r>
          </w:p>
        </w:tc>
      </w:tr>
      <w:tr w14:paraId="3973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B3C45E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项目类别</w:t>
            </w:r>
          </w:p>
        </w:tc>
        <w:tc>
          <w:tcPr>
            <w:tcW w:w="7997" w:type="dxa"/>
            <w:noWrap w:val="0"/>
            <w:vAlign w:val="center"/>
          </w:tcPr>
          <w:p w14:paraId="6D56053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工程检测（含见证取样检测）服务</w:t>
            </w:r>
          </w:p>
        </w:tc>
      </w:tr>
      <w:tr w14:paraId="4896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211EA0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7997" w:type="dxa"/>
            <w:noWrap w:val="0"/>
            <w:vAlign w:val="center"/>
          </w:tcPr>
          <w:p w14:paraId="27D131B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p>
        </w:tc>
      </w:tr>
      <w:tr w14:paraId="440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4CBF6E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54BA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933" w:type="dxa"/>
            <w:noWrap w:val="0"/>
            <w:vAlign w:val="center"/>
          </w:tcPr>
          <w:p w14:paraId="3D8EAA9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投标人资质要求</w:t>
            </w:r>
          </w:p>
        </w:tc>
        <w:tc>
          <w:tcPr>
            <w:tcW w:w="7997" w:type="dxa"/>
            <w:noWrap w:val="0"/>
            <w:vAlign w:val="center"/>
          </w:tcPr>
          <w:p w14:paraId="2DA74F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1.具有相应服务能力的企业；</w:t>
            </w:r>
          </w:p>
          <w:p w14:paraId="62D785C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2.具有有效的计量认证证书（CMA）。</w:t>
            </w:r>
          </w:p>
        </w:tc>
      </w:tr>
      <w:tr w14:paraId="4DC6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199D4C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7997" w:type="dxa"/>
            <w:noWrap w:val="0"/>
            <w:vAlign w:val="center"/>
          </w:tcPr>
          <w:p w14:paraId="7420975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本次招标不接受联合体投标。</w:t>
            </w:r>
          </w:p>
        </w:tc>
      </w:tr>
      <w:tr w14:paraId="7DAE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44733C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多标段投标</w:t>
            </w:r>
          </w:p>
        </w:tc>
        <w:tc>
          <w:tcPr>
            <w:tcW w:w="7997" w:type="dxa"/>
            <w:noWrap w:val="0"/>
            <w:vAlign w:val="center"/>
          </w:tcPr>
          <w:p w14:paraId="42579C26">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7B97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A907D0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color w:val="auto"/>
                <w:kern w:val="0"/>
                <w:sz w:val="21"/>
                <w:szCs w:val="21"/>
                <w:highlight w:val="none"/>
              </w:rPr>
              <w:t>其他要求</w:t>
            </w:r>
          </w:p>
        </w:tc>
        <w:tc>
          <w:tcPr>
            <w:tcW w:w="7997" w:type="dxa"/>
            <w:noWrap w:val="0"/>
            <w:vAlign w:val="center"/>
          </w:tcPr>
          <w:p w14:paraId="0F529B7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lang w:val="en-US" w:eastAsia="zh-CN"/>
              </w:rPr>
            </w:pPr>
            <w:r>
              <w:rPr>
                <w:rFonts w:hint="eastAsia"/>
              </w:rPr>
              <w:t>单位负责人为同一人或者存在控股、管理关系的不同单位，不得参加同一标段投标或者未划分标段的同一招标项目投标，违反上述规定的，相关单位投标均无效。</w:t>
            </w:r>
          </w:p>
        </w:tc>
      </w:tr>
      <w:tr w14:paraId="2329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E77D0C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729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dxa"/>
            <w:noWrap w:val="0"/>
            <w:vAlign w:val="center"/>
          </w:tcPr>
          <w:p w14:paraId="00B9B13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7997" w:type="dxa"/>
            <w:noWrap w:val="0"/>
            <w:vAlign w:val="center"/>
          </w:tcPr>
          <w:p w14:paraId="257A5F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24</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17</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分至</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10</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9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w:t>
            </w:r>
          </w:p>
        </w:tc>
      </w:tr>
      <w:tr w14:paraId="1AF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072458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000000"/>
                <w:kern w:val="0"/>
                <w:szCs w:val="21"/>
                <w:highlight w:val="none"/>
              </w:rPr>
              <w:t>获取方式</w:t>
            </w:r>
          </w:p>
        </w:tc>
        <w:tc>
          <w:tcPr>
            <w:tcW w:w="7997" w:type="dxa"/>
            <w:noWrap w:val="0"/>
            <w:vAlign w:val="center"/>
          </w:tcPr>
          <w:p w14:paraId="672A0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请于公告发布之日起从滁州市城投工程咨询管理有限公司</w:t>
            </w:r>
            <w:r>
              <w:rPr>
                <w:rFonts w:hint="eastAsia" w:cs="Times New Roman"/>
                <w:highlight w:val="none"/>
                <w:lang w:val="en-US" w:eastAsia="zh-CN"/>
              </w:rPr>
              <w:t>网站</w:t>
            </w:r>
            <w:r>
              <w:rPr>
                <w:rFonts w:hint="eastAsia" w:ascii="Times New Roman" w:hAnsi="Times New Roman" w:eastAsia="宋体" w:cs="Times New Roman"/>
                <w:highlight w:val="none"/>
                <w:lang w:val="en-US" w:eastAsia="zh-CN"/>
              </w:rPr>
              <w:t>（https://www.czctgczx.com/）下载</w:t>
            </w:r>
            <w:r>
              <w:rPr>
                <w:rFonts w:hint="eastAsia" w:cs="Times New Roman"/>
                <w:highlight w:val="none"/>
                <w:lang w:val="en-US" w:eastAsia="zh-CN"/>
              </w:rPr>
              <w:t>。</w:t>
            </w:r>
          </w:p>
          <w:p w14:paraId="38764B3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highlight w:val="none"/>
              </w:rPr>
            </w:pPr>
            <w:r>
              <w:rPr>
                <w:rFonts w:hint="eastAsia" w:ascii="Times New Roman" w:hAnsi="Times New Roman" w:eastAsia="宋体" w:cs="Times New Roman"/>
                <w:highlight w:val="none"/>
                <w:lang w:val="en-US" w:eastAsia="zh-CN"/>
              </w:rPr>
              <w:t>方式：（1）投标人须登</w:t>
            </w:r>
            <w:r>
              <w:rPr>
                <w:rFonts w:hint="eastAsia" w:ascii="宋体" w:hAnsi="宋体" w:eastAsia="宋体" w:cs="宋体"/>
                <w:highlight w:val="none"/>
                <w:lang w:val="en-US" w:eastAsia="zh-CN"/>
              </w:rPr>
              <w:t>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26790E7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tc>
      </w:tr>
      <w:tr w14:paraId="552D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C699F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7997" w:type="dxa"/>
            <w:noWrap w:val="0"/>
            <w:vAlign w:val="center"/>
          </w:tcPr>
          <w:p w14:paraId="0CB3AD8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eastAsia="宋体" w:cs="宋体"/>
                <w:color w:val="auto"/>
                <w:szCs w:val="21"/>
                <w:highlight w:val="none"/>
              </w:rPr>
              <w:t>日</w:t>
            </w:r>
          </w:p>
        </w:tc>
      </w:tr>
      <w:tr w14:paraId="2E37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B970DA1">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7997" w:type="dxa"/>
            <w:noWrap w:val="0"/>
            <w:vAlign w:val="center"/>
          </w:tcPr>
          <w:p w14:paraId="78350AD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1D30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CC335A0">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highlight w:val="none"/>
                <w:lang w:val="en-US" w:eastAsia="zh-CN"/>
              </w:rPr>
              <w:t>投标文件递交的方式</w:t>
            </w:r>
          </w:p>
        </w:tc>
        <w:tc>
          <w:tcPr>
            <w:tcW w:w="7997" w:type="dxa"/>
            <w:noWrap w:val="0"/>
            <w:vAlign w:val="center"/>
          </w:tcPr>
          <w:p w14:paraId="46F556D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tc>
      </w:tr>
      <w:tr w14:paraId="7CE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746D341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7997" w:type="dxa"/>
            <w:noWrap w:val="0"/>
            <w:vAlign w:val="center"/>
          </w:tcPr>
          <w:p w14:paraId="1DA6674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5C7D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77B6227A">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开标地点</w:t>
            </w:r>
          </w:p>
        </w:tc>
        <w:tc>
          <w:tcPr>
            <w:tcW w:w="7997" w:type="dxa"/>
            <w:noWrap w:val="0"/>
            <w:vAlign w:val="center"/>
          </w:tcPr>
          <w:p w14:paraId="3D3F20FE">
            <w:pPr>
              <w:keepNext w:val="0"/>
              <w:keepLines w:val="0"/>
              <w:pageBreakBefore w:val="0"/>
              <w:widowControl/>
              <w:kinsoku/>
              <w:wordWrap w:val="0"/>
              <w:overflowPunct/>
              <w:topLinePunct w:val="0"/>
              <w:autoSpaceDE w:val="0"/>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采用不见面开标，投标人登录滁州市城投工程咨询有限公司不见面开标系统参与网上开标（网址：http://js.etrading.cn/EpointBidOpening/bidopeninghallaction/hall/login）。</w:t>
            </w:r>
          </w:p>
        </w:tc>
      </w:tr>
      <w:tr w14:paraId="4E31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16377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7997" w:type="dxa"/>
            <w:noWrap w:val="0"/>
            <w:vAlign w:val="center"/>
          </w:tcPr>
          <w:p w14:paraId="0FF1405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0元</w:t>
            </w:r>
          </w:p>
        </w:tc>
      </w:tr>
      <w:tr w14:paraId="7177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C4373F">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7997" w:type="dxa"/>
            <w:noWrap w:val="0"/>
            <w:vAlign w:val="center"/>
          </w:tcPr>
          <w:p w14:paraId="4E624FF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中国招标公共服务平台（http://www.cebpubservice.com/）</w:t>
            </w:r>
          </w:p>
          <w:p w14:paraId="4162580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安徽省招标投标信息网（www.ahtba.org.cn）</w:t>
            </w:r>
          </w:p>
          <w:p w14:paraId="50C6D68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lang w:val="en-US" w:eastAsia="zh-CN"/>
              </w:rPr>
              <w:t>滁州市城投工程咨询管理有限公司（https://www.czctgczx.com/）</w:t>
            </w:r>
          </w:p>
        </w:tc>
      </w:tr>
      <w:tr w14:paraId="0857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930D49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453B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C7C45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7997" w:type="dxa"/>
            <w:noWrap w:val="0"/>
            <w:vAlign w:val="center"/>
          </w:tcPr>
          <w:p w14:paraId="31D7CE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olor w:val="auto"/>
                <w:szCs w:val="21"/>
              </w:rPr>
              <w:t>不要求投标人提交投标保证金。</w:t>
            </w:r>
          </w:p>
        </w:tc>
      </w:tr>
      <w:tr w14:paraId="711C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05DB97D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F24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2E16C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招标人名称</w:t>
            </w:r>
          </w:p>
        </w:tc>
        <w:tc>
          <w:tcPr>
            <w:tcW w:w="7997" w:type="dxa"/>
            <w:noWrap w:val="0"/>
            <w:vAlign w:val="center"/>
          </w:tcPr>
          <w:p w14:paraId="2D2A6C29">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 xml:space="preserve">滁州市翼然新能源开发有限公司 </w:t>
            </w:r>
          </w:p>
        </w:tc>
      </w:tr>
      <w:tr w14:paraId="5C15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A63B0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招标人地址</w:t>
            </w:r>
          </w:p>
        </w:tc>
        <w:tc>
          <w:tcPr>
            <w:tcW w:w="7997" w:type="dxa"/>
            <w:noWrap w:val="0"/>
            <w:vAlign w:val="center"/>
          </w:tcPr>
          <w:p w14:paraId="721F56AB">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安徽省滁州市南谯区中都大道1598号15层</w:t>
            </w:r>
          </w:p>
        </w:tc>
      </w:tr>
      <w:tr w14:paraId="53D1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C32FFC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招标人联系人</w:t>
            </w:r>
          </w:p>
        </w:tc>
        <w:tc>
          <w:tcPr>
            <w:tcW w:w="7997" w:type="dxa"/>
            <w:noWrap w:val="0"/>
            <w:vAlign w:val="center"/>
          </w:tcPr>
          <w:p w14:paraId="0CA615D4">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胡雪</w:t>
            </w:r>
          </w:p>
        </w:tc>
      </w:tr>
      <w:tr w14:paraId="79E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C0D56E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招标人电话</w:t>
            </w:r>
          </w:p>
        </w:tc>
        <w:tc>
          <w:tcPr>
            <w:tcW w:w="7997" w:type="dxa"/>
            <w:noWrap w:val="0"/>
            <w:vAlign w:val="center"/>
          </w:tcPr>
          <w:p w14:paraId="0786EC85">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sz w:val="21"/>
                <w:szCs w:val="21"/>
                <w:highlight w:val="none"/>
                <w:lang w:eastAsia="zh-CN"/>
              </w:rPr>
              <w:t>0550-2350288</w:t>
            </w:r>
          </w:p>
        </w:tc>
      </w:tr>
      <w:tr w14:paraId="555F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D32F6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7997" w:type="dxa"/>
            <w:noWrap w:val="0"/>
            <w:vAlign w:val="center"/>
          </w:tcPr>
          <w:p w14:paraId="6FF9C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滁州市城投工程咨询管理有限公司</w:t>
            </w:r>
          </w:p>
        </w:tc>
      </w:tr>
      <w:tr w14:paraId="2D8B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F41F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7997" w:type="dxa"/>
            <w:noWrap w:val="0"/>
            <w:vAlign w:val="center"/>
          </w:tcPr>
          <w:p w14:paraId="6D12C6B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605室</w:t>
            </w:r>
          </w:p>
        </w:tc>
      </w:tr>
      <w:tr w14:paraId="5ECC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B2042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招标代理机构联系人</w:t>
            </w:r>
          </w:p>
        </w:tc>
        <w:tc>
          <w:tcPr>
            <w:tcW w:w="7997" w:type="dxa"/>
            <w:noWrap w:val="0"/>
            <w:vAlign w:val="center"/>
          </w:tcPr>
          <w:p w14:paraId="508420A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周蓓蕾</w:t>
            </w:r>
          </w:p>
        </w:tc>
      </w:tr>
      <w:tr w14:paraId="2DBA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D7E1BD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7997" w:type="dxa"/>
            <w:noWrap w:val="0"/>
            <w:vAlign w:val="center"/>
          </w:tcPr>
          <w:p w14:paraId="57DEDBE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0550-3519519</w:t>
            </w:r>
            <w:r>
              <w:rPr>
                <w:rFonts w:hint="eastAsia" w:ascii="宋体" w:hAnsi="宋体" w:eastAsia="宋体" w:cs="宋体"/>
                <w:color w:val="auto"/>
                <w:sz w:val="21"/>
                <w:szCs w:val="21"/>
                <w:highlight w:val="none"/>
                <w:lang w:val="en-US" w:eastAsia="zh-CN"/>
              </w:rPr>
              <w:t>、18005505728</w:t>
            </w:r>
          </w:p>
        </w:tc>
      </w:tr>
    </w:tbl>
    <w:p w14:paraId="32A53F0D">
      <w:pPr>
        <w:pStyle w:val="44"/>
        <w:spacing w:beforeLines="50" w:afterLines="50" w:line="440" w:lineRule="exact"/>
        <w:jc w:val="center"/>
        <w:rPr>
          <w:bCs/>
          <w:szCs w:val="32"/>
          <w:highlight w:val="none"/>
        </w:rPr>
      </w:pPr>
      <w:bookmarkStart w:id="29" w:name="_Toc78803321"/>
      <w:r>
        <w:rPr>
          <w:rFonts w:hint="eastAsia"/>
          <w:bCs/>
          <w:szCs w:val="32"/>
          <w:highlight w:val="none"/>
        </w:rPr>
        <w:br w:type="page"/>
      </w:r>
      <w:r>
        <w:rPr>
          <w:rFonts w:hint="eastAsia"/>
          <w:bCs/>
          <w:szCs w:val="32"/>
          <w:highlight w:val="none"/>
        </w:rPr>
        <w:t>第一章  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594BBBF6">
      <w:pPr>
        <w:spacing w:beforeLines="50" w:afterLines="50" w:line="440" w:lineRule="exact"/>
        <w:jc w:val="center"/>
        <w:rPr>
          <w:b/>
          <w:bCs/>
          <w:sz w:val="28"/>
          <w:szCs w:val="28"/>
          <w:highlight w:val="none"/>
        </w:rPr>
      </w:pPr>
      <w:bookmarkStart w:id="30" w:name="_Toc324404814"/>
      <w:bookmarkStart w:id="31" w:name="_Toc179632545"/>
      <w:bookmarkStart w:id="32" w:name="_Toc35425051"/>
      <w:bookmarkStart w:id="33" w:name="_Toc246996917"/>
      <w:bookmarkStart w:id="34" w:name="_Toc152045528"/>
      <w:bookmarkStart w:id="35" w:name="_Toc15058845"/>
      <w:bookmarkStart w:id="36" w:name="_Toc246996174"/>
      <w:bookmarkStart w:id="37" w:name="_Toc247085688"/>
      <w:bookmarkStart w:id="38" w:name="_Toc506107268"/>
      <w:bookmarkStart w:id="39" w:name="_Toc35424884"/>
      <w:bookmarkStart w:id="40" w:name="_Toc144974496"/>
      <w:bookmarkStart w:id="41" w:name="_Toc152042304"/>
      <w:r>
        <w:rPr>
          <w:rFonts w:hint="eastAsia"/>
          <w:b/>
          <w:bCs/>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7"/>
        <w:tblW w:w="10328" w:type="dxa"/>
        <w:jc w:val="center"/>
        <w:tblLayout w:type="fixed"/>
        <w:tblCellMar>
          <w:top w:w="0" w:type="dxa"/>
          <w:left w:w="108" w:type="dxa"/>
          <w:bottom w:w="0" w:type="dxa"/>
          <w:right w:w="108" w:type="dxa"/>
        </w:tblCellMar>
      </w:tblPr>
      <w:tblGrid>
        <w:gridCol w:w="868"/>
        <w:gridCol w:w="910"/>
        <w:gridCol w:w="1299"/>
        <w:gridCol w:w="7251"/>
      </w:tblGrid>
      <w:tr w14:paraId="37A3BBD6">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5319F0F">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bookmarkStart w:id="42" w:name="_Toc324404815"/>
            <w:bookmarkStart w:id="43" w:name="_Toc179632546"/>
            <w:bookmarkStart w:id="44" w:name="_Toc144974497"/>
            <w:bookmarkStart w:id="45" w:name="_Toc506107269"/>
            <w:bookmarkStart w:id="46" w:name="_Toc247085689"/>
            <w:bookmarkStart w:id="47" w:name="_Toc246996918"/>
            <w:bookmarkStart w:id="48" w:name="_Toc152042305"/>
            <w:bookmarkStart w:id="49" w:name="_Toc152045529"/>
            <w:bookmarkStart w:id="50" w:name="_Toc246996175"/>
            <w:r>
              <w:rPr>
                <w:rFonts w:hint="eastAsia" w:ascii="宋体" w:hAnsi="宋体" w:cs="宋体"/>
                <w:b/>
                <w:szCs w:val="21"/>
                <w:highlight w:val="none"/>
              </w:rPr>
              <w:t>序号</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109513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条  款  名  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5926B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编  列  内  容</w:t>
            </w:r>
          </w:p>
        </w:tc>
      </w:tr>
      <w:tr w14:paraId="399B88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EA00D8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4588F4B">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w:t>
            </w:r>
          </w:p>
        </w:tc>
        <w:tc>
          <w:tcPr>
            <w:tcW w:w="7251" w:type="dxa"/>
            <w:tcBorders>
              <w:top w:val="single" w:color="auto" w:sz="4" w:space="0"/>
              <w:left w:val="single" w:color="auto" w:sz="4" w:space="0"/>
              <w:bottom w:val="single" w:color="auto" w:sz="4" w:space="0"/>
              <w:right w:val="single" w:color="auto" w:sz="4" w:space="0"/>
            </w:tcBorders>
            <w:noWrap/>
            <w:vAlign w:val="center"/>
          </w:tcPr>
          <w:p w14:paraId="10407BB1">
            <w:pPr>
              <w:pStyle w:val="93"/>
              <w:keepNext w:val="0"/>
              <w:keepLines w:val="0"/>
              <w:pageBreakBefore w:val="0"/>
              <w:kinsoku/>
              <w:wordWrap/>
              <w:overflowPunct/>
              <w:autoSpaceDN/>
              <w:bidi w:val="0"/>
              <w:adjustRightInd w:val="0"/>
              <w:snapToGrid w:val="0"/>
              <w:spacing w:line="400" w:lineRule="exact"/>
              <w:jc w:val="left"/>
              <w:textAlignment w:val="auto"/>
              <w:rPr>
                <w:rFonts w:hint="eastAsia" w:eastAsia="宋体"/>
                <w:kern w:val="2"/>
                <w:sz w:val="21"/>
                <w:szCs w:val="21"/>
                <w:highlight w:val="none"/>
                <w:lang w:eastAsia="zh-CN"/>
              </w:rPr>
            </w:pPr>
            <w:r>
              <w:rPr>
                <w:rFonts w:hint="eastAsia" w:ascii="宋体" w:hAnsi="宋体" w:cs="宋体"/>
                <w:color w:val="auto"/>
                <w:sz w:val="21"/>
                <w:szCs w:val="21"/>
                <w:highlight w:val="none"/>
              </w:rPr>
              <w:t>见招标公告</w:t>
            </w:r>
          </w:p>
        </w:tc>
      </w:tr>
      <w:tr w14:paraId="2BB5094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7F2ABC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88F0F1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招标代理机构</w:t>
            </w:r>
          </w:p>
        </w:tc>
        <w:tc>
          <w:tcPr>
            <w:tcW w:w="7251" w:type="dxa"/>
            <w:tcBorders>
              <w:top w:val="single" w:color="auto" w:sz="4" w:space="0"/>
              <w:left w:val="single" w:color="auto" w:sz="4" w:space="0"/>
              <w:bottom w:val="single" w:color="auto" w:sz="4" w:space="0"/>
              <w:right w:val="single" w:color="auto" w:sz="4" w:space="0"/>
            </w:tcBorders>
            <w:noWrap/>
            <w:vAlign w:val="center"/>
          </w:tcPr>
          <w:p w14:paraId="10F9436F">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szCs w:val="21"/>
                <w:highlight w:val="none"/>
                <w:lang w:val="en-US" w:eastAsia="zh-CN"/>
              </w:rPr>
            </w:pPr>
            <w:r>
              <w:rPr>
                <w:rFonts w:hint="eastAsia" w:ascii="宋体" w:hAnsi="宋体" w:cs="宋体"/>
                <w:color w:val="auto"/>
                <w:sz w:val="21"/>
                <w:szCs w:val="21"/>
                <w:highlight w:val="none"/>
              </w:rPr>
              <w:t>见招标公告</w:t>
            </w:r>
          </w:p>
        </w:tc>
      </w:tr>
      <w:tr w14:paraId="6E88FEC4">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21D75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C1999A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项目名称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3CF94C9C">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szCs w:val="21"/>
                <w:highlight w:val="none"/>
                <w:lang w:eastAsia="zh-CN"/>
              </w:rPr>
            </w:pPr>
            <w:r>
              <w:rPr>
                <w:rFonts w:hint="eastAsia" w:ascii="宋体" w:hAnsi="宋体" w:cs="宋体"/>
                <w:color w:val="auto"/>
                <w:sz w:val="21"/>
                <w:szCs w:val="21"/>
                <w:highlight w:val="none"/>
              </w:rPr>
              <w:t>见招标公告</w:t>
            </w:r>
          </w:p>
        </w:tc>
      </w:tr>
      <w:tr w14:paraId="0D5FE2E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C8FAF44">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0A58F7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建设地点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B346AFB">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rPr>
              <w:t>见招标公告</w:t>
            </w:r>
          </w:p>
        </w:tc>
      </w:tr>
      <w:tr w14:paraId="27E33739">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6EAEC2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CEC5559">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资金落实情况</w:t>
            </w:r>
          </w:p>
        </w:tc>
        <w:tc>
          <w:tcPr>
            <w:tcW w:w="7251" w:type="dxa"/>
            <w:tcBorders>
              <w:top w:val="single" w:color="auto" w:sz="4" w:space="0"/>
              <w:left w:val="single" w:color="auto" w:sz="4" w:space="0"/>
              <w:bottom w:val="single" w:color="auto" w:sz="4" w:space="0"/>
              <w:right w:val="single" w:color="auto" w:sz="4" w:space="0"/>
            </w:tcBorders>
            <w:noWrap/>
            <w:vAlign w:val="center"/>
          </w:tcPr>
          <w:p w14:paraId="60460FF1">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lang w:val="en-US" w:eastAsia="zh-CN"/>
              </w:rPr>
              <w:t>已落实</w:t>
            </w:r>
          </w:p>
        </w:tc>
      </w:tr>
      <w:tr w14:paraId="64D296C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0EC8E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516917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招标范围</w:t>
            </w:r>
          </w:p>
        </w:tc>
        <w:tc>
          <w:tcPr>
            <w:tcW w:w="7251" w:type="dxa"/>
            <w:tcBorders>
              <w:top w:val="single" w:color="auto" w:sz="4" w:space="0"/>
              <w:left w:val="single" w:color="auto" w:sz="4" w:space="0"/>
              <w:bottom w:val="single" w:color="auto" w:sz="4" w:space="0"/>
              <w:right w:val="single" w:color="auto" w:sz="4" w:space="0"/>
            </w:tcBorders>
            <w:noWrap/>
            <w:vAlign w:val="center"/>
          </w:tcPr>
          <w:p w14:paraId="6B3CA562">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color w:val="000000"/>
                <w:szCs w:val="21"/>
                <w:highlight w:val="none"/>
              </w:rPr>
              <w:t>详见招标公告</w:t>
            </w:r>
          </w:p>
        </w:tc>
      </w:tr>
      <w:tr w14:paraId="4195E0D5">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ABF7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2F748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评标办法</w:t>
            </w:r>
          </w:p>
        </w:tc>
        <w:tc>
          <w:tcPr>
            <w:tcW w:w="7251" w:type="dxa"/>
            <w:tcBorders>
              <w:top w:val="single" w:color="auto" w:sz="4" w:space="0"/>
              <w:left w:val="single" w:color="auto" w:sz="4" w:space="0"/>
              <w:bottom w:val="single" w:color="auto" w:sz="4" w:space="0"/>
              <w:right w:val="single" w:color="auto" w:sz="4" w:space="0"/>
            </w:tcBorders>
            <w:noWrap/>
            <w:vAlign w:val="center"/>
          </w:tcPr>
          <w:p w14:paraId="340D66FF">
            <w:pPr>
              <w:pStyle w:val="93"/>
              <w:keepNext w:val="0"/>
              <w:keepLines w:val="0"/>
              <w:pageBreakBefore w:val="0"/>
              <w:kinsoku/>
              <w:wordWrap/>
              <w:overflowPunct/>
              <w:autoSpaceDN/>
              <w:bidi w:val="0"/>
              <w:spacing w:line="400" w:lineRule="exact"/>
              <w:textAlignment w:val="auto"/>
              <w:rPr>
                <w:rFonts w:ascii="宋体" w:hAnsi="宋体" w:cs="宋体"/>
                <w:highlight w:val="none"/>
              </w:rPr>
            </w:pPr>
            <w:r>
              <w:rPr>
                <w:rFonts w:hint="eastAsia" w:ascii="宋体" w:hAnsi="宋体" w:cs="宋体"/>
                <w:highlight w:val="none"/>
              </w:rPr>
              <w:t>综合评估法</w:t>
            </w:r>
          </w:p>
        </w:tc>
      </w:tr>
      <w:tr w14:paraId="6E44BA5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B12E6D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9F9D96F">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服务期限</w:t>
            </w:r>
          </w:p>
        </w:tc>
        <w:tc>
          <w:tcPr>
            <w:tcW w:w="7251" w:type="dxa"/>
            <w:tcBorders>
              <w:top w:val="single" w:color="auto" w:sz="4" w:space="0"/>
              <w:left w:val="single" w:color="auto" w:sz="4" w:space="0"/>
              <w:bottom w:val="single" w:color="auto" w:sz="4" w:space="0"/>
              <w:right w:val="single" w:color="auto" w:sz="4" w:space="0"/>
            </w:tcBorders>
            <w:noWrap/>
            <w:vAlign w:val="center"/>
          </w:tcPr>
          <w:p w14:paraId="41AAB377">
            <w:pPr>
              <w:keepNext w:val="0"/>
              <w:keepLines w:val="0"/>
              <w:pageBreakBefore w:val="0"/>
              <w:kinsoku/>
              <w:wordWrap/>
              <w:overflowPunct/>
              <w:autoSpaceDN/>
              <w:bidi w:val="0"/>
              <w:spacing w:line="400" w:lineRule="exact"/>
              <w:textAlignment w:val="auto"/>
              <w:rPr>
                <w:rFonts w:ascii="宋体" w:hAnsi="宋体" w:cs="宋体"/>
                <w:color w:val="auto"/>
                <w:szCs w:val="21"/>
                <w:highlight w:val="none"/>
              </w:rPr>
            </w:pPr>
            <w:r>
              <w:rPr>
                <w:rFonts w:hint="eastAsia"/>
                <w:color w:val="000000"/>
                <w:szCs w:val="21"/>
                <w:highlight w:val="none"/>
              </w:rPr>
              <w:t>详见招标公告</w:t>
            </w:r>
          </w:p>
        </w:tc>
      </w:tr>
      <w:tr w14:paraId="4024D16D">
        <w:tblPrEx>
          <w:tblCellMar>
            <w:top w:w="0" w:type="dxa"/>
            <w:left w:w="108" w:type="dxa"/>
            <w:bottom w:w="0" w:type="dxa"/>
            <w:right w:w="108" w:type="dxa"/>
          </w:tblCellMar>
        </w:tblPrEx>
        <w:trPr>
          <w:trHeight w:val="4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52B29A1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0FB8891">
            <w:pPr>
              <w:keepNext w:val="0"/>
              <w:keepLines w:val="0"/>
              <w:pageBreakBefore w:val="0"/>
              <w:kinsoku/>
              <w:wordWrap/>
              <w:overflowPunct/>
              <w:autoSpaceDN/>
              <w:bidi w:val="0"/>
              <w:spacing w:line="400" w:lineRule="exact"/>
              <w:jc w:val="center"/>
              <w:textAlignment w:val="auto"/>
              <w:rPr>
                <w:rFonts w:ascii="宋体" w:hAnsi="宋体" w:cs="宋体"/>
                <w:color w:val="FF0000"/>
                <w:szCs w:val="21"/>
                <w:highlight w:val="none"/>
              </w:rPr>
            </w:pPr>
            <w:r>
              <w:rPr>
                <w:rFonts w:hint="eastAsia" w:ascii="宋体" w:hAnsi="宋体" w:cs="宋体"/>
                <w:szCs w:val="21"/>
                <w:highlight w:val="none"/>
              </w:rPr>
              <w:t>质量要求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222B8DA3">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kern w:val="0"/>
                <w:szCs w:val="21"/>
              </w:rPr>
              <w:t>必须符合国家强制性规范、条文、标准和招标文件要求</w:t>
            </w:r>
          </w:p>
        </w:tc>
      </w:tr>
      <w:tr w14:paraId="0610F1B6">
        <w:tblPrEx>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bottom w:val="single" w:color="auto" w:sz="4" w:space="0"/>
              <w:right w:val="single" w:color="auto" w:sz="4" w:space="0"/>
            </w:tcBorders>
            <w:noWrap/>
            <w:vAlign w:val="center"/>
          </w:tcPr>
          <w:p w14:paraId="6499B10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7F75B5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投标人资质条件、能力和信誉</w:t>
            </w:r>
          </w:p>
        </w:tc>
        <w:tc>
          <w:tcPr>
            <w:tcW w:w="7251" w:type="dxa"/>
            <w:tcBorders>
              <w:top w:val="single" w:color="auto" w:sz="4" w:space="0"/>
              <w:left w:val="single" w:color="auto" w:sz="4" w:space="0"/>
              <w:bottom w:val="single" w:color="auto" w:sz="4" w:space="0"/>
              <w:right w:val="single" w:color="auto" w:sz="4" w:space="0"/>
            </w:tcBorders>
            <w:noWrap/>
            <w:vAlign w:val="center"/>
          </w:tcPr>
          <w:p w14:paraId="79A1E5A2">
            <w:pPr>
              <w:pStyle w:val="14"/>
              <w:keepNext w:val="0"/>
              <w:keepLines w:val="0"/>
              <w:pageBreakBefore w:val="0"/>
              <w:kinsoku/>
              <w:wordWrap/>
              <w:overflowPunct/>
              <w:autoSpaceDN/>
              <w:bidi w:val="0"/>
              <w:spacing w:line="400" w:lineRule="exact"/>
              <w:ind w:left="0" w:leftChars="0" w:firstLine="0" w:firstLineChars="0"/>
              <w:jc w:val="left"/>
              <w:textAlignment w:val="auto"/>
              <w:rPr>
                <w:rFonts w:hAnsi="宋体" w:cs="宋体"/>
                <w:szCs w:val="21"/>
                <w:highlight w:val="none"/>
                <w:u w:val="single"/>
              </w:rPr>
            </w:pPr>
            <w:r>
              <w:rPr>
                <w:rFonts w:hint="eastAsia" w:hAnsi="宋体" w:cs="宋体"/>
                <w:szCs w:val="21"/>
                <w:highlight w:val="none"/>
                <w:u w:val="single"/>
              </w:rPr>
              <w:t>详见招标公告信息</w:t>
            </w:r>
          </w:p>
        </w:tc>
      </w:tr>
      <w:tr w14:paraId="34CDA60C">
        <w:tblPrEx>
          <w:tblCellMar>
            <w:top w:w="0" w:type="dxa"/>
            <w:left w:w="108" w:type="dxa"/>
            <w:bottom w:w="0" w:type="dxa"/>
            <w:right w:w="108" w:type="dxa"/>
          </w:tblCellMar>
        </w:tblPrEx>
        <w:trPr>
          <w:trHeight w:val="575" w:hRule="atLeast"/>
          <w:jc w:val="center"/>
        </w:trPr>
        <w:tc>
          <w:tcPr>
            <w:tcW w:w="868" w:type="dxa"/>
            <w:vMerge w:val="continue"/>
            <w:tcBorders>
              <w:top w:val="single" w:color="auto" w:sz="4" w:space="0"/>
              <w:left w:val="single" w:color="auto" w:sz="4" w:space="0"/>
              <w:bottom w:val="single" w:color="auto" w:sz="4" w:space="0"/>
              <w:right w:val="single" w:color="auto" w:sz="4" w:space="0"/>
            </w:tcBorders>
            <w:noWrap/>
            <w:vAlign w:val="center"/>
          </w:tcPr>
          <w:p w14:paraId="193EBDF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BC1C1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招标文件发布时间：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00E3B91B">
            <w:pPr>
              <w:keepNext w:val="0"/>
              <w:keepLines w:val="0"/>
              <w:pageBreakBefore w:val="0"/>
              <w:kinsoku/>
              <w:wordWrap/>
              <w:overflowPunct/>
              <w:autoSpaceDN/>
              <w:bidi w:val="0"/>
              <w:spacing w:line="400" w:lineRule="exact"/>
              <w:textAlignment w:val="auto"/>
              <w:rPr>
                <w:rFonts w:ascii="宋体" w:hAnsi="宋体" w:cs="宋体"/>
                <w:kern w:val="0"/>
                <w:szCs w:val="21"/>
                <w:highlight w:val="none"/>
              </w:rPr>
            </w:pPr>
            <w:r>
              <w:rPr>
                <w:rFonts w:hint="eastAsia" w:ascii="宋体" w:hAnsi="宋体" w:cs="宋体"/>
                <w:kern w:val="0"/>
                <w:szCs w:val="21"/>
                <w:highlight w:val="none"/>
              </w:rPr>
              <w:t>详见招标公告信息</w:t>
            </w:r>
          </w:p>
        </w:tc>
      </w:tr>
      <w:tr w14:paraId="52E33D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2885CC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4E7DF90">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踏勘现场</w:t>
            </w:r>
          </w:p>
        </w:tc>
        <w:tc>
          <w:tcPr>
            <w:tcW w:w="7251" w:type="dxa"/>
            <w:tcBorders>
              <w:top w:val="single" w:color="auto" w:sz="4" w:space="0"/>
              <w:left w:val="single" w:color="auto" w:sz="4" w:space="0"/>
              <w:bottom w:val="single" w:color="auto" w:sz="4" w:space="0"/>
              <w:right w:val="single" w:color="auto" w:sz="4" w:space="0"/>
            </w:tcBorders>
            <w:noWrap/>
            <w:vAlign w:val="center"/>
          </w:tcPr>
          <w:p w14:paraId="2EB7922D">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不组织，投标人自行组织踏勘现场</w:t>
            </w:r>
            <w:r>
              <w:rPr>
                <w:rFonts w:hint="eastAsia" w:hAnsi="宋体" w:cs="宋体"/>
                <w:sz w:val="21"/>
                <w:szCs w:val="21"/>
                <w:highlight w:val="none"/>
              </w:rPr>
              <w:t>；□组织</w:t>
            </w:r>
          </w:p>
        </w:tc>
      </w:tr>
      <w:tr w14:paraId="5938BD5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C77D58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9FD36A4">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投标预备会</w:t>
            </w:r>
          </w:p>
        </w:tc>
        <w:tc>
          <w:tcPr>
            <w:tcW w:w="7251" w:type="dxa"/>
            <w:tcBorders>
              <w:top w:val="single" w:color="auto" w:sz="4" w:space="0"/>
              <w:left w:val="single" w:color="auto" w:sz="4" w:space="0"/>
              <w:bottom w:val="single" w:color="auto" w:sz="4" w:space="0"/>
              <w:right w:val="single" w:color="auto" w:sz="4" w:space="0"/>
            </w:tcBorders>
            <w:noWrap/>
            <w:vAlign w:val="center"/>
          </w:tcPr>
          <w:p w14:paraId="3343207B">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不召开</w:t>
            </w:r>
            <w:r>
              <w:rPr>
                <w:rFonts w:hint="eastAsia" w:hAnsi="宋体" w:cs="宋体"/>
                <w:sz w:val="21"/>
                <w:szCs w:val="21"/>
                <w:highlight w:val="none"/>
              </w:rPr>
              <w:t>；□召开</w:t>
            </w:r>
          </w:p>
        </w:tc>
      </w:tr>
      <w:tr w14:paraId="1A70631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41845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11C62B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投标人提出问题的截止时间及方式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0FB0E6F2">
            <w:pPr>
              <w:pStyle w:val="24"/>
              <w:keepNext w:val="0"/>
              <w:keepLines w:val="0"/>
              <w:pageBreakBefore w:val="0"/>
              <w:kinsoku/>
              <w:wordWrap/>
              <w:overflowPunct/>
              <w:autoSpaceDN/>
              <w:bidi w:val="0"/>
              <w:spacing w:line="400" w:lineRule="exact"/>
              <w:textAlignment w:val="auto"/>
              <w:rPr>
                <w:rFonts w:hAnsi="宋体" w:cs="宋体"/>
                <w:szCs w:val="21"/>
                <w:highlight w:val="none"/>
              </w:rPr>
            </w:pPr>
            <w:r>
              <w:rPr>
                <w:rFonts w:hint="eastAsia" w:ascii="宋体" w:hAnsi="宋体" w:cs="宋体"/>
                <w:kern w:val="0"/>
                <w:szCs w:val="21"/>
                <w:highlight w:val="none"/>
              </w:rPr>
              <w:t>如投标人对招标文件有疑问，</w:t>
            </w:r>
            <w:r>
              <w:rPr>
                <w:rFonts w:hint="eastAsia" w:ascii="宋体" w:hAnsi="宋体" w:eastAsia="宋体" w:cs="宋体"/>
                <w:kern w:val="0"/>
                <w:szCs w:val="21"/>
                <w:highlight w:val="none"/>
              </w:rPr>
              <w:t>请于202</w:t>
            </w:r>
            <w:r>
              <w:rPr>
                <w:rFonts w:hint="eastAsia" w:ascii="宋体" w:hAnsi="宋体" w:cs="宋体"/>
                <w:kern w:val="0"/>
                <w:szCs w:val="21"/>
                <w:highlight w:val="none"/>
                <w:lang w:val="en-US" w:eastAsia="zh-CN"/>
              </w:rPr>
              <w:t>6</w:t>
            </w:r>
            <w:r>
              <w:rPr>
                <w:rFonts w:hint="eastAsia" w:ascii="宋体" w:hAnsi="宋体" w:eastAsia="宋体" w:cs="宋体"/>
                <w:kern w:val="0"/>
                <w:szCs w:val="21"/>
                <w:highlight w:val="none"/>
              </w:rPr>
              <w:t>年</w:t>
            </w:r>
            <w:r>
              <w:rPr>
                <w:rFonts w:hint="eastAsia" w:ascii="宋体" w:hAnsi="宋体" w:cs="宋体"/>
                <w:kern w:val="0"/>
                <w:szCs w:val="21"/>
                <w:highlight w:val="none"/>
                <w:lang w:val="en-US" w:eastAsia="zh-CN"/>
              </w:rPr>
              <w:t>9</w:t>
            </w:r>
            <w:r>
              <w:rPr>
                <w:rFonts w:hint="eastAsia" w:ascii="宋体" w:hAnsi="宋体" w:eastAsia="宋体" w:cs="宋体"/>
                <w:kern w:val="0"/>
                <w:szCs w:val="21"/>
                <w:highlight w:val="none"/>
              </w:rPr>
              <w:t>月</w:t>
            </w:r>
            <w:r>
              <w:rPr>
                <w:rFonts w:hint="eastAsia" w:ascii="宋体" w:hAnsi="宋体" w:cs="宋体"/>
                <w:kern w:val="0"/>
                <w:szCs w:val="21"/>
                <w:highlight w:val="none"/>
                <w:lang w:val="en-US" w:eastAsia="zh-CN"/>
              </w:rPr>
              <w:t>29</w:t>
            </w:r>
            <w:r>
              <w:rPr>
                <w:rFonts w:hint="eastAsia" w:ascii="宋体" w:hAnsi="宋体" w:eastAsia="宋体" w:cs="宋体"/>
                <w:kern w:val="0"/>
                <w:szCs w:val="21"/>
                <w:highlight w:val="none"/>
              </w:rPr>
              <w:t>日1</w:t>
            </w:r>
            <w:r>
              <w:rPr>
                <w:rFonts w:hint="eastAsia" w:ascii="宋体" w:hAnsi="宋体" w:cs="宋体"/>
                <w:kern w:val="0"/>
                <w:szCs w:val="21"/>
                <w:highlight w:val="none"/>
                <w:lang w:val="en-US" w:eastAsia="zh-CN"/>
              </w:rPr>
              <w:t>2</w:t>
            </w:r>
            <w:r>
              <w:rPr>
                <w:rFonts w:hint="eastAsia" w:ascii="宋体" w:hAnsi="宋体" w:eastAsia="宋体" w:cs="宋体"/>
                <w:kern w:val="0"/>
                <w:szCs w:val="21"/>
                <w:highlight w:val="none"/>
              </w:rPr>
              <w:t>时前</w:t>
            </w:r>
            <w:r>
              <w:rPr>
                <w:rFonts w:hint="eastAsia" w:ascii="宋体" w:hAnsi="宋体" w:eastAsia="宋体" w:cs="宋体"/>
                <w:color w:val="auto"/>
                <w:szCs w:val="21"/>
                <w:highlight w:val="none"/>
                <w:lang w:val="en-US" w:eastAsia="zh-CN"/>
              </w:rPr>
              <w:t>登录新点电子交易平台【滁州专区】线上提出</w:t>
            </w:r>
            <w:r>
              <w:rPr>
                <w:rFonts w:ascii="宋体" w:hAnsi="宋体" w:eastAsia="宋体" w:cs="宋体"/>
                <w:color w:val="auto"/>
                <w:highlight w:val="none"/>
              </w:rPr>
              <w:t>。</w:t>
            </w:r>
          </w:p>
        </w:tc>
      </w:tr>
      <w:tr w14:paraId="2634A73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D7940D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F9A455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招标人澄清的时间及方式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3EA44CCA">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000000"/>
                <w:kern w:val="2"/>
                <w:sz w:val="21"/>
                <w:szCs w:val="21"/>
                <w:highlight w:val="none"/>
                <w:u w:color="000000"/>
                <w:lang w:val="en-US" w:eastAsia="zh-CN" w:bidi="ar"/>
              </w:rPr>
              <w:t>招标人将在202</w:t>
            </w:r>
            <w:r>
              <w:rPr>
                <w:rFonts w:hint="eastAsia" w:ascii="宋体" w:hAnsi="宋体" w:cs="宋体"/>
                <w:b w:val="0"/>
                <w:bCs w:val="0"/>
                <w:color w:val="000000"/>
                <w:kern w:val="2"/>
                <w:sz w:val="21"/>
                <w:szCs w:val="21"/>
                <w:highlight w:val="none"/>
                <w:u w:color="000000"/>
                <w:lang w:val="en-US" w:eastAsia="zh-CN" w:bidi="ar"/>
              </w:rPr>
              <w:t>6</w:t>
            </w:r>
            <w:r>
              <w:rPr>
                <w:rFonts w:hint="eastAsia" w:ascii="宋体" w:hAnsi="宋体" w:eastAsia="宋体" w:cs="宋体"/>
                <w:b w:val="0"/>
                <w:bCs w:val="0"/>
                <w:color w:val="000000"/>
                <w:kern w:val="2"/>
                <w:sz w:val="21"/>
                <w:szCs w:val="21"/>
                <w:highlight w:val="none"/>
                <w:u w:color="000000"/>
                <w:lang w:val="en-US" w:eastAsia="zh-CN" w:bidi="ar"/>
              </w:rPr>
              <w:t>年</w:t>
            </w:r>
            <w:r>
              <w:rPr>
                <w:rFonts w:hint="eastAsia" w:ascii="宋体" w:hAnsi="宋体" w:cs="宋体"/>
                <w:b w:val="0"/>
                <w:bCs w:val="0"/>
                <w:color w:val="000000"/>
                <w:kern w:val="2"/>
                <w:sz w:val="21"/>
                <w:szCs w:val="21"/>
                <w:highlight w:val="none"/>
                <w:u w:color="000000"/>
                <w:lang w:val="en-US" w:eastAsia="zh-CN" w:bidi="ar"/>
              </w:rPr>
              <w:t>9</w:t>
            </w:r>
            <w:r>
              <w:rPr>
                <w:rFonts w:hint="eastAsia" w:ascii="宋体" w:hAnsi="宋体" w:eastAsia="宋体" w:cs="宋体"/>
                <w:b w:val="0"/>
                <w:bCs w:val="0"/>
                <w:color w:val="000000"/>
                <w:kern w:val="2"/>
                <w:sz w:val="21"/>
                <w:szCs w:val="21"/>
                <w:highlight w:val="none"/>
                <w:u w:color="000000"/>
                <w:lang w:val="en-US" w:eastAsia="zh-CN" w:bidi="ar"/>
              </w:rPr>
              <w:t>月</w:t>
            </w:r>
            <w:r>
              <w:rPr>
                <w:rFonts w:hint="eastAsia" w:ascii="宋体" w:hAnsi="宋体" w:cs="宋体"/>
                <w:b w:val="0"/>
                <w:bCs w:val="0"/>
                <w:color w:val="000000"/>
                <w:kern w:val="2"/>
                <w:sz w:val="21"/>
                <w:szCs w:val="21"/>
                <w:highlight w:val="none"/>
                <w:u w:color="000000"/>
                <w:lang w:val="en-US" w:eastAsia="zh-CN" w:bidi="ar"/>
              </w:rPr>
              <w:t>29</w:t>
            </w:r>
            <w:r>
              <w:rPr>
                <w:rFonts w:hint="eastAsia" w:ascii="宋体" w:hAnsi="宋体" w:eastAsia="宋体" w:cs="宋体"/>
                <w:b w:val="0"/>
                <w:bCs w:val="0"/>
                <w:color w:val="000000"/>
                <w:kern w:val="2"/>
                <w:sz w:val="21"/>
                <w:szCs w:val="21"/>
                <w:highlight w:val="none"/>
                <w:u w:color="000000"/>
                <w:lang w:val="en-US" w:eastAsia="zh-CN" w:bidi="ar"/>
              </w:rPr>
              <w:t>日17时后以澄清公告形式在滁州市城投工程咨询管理有限公司网站（</w:t>
            </w:r>
            <w:r>
              <w:rPr>
                <w:rFonts w:hint="eastAsia" w:ascii="宋体" w:hAnsi="宋体" w:cs="宋体"/>
                <w:b w:val="0"/>
                <w:bCs w:val="0"/>
                <w:color w:val="000000"/>
                <w:kern w:val="2"/>
                <w:sz w:val="21"/>
                <w:szCs w:val="21"/>
                <w:highlight w:val="none"/>
                <w:u w:color="000000"/>
                <w:lang w:val="en-US" w:eastAsia="zh-CN" w:bidi="ar"/>
              </w:rPr>
              <w:t>https://www.czctgczx.com/</w:t>
            </w:r>
            <w:r>
              <w:rPr>
                <w:rFonts w:hint="eastAsia" w:ascii="宋体" w:hAnsi="宋体" w:eastAsia="宋体" w:cs="宋体"/>
                <w:b w:val="0"/>
                <w:bCs w:val="0"/>
                <w:color w:val="000000"/>
                <w:kern w:val="2"/>
                <w:sz w:val="21"/>
                <w:szCs w:val="21"/>
                <w:highlight w:val="none"/>
                <w:u w:color="000000"/>
                <w:lang w:val="en-US" w:eastAsia="zh-CN" w:bidi="ar"/>
              </w:rPr>
              <w:t>）发布，但不指明澄清问题的来源。如果澄清内容影响投标文件编制的，将相应延长投标截止时间。</w:t>
            </w:r>
          </w:p>
        </w:tc>
      </w:tr>
      <w:tr w14:paraId="5AD99380">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ACCAE5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67127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偏离</w:t>
            </w:r>
          </w:p>
        </w:tc>
        <w:tc>
          <w:tcPr>
            <w:tcW w:w="7251" w:type="dxa"/>
            <w:tcBorders>
              <w:top w:val="single" w:color="auto" w:sz="4" w:space="0"/>
              <w:left w:val="single" w:color="auto" w:sz="4" w:space="0"/>
              <w:bottom w:val="single" w:color="auto" w:sz="4" w:space="0"/>
              <w:right w:val="single" w:color="auto" w:sz="4" w:space="0"/>
            </w:tcBorders>
            <w:noWrap/>
            <w:vAlign w:val="center"/>
          </w:tcPr>
          <w:p w14:paraId="6F323E2E">
            <w:pPr>
              <w:pStyle w:val="19"/>
              <w:keepNext w:val="0"/>
              <w:keepLines w:val="0"/>
              <w:pageBreakBefore w:val="0"/>
              <w:kinsoku/>
              <w:wordWrap/>
              <w:overflowPunct/>
              <w:topLinePunct/>
              <w:autoSpaceDN/>
              <w:bidi w:val="0"/>
              <w:spacing w:line="400" w:lineRule="exact"/>
              <w:textAlignment w:val="auto"/>
              <w:rPr>
                <w:rFonts w:hAnsi="宋体" w:cs="宋体"/>
                <w:sz w:val="21"/>
                <w:szCs w:val="21"/>
                <w:highlight w:val="none"/>
              </w:rPr>
            </w:pPr>
            <w:r>
              <w:rPr>
                <w:rFonts w:hint="eastAsia"/>
                <w:highlight w:val="none"/>
              </w:rPr>
              <w:t>☑</w:t>
            </w:r>
            <w:r>
              <w:rPr>
                <w:rFonts w:hint="eastAsia" w:hAnsi="宋体" w:cs="宋体"/>
                <w:sz w:val="21"/>
                <w:szCs w:val="21"/>
                <w:highlight w:val="none"/>
              </w:rPr>
              <w:t>不允许；□允许</w:t>
            </w:r>
          </w:p>
        </w:tc>
      </w:tr>
      <w:tr w14:paraId="462F3D5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61C05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7653BA3">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构成招标文件的其他材料</w:t>
            </w:r>
          </w:p>
        </w:tc>
        <w:tc>
          <w:tcPr>
            <w:tcW w:w="7251" w:type="dxa"/>
            <w:tcBorders>
              <w:top w:val="single" w:color="auto" w:sz="4" w:space="0"/>
              <w:left w:val="single" w:color="auto" w:sz="4" w:space="0"/>
              <w:bottom w:val="single" w:color="auto" w:sz="4" w:space="0"/>
              <w:right w:val="single" w:color="auto" w:sz="4" w:space="0"/>
            </w:tcBorders>
            <w:noWrap/>
            <w:vAlign w:val="center"/>
          </w:tcPr>
          <w:p w14:paraId="07A7DB3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招标澄清答疑文件等。</w:t>
            </w:r>
          </w:p>
        </w:tc>
      </w:tr>
      <w:tr w14:paraId="132ABAE6">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9A34F7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C04F2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投标人要求澄清招标文件的截止时间及方式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11154714">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同本表第13条</w:t>
            </w:r>
          </w:p>
        </w:tc>
      </w:tr>
      <w:tr w14:paraId="2A3378D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49441D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0782B1E">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最高限价（费率）</w:t>
            </w:r>
          </w:p>
        </w:tc>
        <w:tc>
          <w:tcPr>
            <w:tcW w:w="7251" w:type="dxa"/>
            <w:tcBorders>
              <w:top w:val="single" w:color="auto" w:sz="4" w:space="0"/>
              <w:left w:val="single" w:color="auto" w:sz="4" w:space="0"/>
              <w:bottom w:val="single" w:color="auto" w:sz="4" w:space="0"/>
              <w:right w:val="single" w:color="auto" w:sz="4" w:space="0"/>
            </w:tcBorders>
            <w:noWrap/>
            <w:vAlign w:val="center"/>
          </w:tcPr>
          <w:p w14:paraId="1102E872">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b/>
                <w:bCs/>
                <w:highlight w:val="none"/>
              </w:rPr>
            </w:pPr>
            <w:r>
              <w:rPr>
                <w:rFonts w:hint="eastAsia"/>
                <w:b/>
                <w:bCs/>
                <w:color w:val="auto"/>
                <w:highlight w:val="none"/>
                <w:lang w:val="en-US" w:eastAsia="zh-CN"/>
              </w:rPr>
              <w:t>1.检测</w:t>
            </w:r>
            <w:r>
              <w:rPr>
                <w:rFonts w:hint="eastAsia"/>
                <w:b/>
                <w:bCs/>
                <w:color w:val="auto"/>
                <w:highlight w:val="none"/>
              </w:rPr>
              <w:t>费</w:t>
            </w:r>
            <w:r>
              <w:rPr>
                <w:rFonts w:hint="eastAsia" w:ascii="宋体" w:hAnsi="宋体" w:eastAsia="宋体" w:cs="宋体"/>
                <w:b/>
                <w:bCs/>
                <w:color w:val="auto"/>
                <w:sz w:val="21"/>
                <w:szCs w:val="21"/>
                <w:highlight w:val="none"/>
              </w:rPr>
              <w:t>率</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highlight w:val="none"/>
              </w:rPr>
              <w:t>。中标人</w:t>
            </w:r>
            <w:r>
              <w:rPr>
                <w:rFonts w:hint="eastAsia" w:ascii="宋体" w:hAnsi="宋体" w:cs="宋体"/>
                <w:b/>
                <w:bCs/>
                <w:highlight w:val="none"/>
                <w:lang w:val="en-US" w:eastAsia="zh-CN"/>
              </w:rPr>
              <w:t>检测</w:t>
            </w:r>
            <w:r>
              <w:rPr>
                <w:rFonts w:hint="eastAsia" w:ascii="宋体" w:hAnsi="宋体" w:eastAsia="宋体" w:cs="宋体"/>
                <w:b/>
                <w:bCs/>
                <w:highlight w:val="none"/>
              </w:rPr>
              <w:t>费=</w:t>
            </w:r>
            <w:r>
              <w:rPr>
                <w:rFonts w:hint="eastAsia" w:ascii="宋体" w:hAnsi="宋体" w:eastAsia="宋体" w:cs="宋体"/>
                <w:b/>
                <w:bCs/>
                <w:highlight w:val="none"/>
                <w:lang w:val="en-US" w:eastAsia="zh-CN"/>
              </w:rPr>
              <w:t>各项目</w:t>
            </w:r>
            <w:r>
              <w:rPr>
                <w:rFonts w:hint="eastAsia" w:ascii="宋体" w:hAnsi="宋体" w:eastAsia="宋体" w:cs="宋体"/>
                <w:b/>
                <w:bCs/>
                <w:highlight w:val="none"/>
              </w:rPr>
              <w:t>工程结算造价×</w:t>
            </w:r>
            <w:r>
              <w:rPr>
                <w:rFonts w:hint="eastAsia" w:ascii="宋体" w:hAnsi="宋体" w:eastAsia="宋体" w:cs="宋体"/>
                <w:b/>
                <w:bCs/>
                <w:highlight w:val="none"/>
                <w:lang w:val="en-US" w:eastAsia="zh-CN"/>
              </w:rPr>
              <w:t>中标费率</w:t>
            </w:r>
            <w:r>
              <w:rPr>
                <w:rFonts w:hint="eastAsia" w:ascii="宋体" w:hAnsi="宋体" w:eastAsia="宋体" w:cs="宋体"/>
                <w:b/>
                <w:bCs/>
                <w:highlight w:val="none"/>
              </w:rPr>
              <w:t>，中标后的</w:t>
            </w:r>
            <w:r>
              <w:rPr>
                <w:rFonts w:hint="eastAsia" w:ascii="宋体" w:hAnsi="宋体" w:cs="宋体"/>
                <w:b/>
                <w:bCs/>
                <w:highlight w:val="none"/>
                <w:lang w:val="en-US" w:eastAsia="zh-CN"/>
              </w:rPr>
              <w:t>检测</w:t>
            </w:r>
            <w:r>
              <w:rPr>
                <w:rFonts w:hint="eastAsia" w:ascii="宋体" w:hAnsi="宋体" w:eastAsia="宋体" w:cs="宋体"/>
                <w:b/>
                <w:bCs/>
                <w:highlight w:val="none"/>
              </w:rPr>
              <w:t>费率不做调整</w:t>
            </w:r>
            <w:r>
              <w:rPr>
                <w:rFonts w:hint="eastAsia" w:ascii="宋体" w:hAnsi="宋体" w:eastAsia="宋体" w:cs="宋体"/>
                <w:b/>
                <w:bCs/>
                <w:highlight w:val="none"/>
                <w:lang w:eastAsia="zh-CN"/>
              </w:rPr>
              <w:t>，</w:t>
            </w:r>
            <w:r>
              <w:rPr>
                <w:rFonts w:hint="eastAsia" w:ascii="宋体" w:hAnsi="宋体" w:eastAsia="宋体" w:cs="宋体"/>
                <w:b/>
                <w:bCs/>
                <w:highlight w:val="none"/>
                <w:lang w:val="en-US" w:eastAsia="zh-CN"/>
              </w:rPr>
              <w:t>报价保留两位小数，第三位四舍五入</w:t>
            </w:r>
            <w:r>
              <w:rPr>
                <w:rFonts w:hint="eastAsia" w:ascii="宋体" w:hAnsi="宋体" w:eastAsia="宋体" w:cs="宋体"/>
                <w:b/>
                <w:bCs/>
                <w:highlight w:val="none"/>
              </w:rPr>
              <w:t>。</w:t>
            </w:r>
            <w:r>
              <w:rPr>
                <w:rFonts w:hint="eastAsia" w:ascii="宋体" w:hAnsi="宋体" w:eastAsia="宋体" w:cs="宋体"/>
                <w:color w:val="auto"/>
                <w:highlight w:val="none"/>
                <w:lang w:val="en-US" w:eastAsia="zh-CN"/>
              </w:rPr>
              <w:t>（如：某投标报价费率为0.185%，则修正为0.19%；某投标报价费率为0.184%，则修正为0.18%）。</w:t>
            </w:r>
          </w:p>
          <w:p w14:paraId="512D2545">
            <w:pPr>
              <w:keepNext w:val="0"/>
              <w:keepLines w:val="0"/>
              <w:pageBreakBefore w:val="0"/>
              <w:numPr>
                <w:ilvl w:val="0"/>
                <w:numId w:val="0"/>
              </w:numPr>
              <w:kinsoku/>
              <w:wordWrap/>
              <w:overflowPunct/>
              <w:autoSpaceDN/>
              <w:bidi w:val="0"/>
              <w:spacing w:line="400" w:lineRule="exact"/>
              <w:textAlignment w:val="auto"/>
              <w:rPr>
                <w:rFonts w:hint="eastAsia" w:ascii="宋体" w:hAnsi="宋体" w:eastAsia="宋体" w:cs="宋体"/>
                <w:b/>
                <w:bCs/>
                <w:highlight w:val="none"/>
              </w:rPr>
            </w:pPr>
            <w:r>
              <w:rPr>
                <w:rFonts w:hint="eastAsia" w:ascii="宋体" w:hAnsi="宋体" w:cs="宋体"/>
                <w:b/>
                <w:bCs/>
                <w:highlight w:val="none"/>
                <w:lang w:val="en-US" w:eastAsia="zh-CN"/>
              </w:rPr>
              <w:t>2.</w:t>
            </w:r>
            <w:r>
              <w:rPr>
                <w:rFonts w:hint="eastAsia" w:ascii="宋体" w:hAnsi="宋体" w:eastAsia="宋体" w:cs="宋体"/>
                <w:b/>
                <w:bCs/>
                <w:highlight w:val="none"/>
                <w:lang w:val="en-US" w:eastAsia="zh-CN"/>
              </w:rPr>
              <w:t>超过</w:t>
            </w:r>
            <w:r>
              <w:rPr>
                <w:rFonts w:hint="eastAsia" w:ascii="宋体" w:hAnsi="宋体" w:eastAsia="宋体" w:cs="宋体"/>
                <w:b/>
                <w:bCs/>
                <w:highlight w:val="none"/>
              </w:rPr>
              <w:t>最高限价的为无效报价，作无效标处理否则。</w:t>
            </w:r>
          </w:p>
          <w:p w14:paraId="2BA6419D">
            <w:pPr>
              <w:keepNext w:val="0"/>
              <w:keepLines w:val="0"/>
              <w:pageBreakBefore w:val="0"/>
              <w:numPr>
                <w:ilvl w:val="0"/>
                <w:numId w:val="0"/>
              </w:numPr>
              <w:kinsoku/>
              <w:wordWrap/>
              <w:overflowPunct/>
              <w:autoSpaceDN/>
              <w:bidi w:val="0"/>
              <w:spacing w:line="400" w:lineRule="exact"/>
              <w:textAlignment w:val="auto"/>
              <w:rPr>
                <w:rFonts w:hint="default"/>
                <w:lang w:val="en-US" w:eastAsia="zh-CN"/>
              </w:rPr>
            </w:pPr>
            <w:r>
              <w:rPr>
                <w:rFonts w:hint="eastAsia" w:ascii="宋体" w:hAnsi="宋体" w:eastAsia="宋体" w:cs="宋体"/>
                <w:b/>
                <w:bCs/>
                <w:highlight w:val="none"/>
                <w:lang w:val="en-US" w:eastAsia="zh-CN"/>
              </w:rPr>
              <w:t>3</w:t>
            </w:r>
            <w:r>
              <w:rPr>
                <w:rFonts w:hint="eastAsia" w:ascii="宋体" w:hAnsi="宋体" w:cs="宋体"/>
                <w:b/>
                <w:bCs/>
                <w:highlight w:val="none"/>
                <w:lang w:val="en-US" w:eastAsia="zh-CN"/>
              </w:rPr>
              <w:t>.合同履行期内各项目检测费用累计至28万元时</w:t>
            </w:r>
            <w:r>
              <w:rPr>
                <w:rFonts w:hint="eastAsia" w:ascii="宋体" w:hAnsi="宋体" w:eastAsia="宋体" w:cs="宋体"/>
                <w:b/>
                <w:bCs/>
                <w:highlight w:val="none"/>
                <w:lang w:val="en-US" w:eastAsia="zh-CN"/>
              </w:rPr>
              <w:t>，完成履约项目后合同终止，正在履约的项目不做费用增加。</w:t>
            </w:r>
          </w:p>
        </w:tc>
      </w:tr>
      <w:tr w14:paraId="6F126AF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A3375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836684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投标有效期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3E143A0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投标有效期为</w:t>
            </w:r>
            <w:r>
              <w:rPr>
                <w:rFonts w:hint="eastAsia" w:ascii="宋体" w:hAnsi="宋体" w:cs="宋体"/>
                <w:szCs w:val="21"/>
                <w:highlight w:val="none"/>
                <w:u w:val="single"/>
              </w:rPr>
              <w:t>90</w:t>
            </w:r>
            <w:r>
              <w:rPr>
                <w:rFonts w:hint="eastAsia" w:ascii="宋体" w:hAnsi="宋体" w:cs="宋体"/>
                <w:szCs w:val="21"/>
                <w:highlight w:val="none"/>
              </w:rPr>
              <w:t>日历天（从投标截止之日算起）。在此期限内，凡符合本招标文件要求的投标文件均保持有效。</w:t>
            </w:r>
          </w:p>
        </w:tc>
      </w:tr>
      <w:tr w14:paraId="45AEDE17">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EB6B29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0129E9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投标保证金</w:t>
            </w:r>
          </w:p>
        </w:tc>
        <w:tc>
          <w:tcPr>
            <w:tcW w:w="7251" w:type="dxa"/>
            <w:tcBorders>
              <w:top w:val="single" w:color="auto" w:sz="4" w:space="0"/>
              <w:left w:val="single" w:color="auto" w:sz="4" w:space="0"/>
              <w:bottom w:val="single" w:color="auto" w:sz="4" w:space="0"/>
              <w:right w:val="single" w:color="auto" w:sz="4" w:space="0"/>
            </w:tcBorders>
            <w:noWrap/>
            <w:vAlign w:val="center"/>
          </w:tcPr>
          <w:p w14:paraId="28186690">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详见招标公告信息</w:t>
            </w:r>
          </w:p>
        </w:tc>
      </w:tr>
      <w:tr w14:paraId="6E11FCA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739992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50DF28D">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签字或盖章要求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5AFD1E77">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投标文件须按格式文件要求签字或盖章。否则经评委会一致认定后，按照无效投标处理。</w:t>
            </w:r>
          </w:p>
        </w:tc>
      </w:tr>
      <w:tr w14:paraId="2A0476EF">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596DF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CA3299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投标文件份数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62AE54">
            <w:pPr>
              <w:pStyle w:val="14"/>
              <w:keepNext w:val="0"/>
              <w:keepLines w:val="0"/>
              <w:pageBreakBefore w:val="0"/>
              <w:kinsoku/>
              <w:wordWrap/>
              <w:overflowPunct/>
              <w:autoSpaceDN/>
              <w:bidi w:val="0"/>
              <w:spacing w:line="400" w:lineRule="exact"/>
              <w:ind w:left="0" w:leftChars="0" w:firstLine="0" w:firstLineChars="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p w14:paraId="59E67BFB">
            <w:pPr>
              <w:pStyle w:val="14"/>
              <w:keepNext w:val="0"/>
              <w:keepLines w:val="0"/>
              <w:pageBreakBefore w:val="0"/>
              <w:kinsoku/>
              <w:wordWrap/>
              <w:overflowPunct/>
              <w:autoSpaceDN/>
              <w:bidi w:val="0"/>
              <w:spacing w:line="400" w:lineRule="exact"/>
              <w:ind w:left="0" w:leftChars="0" w:firstLine="0" w:firstLineChars="0"/>
              <w:textAlignment w:val="auto"/>
              <w:rPr>
                <w:highlight w:val="none"/>
              </w:rPr>
            </w:pP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hAnsi="宋体" w:cs="宋体"/>
                <w:b/>
                <w:bCs/>
                <w:i w:val="0"/>
                <w:iCs w:val="0"/>
                <w:color w:val="auto"/>
                <w:kern w:val="0"/>
                <w:sz w:val="21"/>
                <w:szCs w:val="21"/>
                <w:highlight w:val="none"/>
                <w:u w:val="single"/>
                <w:lang w:val="en-US" w:eastAsia="zh-CN"/>
              </w:rPr>
              <w:t>1</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0DE33C57">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0C592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54E8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color w:val="auto"/>
                <w:sz w:val="21"/>
                <w:szCs w:val="21"/>
                <w:highlight w:val="none"/>
              </w:rPr>
              <w:t>投标文件提交截止时间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49C7DBFE">
            <w:pPr>
              <w:keepNext w:val="0"/>
              <w:keepLines w:val="0"/>
              <w:pageBreakBefore w:val="0"/>
              <w:kinsoku/>
              <w:wordWrap/>
              <w:overflowPunct/>
              <w:autoSpaceDN/>
              <w:bidi w:val="0"/>
              <w:spacing w:line="400" w:lineRule="exac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202</w:t>
            </w:r>
            <w:r>
              <w:rPr>
                <w:rFonts w:hint="eastAsia" w:ascii="宋体" w:hAnsi="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9</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时00分（北京时间）</w:t>
            </w:r>
          </w:p>
        </w:tc>
      </w:tr>
      <w:tr w14:paraId="13689E4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12D8F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C2F97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是否退还投标文件</w:t>
            </w:r>
          </w:p>
        </w:tc>
        <w:tc>
          <w:tcPr>
            <w:tcW w:w="7251" w:type="dxa"/>
            <w:tcBorders>
              <w:top w:val="single" w:color="auto" w:sz="4" w:space="0"/>
              <w:left w:val="single" w:color="auto" w:sz="4" w:space="0"/>
              <w:bottom w:val="single" w:color="auto" w:sz="4" w:space="0"/>
              <w:right w:val="single" w:color="auto" w:sz="4" w:space="0"/>
            </w:tcBorders>
            <w:noWrap/>
            <w:vAlign w:val="center"/>
          </w:tcPr>
          <w:p w14:paraId="49837F3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kern w:val="2"/>
                <w:sz w:val="21"/>
                <w:szCs w:val="21"/>
                <w:highlight w:val="none"/>
                <w:u w:color="000000"/>
                <w:lang w:val="en-US" w:eastAsia="zh-CN" w:bidi="ar"/>
              </w:rPr>
              <w:t>否</w:t>
            </w:r>
          </w:p>
        </w:tc>
      </w:tr>
      <w:tr w14:paraId="3E085A9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99301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7A3327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开标时间及地点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1350C95D">
            <w:pPr>
              <w:adjustRightInd w:val="0"/>
              <w:snapToGrid w:val="0"/>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w:t>
            </w:r>
            <w:r>
              <w:rPr>
                <w:rFonts w:hint="eastAsia" w:ascii="宋体" w:hAnsi="宋体" w:eastAsia="宋体" w:cs="宋体"/>
                <w:szCs w:val="21"/>
                <w:highlight w:val="none"/>
              </w:rPr>
              <w:t>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9</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0分</w:t>
            </w:r>
            <w:r>
              <w:rPr>
                <w:rFonts w:hint="eastAsia" w:ascii="宋体" w:hAnsi="宋体" w:eastAsia="宋体" w:cs="宋体"/>
                <w:color w:val="000000"/>
                <w:kern w:val="2"/>
                <w:sz w:val="21"/>
                <w:szCs w:val="21"/>
                <w:highlight w:val="none"/>
                <w:lang w:val="en-US" w:eastAsia="zh-CN" w:bidi="ar"/>
              </w:rPr>
              <w:t>（北京时间）</w:t>
            </w:r>
          </w:p>
          <w:p w14:paraId="604F9E6D">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Times New Roman" w:hAnsi="Times New Roman" w:eastAsia="宋体" w:cs="Times New Roman"/>
                <w:highlight w:val="none"/>
                <w:lang w:val="en-US" w:eastAsia="zh-CN"/>
              </w:rPr>
            </w:pPr>
            <w:r>
              <w:rPr>
                <w:rFonts w:hint="eastAsia" w:ascii="宋体" w:hAnsi="宋体" w:eastAsia="宋体" w:cs="宋体"/>
                <w:color w:val="auto"/>
                <w:szCs w:val="21"/>
                <w:highlight w:val="none"/>
                <w:lang w:val="en-US" w:eastAsia="zh-CN"/>
              </w:rPr>
              <w:t>方式：</w:t>
            </w: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"http://js.etrading.cn/EpointBidOpening/bidopeninghallaction/hall/login）。" </w:instrText>
            </w:r>
            <w:r>
              <w:rPr>
                <w:rFonts w:hint="eastAsia" w:ascii="Times New Roman" w:hAnsi="Times New Roman" w:eastAsia="宋体" w:cs="Times New Roman"/>
                <w:highlight w:val="none"/>
                <w:lang w:val="en-US" w:eastAsia="zh-CN"/>
              </w:rPr>
              <w:fldChar w:fldCharType="separate"/>
            </w:r>
            <w:r>
              <w:rPr>
                <w:rStyle w:val="58"/>
                <w:rFonts w:hint="eastAsia" w:ascii="Times New Roman" w:hAnsi="Times New Roman" w:eastAsia="宋体" w:cs="Times New Roman"/>
                <w:highlight w:val="none"/>
                <w:lang w:val="en-US" w:eastAsia="zh-CN"/>
              </w:rPr>
              <w:t>http://js.etrading.cn/EpointBidOpening/bidopeninghallaction/hall/login）。</w:t>
            </w:r>
            <w:r>
              <w:rPr>
                <w:rFonts w:hint="eastAsia" w:ascii="Times New Roman" w:hAnsi="Times New Roman" w:eastAsia="宋体" w:cs="Times New Roman"/>
                <w:highlight w:val="none"/>
                <w:lang w:val="en-US" w:eastAsia="zh-CN"/>
              </w:rPr>
              <w:fldChar w:fldCharType="end"/>
            </w:r>
          </w:p>
          <w:p w14:paraId="138BE1D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解密时间：投标人须</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lang w:eastAsia="zh-CN"/>
              </w:rPr>
              <w:t>时</w:t>
            </w:r>
            <w:r>
              <w:rPr>
                <w:rFonts w:hint="eastAsia" w:ascii="宋体" w:hAnsi="宋体" w:eastAsia="宋体" w:cs="宋体"/>
                <w:color w:val="auto"/>
                <w:szCs w:val="21"/>
                <w:highlight w:val="none"/>
                <w:u w:val="single"/>
                <w:lang w:val="en-US" w:eastAsia="zh-CN"/>
              </w:rPr>
              <w:t>00</w:t>
            </w:r>
            <w:r>
              <w:rPr>
                <w:rFonts w:hint="eastAsia" w:ascii="宋体" w:hAnsi="宋体" w:eastAsia="宋体" w:cs="宋体"/>
                <w:color w:val="auto"/>
                <w:szCs w:val="21"/>
                <w:highlight w:val="none"/>
                <w:u w:val="single"/>
                <w:lang w:eastAsia="zh-CN"/>
              </w:rPr>
              <w:t>分</w:t>
            </w:r>
            <w:r>
              <w:rPr>
                <w:rFonts w:hint="eastAsia" w:ascii="宋体" w:hAnsi="宋体" w:eastAsia="宋体" w:cs="宋体"/>
                <w:color w:val="auto"/>
                <w:szCs w:val="21"/>
                <w:highlight w:val="none"/>
                <w:u w:val="single"/>
                <w:lang w:val="en-US" w:eastAsia="zh-CN"/>
              </w:rPr>
              <w:t>至2026年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lang w:val="en-US" w:eastAsia="zh-CN"/>
              </w:rPr>
              <w:t>月</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lang w:val="en-US" w:eastAsia="zh-CN"/>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时</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0分</w:t>
            </w:r>
            <w:r>
              <w:rPr>
                <w:rFonts w:hint="eastAsia" w:ascii="宋体" w:hAnsi="宋体" w:eastAsia="宋体" w:cs="宋体"/>
                <w:color w:val="auto"/>
                <w:szCs w:val="21"/>
                <w:highlight w:val="none"/>
                <w:u w:val="single"/>
                <w:lang w:val="en-US" w:eastAsia="zh-CN"/>
              </w:rPr>
              <w:t>解密；未在规定时间内完成解密的，退回其投标文件；如有因系统原因造成的故障，代理机构可申请延迟解密时间。</w:t>
            </w:r>
          </w:p>
        </w:tc>
      </w:tr>
      <w:tr w14:paraId="1992B37A">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95919A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C8E870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开标程序</w:t>
            </w:r>
          </w:p>
        </w:tc>
        <w:tc>
          <w:tcPr>
            <w:tcW w:w="7251" w:type="dxa"/>
            <w:tcBorders>
              <w:top w:val="single" w:color="auto" w:sz="4" w:space="0"/>
              <w:left w:val="single" w:color="auto" w:sz="4" w:space="0"/>
              <w:bottom w:val="single" w:color="auto" w:sz="4" w:space="0"/>
              <w:right w:val="single" w:color="auto" w:sz="4" w:space="0"/>
            </w:tcBorders>
            <w:noWrap/>
            <w:vAlign w:val="center"/>
          </w:tcPr>
          <w:p w14:paraId="4FB8EA5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由代理机构开启电子投标文件，报评标委员会评审。</w:t>
            </w:r>
          </w:p>
        </w:tc>
      </w:tr>
      <w:tr w14:paraId="5625472C">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F3A70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68336E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评标委员会的组建</w:t>
            </w:r>
          </w:p>
        </w:tc>
        <w:tc>
          <w:tcPr>
            <w:tcW w:w="7251" w:type="dxa"/>
            <w:tcBorders>
              <w:top w:val="single" w:color="auto" w:sz="4" w:space="0"/>
              <w:left w:val="single" w:color="auto" w:sz="4" w:space="0"/>
              <w:bottom w:val="single" w:color="auto" w:sz="4" w:space="0"/>
              <w:right w:val="single" w:color="auto" w:sz="4" w:space="0"/>
            </w:tcBorders>
            <w:noWrap/>
            <w:vAlign w:val="center"/>
          </w:tcPr>
          <w:p w14:paraId="7523A5DC">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评标委员会由招标人依法组建。</w:t>
            </w:r>
          </w:p>
        </w:tc>
      </w:tr>
      <w:tr w14:paraId="7BAECC9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3DBFFAA">
            <w:pPr>
              <w:keepNext w:val="0"/>
              <w:keepLines w:val="0"/>
              <w:pageBreakBefore w:val="0"/>
              <w:kinsoku/>
              <w:wordWrap/>
              <w:overflowPunct/>
              <w:autoSpaceDN/>
              <w:bidi w:val="0"/>
              <w:spacing w:line="400" w:lineRule="exact"/>
              <w:jc w:val="center"/>
              <w:textAlignment w:val="auto"/>
              <w:rPr>
                <w:rFonts w:ascii="宋体" w:hAnsi="宋体" w:cs="宋体"/>
                <w:b/>
                <w:bCs/>
                <w:szCs w:val="21"/>
                <w:highlight w:val="none"/>
              </w:rPr>
            </w:pPr>
            <w:r>
              <w:rPr>
                <w:rFonts w:hint="eastAsia" w:ascii="宋体" w:hAnsi="宋体" w:cs="宋体"/>
                <w:szCs w:val="21"/>
                <w:highlight w:val="none"/>
              </w:rPr>
              <w:t>28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E747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ascii="宋体" w:hAnsi="宋体" w:cs="宋体"/>
                <w:bCs/>
                <w:color w:val="auto"/>
                <w:szCs w:val="21"/>
                <w:highlight w:val="none"/>
              </w:rPr>
            </w:pPr>
            <w:r>
              <w:rPr>
                <w:rFonts w:hint="eastAsia" w:ascii="宋体" w:hAnsi="宋体" w:eastAsia="宋体" w:cs="宋体"/>
                <w:b w:val="0"/>
                <w:bCs w:val="0"/>
                <w:color w:val="auto"/>
                <w:sz w:val="21"/>
                <w:szCs w:val="21"/>
                <w:highlight w:val="none"/>
              </w:rPr>
              <w:t>评标委员会确定中标候选人的人数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3FF3BC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ascii="宋体" w:hAnsi="宋体" w:cs="宋体"/>
                <w:bCs/>
                <w:color w:val="auto"/>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名，并标明排序。</w:t>
            </w:r>
          </w:p>
        </w:tc>
      </w:tr>
      <w:tr w14:paraId="0948E9B2">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CAD3EA1">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29</w:t>
            </w:r>
          </w:p>
        </w:tc>
        <w:tc>
          <w:tcPr>
            <w:tcW w:w="2209" w:type="dxa"/>
            <w:gridSpan w:val="2"/>
            <w:tcBorders>
              <w:top w:val="single" w:color="auto" w:sz="4" w:space="0"/>
              <w:left w:val="single" w:color="auto" w:sz="4" w:space="0"/>
              <w:right w:val="single" w:color="auto" w:sz="4" w:space="0"/>
            </w:tcBorders>
            <w:noWrap/>
            <w:vAlign w:val="center"/>
          </w:tcPr>
          <w:p w14:paraId="397DB27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中标候选人公示媒介</w:t>
            </w:r>
          </w:p>
        </w:tc>
        <w:tc>
          <w:tcPr>
            <w:tcW w:w="7251" w:type="dxa"/>
            <w:tcBorders>
              <w:top w:val="single" w:color="auto" w:sz="4" w:space="0"/>
              <w:left w:val="single" w:color="auto" w:sz="4" w:space="0"/>
              <w:right w:val="single" w:color="auto" w:sz="4" w:space="0"/>
            </w:tcBorders>
            <w:noWrap/>
            <w:vAlign w:val="center"/>
          </w:tcPr>
          <w:p w14:paraId="5A0118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62635D2D">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5598C43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AF264B2">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30</w:t>
            </w:r>
          </w:p>
        </w:tc>
        <w:tc>
          <w:tcPr>
            <w:tcW w:w="2209" w:type="dxa"/>
            <w:gridSpan w:val="2"/>
            <w:tcBorders>
              <w:top w:val="single" w:color="auto" w:sz="4" w:space="0"/>
              <w:left w:val="single" w:color="auto" w:sz="4" w:space="0"/>
              <w:right w:val="single" w:color="auto" w:sz="4" w:space="0"/>
            </w:tcBorders>
            <w:noWrap/>
            <w:vAlign w:val="center"/>
          </w:tcPr>
          <w:p w14:paraId="46AD0919">
            <w:pPr>
              <w:keepNext w:val="0"/>
              <w:keepLines w:val="0"/>
              <w:pageBreakBefore w:val="0"/>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sz w:val="21"/>
                <w:szCs w:val="21"/>
                <w:highlight w:val="none"/>
              </w:rPr>
              <w:t>中标通知书发出形式</w:t>
            </w:r>
          </w:p>
        </w:tc>
        <w:tc>
          <w:tcPr>
            <w:tcW w:w="7251" w:type="dxa"/>
            <w:tcBorders>
              <w:top w:val="single" w:color="auto" w:sz="4" w:space="0"/>
              <w:left w:val="single" w:color="auto" w:sz="4" w:space="0"/>
              <w:right w:val="single" w:color="auto" w:sz="4" w:space="0"/>
            </w:tcBorders>
            <w:noWrap/>
            <w:vAlign w:val="center"/>
          </w:tcPr>
          <w:p w14:paraId="6F0D809A">
            <w:pPr>
              <w:keepNext w:val="0"/>
              <w:keepLines w:val="0"/>
              <w:pageBreakBefore w:val="0"/>
              <w:widowControl/>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u w:color="000000"/>
                <w:lang w:val="en-US" w:eastAsia="zh-CN" w:bidi="ar"/>
              </w:rPr>
              <w:t>中标通知书须加盖招标人、招标代理公司公章后发出。</w:t>
            </w:r>
          </w:p>
        </w:tc>
      </w:tr>
      <w:tr w14:paraId="036C355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0D4AB66">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BDAC4D">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履约担保</w:t>
            </w:r>
          </w:p>
        </w:tc>
        <w:tc>
          <w:tcPr>
            <w:tcW w:w="7251" w:type="dxa"/>
            <w:tcBorders>
              <w:top w:val="single" w:color="auto" w:sz="4" w:space="0"/>
              <w:left w:val="single" w:color="auto" w:sz="4" w:space="0"/>
              <w:bottom w:val="single" w:color="auto" w:sz="4" w:space="0"/>
              <w:right w:val="single" w:color="auto" w:sz="4" w:space="0"/>
            </w:tcBorders>
            <w:noWrap/>
            <w:vAlign w:val="center"/>
          </w:tcPr>
          <w:p w14:paraId="4D0BE10B">
            <w:pPr>
              <w:keepNext w:val="0"/>
              <w:keepLines w:val="0"/>
              <w:pageBreakBefore w:val="0"/>
              <w:kinsoku/>
              <w:wordWrap/>
              <w:overflowPunct/>
              <w:autoSpaceDE/>
              <w:autoSpaceDN/>
              <w:bidi w:val="0"/>
              <w:spacing w:line="400" w:lineRule="exact"/>
              <w:textAlignment w:val="auto"/>
              <w:rPr>
                <w:rFonts w:ascii="宋体" w:hAnsi="宋体" w:cs="宋体"/>
                <w:bCs/>
                <w:color w:val="auto"/>
                <w:szCs w:val="21"/>
                <w:highlight w:val="none"/>
              </w:rPr>
            </w:pPr>
            <w:r>
              <w:rPr>
                <w:rFonts w:hint="eastAsia" w:ascii="宋体" w:hAnsi="宋体" w:cs="宋体"/>
                <w:bCs/>
                <w:color w:val="auto"/>
                <w:szCs w:val="21"/>
                <w:highlight w:val="none"/>
              </w:rPr>
              <w:t>履约担保的形式：支持银行转账、银行保函（见索即付无条件保函）使用</w:t>
            </w:r>
          </w:p>
          <w:p w14:paraId="74033D14">
            <w:pPr>
              <w:keepNext w:val="0"/>
              <w:keepLines w:val="0"/>
              <w:pageBreakBefore w:val="0"/>
              <w:kinsoku/>
              <w:wordWrap/>
              <w:overflowPunct/>
              <w:autoSpaceDE/>
              <w:autoSpaceDN/>
              <w:bidi w:val="0"/>
              <w:spacing w:line="380" w:lineRule="exact"/>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履约担保的金额：</w:t>
            </w:r>
            <w:r>
              <w:rPr>
                <w:rFonts w:hint="eastAsia" w:ascii="宋体" w:hAnsi="宋体" w:eastAsia="宋体" w:cs="宋体"/>
                <w:bCs/>
                <w:color w:val="auto"/>
                <w:szCs w:val="21"/>
                <w:highlight w:val="none"/>
              </w:rPr>
              <w:t>中标合同金额×2%</w:t>
            </w:r>
          </w:p>
          <w:p w14:paraId="108D27A9">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收款单位：中标后另行通知                 </w:t>
            </w:r>
          </w:p>
          <w:p w14:paraId="149A75FD">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开户银行：中标后另行通知                   </w:t>
            </w:r>
          </w:p>
          <w:p w14:paraId="4A118B8A">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银行账号：中标后另行通知                   </w:t>
            </w:r>
          </w:p>
          <w:p w14:paraId="3FC80CF4">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缴纳时限：中标人须在中标通知书发出后30日内完成履约保证金缴纳及合同签订（先缴纳履约保证金后签订合同）。中标单位原因造成合同延期签订的，延期签订情节严重的，招标人有权取消其中标资格。并承担给招标人造成的损失，同时依法承担相应法律责任。   </w:t>
            </w:r>
          </w:p>
          <w:p w14:paraId="03D86D07">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履约保证金退还时限：履约保证金在工程竣工验收合格后一个月内无息退还。</w:t>
            </w:r>
          </w:p>
          <w:p w14:paraId="34735417">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其他相关要求：</w:t>
            </w:r>
          </w:p>
          <w:p w14:paraId="57878655">
            <w:pPr>
              <w:keepNext w:val="0"/>
              <w:keepLines w:val="0"/>
              <w:pageBreakBefore w:val="0"/>
              <w:kinsoku/>
              <w:wordWrap/>
              <w:overflowPunct/>
              <w:autoSpaceDE/>
              <w:autoSpaceDN/>
              <w:bidi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采用银行保函的具体要求:按招标人要求提供。</w:t>
            </w:r>
          </w:p>
        </w:tc>
      </w:tr>
      <w:tr w14:paraId="1717AE69">
        <w:tblPrEx>
          <w:tblCellMar>
            <w:top w:w="0" w:type="dxa"/>
            <w:left w:w="108" w:type="dxa"/>
            <w:bottom w:w="0" w:type="dxa"/>
            <w:right w:w="108" w:type="dxa"/>
          </w:tblCellMar>
        </w:tblPrEx>
        <w:trPr>
          <w:trHeight w:val="80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4FFCA40">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E6E11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eastAsia="宋体" w:cs="宋体"/>
                <w:b/>
                <w:bCs/>
                <w:color w:val="auto"/>
                <w:sz w:val="21"/>
                <w:szCs w:val="21"/>
                <w:highlight w:val="none"/>
              </w:rPr>
              <w:t>付款方式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62111E49">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服务期满且每个工程竣工验收合格、办理完工程结算及竣工资料，项目经审计且双方无异议后一次性付清合同价款。</w:t>
            </w:r>
          </w:p>
        </w:tc>
      </w:tr>
      <w:tr w14:paraId="7129CE18">
        <w:tblPrEx>
          <w:tblCellMar>
            <w:top w:w="0" w:type="dxa"/>
            <w:left w:w="108" w:type="dxa"/>
            <w:bottom w:w="0" w:type="dxa"/>
            <w:right w:w="108" w:type="dxa"/>
          </w:tblCellMar>
        </w:tblPrEx>
        <w:trPr>
          <w:trHeight w:val="90" w:hRule="atLeast"/>
          <w:jc w:val="center"/>
        </w:trPr>
        <w:tc>
          <w:tcPr>
            <w:tcW w:w="10328" w:type="dxa"/>
            <w:gridSpan w:val="4"/>
            <w:tcBorders>
              <w:top w:val="single" w:color="auto" w:sz="4" w:space="0"/>
              <w:left w:val="single" w:color="auto" w:sz="4" w:space="0"/>
              <w:bottom w:val="single" w:color="auto" w:sz="4" w:space="0"/>
              <w:right w:val="single" w:color="auto" w:sz="4" w:space="0"/>
            </w:tcBorders>
            <w:noWrap/>
            <w:vAlign w:val="center"/>
          </w:tcPr>
          <w:p w14:paraId="3E3A640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需要补充的其他内容</w:t>
            </w:r>
          </w:p>
        </w:tc>
      </w:tr>
      <w:tr w14:paraId="2AA9094C">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11490EC4">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招标代理服务费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B12792">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代理服务具体金额：1000元。</w:t>
            </w:r>
          </w:p>
          <w:p w14:paraId="7550C2A5">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代理服务费支付主体：由中标单位在领取中标通知书时，一次性支付给代理机构。</w:t>
            </w:r>
          </w:p>
        </w:tc>
      </w:tr>
      <w:tr w14:paraId="0E8F155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B3101E2">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color w:val="auto"/>
                <w:sz w:val="21"/>
                <w:szCs w:val="21"/>
                <w:highlight w:val="none"/>
              </w:rPr>
              <w:t>专家评审劳务费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F5FAE4A">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费用或支付标准：以实际发生为准，预计2000元整。</w:t>
            </w:r>
          </w:p>
          <w:p w14:paraId="0376B137">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支付主体：中标单位</w:t>
            </w:r>
          </w:p>
        </w:tc>
      </w:tr>
      <w:tr w14:paraId="48F0B8E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7F2E766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解释权</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5463BB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1.</w:t>
            </w:r>
            <w:r>
              <w:rPr>
                <w:rFonts w:hint="eastAsia" w:ascii="宋体" w:hAnsi="Times New Roman" w:eastAsia="宋体" w:cs="Times New Roman"/>
                <w:color w:val="auto"/>
                <w:sz w:val="21"/>
                <w:szCs w:val="21"/>
                <w:highlight w:val="none"/>
              </w:rPr>
              <w:t>构成本招标文件的各个组成文件应互为解释，互为说明；</w:t>
            </w:r>
          </w:p>
          <w:p w14:paraId="3620C89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2.</w:t>
            </w:r>
            <w:r>
              <w:rPr>
                <w:rFonts w:hint="eastAsia" w:ascii="宋体" w:hAnsi="Times New Roman" w:eastAsia="宋体" w:cs="Times New Roman"/>
                <w:color w:val="auto"/>
                <w:sz w:val="21"/>
                <w:szCs w:val="21"/>
                <w:highlight w:val="none"/>
              </w:rPr>
              <w:t>同一组成文件中就同一事项的规定或约定不一致的，以编排顺序在后者为准；</w:t>
            </w:r>
          </w:p>
          <w:p w14:paraId="0A7FCBB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3.</w:t>
            </w:r>
            <w:r>
              <w:rPr>
                <w:rFonts w:hint="eastAsia" w:ascii="宋体" w:hAnsi="Times New Roman" w:eastAsia="宋体" w:cs="Times New Roman"/>
                <w:color w:val="auto"/>
                <w:sz w:val="21"/>
                <w:szCs w:val="21"/>
                <w:highlight w:val="none"/>
              </w:rPr>
              <w:t>如有不明确或不一致，构成合同文件组成内容的，以合同文件约定内容为准，且以专用合同条款约定的合同文件优先顺序解释；</w:t>
            </w:r>
          </w:p>
          <w:p w14:paraId="5BD1091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2FCA490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5FC732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同义词语</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E729A2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rPr>
              <w:t>构成招标文件组成部分的“通用合同条款”、“专用合同条款”、“技术标准和要求”等章节中 “发包人”和“承包人”，等同于招标投标阶段的“招标人”和“投标人/中标人”。</w:t>
            </w:r>
          </w:p>
        </w:tc>
      </w:tr>
      <w:tr w14:paraId="28675B8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EF7C88F">
            <w:pPr>
              <w:keepNext w:val="0"/>
              <w:keepLines w:val="0"/>
              <w:pageBreakBefore w:val="0"/>
              <w:suppressLineNumbers w:val="0"/>
              <w:kinsoku/>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宋体" w:eastAsia="宋体" w:cs="宋体"/>
                <w:color w:val="000000"/>
                <w:szCs w:val="21"/>
                <w:highlight w:val="none"/>
                <w:lang w:bidi="ar"/>
              </w:rPr>
              <w:t>备注</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2EB77FE">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1.</w:t>
            </w:r>
            <w:r>
              <w:rPr>
                <w:rFonts w:hint="eastAsia" w:ascii="宋体" w:hAnsi="Times New Roman" w:eastAsia="宋体" w:cs="Times New Roman"/>
                <w:szCs w:val="21"/>
                <w:highlight w:val="none"/>
              </w:rPr>
              <w:t>评标委员会只依靠投标人递交的投标文件及其按照招标文件要求提供的所有证明材料进行评审，而不依靠任何外来的证明材料。</w:t>
            </w:r>
          </w:p>
          <w:p w14:paraId="00220C4A">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2.</w:t>
            </w:r>
            <w:r>
              <w:rPr>
                <w:rFonts w:hint="eastAsia" w:ascii="宋体" w:hAnsi="Times New Roman" w:eastAsia="宋体" w:cs="Times New Roman"/>
                <w:szCs w:val="21"/>
                <w:highlight w:val="none"/>
              </w:rPr>
              <w:t>招标人对本项目执行过程中的所有争议拥有最终的裁决权，投标人应无条件地服从招标人的裁决，不得以任何理由提出增加本项目合同费用和延误本项目工期。</w:t>
            </w:r>
          </w:p>
          <w:p w14:paraId="02070FAA">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leftChars="0" w:right="0" w:rightChars="0"/>
              <w:jc w:val="left"/>
              <w:textAlignment w:val="auto"/>
              <w:rPr>
                <w:rFonts w:ascii="宋体" w:hAnsi="宋体" w:cs="宋体"/>
                <w:strike/>
                <w:szCs w:val="21"/>
                <w:highlight w:val="none"/>
              </w:rPr>
            </w:pPr>
            <w:r>
              <w:rPr>
                <w:rFonts w:hint="eastAsia" w:ascii="宋体" w:hAnsi="Times New Roman" w:eastAsia="宋体" w:cs="Times New Roman"/>
                <w:szCs w:val="21"/>
                <w:highlight w:val="none"/>
                <w:lang w:eastAsia="zh-CN"/>
              </w:rPr>
              <w:t>3.</w:t>
            </w:r>
            <w:r>
              <w:rPr>
                <w:rFonts w:hint="eastAsia" w:ascii="宋体" w:hAnsi="Times New Roman" w:eastAsia="宋体" w:cs="Times New Roman"/>
                <w:szCs w:val="21"/>
                <w:highlight w:val="none"/>
              </w:rPr>
              <w:t>本项目严禁非法转包，一经发现，招标人依法处理。</w:t>
            </w:r>
          </w:p>
        </w:tc>
      </w:tr>
      <w:tr w14:paraId="0F24C4E8">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71447103">
            <w:pPr>
              <w:keepNext w:val="0"/>
              <w:keepLines w:val="0"/>
              <w:pageBreakBefore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宋体" w:hAnsi="宋体" w:eastAsia="宋体" w:cs="宋体"/>
                <w:sz w:val="21"/>
                <w:szCs w:val="21"/>
                <w:lang w:val="en-US" w:eastAsia="zh-CN"/>
              </w:rPr>
            </w:pPr>
            <w:bookmarkStart w:id="51" w:name="_Toc78803322"/>
            <w:bookmarkStart w:id="52" w:name="_Toc35425053"/>
            <w:bookmarkStart w:id="53" w:name="_Toc35424887"/>
            <w:bookmarkStart w:id="54" w:name="_Toc15058846"/>
            <w:bookmarkStart w:id="55" w:name="_Toc5813"/>
            <w:r>
              <w:rPr>
                <w:rFonts w:hint="eastAsia" w:ascii="宋体" w:hAnsi="宋体" w:cs="宋体"/>
                <w:sz w:val="21"/>
                <w:szCs w:val="21"/>
                <w:highlight w:val="none"/>
                <w:lang w:val="en-US" w:eastAsia="zh-CN"/>
              </w:rPr>
              <w:t>重要说明</w:t>
            </w:r>
          </w:p>
        </w:tc>
        <w:tc>
          <w:tcPr>
            <w:tcW w:w="8550" w:type="dxa"/>
            <w:gridSpan w:val="2"/>
            <w:tcBorders>
              <w:top w:val="single" w:color="auto" w:sz="4" w:space="0"/>
              <w:left w:val="single" w:color="auto" w:sz="4" w:space="0"/>
              <w:bottom w:val="single" w:color="auto" w:sz="4" w:space="0"/>
              <w:right w:val="single" w:color="auto" w:sz="4" w:space="0"/>
            </w:tcBorders>
            <w:vAlign w:val="center"/>
          </w:tcPr>
          <w:p w14:paraId="4F02AF8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请于公告发布之日起从滁州市城投工程咨询管理有限公司网站（https://www.czctgczx.com/），点击项目招标公告下方【我要投标】，登录新点电子交易平台后在【滁州专区】（https://www.etrading.cn/BREpointSSO/login/oauth2login?regioncode=DQ_ChuZhou）下载本项目招标文件。投标人自行承担因未按要求获取招标文件导致无法上传电子投标文件的风险。</w:t>
            </w:r>
          </w:p>
          <w:p w14:paraId="2170DAE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2CE7468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3.投标人登录新点电子交易平台【滁州专区】获取招标文件及其它资料（含澄清和补充说明等）。如在招标文件获取过程中遇到系统问题，请拨打技术支持服务热线0512-58151515或者网站首页在线客服。</w:t>
            </w:r>
          </w:p>
          <w:p w14:paraId="6977873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4.本项目采用不见面开标，投标人登录滁州市城投工程咨询有限公司不见面开标系统参与网上开标（网址：http://js.etrading.cn/EpointBidOpening/bidopeninghallaction/hall/login）。</w:t>
            </w:r>
          </w:p>
          <w:p w14:paraId="59C41EA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5.投标人应在投标截止时间之前，登录新点电子交易平台【滁州专区】上传投标文件。投标人逾期上传投标文件的，电子系统不予受理。</w:t>
            </w:r>
          </w:p>
          <w:p w14:paraId="14B9898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6.投标人的联系人电话(手机)、电子邮箱等通讯方式在开标过程中必须保持畅通，否则因上述原因造成的后果，责任自负。</w:t>
            </w:r>
          </w:p>
          <w:p w14:paraId="711DEB2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本项目采用电子招投标方式，请投标人在“新点电子交易平台”常用下载专区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5A01951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lang w:val="en-US" w:eastAsia="zh-CN"/>
              </w:rPr>
            </w:pPr>
            <w:r>
              <w:rPr>
                <w:rFonts w:hint="eastAsia" w:ascii="宋体" w:hAnsi="宋体" w:eastAsia="宋体" w:cs="宋体"/>
                <w:kern w:val="0"/>
                <w:sz w:val="21"/>
                <w:szCs w:val="21"/>
                <w:highlight w:val="none"/>
                <w:lang w:val="en-US" w:eastAsia="zh-CN" w:bidi="ar-SA"/>
              </w:rPr>
              <w:t>8.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tc>
      </w:tr>
    </w:tbl>
    <w:p w14:paraId="735D540F">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585086A">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1. 总则</w:t>
      </w:r>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AE7C8E8">
      <w:pPr>
        <w:pStyle w:val="3"/>
        <w:ind w:firstLine="422" w:firstLineChars="200"/>
        <w:rPr>
          <w:rFonts w:ascii="宋体" w:hAnsi="宋体" w:eastAsia="宋体" w:cs="宋体"/>
          <w:kern w:val="44"/>
          <w:highlight w:val="none"/>
        </w:rPr>
      </w:pPr>
      <w:bookmarkStart w:id="56" w:name="_Toc152045530"/>
      <w:bookmarkStart w:id="57" w:name="_Toc35425054"/>
      <w:bookmarkStart w:id="58" w:name="_Toc506107270"/>
      <w:bookmarkStart w:id="59" w:name="_Toc246996176"/>
      <w:bookmarkStart w:id="60" w:name="_Toc144974498"/>
      <w:bookmarkStart w:id="61" w:name="_Toc15058847"/>
      <w:bookmarkStart w:id="62" w:name="_Toc324404816"/>
      <w:bookmarkStart w:id="63" w:name="_Toc179632547"/>
      <w:bookmarkStart w:id="64" w:name="_Toc247085690"/>
      <w:bookmarkStart w:id="65" w:name="_Toc296602421"/>
      <w:bookmarkStart w:id="66" w:name="_Toc246996919"/>
      <w:bookmarkStart w:id="67" w:name="_Toc152042306"/>
      <w:bookmarkStart w:id="68" w:name="_Toc78803323"/>
      <w:bookmarkStart w:id="69" w:name="_Toc4678"/>
      <w:bookmarkStart w:id="70" w:name="_Toc35424888"/>
      <w:r>
        <w:rPr>
          <w:rFonts w:hint="eastAsia" w:ascii="宋体" w:hAnsi="宋体" w:eastAsia="宋体" w:cs="宋体"/>
          <w:kern w:val="44"/>
          <w:highlight w:val="none"/>
        </w:rPr>
        <w:t>1.1 项目概况</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07780BC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1.1.1根据《中华人民共和国招标投标法》《中华人民共和国招标投标法实施条例》等有关法律、法规和规章的规定，本招标项目已具备招标条件，现对本项目进行招标。</w:t>
      </w:r>
    </w:p>
    <w:p w14:paraId="5AB354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1.1.2 本招标项目招标人：见投标人须知前附表。</w:t>
      </w:r>
    </w:p>
    <w:p w14:paraId="7E46A0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1.1.3 本招标项目招标代理机构：见投标人须知前附表。</w:t>
      </w:r>
    </w:p>
    <w:p w14:paraId="77102B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1.1.4 本招标项目名称：见投标人须知前附表。</w:t>
      </w:r>
    </w:p>
    <w:p w14:paraId="6CBC327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1.1.5 本招标项目建设地点：见投标人须知前附表。</w:t>
      </w:r>
    </w:p>
    <w:p w14:paraId="036B2C8D">
      <w:pPr>
        <w:pStyle w:val="3"/>
        <w:ind w:firstLine="422" w:firstLineChars="200"/>
        <w:rPr>
          <w:rFonts w:ascii="宋体" w:hAnsi="宋体" w:eastAsia="宋体" w:cs="宋体"/>
          <w:highlight w:val="none"/>
        </w:rPr>
      </w:pPr>
      <w:bookmarkStart w:id="71" w:name="_Toc78803324"/>
      <w:bookmarkStart w:id="72" w:name="_Toc35424889"/>
      <w:bookmarkStart w:id="73" w:name="_Toc506107271"/>
      <w:bookmarkStart w:id="74" w:name="_Toc152042307"/>
      <w:bookmarkStart w:id="75" w:name="_Toc247085691"/>
      <w:bookmarkStart w:id="76" w:name="_Toc152045531"/>
      <w:bookmarkStart w:id="77" w:name="_Toc179632548"/>
      <w:bookmarkStart w:id="78" w:name="_Toc15058848"/>
      <w:bookmarkStart w:id="79" w:name="_Toc246996920"/>
      <w:bookmarkStart w:id="80" w:name="_Toc35425055"/>
      <w:bookmarkStart w:id="81" w:name="_Toc7142"/>
      <w:bookmarkStart w:id="82" w:name="_Toc246996177"/>
      <w:bookmarkStart w:id="83" w:name="_Toc324404817"/>
      <w:bookmarkStart w:id="84" w:name="_Toc144974499"/>
      <w:bookmarkStart w:id="85" w:name="_Toc296602422"/>
      <w:r>
        <w:rPr>
          <w:rFonts w:hint="eastAsia" w:ascii="宋体" w:hAnsi="宋体" w:eastAsia="宋体" w:cs="宋体"/>
          <w:highlight w:val="none"/>
        </w:rPr>
        <w:t>1.2 资金来源和落实情况</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62000A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1.2.1 本招标项目的资金来源及出资比例：见投标人须知前附表。</w:t>
      </w:r>
    </w:p>
    <w:p w14:paraId="2086A8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1.2.2 本招标项目的资金落实情况：见投标人须知前附表。</w:t>
      </w:r>
    </w:p>
    <w:p w14:paraId="77419EB9">
      <w:pPr>
        <w:pStyle w:val="3"/>
        <w:ind w:firstLine="422" w:firstLineChars="200"/>
        <w:rPr>
          <w:rFonts w:ascii="宋体" w:hAnsi="宋体" w:eastAsia="宋体" w:cs="宋体"/>
          <w:highlight w:val="none"/>
        </w:rPr>
      </w:pPr>
      <w:bookmarkStart w:id="86" w:name="_Toc6330"/>
      <w:bookmarkStart w:id="87" w:name="_Toc144974500"/>
      <w:bookmarkStart w:id="88" w:name="_Toc35424890"/>
      <w:bookmarkStart w:id="89" w:name="_Toc152045532"/>
      <w:bookmarkStart w:id="90" w:name="_Toc78803325"/>
      <w:bookmarkStart w:id="91" w:name="_Toc246996921"/>
      <w:bookmarkStart w:id="92" w:name="_Toc247085692"/>
      <w:bookmarkStart w:id="93" w:name="_Toc35425056"/>
      <w:bookmarkStart w:id="94" w:name="_Toc246996178"/>
      <w:bookmarkStart w:id="95" w:name="_Toc179632549"/>
      <w:bookmarkStart w:id="96" w:name="_Toc296602423"/>
      <w:bookmarkStart w:id="97" w:name="_Toc152042308"/>
      <w:bookmarkStart w:id="98" w:name="_Toc506107272"/>
      <w:bookmarkStart w:id="99" w:name="_Toc324404818"/>
      <w:bookmarkStart w:id="100" w:name="_Toc15058849"/>
      <w:r>
        <w:rPr>
          <w:rFonts w:hint="eastAsia" w:ascii="宋体" w:hAnsi="宋体" w:eastAsia="宋体" w:cs="宋体"/>
          <w:highlight w:val="none"/>
        </w:rPr>
        <w:t>1.3 招标范围、服务期限、质量要求</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4E6EC9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1.3.1 本次招标范围：见投标人须知前附表。</w:t>
      </w:r>
    </w:p>
    <w:p w14:paraId="4738494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1.3.2 本招标项目的服务期限：见投标人须知前附表。</w:t>
      </w:r>
    </w:p>
    <w:p w14:paraId="1CB8FAD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1.3.3 本招标项目的质量要求：见投标人须知前附表。</w:t>
      </w:r>
    </w:p>
    <w:p w14:paraId="26E33D0B">
      <w:pPr>
        <w:pStyle w:val="3"/>
        <w:ind w:firstLine="422" w:firstLineChars="200"/>
        <w:rPr>
          <w:rFonts w:ascii="宋体" w:hAnsi="宋体" w:eastAsia="宋体" w:cs="宋体"/>
          <w:highlight w:val="none"/>
        </w:rPr>
      </w:pPr>
      <w:bookmarkStart w:id="101" w:name="_Toc35424891"/>
      <w:bookmarkStart w:id="102" w:name="_Toc152045534"/>
      <w:bookmarkStart w:id="103" w:name="_Toc247085693"/>
      <w:bookmarkStart w:id="104" w:name="_Toc324404819"/>
      <w:bookmarkStart w:id="105" w:name="_Toc15058850"/>
      <w:bookmarkStart w:id="106" w:name="_Toc246996179"/>
      <w:bookmarkStart w:id="107" w:name="_Toc506107273"/>
      <w:bookmarkStart w:id="108" w:name="_Toc152042310"/>
      <w:bookmarkStart w:id="109" w:name="_Toc179632551"/>
      <w:bookmarkStart w:id="110" w:name="_Toc144974502"/>
      <w:bookmarkStart w:id="111" w:name="_Toc296602424"/>
      <w:bookmarkStart w:id="112" w:name="_Toc35425057"/>
      <w:bookmarkStart w:id="113" w:name="_Toc246996922"/>
      <w:bookmarkStart w:id="114" w:name="_Toc78803326"/>
      <w:bookmarkStart w:id="115" w:name="_Toc26897"/>
      <w:r>
        <w:rPr>
          <w:rFonts w:hint="eastAsia" w:ascii="宋体" w:hAnsi="宋体" w:eastAsia="宋体" w:cs="宋体"/>
          <w:highlight w:val="none"/>
        </w:rPr>
        <w:t>1.4 投标人资格要求</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473C4A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1.4.1 投标人应具备承担本项目的资质条件、能力和信誉。</w:t>
      </w:r>
    </w:p>
    <w:p w14:paraId="2635E8E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（1）资质条件：见投标人须知前附表；</w:t>
      </w:r>
    </w:p>
    <w:p w14:paraId="4D8A91F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（2）项目负责人资格：见投标人须知前附表；</w:t>
      </w:r>
    </w:p>
    <w:p w14:paraId="6356665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）其他要求：见投标人须知前附表。</w:t>
      </w:r>
    </w:p>
    <w:p w14:paraId="3FF553E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1.4.2 投标人不得存在下列情形之一：</w:t>
      </w:r>
    </w:p>
    <w:p w14:paraId="07B4452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（1）为招标人不具有独立法人资格的附属机构（单位）；</w:t>
      </w:r>
    </w:p>
    <w:p w14:paraId="777EC826">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（2）与招标人存在利害关系且可能影响招标公正性；</w:t>
      </w:r>
    </w:p>
    <w:p w14:paraId="300323A5">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（3）与本标段的其他投标人同为一个单位负责人；</w:t>
      </w:r>
    </w:p>
    <w:p w14:paraId="4B6FCCF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（4）与本标段的其他投标人存在控股、管理关系；</w:t>
      </w:r>
    </w:p>
    <w:p w14:paraId="5CF77BBE">
      <w:pPr>
        <w:spacing w:line="440" w:lineRule="exact"/>
        <w:ind w:firstLine="420" w:firstLineChars="200"/>
        <w:jc w:val="left"/>
        <w:rPr>
          <w:rFonts w:hint="eastAsia" w:ascii="宋体" w:hAnsi="宋体" w:cs="宋体"/>
          <w:color w:val="000000"/>
          <w:szCs w:val="21"/>
        </w:rPr>
      </w:pPr>
      <w:r>
        <w:rPr>
          <w:rFonts w:hint="eastAsia" w:ascii="宋体" w:hAnsi="宋体" w:cs="宋体"/>
          <w:szCs w:val="21"/>
          <w:highlight w:val="none"/>
        </w:rPr>
        <w:t>（5）为本标段前期准备提供设计或咨询服务的法人或其任何附属机构（单位）</w:t>
      </w:r>
      <w:r>
        <w:rPr>
          <w:rFonts w:hint="eastAsia" w:ascii="宋体" w:hAnsi="宋体" w:cs="宋体"/>
          <w:color w:val="000000"/>
          <w:szCs w:val="21"/>
        </w:rPr>
        <w:t>；</w:t>
      </w:r>
    </w:p>
    <w:p w14:paraId="60E2443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（6）为本标段的监理人；</w:t>
      </w:r>
    </w:p>
    <w:p w14:paraId="4EF9AA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（7）为本标段的代建人；</w:t>
      </w:r>
    </w:p>
    <w:p w14:paraId="561E8C4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（8）为本标段的招标代理机构；</w:t>
      </w:r>
    </w:p>
    <w:p w14:paraId="354920B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（9）与本标段的监理人或代建人或招标代理机构同为一个法定代表人；</w:t>
      </w:r>
    </w:p>
    <w:p w14:paraId="02E8960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（10）与本标段的监理人或代建人或招标代理机构存在控股或参股关系；</w:t>
      </w:r>
    </w:p>
    <w:p w14:paraId="5D13A36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（11）法律法规或投标人须知前附表规定的其他情形。</w:t>
      </w:r>
    </w:p>
    <w:p w14:paraId="0147B1F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1.4.3 单位负责人为同一人或者存在控股、管理关系的不同单位，不得同时参加本招标项目投标。</w:t>
      </w:r>
    </w:p>
    <w:p w14:paraId="4D283291">
      <w:pPr>
        <w:pStyle w:val="3"/>
        <w:ind w:firstLine="422" w:firstLineChars="200"/>
        <w:rPr>
          <w:rFonts w:ascii="宋体" w:hAnsi="宋体" w:eastAsia="宋体" w:cs="宋体"/>
          <w:highlight w:val="none"/>
        </w:rPr>
      </w:pPr>
      <w:bookmarkStart w:id="116" w:name="_Toc152045535"/>
      <w:bookmarkStart w:id="117" w:name="_Toc10179"/>
      <w:bookmarkStart w:id="118" w:name="_Toc15058851"/>
      <w:bookmarkStart w:id="119" w:name="_Toc506107274"/>
      <w:bookmarkStart w:id="120" w:name="_Toc35425058"/>
      <w:bookmarkStart w:id="121" w:name="_Toc144974503"/>
      <w:bookmarkStart w:id="122" w:name="_Toc246996180"/>
      <w:bookmarkStart w:id="123" w:name="_Toc296602425"/>
      <w:bookmarkStart w:id="124" w:name="_Toc247085694"/>
      <w:bookmarkStart w:id="125" w:name="_Toc35424892"/>
      <w:bookmarkStart w:id="126" w:name="_Toc179632552"/>
      <w:bookmarkStart w:id="127" w:name="_Toc152042311"/>
      <w:bookmarkStart w:id="128" w:name="_Toc246996923"/>
      <w:bookmarkStart w:id="129" w:name="_Toc78803327"/>
      <w:bookmarkStart w:id="130" w:name="_Toc324404820"/>
      <w:r>
        <w:rPr>
          <w:rFonts w:hint="eastAsia" w:ascii="宋体" w:hAnsi="宋体" w:eastAsia="宋体" w:cs="宋体"/>
          <w:highlight w:val="none"/>
        </w:rPr>
        <w:t>1.5 费用承担</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2CDB29E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投标人准备和参加投标活动发生的费用自理。</w:t>
      </w:r>
    </w:p>
    <w:p w14:paraId="6B9E8D17">
      <w:pPr>
        <w:pStyle w:val="3"/>
        <w:ind w:firstLine="422" w:firstLineChars="200"/>
        <w:rPr>
          <w:rFonts w:ascii="宋体" w:hAnsi="宋体" w:eastAsia="宋体" w:cs="宋体"/>
          <w:highlight w:val="none"/>
        </w:rPr>
      </w:pPr>
      <w:bookmarkStart w:id="131" w:name="_Toc35425059"/>
      <w:bookmarkStart w:id="132" w:name="_Toc324404821"/>
      <w:bookmarkStart w:id="133" w:name="_Toc152045536"/>
      <w:bookmarkStart w:id="134" w:name="_Toc78803328"/>
      <w:bookmarkStart w:id="135" w:name="_Toc144974504"/>
      <w:bookmarkStart w:id="136" w:name="_Toc4092"/>
      <w:bookmarkStart w:id="137" w:name="_Toc246996181"/>
      <w:bookmarkStart w:id="138" w:name="_Toc506107275"/>
      <w:bookmarkStart w:id="139" w:name="_Toc246996924"/>
      <w:bookmarkStart w:id="140" w:name="_Toc296602426"/>
      <w:bookmarkStart w:id="141" w:name="_Toc35424893"/>
      <w:bookmarkStart w:id="142" w:name="_Toc152042312"/>
      <w:bookmarkStart w:id="143" w:name="_Toc15058852"/>
      <w:bookmarkStart w:id="144" w:name="_Toc179632553"/>
      <w:bookmarkStart w:id="145" w:name="_Toc247085695"/>
      <w:r>
        <w:rPr>
          <w:rFonts w:hint="eastAsia" w:ascii="宋体" w:hAnsi="宋体" w:eastAsia="宋体" w:cs="宋体"/>
          <w:highlight w:val="none"/>
        </w:rPr>
        <w:t>1.6 保密</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709F25B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参与招标投标活动的各方应对招标文件和投标文件中的商业和技术等秘密保密，违者应对由此造成的后果承担法律责任。 </w:t>
      </w:r>
    </w:p>
    <w:p w14:paraId="17C94B32">
      <w:pPr>
        <w:pStyle w:val="3"/>
        <w:ind w:firstLine="422" w:firstLineChars="200"/>
        <w:rPr>
          <w:rFonts w:ascii="宋体" w:hAnsi="宋体" w:eastAsia="宋体" w:cs="宋体"/>
          <w:highlight w:val="none"/>
        </w:rPr>
      </w:pPr>
      <w:bookmarkStart w:id="146" w:name="_Toc144974505"/>
      <w:bookmarkStart w:id="147" w:name="_Toc78803329"/>
      <w:bookmarkStart w:id="148" w:name="_Toc296602427"/>
      <w:bookmarkStart w:id="149" w:name="_Toc247085696"/>
      <w:bookmarkStart w:id="150" w:name="_Toc506107276"/>
      <w:bookmarkStart w:id="151" w:name="_Toc152045537"/>
      <w:bookmarkStart w:id="152" w:name="_Toc246996925"/>
      <w:bookmarkStart w:id="153" w:name="_Toc179632554"/>
      <w:bookmarkStart w:id="154" w:name="_Toc4119"/>
      <w:bookmarkStart w:id="155" w:name="_Toc324404822"/>
      <w:bookmarkStart w:id="156" w:name="_Toc35424894"/>
      <w:bookmarkStart w:id="157" w:name="_Toc246996182"/>
      <w:bookmarkStart w:id="158" w:name="_Toc152042313"/>
      <w:bookmarkStart w:id="159" w:name="_Toc35425060"/>
      <w:bookmarkStart w:id="160" w:name="_Toc15058853"/>
      <w:r>
        <w:rPr>
          <w:rFonts w:hint="eastAsia" w:ascii="宋体" w:hAnsi="宋体" w:eastAsia="宋体" w:cs="宋体"/>
          <w:highlight w:val="none"/>
        </w:rPr>
        <w:t>1.7 语言</w:t>
      </w:r>
      <w:bookmarkEnd w:id="146"/>
      <w:r>
        <w:rPr>
          <w:rFonts w:hint="eastAsia" w:ascii="宋体" w:hAnsi="宋体" w:eastAsia="宋体" w:cs="宋体"/>
          <w:highlight w:val="none"/>
        </w:rPr>
        <w:t>文字</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13039B6C">
      <w:pPr>
        <w:spacing w:line="440" w:lineRule="exact"/>
        <w:ind w:firstLine="420" w:firstLineChars="200"/>
        <w:jc w:val="left"/>
        <w:rPr>
          <w:rFonts w:ascii="宋体" w:hAnsi="宋体" w:cs="宋体"/>
          <w:szCs w:val="21"/>
          <w:highlight w:val="none"/>
        </w:rPr>
      </w:pPr>
      <w:bookmarkStart w:id="161" w:name="_Toc144974506"/>
      <w:bookmarkStart w:id="162" w:name="_Toc152042314"/>
      <w:bookmarkStart w:id="163" w:name="_Toc246996183"/>
      <w:bookmarkStart w:id="164" w:name="_Toc247085697"/>
      <w:bookmarkStart w:id="165" w:name="_Toc152045538"/>
      <w:bookmarkStart w:id="166" w:name="_Toc179632555"/>
      <w:bookmarkStart w:id="167" w:name="_Toc246996926"/>
      <w:r>
        <w:rPr>
          <w:rFonts w:hint="eastAsia" w:ascii="宋体" w:hAnsi="宋体" w:cs="宋体"/>
          <w:szCs w:val="21"/>
          <w:highlight w:val="none"/>
        </w:rPr>
        <w:t>招标投标文件使用的语言文字为中文。专用术语使用外文的，应附有中文注释。</w:t>
      </w:r>
    </w:p>
    <w:p w14:paraId="07887133">
      <w:pPr>
        <w:pStyle w:val="3"/>
        <w:ind w:firstLine="422" w:firstLineChars="200"/>
        <w:rPr>
          <w:rFonts w:ascii="宋体" w:hAnsi="宋体" w:eastAsia="宋体" w:cs="宋体"/>
          <w:highlight w:val="none"/>
        </w:rPr>
      </w:pPr>
      <w:bookmarkStart w:id="168" w:name="_Toc506107277"/>
      <w:bookmarkStart w:id="169" w:name="_Toc78803330"/>
      <w:bookmarkStart w:id="170" w:name="_Toc296602428"/>
      <w:bookmarkStart w:id="171" w:name="_Toc15058854"/>
      <w:bookmarkStart w:id="172" w:name="_Toc324404823"/>
      <w:bookmarkStart w:id="173" w:name="_Toc13408"/>
      <w:bookmarkStart w:id="174" w:name="_Toc35424895"/>
      <w:bookmarkStart w:id="175" w:name="_Toc35425061"/>
      <w:r>
        <w:rPr>
          <w:rFonts w:hint="eastAsia" w:ascii="宋体" w:hAnsi="宋体" w:eastAsia="宋体" w:cs="宋体"/>
          <w:highlight w:val="none"/>
        </w:rPr>
        <w:t>1.8 计量单位</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3DEA88E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所有计量均采用中华人民共和国法定计量单位。</w:t>
      </w:r>
    </w:p>
    <w:p w14:paraId="6E75FA73">
      <w:pPr>
        <w:pStyle w:val="3"/>
        <w:ind w:firstLine="422" w:firstLineChars="200"/>
        <w:rPr>
          <w:rFonts w:ascii="宋体" w:hAnsi="宋体" w:eastAsia="宋体" w:cs="宋体"/>
          <w:highlight w:val="none"/>
        </w:rPr>
      </w:pPr>
      <w:bookmarkStart w:id="176" w:name="_Toc247513962"/>
      <w:bookmarkStart w:id="177" w:name="_Toc247592876"/>
      <w:bookmarkStart w:id="178" w:name="_Toc324404824"/>
      <w:bookmarkStart w:id="179" w:name="_Toc78803331"/>
      <w:bookmarkStart w:id="180" w:name="_Toc152045539"/>
      <w:bookmarkStart w:id="181" w:name="_Toc152042315"/>
      <w:bookmarkStart w:id="182" w:name="_Toc506107278"/>
      <w:bookmarkStart w:id="183" w:name="_Toc296602429"/>
      <w:bookmarkStart w:id="184" w:name="_Toc15058855"/>
      <w:bookmarkStart w:id="185" w:name="_Toc144974507"/>
      <w:bookmarkStart w:id="186" w:name="_Toc11493"/>
      <w:bookmarkStart w:id="187" w:name="_Toc247527563"/>
      <w:bookmarkStart w:id="188" w:name="_Toc35424896"/>
      <w:bookmarkStart w:id="189" w:name="_Toc35425062"/>
      <w:r>
        <w:rPr>
          <w:rFonts w:hint="eastAsia" w:ascii="宋体" w:hAnsi="宋体" w:eastAsia="宋体" w:cs="宋体"/>
          <w:highlight w:val="none"/>
        </w:rPr>
        <w:t>1.9 踏勘现场</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2A71B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1.9.1 投标人须知前附表规定组织踏勘现场的，招标人按投标人须知前附表规定的时间、地点组织投标人踏勘项目现场。 </w:t>
      </w:r>
    </w:p>
    <w:p w14:paraId="7CA0E90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1.9.2 投标人踏勘现场发生的费用自理。</w:t>
      </w:r>
    </w:p>
    <w:p w14:paraId="127465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1.9.3 除招标人的原因外，投标人自行负责在踏勘现场中所发生的人员伤亡和财产损失。</w:t>
      </w:r>
    </w:p>
    <w:p w14:paraId="79BF0E5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1.9.4 招标人在踏勘现场中介绍的工程场地和相关的周边环境情况，供投标人在编制投标文件时参考，招标人不对投标人据此作出的判断和决策负责。</w:t>
      </w:r>
    </w:p>
    <w:p w14:paraId="179FDA06">
      <w:pPr>
        <w:pStyle w:val="3"/>
        <w:ind w:firstLine="422" w:firstLineChars="200"/>
        <w:rPr>
          <w:rFonts w:ascii="宋体" w:hAnsi="宋体" w:eastAsia="宋体" w:cs="宋体"/>
          <w:highlight w:val="none"/>
        </w:rPr>
      </w:pPr>
      <w:bookmarkStart w:id="190" w:name="_Toc15058856"/>
      <w:bookmarkStart w:id="191" w:name="_Toc296602430"/>
      <w:bookmarkStart w:id="192" w:name="_Toc22954"/>
      <w:bookmarkStart w:id="193" w:name="_Toc247527564"/>
      <w:bookmarkStart w:id="194" w:name="_Toc506107279"/>
      <w:bookmarkStart w:id="195" w:name="_Toc152042316"/>
      <w:bookmarkStart w:id="196" w:name="_Toc152045540"/>
      <w:bookmarkStart w:id="197" w:name="_Toc324404825"/>
      <w:bookmarkStart w:id="198" w:name="_Toc144974508"/>
      <w:bookmarkStart w:id="199" w:name="_Toc35424897"/>
      <w:bookmarkStart w:id="200" w:name="_Toc247592877"/>
      <w:bookmarkStart w:id="201" w:name="_Toc78803332"/>
      <w:bookmarkStart w:id="202" w:name="_Toc247513963"/>
      <w:bookmarkStart w:id="203" w:name="_Toc35425063"/>
      <w:r>
        <w:rPr>
          <w:rFonts w:hint="eastAsia" w:ascii="宋体" w:hAnsi="宋体" w:eastAsia="宋体" w:cs="宋体"/>
          <w:highlight w:val="none"/>
        </w:rPr>
        <w:t>1.10 投标预备会</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58EE1D1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1.10.1投标人须知前附表规定召开投标预备会的，招标人按投标人须知前附表规定的时间和地点召开投标预备会，澄清投标人提出的问题。</w:t>
      </w:r>
    </w:p>
    <w:p w14:paraId="5D6BD2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1.10.2投标人应在投标人须知前附表规定的时间前，将提出的问题送达招标人，以便招标人澄清。</w:t>
      </w:r>
    </w:p>
    <w:p w14:paraId="5AA3AE0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1.10.3招标人在投标人须知前附表规定的时间，将对投标人所提的问题进行澄清。该澄清内容为招标文件的组成部分。</w:t>
      </w:r>
    </w:p>
    <w:p w14:paraId="01FA1CA0">
      <w:pPr>
        <w:pStyle w:val="3"/>
        <w:ind w:firstLine="422" w:firstLineChars="200"/>
        <w:rPr>
          <w:rFonts w:ascii="宋体" w:hAnsi="宋体" w:eastAsia="宋体" w:cs="宋体"/>
          <w:highlight w:val="none"/>
        </w:rPr>
      </w:pPr>
      <w:bookmarkStart w:id="204" w:name="_Toc506107280"/>
      <w:bookmarkStart w:id="205" w:name="_Toc296602431"/>
      <w:bookmarkStart w:id="206" w:name="_Toc35425064"/>
      <w:bookmarkStart w:id="207" w:name="_Toc32016"/>
      <w:bookmarkStart w:id="208" w:name="_Toc324404826"/>
      <w:bookmarkStart w:id="209" w:name="_Toc15058857"/>
      <w:bookmarkStart w:id="210" w:name="_Toc78803333"/>
      <w:bookmarkStart w:id="211" w:name="_Toc35424898"/>
      <w:r>
        <w:rPr>
          <w:rFonts w:hint="eastAsia" w:ascii="宋体" w:hAnsi="宋体" w:eastAsia="宋体" w:cs="宋体"/>
          <w:highlight w:val="none"/>
        </w:rPr>
        <w:t>1.11 偏离</w:t>
      </w:r>
      <w:bookmarkEnd w:id="204"/>
      <w:bookmarkEnd w:id="205"/>
      <w:bookmarkEnd w:id="206"/>
      <w:bookmarkEnd w:id="207"/>
      <w:bookmarkEnd w:id="208"/>
      <w:bookmarkEnd w:id="209"/>
      <w:bookmarkEnd w:id="210"/>
      <w:bookmarkEnd w:id="211"/>
    </w:p>
    <w:p w14:paraId="7B46C04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投标人须知前附表允许投标文件偏离招标文件某些要求的，偏离应当符合招标文件规定的偏离范围和幅度。</w:t>
      </w:r>
    </w:p>
    <w:p w14:paraId="258F395D">
      <w:pPr>
        <w:pStyle w:val="3"/>
        <w:spacing w:beforeLines="50" w:afterLines="50"/>
        <w:ind w:firstLine="482" w:firstLineChars="200"/>
        <w:rPr>
          <w:rFonts w:ascii="宋体" w:hAnsi="宋体" w:eastAsia="宋体" w:cs="宋体"/>
          <w:sz w:val="24"/>
          <w:szCs w:val="24"/>
          <w:highlight w:val="none"/>
        </w:rPr>
      </w:pPr>
      <w:bookmarkStart w:id="212" w:name="_Toc247085701"/>
      <w:bookmarkStart w:id="213" w:name="_Toc35424899"/>
      <w:bookmarkStart w:id="214" w:name="_Toc35425065"/>
      <w:bookmarkStart w:id="215" w:name="_Toc152045542"/>
      <w:bookmarkStart w:id="216" w:name="_Toc144974510"/>
      <w:bookmarkStart w:id="217" w:name="_Toc78803334"/>
      <w:bookmarkStart w:id="218" w:name="_Toc152042318"/>
      <w:bookmarkStart w:id="219" w:name="_Toc179632560"/>
      <w:bookmarkStart w:id="220" w:name="_Toc506107281"/>
      <w:bookmarkStart w:id="221" w:name="_Toc246996187"/>
      <w:bookmarkStart w:id="222" w:name="_Toc246996930"/>
      <w:bookmarkStart w:id="223" w:name="_Toc4012"/>
      <w:bookmarkStart w:id="224" w:name="_Toc15058858"/>
      <w:bookmarkStart w:id="225" w:name="_Toc324404827"/>
      <w:r>
        <w:rPr>
          <w:rFonts w:hint="eastAsia" w:ascii="宋体" w:hAnsi="宋体" w:eastAsia="宋体" w:cs="宋体"/>
          <w:sz w:val="24"/>
          <w:szCs w:val="24"/>
          <w:highlight w:val="none"/>
        </w:rPr>
        <w:t>2. 招标文件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E9A892E">
      <w:pPr>
        <w:pStyle w:val="3"/>
        <w:ind w:firstLine="422" w:firstLineChars="200"/>
        <w:rPr>
          <w:rFonts w:ascii="宋体" w:hAnsi="宋体" w:eastAsia="宋体" w:cs="宋体"/>
          <w:highlight w:val="none"/>
        </w:rPr>
      </w:pPr>
      <w:bookmarkStart w:id="226" w:name="_Toc152045543"/>
      <w:bookmarkStart w:id="227" w:name="_Toc78803335"/>
      <w:bookmarkStart w:id="228" w:name="_Toc179632561"/>
      <w:bookmarkStart w:id="229" w:name="_Toc324404828"/>
      <w:bookmarkStart w:id="230" w:name="_Toc152042319"/>
      <w:bookmarkStart w:id="231" w:name="_Toc144974511"/>
      <w:bookmarkStart w:id="232" w:name="_Toc246996931"/>
      <w:bookmarkStart w:id="233" w:name="_Toc246996188"/>
      <w:bookmarkStart w:id="234" w:name="_Toc506107282"/>
      <w:bookmarkStart w:id="235" w:name="_Toc15058859"/>
      <w:bookmarkStart w:id="236" w:name="_Toc247085702"/>
      <w:bookmarkStart w:id="237" w:name="_Toc35425066"/>
      <w:bookmarkStart w:id="238" w:name="_Toc13213"/>
      <w:bookmarkStart w:id="239" w:name="_Toc35424900"/>
      <w:bookmarkStart w:id="240" w:name="_Toc296602433"/>
      <w:r>
        <w:rPr>
          <w:rFonts w:hint="eastAsia" w:ascii="宋体" w:hAnsi="宋体" w:eastAsia="宋体" w:cs="宋体"/>
          <w:highlight w:val="none"/>
        </w:rPr>
        <w:t>2.1 招标文件的组成</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F335EA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2.1.1 本招标文件包括：</w:t>
      </w:r>
    </w:p>
    <w:p w14:paraId="17A2542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（1）招标公告；</w:t>
      </w:r>
    </w:p>
    <w:p w14:paraId="309C973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（2）投标人须知；</w:t>
      </w:r>
    </w:p>
    <w:p w14:paraId="794E1B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（3）资格审查办法</w:t>
      </w:r>
    </w:p>
    <w:p w14:paraId="0F96BD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（4）评标办法；</w:t>
      </w:r>
    </w:p>
    <w:p w14:paraId="70CE583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（5）合同条款及格式；</w:t>
      </w:r>
    </w:p>
    <w:p w14:paraId="609086E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w:t>
      </w:r>
      <w:r>
        <w:rPr>
          <w:rFonts w:hint="eastAsia" w:ascii="宋体" w:hAnsi="宋体" w:eastAsia="宋体" w:cs="宋体"/>
          <w:szCs w:val="21"/>
          <w:highlight w:val="none"/>
          <w:lang w:val="en-US" w:eastAsia="zh-CN"/>
        </w:rPr>
        <w:t>技术标准和要求</w:t>
      </w:r>
    </w:p>
    <w:p w14:paraId="3AB46C6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）投标文件格式；</w:t>
      </w:r>
    </w:p>
    <w:p w14:paraId="58EF797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）投标人须知前附表规定的其他材料。</w:t>
      </w:r>
    </w:p>
    <w:p w14:paraId="4A2A59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2.1.2 根据本章第1.10款、第2.2款和第2.3款对招标文件所作的澄清、修改，构成招标文件的组成部分。</w:t>
      </w:r>
    </w:p>
    <w:p w14:paraId="3B513EA0">
      <w:pPr>
        <w:pStyle w:val="3"/>
        <w:ind w:firstLine="422" w:firstLineChars="200"/>
        <w:rPr>
          <w:rFonts w:ascii="宋体" w:hAnsi="宋体" w:eastAsia="宋体" w:cs="宋体"/>
          <w:highlight w:val="none"/>
        </w:rPr>
      </w:pPr>
      <w:bookmarkStart w:id="241" w:name="_Toc324404829"/>
      <w:bookmarkStart w:id="242" w:name="_Toc506107283"/>
      <w:bookmarkStart w:id="243" w:name="_Toc35425067"/>
      <w:bookmarkStart w:id="244" w:name="_Toc152045544"/>
      <w:bookmarkStart w:id="245" w:name="_Toc15058860"/>
      <w:bookmarkStart w:id="246" w:name="_Toc152042320"/>
      <w:bookmarkStart w:id="247" w:name="_Toc179632562"/>
      <w:bookmarkStart w:id="248" w:name="_Toc247085703"/>
      <w:bookmarkStart w:id="249" w:name="_Toc246996189"/>
      <w:bookmarkStart w:id="250" w:name="_Toc32239"/>
      <w:bookmarkStart w:id="251" w:name="_Toc296602434"/>
      <w:bookmarkStart w:id="252" w:name="_Toc246996932"/>
      <w:bookmarkStart w:id="253" w:name="_Toc35424901"/>
      <w:bookmarkStart w:id="254" w:name="_Toc144974512"/>
      <w:bookmarkStart w:id="255" w:name="_Toc78803336"/>
      <w:r>
        <w:rPr>
          <w:rFonts w:hint="eastAsia" w:ascii="宋体" w:hAnsi="宋体" w:eastAsia="宋体" w:cs="宋体"/>
          <w:highlight w:val="none"/>
        </w:rPr>
        <w:t>2.2 招标文件的澄清</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47165EF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2.2.1 投标人应仔细阅读和检查招标文件的全部内容。如有疑问，应在投标人须知前附表规定的时间前</w:t>
      </w:r>
      <w:r>
        <w:rPr>
          <w:rFonts w:hint="eastAsia" w:ascii="宋体" w:hAnsi="宋体" w:eastAsia="宋体" w:cs="宋体"/>
          <w:color w:val="auto"/>
          <w:szCs w:val="21"/>
          <w:highlight w:val="none"/>
          <w:lang w:val="en-US" w:eastAsia="zh-CN"/>
        </w:rPr>
        <w:t>登录新点电子交易平台【滁州专区】线上提出，</w:t>
      </w:r>
      <w:r>
        <w:rPr>
          <w:rFonts w:hint="eastAsia" w:ascii="宋体" w:hAnsi="宋体" w:cs="宋体"/>
          <w:szCs w:val="21"/>
          <w:highlight w:val="none"/>
        </w:rPr>
        <w:t>要求招标人对招标文件予以澄清。</w:t>
      </w:r>
    </w:p>
    <w:p w14:paraId="387EA73C">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ascii="宋体" w:hAnsi="宋体" w:cs="宋体"/>
          <w:szCs w:val="21"/>
          <w:highlight w:val="none"/>
        </w:rPr>
      </w:pPr>
      <w:r>
        <w:rPr>
          <w:rFonts w:hint="eastAsia" w:ascii="宋体" w:hAnsi="宋体" w:cs="宋体"/>
          <w:szCs w:val="21"/>
          <w:highlight w:val="none"/>
        </w:rPr>
        <w:t>2.2.2 招标文件的澄清将在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 xml:space="preserve">发布，但不指明澄清问题的来源。如果澄清发出的时间距投标人须知前附表规定的投标截止时间不足15天，并且澄清内容影响投标文件编制的，将相应延长投标截止时间。 </w:t>
      </w:r>
    </w:p>
    <w:p w14:paraId="5EC8A5BB">
      <w:pPr>
        <w:pStyle w:val="3"/>
        <w:ind w:firstLine="422" w:firstLineChars="200"/>
        <w:rPr>
          <w:rFonts w:ascii="宋体" w:hAnsi="宋体" w:eastAsia="宋体" w:cs="宋体"/>
          <w:highlight w:val="none"/>
        </w:rPr>
      </w:pPr>
      <w:bookmarkStart w:id="256" w:name="_Toc78803337"/>
      <w:bookmarkStart w:id="257" w:name="_Toc506107284"/>
      <w:bookmarkStart w:id="258" w:name="_Toc324404830"/>
      <w:bookmarkStart w:id="259" w:name="_Toc144974513"/>
      <w:bookmarkStart w:id="260" w:name="_Toc15058861"/>
      <w:bookmarkStart w:id="261" w:name="_Toc247085704"/>
      <w:bookmarkStart w:id="262" w:name="_Toc24633"/>
      <w:bookmarkStart w:id="263" w:name="_Toc35424902"/>
      <w:bookmarkStart w:id="264" w:name="_Toc179632563"/>
      <w:bookmarkStart w:id="265" w:name="_Toc246996933"/>
      <w:bookmarkStart w:id="266" w:name="_Toc296602435"/>
      <w:bookmarkStart w:id="267" w:name="_Toc35425068"/>
      <w:bookmarkStart w:id="268" w:name="_Toc246996190"/>
      <w:bookmarkStart w:id="269" w:name="_Toc152042321"/>
      <w:bookmarkStart w:id="270" w:name="_Toc152045545"/>
      <w:r>
        <w:rPr>
          <w:rFonts w:hint="eastAsia" w:ascii="宋体" w:hAnsi="宋体" w:eastAsia="宋体" w:cs="宋体"/>
          <w:highlight w:val="none"/>
        </w:rPr>
        <w:t>2.3 招标文件的修改</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2844B2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2.3.1招标人可以修改招标文件，并以澄清的方式在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发布。但如果修改内容影响投标文件编制的，将相应延长投标截止时间。</w:t>
      </w:r>
    </w:p>
    <w:p w14:paraId="0E2ED339">
      <w:pPr>
        <w:pStyle w:val="3"/>
        <w:ind w:firstLine="422" w:firstLineChars="200"/>
        <w:rPr>
          <w:rFonts w:ascii="宋体" w:hAnsi="宋体" w:eastAsia="宋体" w:cs="宋体"/>
          <w:highlight w:val="none"/>
        </w:rPr>
      </w:pPr>
      <w:bookmarkStart w:id="271" w:name="_Toc324404831"/>
      <w:bookmarkStart w:id="272" w:name="_Toc15058862"/>
      <w:bookmarkStart w:id="273" w:name="_Toc35425069"/>
      <w:bookmarkStart w:id="274" w:name="_Toc2696"/>
      <w:bookmarkStart w:id="275" w:name="_Toc35424903"/>
      <w:bookmarkStart w:id="276" w:name="_Toc78803338"/>
      <w:r>
        <w:rPr>
          <w:rFonts w:hint="eastAsia" w:ascii="宋体" w:hAnsi="宋体" w:eastAsia="宋体" w:cs="宋体"/>
          <w:highlight w:val="none"/>
        </w:rPr>
        <w:t>2.4</w:t>
      </w:r>
      <w:bookmarkEnd w:id="271"/>
      <w:r>
        <w:rPr>
          <w:rFonts w:hint="eastAsia" w:ascii="宋体" w:hAnsi="宋体" w:eastAsia="宋体" w:cs="宋体"/>
          <w:highlight w:val="none"/>
        </w:rPr>
        <w:t>最高限价</w:t>
      </w:r>
      <w:bookmarkEnd w:id="272"/>
      <w:bookmarkEnd w:id="273"/>
      <w:bookmarkEnd w:id="274"/>
      <w:bookmarkEnd w:id="275"/>
      <w:bookmarkEnd w:id="276"/>
    </w:p>
    <w:p w14:paraId="5D85920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2.4.1最高限价的作用和说明</w:t>
      </w:r>
    </w:p>
    <w:p w14:paraId="0696B91C">
      <w:pPr>
        <w:spacing w:line="440" w:lineRule="exact"/>
        <w:ind w:firstLine="420" w:firstLineChars="200"/>
        <w:jc w:val="left"/>
        <w:rPr>
          <w:rFonts w:ascii="宋体" w:hAnsi="宋体" w:cs="宋体"/>
          <w:highlight w:val="none"/>
        </w:rPr>
      </w:pPr>
      <w:bookmarkStart w:id="277" w:name="_Toc144974514"/>
      <w:bookmarkStart w:id="278" w:name="_Toc246996934"/>
      <w:bookmarkStart w:id="279" w:name="_Toc152042322"/>
      <w:bookmarkStart w:id="280" w:name="_Toc506107285"/>
      <w:bookmarkStart w:id="281" w:name="_Toc35424904"/>
      <w:bookmarkStart w:id="282" w:name="_Toc247085705"/>
      <w:bookmarkStart w:id="283" w:name="_Toc78803339"/>
      <w:bookmarkStart w:id="284" w:name="_Toc35425070"/>
      <w:bookmarkStart w:id="285" w:name="_Toc324404832"/>
      <w:bookmarkStart w:id="286" w:name="_Toc6464"/>
      <w:bookmarkStart w:id="287" w:name="_Toc179632564"/>
      <w:bookmarkStart w:id="288" w:name="_Toc152045546"/>
      <w:bookmarkStart w:id="289" w:name="_Toc246996191"/>
      <w:bookmarkStart w:id="290" w:name="_Toc15058863"/>
      <w:r>
        <w:rPr>
          <w:rFonts w:hint="eastAsia" w:ascii="宋体" w:hAnsi="宋体" w:cs="宋体"/>
          <w:szCs w:val="21"/>
          <w:highlight w:val="none"/>
        </w:rPr>
        <w:t>（1）</w:t>
      </w:r>
      <w:r>
        <w:rPr>
          <w:rFonts w:hint="eastAsia" w:ascii="宋体" w:hAnsi="宋体" w:cs="宋体"/>
          <w:highlight w:val="none"/>
        </w:rPr>
        <w:t>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2E0586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（2）投标人对最高限价（费率）有异议的，可在</w:t>
      </w:r>
      <w:r>
        <w:rPr>
          <w:rFonts w:hint="eastAsia" w:ascii="宋体" w:hAnsi="宋体" w:cs="宋体"/>
          <w:highlight w:val="none"/>
        </w:rPr>
        <w:t>投标人须知前附表规定的时间内向招标人提出异议，</w:t>
      </w:r>
      <w:r>
        <w:rPr>
          <w:rFonts w:hint="eastAsia" w:ascii="宋体" w:hAnsi="宋体" w:cs="宋体"/>
          <w:szCs w:val="21"/>
          <w:highlight w:val="none"/>
        </w:rPr>
        <w:t>未在规定时间内提出异议的或投标人提出异议经招标人复核后的最高限价（费率），视为合理有效。</w:t>
      </w:r>
    </w:p>
    <w:p w14:paraId="5681C7DF">
      <w:pPr>
        <w:pStyle w:val="3"/>
        <w:spacing w:beforeLines="50" w:afterLines="50"/>
        <w:ind w:firstLine="482"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投标文件</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218225A2">
      <w:pPr>
        <w:pStyle w:val="3"/>
        <w:ind w:firstLine="422" w:firstLineChars="200"/>
        <w:rPr>
          <w:rFonts w:ascii="宋体" w:hAnsi="宋体" w:eastAsia="宋体" w:cs="宋体"/>
          <w:highlight w:val="none"/>
        </w:rPr>
      </w:pPr>
      <w:bookmarkStart w:id="291" w:name="_Toc246996935"/>
      <w:bookmarkStart w:id="292" w:name="_Toc324404833"/>
      <w:bookmarkStart w:id="293" w:name="_Toc152042323"/>
      <w:bookmarkStart w:id="294" w:name="_Toc179632565"/>
      <w:bookmarkStart w:id="295" w:name="_Toc246996192"/>
      <w:bookmarkStart w:id="296" w:name="_Toc506107286"/>
      <w:bookmarkStart w:id="297" w:name="_Toc78803340"/>
      <w:bookmarkStart w:id="298" w:name="_Toc157"/>
      <w:bookmarkStart w:id="299" w:name="_Toc144974515"/>
      <w:bookmarkStart w:id="300" w:name="_Toc15058864"/>
      <w:bookmarkStart w:id="301" w:name="_Toc296602437"/>
      <w:bookmarkStart w:id="302" w:name="_Toc247085706"/>
      <w:bookmarkStart w:id="303" w:name="_Toc35425071"/>
      <w:bookmarkStart w:id="304" w:name="_Toc152045547"/>
      <w:bookmarkStart w:id="305" w:name="_Toc35424905"/>
      <w:r>
        <w:rPr>
          <w:rFonts w:hint="eastAsia" w:ascii="宋体" w:hAnsi="宋体" w:eastAsia="宋体" w:cs="宋体"/>
          <w:highlight w:val="none"/>
        </w:rPr>
        <w:t>3.1 投标文件的组成</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6871D10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投标文件</w:t>
      </w:r>
      <w:r>
        <w:rPr>
          <w:rFonts w:hint="eastAsia" w:ascii="宋体" w:hAnsi="宋体" w:cs="宋体"/>
          <w:szCs w:val="21"/>
          <w:highlight w:val="none"/>
        </w:rPr>
        <w:t>由</w:t>
      </w:r>
      <w:r>
        <w:rPr>
          <w:rFonts w:hint="eastAsia" w:ascii="宋体" w:hAnsi="宋体" w:cs="宋体"/>
          <w:szCs w:val="21"/>
          <w:highlight w:val="none"/>
          <w:lang w:eastAsia="zh-CN"/>
        </w:rPr>
        <w:t>投标文件</w:t>
      </w:r>
      <w:r>
        <w:rPr>
          <w:rFonts w:hint="eastAsia" w:ascii="宋体" w:hAnsi="宋体" w:cs="宋体"/>
          <w:szCs w:val="21"/>
          <w:highlight w:val="none"/>
        </w:rPr>
        <w:t>一（资信证明文件）、</w:t>
      </w:r>
      <w:r>
        <w:rPr>
          <w:rFonts w:hint="eastAsia" w:ascii="宋体" w:hAnsi="宋体" w:cs="宋体"/>
          <w:szCs w:val="21"/>
          <w:highlight w:val="none"/>
          <w:lang w:eastAsia="zh-CN"/>
        </w:rPr>
        <w:t>投标文件</w:t>
      </w:r>
      <w:r>
        <w:rPr>
          <w:rFonts w:hint="eastAsia" w:ascii="宋体" w:hAnsi="宋体" w:cs="宋体"/>
          <w:szCs w:val="21"/>
          <w:highlight w:val="none"/>
        </w:rPr>
        <w:t>二（技术标）和</w:t>
      </w:r>
      <w:r>
        <w:rPr>
          <w:rFonts w:hint="eastAsia" w:ascii="宋体" w:hAnsi="宋体" w:cs="宋体"/>
          <w:szCs w:val="21"/>
          <w:highlight w:val="none"/>
          <w:lang w:eastAsia="zh-CN"/>
        </w:rPr>
        <w:t>投标文件</w:t>
      </w:r>
      <w:r>
        <w:rPr>
          <w:rFonts w:hint="eastAsia" w:ascii="宋体" w:hAnsi="宋体" w:cs="宋体"/>
          <w:szCs w:val="21"/>
          <w:highlight w:val="none"/>
        </w:rPr>
        <w:t>三（商务标）三部分组成</w:t>
      </w:r>
      <w:r>
        <w:rPr>
          <w:rFonts w:hint="eastAsia" w:ascii="宋体" w:hAnsi="宋体" w:cs="宋体"/>
          <w:szCs w:val="21"/>
          <w:highlight w:val="none"/>
          <w:lang w:eastAsia="zh-CN"/>
        </w:rPr>
        <w:t>。</w:t>
      </w:r>
      <w:r>
        <w:rPr>
          <w:rFonts w:hint="eastAsia" w:ascii="宋体" w:hAnsi="宋体" w:cs="宋体"/>
          <w:szCs w:val="21"/>
          <w:highlight w:val="none"/>
        </w:rPr>
        <w:t>具体要求详见本招标文件第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w:t>
      </w:r>
    </w:p>
    <w:p w14:paraId="68B92645">
      <w:pPr>
        <w:pStyle w:val="3"/>
        <w:ind w:firstLine="422" w:firstLineChars="200"/>
        <w:rPr>
          <w:rFonts w:ascii="宋体" w:hAnsi="宋体" w:eastAsia="宋体" w:cs="宋体"/>
          <w:highlight w:val="none"/>
        </w:rPr>
      </w:pPr>
      <w:bookmarkStart w:id="306" w:name="_Toc144974516"/>
      <w:bookmarkStart w:id="307" w:name="_Toc152045548"/>
      <w:bookmarkStart w:id="308" w:name="_Toc78803341"/>
      <w:bookmarkStart w:id="309" w:name="_Toc152042324"/>
      <w:bookmarkStart w:id="310" w:name="_Toc324404834"/>
      <w:bookmarkStart w:id="311" w:name="_Toc296602438"/>
      <w:bookmarkStart w:id="312" w:name="_Toc506107287"/>
      <w:bookmarkStart w:id="313" w:name="_Toc246996193"/>
      <w:bookmarkStart w:id="314" w:name="_Toc179632566"/>
      <w:bookmarkStart w:id="315" w:name="_Toc15058865"/>
      <w:bookmarkStart w:id="316" w:name="_Toc246996936"/>
      <w:bookmarkStart w:id="317" w:name="_Toc35424906"/>
      <w:bookmarkStart w:id="318" w:name="_Toc6829"/>
      <w:bookmarkStart w:id="319" w:name="_Toc35425072"/>
      <w:bookmarkStart w:id="320" w:name="_Toc247085707"/>
      <w:r>
        <w:rPr>
          <w:rFonts w:hint="eastAsia" w:ascii="宋体" w:hAnsi="宋体" w:eastAsia="宋体" w:cs="宋体"/>
          <w:highlight w:val="none"/>
        </w:rPr>
        <w:t>3.2 投标报价</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07D53DC4">
      <w:pPr>
        <w:spacing w:line="440" w:lineRule="exact"/>
        <w:ind w:firstLine="420" w:firstLineChars="200"/>
        <w:jc w:val="left"/>
        <w:rPr>
          <w:rFonts w:ascii="宋体" w:hAnsi="宋体" w:cs="宋体"/>
          <w:highlight w:val="none"/>
        </w:rPr>
      </w:pPr>
      <w:bookmarkStart w:id="321" w:name="_Toc296602439"/>
      <w:bookmarkStart w:id="322" w:name="_Toc179632567"/>
      <w:bookmarkStart w:id="323" w:name="_Toc324404835"/>
      <w:bookmarkStart w:id="324" w:name="_Toc506107288"/>
      <w:bookmarkStart w:id="325" w:name="_Toc31735"/>
      <w:bookmarkStart w:id="326" w:name="_Toc35424907"/>
      <w:bookmarkStart w:id="327" w:name="_Toc15058866"/>
      <w:bookmarkStart w:id="328" w:name="_Toc78803342"/>
      <w:bookmarkStart w:id="329" w:name="_Toc35425073"/>
      <w:bookmarkStart w:id="330" w:name="_Toc152045549"/>
      <w:bookmarkStart w:id="331" w:name="_Toc152042325"/>
      <w:bookmarkStart w:id="332" w:name="_Toc246996937"/>
      <w:bookmarkStart w:id="333" w:name="_Toc144974517"/>
      <w:bookmarkStart w:id="334" w:name="_Toc247085708"/>
      <w:bookmarkStart w:id="335" w:name="_Toc246996194"/>
      <w:r>
        <w:rPr>
          <w:rFonts w:hint="eastAsia" w:ascii="宋体" w:hAnsi="宋体" w:cs="宋体"/>
          <w:highlight w:val="none"/>
        </w:rPr>
        <w:t>3.2.1 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5DE05706">
      <w:pPr>
        <w:spacing w:line="440" w:lineRule="exact"/>
        <w:ind w:firstLine="420" w:firstLineChars="200"/>
        <w:jc w:val="left"/>
        <w:rPr>
          <w:rFonts w:ascii="宋体" w:hAnsi="宋体" w:cs="宋体"/>
          <w:highlight w:val="none"/>
        </w:rPr>
      </w:pPr>
      <w:r>
        <w:rPr>
          <w:rFonts w:hint="eastAsia" w:ascii="宋体" w:hAnsi="宋体" w:cs="宋体"/>
          <w:highlight w:val="none"/>
        </w:rPr>
        <w:t>3.2.2投标报价应由法定代表人或被授权人签署。</w:t>
      </w:r>
    </w:p>
    <w:p w14:paraId="248C4ACA">
      <w:pPr>
        <w:spacing w:line="440" w:lineRule="exact"/>
        <w:ind w:left="15" w:leftChars="7" w:firstLine="420" w:firstLineChars="200"/>
        <w:jc w:val="left"/>
        <w:rPr>
          <w:rFonts w:ascii="宋体" w:hAnsi="宋体" w:cs="宋体"/>
          <w:highlight w:val="none"/>
        </w:rPr>
      </w:pPr>
      <w:r>
        <w:rPr>
          <w:rFonts w:hint="eastAsia" w:ascii="宋体" w:hAnsi="宋体" w:cs="宋体"/>
          <w:highlight w:val="none"/>
        </w:rPr>
        <w:t>3.2.3投标人的投标报价应为项目招标范围内监理单位所提供的全部服务工作内容所需的全部费用，包含所有成本、利润和税金等全部费用。</w:t>
      </w:r>
    </w:p>
    <w:p w14:paraId="466F5F2C">
      <w:pPr>
        <w:spacing w:line="440" w:lineRule="exact"/>
        <w:ind w:firstLine="420" w:firstLineChars="200"/>
        <w:jc w:val="left"/>
        <w:rPr>
          <w:rFonts w:ascii="宋体" w:hAnsi="宋体" w:cs="宋体"/>
          <w:highlight w:val="none"/>
        </w:rPr>
      </w:pPr>
      <w:r>
        <w:rPr>
          <w:rFonts w:hint="eastAsia" w:ascii="宋体" w:hAnsi="宋体" w:cs="宋体"/>
          <w:highlight w:val="none"/>
        </w:rPr>
        <w:t>3.2.4不论任何原因导致的工期延长，招标人均不再补偿监理费用。</w:t>
      </w:r>
    </w:p>
    <w:p w14:paraId="454C15E1">
      <w:pPr>
        <w:pStyle w:val="3"/>
        <w:ind w:firstLine="422" w:firstLineChars="200"/>
        <w:rPr>
          <w:rFonts w:ascii="宋体" w:hAnsi="宋体" w:eastAsia="宋体" w:cs="宋体"/>
          <w:highlight w:val="none"/>
        </w:rPr>
      </w:pPr>
      <w:r>
        <w:rPr>
          <w:rFonts w:hint="eastAsia" w:ascii="宋体" w:hAnsi="宋体" w:eastAsia="宋体" w:cs="宋体"/>
          <w:highlight w:val="none"/>
        </w:rPr>
        <w:t>3.3 投标有效期</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38E346F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3.3.1 除投标人须知前附表另有规定外，投标有效期为90天。</w:t>
      </w:r>
    </w:p>
    <w:p w14:paraId="19262D1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3.3.2在投标有效期内，投标人撤销或修改其投标文件的，应承担招标文件和法律规定的责任。</w:t>
      </w:r>
    </w:p>
    <w:p w14:paraId="10530AB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80A1DA0">
      <w:pPr>
        <w:pStyle w:val="3"/>
        <w:ind w:firstLine="422" w:firstLineChars="200"/>
        <w:rPr>
          <w:rFonts w:hint="eastAsia" w:ascii="宋体" w:hAnsi="宋体" w:eastAsia="宋体" w:cs="宋体"/>
          <w:highlight w:val="none"/>
        </w:rPr>
      </w:pPr>
      <w:bookmarkStart w:id="336" w:name="_Toc78803343"/>
      <w:bookmarkStart w:id="337" w:name="_Toc144974518"/>
      <w:bookmarkStart w:id="338" w:name="_Toc179632568"/>
      <w:bookmarkStart w:id="339" w:name="_Toc35424908"/>
      <w:bookmarkStart w:id="340" w:name="_Toc246996938"/>
      <w:bookmarkStart w:id="341" w:name="_Toc324404836"/>
      <w:bookmarkStart w:id="342" w:name="_Toc152042326"/>
      <w:bookmarkStart w:id="343" w:name="_Toc506107289"/>
      <w:bookmarkStart w:id="344" w:name="_Toc10714"/>
      <w:bookmarkStart w:id="345" w:name="_Toc35425074"/>
      <w:bookmarkStart w:id="346" w:name="_Toc247085709"/>
      <w:bookmarkStart w:id="347" w:name="_Toc296602440"/>
      <w:bookmarkStart w:id="348" w:name="_Toc15058867"/>
      <w:bookmarkStart w:id="349" w:name="_Toc246996195"/>
      <w:bookmarkStart w:id="350" w:name="_Toc152045550"/>
      <w:r>
        <w:rPr>
          <w:rFonts w:hint="eastAsia" w:ascii="宋体" w:hAnsi="宋体" w:eastAsia="宋体" w:cs="宋体"/>
          <w:highlight w:val="none"/>
        </w:rPr>
        <w:t>3.4 投标保证金</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63EACC6B">
      <w:pPr>
        <w:spacing w:line="440" w:lineRule="exact"/>
        <w:ind w:firstLine="420" w:firstLineChars="200"/>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3.4.1本项目不收取投标保证金。</w:t>
      </w:r>
    </w:p>
    <w:p w14:paraId="31A74824">
      <w:pPr>
        <w:pStyle w:val="3"/>
        <w:ind w:firstLine="422" w:firstLineChars="200"/>
        <w:rPr>
          <w:rFonts w:ascii="宋体" w:hAnsi="宋体" w:eastAsia="宋体" w:cs="宋体"/>
          <w:highlight w:val="none"/>
        </w:rPr>
      </w:pPr>
      <w:bookmarkStart w:id="351" w:name="_Toc15058868"/>
      <w:bookmarkStart w:id="352" w:name="_Toc506107290"/>
      <w:bookmarkStart w:id="353" w:name="_Toc78803344"/>
      <w:bookmarkStart w:id="354" w:name="_Toc35424909"/>
      <w:bookmarkStart w:id="355" w:name="_Toc324404837"/>
      <w:bookmarkStart w:id="356" w:name="_Toc296602442"/>
      <w:bookmarkStart w:id="357" w:name="_Toc35425075"/>
      <w:bookmarkStart w:id="358" w:name="_Toc19037"/>
      <w:bookmarkStart w:id="359" w:name="_Toc152042329"/>
      <w:bookmarkStart w:id="360" w:name="_Toc246996197"/>
      <w:bookmarkStart w:id="361" w:name="_Toc179632571"/>
      <w:bookmarkStart w:id="362" w:name="_Toc144974521"/>
      <w:bookmarkStart w:id="363" w:name="_Toc247085711"/>
      <w:bookmarkStart w:id="364" w:name="_Toc152045553"/>
      <w:bookmarkStart w:id="365" w:name="_Toc246996940"/>
      <w:r>
        <w:rPr>
          <w:rFonts w:hint="eastAsia" w:ascii="宋体" w:hAnsi="宋体" w:eastAsia="宋体" w:cs="宋体"/>
          <w:highlight w:val="none"/>
        </w:rPr>
        <w:t>3.5投标文件的编制</w:t>
      </w:r>
      <w:bookmarkEnd w:id="351"/>
      <w:bookmarkEnd w:id="352"/>
      <w:bookmarkEnd w:id="353"/>
      <w:bookmarkEnd w:id="354"/>
      <w:bookmarkEnd w:id="355"/>
      <w:bookmarkEnd w:id="356"/>
      <w:bookmarkEnd w:id="357"/>
      <w:bookmarkEnd w:id="358"/>
    </w:p>
    <w:p w14:paraId="243A59D4">
      <w:pPr>
        <w:spacing w:line="460" w:lineRule="exact"/>
        <w:ind w:firstLine="420" w:firstLineChars="200"/>
        <w:rPr>
          <w:rFonts w:ascii="宋体" w:hAnsi="宋体" w:cs="宋体"/>
          <w:szCs w:val="21"/>
          <w:highlight w:val="none"/>
        </w:rPr>
      </w:pPr>
      <w:r>
        <w:rPr>
          <w:rFonts w:hint="eastAsia" w:ascii="宋体" w:hAnsi="宋体" w:cs="宋体"/>
          <w:szCs w:val="21"/>
          <w:highlight w:val="none"/>
        </w:rPr>
        <w:t>3.5.1</w:t>
      </w:r>
      <w:r>
        <w:rPr>
          <w:rFonts w:hint="eastAsia" w:ascii="宋体" w:hAnsi="宋体" w:cs="宋体"/>
          <w:szCs w:val="21"/>
          <w:highlight w:val="none"/>
          <w:lang w:val="en-US" w:eastAsia="zh-CN"/>
        </w:rPr>
        <w:t>投标文件</w:t>
      </w:r>
      <w:r>
        <w:rPr>
          <w:rFonts w:hint="eastAsia" w:ascii="宋体" w:hAnsi="宋体" w:cs="宋体"/>
          <w:szCs w:val="21"/>
          <w:highlight w:val="none"/>
        </w:rPr>
        <w:t>应按第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章“投标文件格式”进行编写，如有必要，可以增加附页，作为投标文件的组成部分。</w:t>
      </w:r>
    </w:p>
    <w:p w14:paraId="7A6AE0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w:t>
      </w:r>
      <w:bookmarkEnd w:id="359"/>
      <w:bookmarkEnd w:id="360"/>
      <w:bookmarkEnd w:id="361"/>
      <w:bookmarkEnd w:id="362"/>
      <w:bookmarkEnd w:id="363"/>
      <w:bookmarkEnd w:id="364"/>
      <w:bookmarkEnd w:id="365"/>
      <w:bookmarkStart w:id="366" w:name="_Toc246996942"/>
      <w:bookmarkStart w:id="367" w:name="_Toc144974523"/>
      <w:bookmarkStart w:id="368" w:name="_Toc152042331"/>
      <w:bookmarkStart w:id="369" w:name="_Toc247085713"/>
      <w:bookmarkStart w:id="370" w:name="_Toc246996199"/>
      <w:bookmarkStart w:id="371" w:name="_Toc152045555"/>
      <w:bookmarkStart w:id="372" w:name="_Toc179632573"/>
      <w:bookmarkStart w:id="373" w:name="_Toc324404838"/>
      <w:r>
        <w:rPr>
          <w:rFonts w:hint="eastAsia" w:ascii="宋体" w:hAnsi="宋体" w:cs="宋体"/>
          <w:szCs w:val="21"/>
          <w:highlight w:val="none"/>
        </w:rPr>
        <w:t>.5.2 投标文件应当对招标文件有关工期、投标有效期、质量要求、技术标准和要求、招标范围等实质性内容作出响应。</w:t>
      </w:r>
    </w:p>
    <w:p w14:paraId="4D2617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3.5.3本次投标不需要提供纸质投标文件，投标人应按照</w:t>
      </w:r>
      <w:r>
        <w:rPr>
          <w:rFonts w:hint="eastAsia" w:ascii="宋体" w:hAnsi="宋体" w:cs="宋体"/>
          <w:szCs w:val="21"/>
          <w:highlight w:val="none"/>
          <w:lang w:val="en-US" w:eastAsia="zh-CN"/>
        </w:rPr>
        <w:t>招标公告</w:t>
      </w:r>
      <w:r>
        <w:rPr>
          <w:rFonts w:hint="eastAsia" w:ascii="宋体" w:hAnsi="宋体" w:cs="宋体"/>
          <w:szCs w:val="21"/>
          <w:highlight w:val="none"/>
        </w:rPr>
        <w:t>的要求</w:t>
      </w:r>
      <w:r>
        <w:rPr>
          <w:rFonts w:hint="eastAsia" w:ascii="宋体" w:hAnsi="宋体" w:cs="宋体"/>
          <w:szCs w:val="21"/>
          <w:highlight w:val="none"/>
          <w:lang w:val="en-US" w:eastAsia="zh-CN"/>
        </w:rPr>
        <w:t>上传</w:t>
      </w:r>
      <w:r>
        <w:rPr>
          <w:rFonts w:hint="eastAsia" w:ascii="宋体" w:hAnsi="宋体" w:cs="宋体"/>
          <w:szCs w:val="21"/>
          <w:highlight w:val="none"/>
        </w:rPr>
        <w:t>电子投标文件。</w:t>
      </w:r>
    </w:p>
    <w:p w14:paraId="7240D5C8">
      <w:pPr>
        <w:spacing w:line="440" w:lineRule="exact"/>
        <w:ind w:firstLine="420" w:firstLineChars="200"/>
        <w:jc w:val="left"/>
        <w:rPr>
          <w:highlight w:val="none"/>
        </w:rPr>
      </w:pPr>
      <w:r>
        <w:rPr>
          <w:rFonts w:hint="eastAsia" w:ascii="宋体" w:hAnsi="宋体" w:cs="宋体"/>
          <w:szCs w:val="21"/>
          <w:highlight w:val="none"/>
        </w:rPr>
        <w:t>3.5.</w:t>
      </w:r>
      <w:r>
        <w:rPr>
          <w:rFonts w:hint="eastAsia" w:ascii="宋体" w:hAnsi="宋体" w:cs="宋体"/>
          <w:szCs w:val="21"/>
          <w:highlight w:val="none"/>
          <w:lang w:val="en-US" w:eastAsia="zh-CN"/>
        </w:rPr>
        <w:t>4</w:t>
      </w:r>
      <w:r>
        <w:rPr>
          <w:rFonts w:hint="eastAsia" w:ascii="宋体" w:hAnsi="宋体" w:cs="宋体"/>
          <w:szCs w:val="21"/>
          <w:highlight w:val="none"/>
        </w:rPr>
        <w:t xml:space="preserve"> 投标人中标后须递交与网上电子投标文件完全一致的纸质版投标文件，在领取中标通知书时，一并递交给招标代理机构</w:t>
      </w:r>
      <w:r>
        <w:rPr>
          <w:rFonts w:hint="eastAsia" w:ascii="宋体" w:hAnsi="宋体" w:cs="宋体"/>
          <w:kern w:val="0"/>
          <w:szCs w:val="21"/>
          <w:highlight w:val="none"/>
        </w:rPr>
        <w:t>。</w:t>
      </w:r>
    </w:p>
    <w:p w14:paraId="66C99F80">
      <w:pPr>
        <w:pStyle w:val="3"/>
        <w:spacing w:beforeLines="50" w:afterLines="50"/>
        <w:ind w:firstLine="482" w:firstLineChars="200"/>
        <w:rPr>
          <w:rFonts w:ascii="宋体" w:hAnsi="宋体" w:eastAsia="宋体" w:cs="宋体"/>
          <w:sz w:val="24"/>
          <w:szCs w:val="24"/>
          <w:highlight w:val="none"/>
        </w:rPr>
      </w:pPr>
      <w:bookmarkStart w:id="374" w:name="_Toc35425076"/>
      <w:bookmarkStart w:id="375" w:name="_Toc15058869"/>
      <w:bookmarkStart w:id="376" w:name="_Toc78803345"/>
      <w:bookmarkStart w:id="377" w:name="_Toc506107291"/>
      <w:bookmarkStart w:id="378" w:name="_Toc19455"/>
      <w:bookmarkStart w:id="379" w:name="_Toc35424910"/>
      <w:r>
        <w:rPr>
          <w:rFonts w:hint="eastAsia" w:ascii="宋体" w:hAnsi="宋体" w:eastAsia="宋体" w:cs="宋体"/>
          <w:sz w:val="24"/>
          <w:szCs w:val="24"/>
          <w:highlight w:val="none"/>
        </w:rPr>
        <w:t>4.投标</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459E95E8">
      <w:pPr>
        <w:pStyle w:val="3"/>
        <w:ind w:firstLine="422" w:firstLineChars="200"/>
        <w:rPr>
          <w:rFonts w:hint="default" w:ascii="宋体" w:hAnsi="宋体" w:eastAsia="宋体" w:cs="宋体"/>
          <w:highlight w:val="none"/>
          <w:lang w:val="en-US" w:eastAsia="zh-CN"/>
        </w:rPr>
      </w:pPr>
      <w:bookmarkStart w:id="380" w:name="_Toc14473"/>
      <w:bookmarkStart w:id="381" w:name="_Toc78803346"/>
      <w:bookmarkStart w:id="382" w:name="_Toc35425077"/>
      <w:bookmarkStart w:id="383" w:name="_Toc35424911"/>
      <w:bookmarkStart w:id="384" w:name="_Toc15058870"/>
      <w:r>
        <w:rPr>
          <w:rFonts w:hint="eastAsia" w:ascii="宋体" w:hAnsi="宋体" w:eastAsia="宋体" w:cs="宋体"/>
          <w:highlight w:val="none"/>
        </w:rPr>
        <w:t>4.1投标文件</w:t>
      </w:r>
      <w:bookmarkEnd w:id="380"/>
      <w:bookmarkEnd w:id="381"/>
      <w:bookmarkEnd w:id="382"/>
      <w:bookmarkEnd w:id="383"/>
      <w:bookmarkEnd w:id="384"/>
      <w:r>
        <w:rPr>
          <w:rFonts w:hint="eastAsia" w:ascii="宋体" w:hAnsi="宋体" w:eastAsia="宋体" w:cs="宋体"/>
          <w:highlight w:val="none"/>
          <w:lang w:val="en-US" w:eastAsia="zh-CN"/>
        </w:rPr>
        <w:t>的提交</w:t>
      </w:r>
    </w:p>
    <w:p w14:paraId="12502F5A">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4.1.1</w:t>
      </w: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r>
        <w:rPr>
          <w:rFonts w:hint="eastAsia" w:ascii="宋体" w:hAnsi="宋体" w:eastAsia="宋体" w:cs="宋体"/>
          <w:szCs w:val="21"/>
          <w:highlight w:val="none"/>
          <w:lang w:val="en-US" w:eastAsia="zh-CN"/>
        </w:rPr>
        <w:t>投标人逾期上传投标文件的，电子系统不予受理。</w:t>
      </w:r>
    </w:p>
    <w:p w14:paraId="1697B84E">
      <w:pPr>
        <w:pStyle w:val="3"/>
        <w:ind w:firstLine="422" w:firstLineChars="200"/>
        <w:rPr>
          <w:rFonts w:ascii="宋体" w:hAnsi="宋体" w:eastAsia="宋体" w:cs="宋体"/>
          <w:highlight w:val="none"/>
        </w:rPr>
      </w:pPr>
      <w:bookmarkStart w:id="385" w:name="_Toc246996945"/>
      <w:bookmarkStart w:id="386" w:name="_Toc179632576"/>
      <w:bookmarkStart w:id="387" w:name="_Toc144974526"/>
      <w:bookmarkStart w:id="388" w:name="_Toc152045558"/>
      <w:bookmarkStart w:id="389" w:name="_Toc15058873"/>
      <w:bookmarkStart w:id="390" w:name="_Toc35425080"/>
      <w:bookmarkStart w:id="391" w:name="_Toc246996202"/>
      <w:bookmarkStart w:id="392" w:name="_Toc152042334"/>
      <w:bookmarkStart w:id="393" w:name="_Toc78803347"/>
      <w:bookmarkStart w:id="394" w:name="_Toc35424914"/>
      <w:bookmarkStart w:id="395" w:name="_Toc506107294"/>
      <w:bookmarkStart w:id="396" w:name="_Toc324404841"/>
      <w:bookmarkStart w:id="397" w:name="_Toc247085716"/>
      <w:bookmarkStart w:id="398" w:name="_Toc19572"/>
      <w:bookmarkStart w:id="399" w:name="_Toc296602446"/>
      <w:r>
        <w:rPr>
          <w:rFonts w:hint="eastAsia" w:ascii="宋体" w:hAnsi="宋体" w:eastAsia="宋体" w:cs="宋体"/>
          <w:highlight w:val="none"/>
        </w:rPr>
        <w:t>4.</w:t>
      </w:r>
      <w:r>
        <w:rPr>
          <w:rFonts w:hint="eastAsia" w:ascii="宋体" w:hAnsi="宋体" w:eastAsia="宋体" w:cs="宋体"/>
          <w:highlight w:val="none"/>
          <w:lang w:val="en-US" w:eastAsia="zh-CN"/>
        </w:rPr>
        <w:t>2</w:t>
      </w:r>
      <w:r>
        <w:rPr>
          <w:rFonts w:hint="eastAsia" w:ascii="宋体" w:hAnsi="宋体" w:eastAsia="宋体" w:cs="宋体"/>
          <w:highlight w:val="none"/>
        </w:rPr>
        <w:t xml:space="preserve"> 投标文件的修改与撤回</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311E7AF7">
      <w:pPr>
        <w:spacing w:line="440" w:lineRule="exact"/>
        <w:ind w:firstLine="422" w:firstLineChars="200"/>
        <w:jc w:val="left"/>
        <w:rPr>
          <w:rFonts w:ascii="宋体" w:hAnsi="宋体" w:cs="宋体"/>
          <w:szCs w:val="21"/>
          <w:highlight w:val="none"/>
        </w:rPr>
      </w:pPr>
      <w:r>
        <w:rPr>
          <w:rFonts w:hint="eastAsia" w:ascii="宋体" w:hAnsi="宋体" w:cs="宋体"/>
          <w:b/>
          <w:szCs w:val="21"/>
          <w:highlight w:val="none"/>
        </w:rPr>
        <w:t>4.</w:t>
      </w:r>
      <w:r>
        <w:rPr>
          <w:rFonts w:hint="eastAsia" w:ascii="宋体" w:hAnsi="宋体" w:cs="宋体"/>
          <w:b/>
          <w:szCs w:val="21"/>
          <w:highlight w:val="none"/>
          <w:lang w:val="en-US" w:eastAsia="zh-CN"/>
        </w:rPr>
        <w:t>2</w:t>
      </w:r>
      <w:r>
        <w:rPr>
          <w:rFonts w:hint="eastAsia" w:ascii="宋体" w:hAnsi="宋体" w:cs="宋体"/>
          <w:b/>
          <w:szCs w:val="21"/>
          <w:highlight w:val="none"/>
        </w:rPr>
        <w:t>.1 在规定的投标截止时间前，投标人可以自行从网上招投标系统撤回已递交的投标文件，并可修改后重新上传，开标时以投标截止时间前投标人最终上传的投标文件为准。</w:t>
      </w:r>
    </w:p>
    <w:p w14:paraId="7AF40F87">
      <w:pPr>
        <w:pStyle w:val="3"/>
        <w:spacing w:beforeLines="50" w:afterLines="50"/>
        <w:ind w:firstLine="482" w:firstLineChars="200"/>
        <w:rPr>
          <w:rFonts w:ascii="宋体" w:hAnsi="宋体" w:eastAsia="宋体" w:cs="宋体"/>
          <w:sz w:val="24"/>
          <w:szCs w:val="24"/>
          <w:highlight w:val="none"/>
        </w:rPr>
      </w:pPr>
      <w:bookmarkStart w:id="400" w:name="_Toc35424915"/>
      <w:bookmarkStart w:id="401" w:name="_Toc179632577"/>
      <w:bookmarkStart w:id="402" w:name="_Toc35425081"/>
      <w:bookmarkStart w:id="403" w:name="_Toc29639"/>
      <w:bookmarkStart w:id="404" w:name="_Toc247085717"/>
      <w:bookmarkStart w:id="405" w:name="_Toc324404842"/>
      <w:bookmarkStart w:id="406" w:name="_Toc152042335"/>
      <w:bookmarkStart w:id="407" w:name="_Toc15058874"/>
      <w:bookmarkStart w:id="408" w:name="_Toc152045559"/>
      <w:bookmarkStart w:id="409" w:name="_Toc506107295"/>
      <w:bookmarkStart w:id="410" w:name="_Toc144974527"/>
      <w:bookmarkStart w:id="411" w:name="_Toc246996203"/>
      <w:bookmarkStart w:id="412" w:name="_Toc78803348"/>
      <w:bookmarkStart w:id="413" w:name="_Toc246996946"/>
      <w:r>
        <w:rPr>
          <w:rFonts w:hint="eastAsia" w:ascii="宋体" w:hAnsi="宋体" w:eastAsia="宋体" w:cs="宋体"/>
          <w:sz w:val="24"/>
          <w:szCs w:val="24"/>
          <w:highlight w:val="none"/>
        </w:rPr>
        <w:t>5. 开标</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44DFC292">
      <w:pPr>
        <w:pStyle w:val="3"/>
        <w:ind w:firstLine="422" w:firstLineChars="200"/>
        <w:rPr>
          <w:rFonts w:ascii="宋体" w:hAnsi="宋体" w:eastAsia="宋体" w:cs="宋体"/>
          <w:highlight w:val="none"/>
        </w:rPr>
      </w:pPr>
      <w:bookmarkStart w:id="414" w:name="_Toc13691"/>
      <w:bookmarkStart w:id="415" w:name="_Toc152045560"/>
      <w:bookmarkStart w:id="416" w:name="_Toc78803349"/>
      <w:bookmarkStart w:id="417" w:name="_Toc35425082"/>
      <w:bookmarkStart w:id="418" w:name="_Toc506107296"/>
      <w:bookmarkStart w:id="419" w:name="_Toc179632578"/>
      <w:bookmarkStart w:id="420" w:name="_Toc15058875"/>
      <w:bookmarkStart w:id="421" w:name="_Toc144974528"/>
      <w:bookmarkStart w:id="422" w:name="_Toc324404843"/>
      <w:bookmarkStart w:id="423" w:name="_Toc152042336"/>
      <w:bookmarkStart w:id="424" w:name="_Toc246996947"/>
      <w:bookmarkStart w:id="425" w:name="_Toc35424916"/>
      <w:bookmarkStart w:id="426" w:name="_Toc247085718"/>
      <w:bookmarkStart w:id="427" w:name="_Toc246996204"/>
      <w:bookmarkStart w:id="428" w:name="_Toc296602448"/>
      <w:r>
        <w:rPr>
          <w:rFonts w:hint="eastAsia" w:ascii="宋体" w:hAnsi="宋体" w:eastAsia="宋体" w:cs="宋体"/>
          <w:highlight w:val="none"/>
        </w:rPr>
        <w:t>5.1 开标时间和地点</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1275623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招标人在投标人须知前附表规定的投标截止时间（开标时间）和地点公开开标。</w:t>
      </w:r>
    </w:p>
    <w:p w14:paraId="72027328">
      <w:pPr>
        <w:pStyle w:val="3"/>
        <w:ind w:firstLine="422" w:firstLineChars="200"/>
        <w:rPr>
          <w:rFonts w:ascii="宋体" w:hAnsi="宋体" w:eastAsia="宋体" w:cs="宋体"/>
          <w:highlight w:val="none"/>
        </w:rPr>
      </w:pPr>
      <w:bookmarkStart w:id="429" w:name="_Toc32451"/>
      <w:bookmarkStart w:id="430" w:name="_Toc506107297"/>
      <w:bookmarkStart w:id="431" w:name="_Toc247085719"/>
      <w:bookmarkStart w:id="432" w:name="_Toc246996948"/>
      <w:bookmarkStart w:id="433" w:name="_Toc144974529"/>
      <w:bookmarkStart w:id="434" w:name="_Toc35424917"/>
      <w:bookmarkStart w:id="435" w:name="_Toc152042337"/>
      <w:bookmarkStart w:id="436" w:name="_Toc246996205"/>
      <w:bookmarkStart w:id="437" w:name="_Toc152045561"/>
      <w:bookmarkStart w:id="438" w:name="_Toc15058876"/>
      <w:bookmarkStart w:id="439" w:name="_Toc78803350"/>
      <w:bookmarkStart w:id="440" w:name="_Toc296602449"/>
      <w:bookmarkStart w:id="441" w:name="_Toc35425083"/>
      <w:bookmarkStart w:id="442" w:name="_Toc324404844"/>
      <w:bookmarkStart w:id="443" w:name="_Toc179632579"/>
      <w:r>
        <w:rPr>
          <w:rFonts w:hint="eastAsia" w:ascii="宋体" w:hAnsi="宋体" w:eastAsia="宋体" w:cs="宋体"/>
          <w:highlight w:val="none"/>
        </w:rPr>
        <w:t>5.2 开标程序</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1EC273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主持人按下列程序进行开标：</w:t>
      </w:r>
      <w:bookmarkStart w:id="444" w:name="_Toc324404845"/>
      <w:bookmarkStart w:id="445" w:name="_Toc296602450"/>
    </w:p>
    <w:p w14:paraId="1544E322">
      <w:pPr>
        <w:spacing w:line="440" w:lineRule="exact"/>
        <w:ind w:firstLine="420" w:firstLineChars="200"/>
        <w:jc w:val="left"/>
        <w:rPr>
          <w:rFonts w:ascii="宋体" w:hAnsi="宋体" w:cs="宋体"/>
          <w:szCs w:val="21"/>
          <w:highlight w:val="none"/>
        </w:rPr>
      </w:pPr>
      <w:bookmarkStart w:id="446" w:name="_Toc15058877"/>
      <w:bookmarkStart w:id="447" w:name="_Toc506107298"/>
      <w:r>
        <w:rPr>
          <w:rFonts w:hint="eastAsia" w:ascii="宋体" w:hAnsi="宋体" w:cs="宋体"/>
          <w:szCs w:val="21"/>
          <w:highlight w:val="none"/>
        </w:rPr>
        <w:t>（1）宣布开标纪律；</w:t>
      </w:r>
      <w:bookmarkEnd w:id="446"/>
    </w:p>
    <w:p w14:paraId="603C63D9">
      <w:pPr>
        <w:spacing w:line="440" w:lineRule="exact"/>
        <w:ind w:firstLine="420" w:firstLineChars="200"/>
        <w:jc w:val="left"/>
        <w:rPr>
          <w:rFonts w:ascii="宋体" w:hAnsi="宋体" w:cs="宋体"/>
          <w:szCs w:val="21"/>
          <w:highlight w:val="none"/>
        </w:rPr>
      </w:pPr>
      <w:bookmarkStart w:id="448" w:name="_Toc15058878"/>
      <w:r>
        <w:rPr>
          <w:rFonts w:hint="eastAsia" w:ascii="宋体" w:hAnsi="宋体" w:cs="宋体"/>
          <w:szCs w:val="21"/>
          <w:highlight w:val="none"/>
        </w:rPr>
        <w:t>（2）宣布招标人、代理机构主持人等有关人员姓名；</w:t>
      </w:r>
      <w:bookmarkEnd w:id="448"/>
    </w:p>
    <w:p w14:paraId="0CE529F8">
      <w:pPr>
        <w:spacing w:line="440" w:lineRule="exact"/>
        <w:ind w:firstLine="420" w:firstLineChars="200"/>
        <w:jc w:val="left"/>
        <w:rPr>
          <w:rFonts w:ascii="宋体" w:hAnsi="宋体" w:cs="宋体"/>
          <w:szCs w:val="21"/>
          <w:highlight w:val="none"/>
        </w:rPr>
      </w:pPr>
      <w:bookmarkStart w:id="449" w:name="_Toc15058881"/>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）公布投标人投标报价、质量目标、工期及其他内容，并记录在案；</w:t>
      </w:r>
      <w:bookmarkEnd w:id="449"/>
    </w:p>
    <w:p w14:paraId="326BF18C">
      <w:pPr>
        <w:spacing w:line="440" w:lineRule="exact"/>
        <w:ind w:firstLine="420" w:firstLineChars="200"/>
        <w:jc w:val="left"/>
        <w:rPr>
          <w:rFonts w:ascii="宋体" w:hAnsi="宋体" w:cs="宋体"/>
          <w:szCs w:val="21"/>
          <w:highlight w:val="none"/>
        </w:rPr>
      </w:pPr>
      <w:bookmarkStart w:id="450" w:name="_Toc15058882"/>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）开标结束。</w:t>
      </w:r>
      <w:bookmarkEnd w:id="450"/>
    </w:p>
    <w:bookmarkEnd w:id="444"/>
    <w:bookmarkEnd w:id="445"/>
    <w:bookmarkEnd w:id="447"/>
    <w:p w14:paraId="0FABB25E">
      <w:pPr>
        <w:pStyle w:val="3"/>
        <w:spacing w:beforeLines="50" w:afterLines="50"/>
        <w:ind w:firstLine="482" w:firstLineChars="200"/>
        <w:rPr>
          <w:rFonts w:ascii="宋体" w:hAnsi="宋体" w:eastAsia="宋体" w:cs="宋体"/>
          <w:sz w:val="24"/>
          <w:szCs w:val="24"/>
          <w:highlight w:val="none"/>
        </w:rPr>
      </w:pPr>
      <w:bookmarkStart w:id="451" w:name="_Toc35425085"/>
      <w:bookmarkStart w:id="452" w:name="_Toc506107299"/>
      <w:bookmarkStart w:id="453" w:name="_Toc152042338"/>
      <w:bookmarkStart w:id="454" w:name="_Toc179632580"/>
      <w:bookmarkStart w:id="455" w:name="_Toc246996949"/>
      <w:bookmarkStart w:id="456" w:name="_Toc78803352"/>
      <w:bookmarkStart w:id="457" w:name="_Toc152045562"/>
      <w:bookmarkStart w:id="458" w:name="_Toc144974530"/>
      <w:bookmarkStart w:id="459" w:name="_Toc35424919"/>
      <w:bookmarkStart w:id="460" w:name="_Toc247085720"/>
      <w:bookmarkStart w:id="461" w:name="_Toc20689"/>
      <w:bookmarkStart w:id="462" w:name="_Toc246996206"/>
      <w:bookmarkStart w:id="463" w:name="_Toc324404846"/>
      <w:bookmarkStart w:id="464" w:name="_Toc15058884"/>
      <w:r>
        <w:rPr>
          <w:rFonts w:hint="eastAsia" w:ascii="宋体" w:hAnsi="宋体" w:eastAsia="宋体" w:cs="宋体"/>
          <w:sz w:val="24"/>
          <w:szCs w:val="24"/>
          <w:highlight w:val="none"/>
        </w:rPr>
        <w:t>6. 评标</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36A3D30E">
      <w:pPr>
        <w:pStyle w:val="3"/>
        <w:ind w:firstLine="422" w:firstLineChars="200"/>
        <w:rPr>
          <w:rFonts w:ascii="宋体" w:hAnsi="宋体" w:eastAsia="宋体" w:cs="宋体"/>
          <w:highlight w:val="none"/>
        </w:rPr>
      </w:pPr>
      <w:bookmarkStart w:id="465" w:name="_Toc144974531"/>
      <w:bookmarkStart w:id="466" w:name="_Toc14249"/>
      <w:bookmarkStart w:id="467" w:name="_Toc246996950"/>
      <w:bookmarkStart w:id="468" w:name="_Toc15058885"/>
      <w:bookmarkStart w:id="469" w:name="_Toc78803353"/>
      <w:bookmarkStart w:id="470" w:name="_Toc35425086"/>
      <w:bookmarkStart w:id="471" w:name="_Toc152042339"/>
      <w:bookmarkStart w:id="472" w:name="_Toc152045563"/>
      <w:bookmarkStart w:id="473" w:name="_Toc35424920"/>
      <w:bookmarkStart w:id="474" w:name="_Toc296602452"/>
      <w:bookmarkStart w:id="475" w:name="_Toc247085721"/>
      <w:bookmarkStart w:id="476" w:name="_Toc324404847"/>
      <w:bookmarkStart w:id="477" w:name="_Toc246996207"/>
      <w:bookmarkStart w:id="478" w:name="_Toc506107300"/>
      <w:bookmarkStart w:id="479" w:name="_Toc179632581"/>
      <w:r>
        <w:rPr>
          <w:rFonts w:hint="eastAsia" w:ascii="宋体" w:hAnsi="宋体" w:eastAsia="宋体" w:cs="宋体"/>
          <w:highlight w:val="none"/>
        </w:rPr>
        <w:t>6.1 评标委员会</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5AC357D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6.1.1 评标由招标人依法组建的评标委员会负责。评标委员会由招标人或其委托的招标代理机构熟悉相关业务的代表，以及有关技术、经济等方面的专家组成。</w:t>
      </w:r>
    </w:p>
    <w:p w14:paraId="096A60C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6.1.2 评标委员会成员有下列情形之一的，应当回避：</w:t>
      </w:r>
    </w:p>
    <w:p w14:paraId="38E96C9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（1）投标人或投标人主要负责人的近亲属；</w:t>
      </w:r>
    </w:p>
    <w:p w14:paraId="286925F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（2）项目主管部门或者行政监督部门的人员；</w:t>
      </w:r>
    </w:p>
    <w:p w14:paraId="63829B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（3）与投标人有经济利益关系；</w:t>
      </w:r>
    </w:p>
    <w:p w14:paraId="67CCA8F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（4）曾因在招标、评标以及其他与招标投标有关活动中从事违法行为而受过行政处罚或刑事处罚的；</w:t>
      </w:r>
    </w:p>
    <w:p w14:paraId="5142437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（5）与投标人有其他利害关系。</w:t>
      </w:r>
    </w:p>
    <w:p w14:paraId="083CC1C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41486004">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bCs/>
          <w:highlight w:val="none"/>
          <w:lang w:val="en-US"/>
        </w:rPr>
      </w:pPr>
      <w:r>
        <w:rPr>
          <w:rFonts w:hint="eastAsia" w:ascii="宋体" w:hAnsi="宋体" w:cs="宋体"/>
          <w:szCs w:val="21"/>
          <w:highlight w:val="none"/>
        </w:rPr>
        <w:t>6.1.</w:t>
      </w:r>
      <w:r>
        <w:rPr>
          <w:rFonts w:hint="eastAsia" w:ascii="宋体" w:hAnsi="宋体" w:eastAsia="宋体" w:cs="宋体"/>
          <w:bCs/>
          <w:color w:val="000000"/>
          <w:kern w:val="0"/>
          <w:sz w:val="21"/>
          <w:szCs w:val="21"/>
          <w:highlight w:val="none"/>
          <w:u w:color="000000"/>
          <w:lang w:val="en-US" w:eastAsia="zh-CN" w:bidi="ar"/>
        </w:rPr>
        <w:t>4</w:t>
      </w:r>
      <w:r>
        <w:rPr>
          <w:rFonts w:hint="eastAsia" w:ascii="宋体" w:hAnsi="宋体" w:eastAsia="宋体" w:cs="宋体"/>
          <w:b/>
          <w:bCs/>
          <w:color w:val="000000"/>
          <w:kern w:val="0"/>
          <w:sz w:val="21"/>
          <w:szCs w:val="21"/>
          <w:highlight w:val="none"/>
          <w:u w:color="000000"/>
          <w:lang w:val="en-US" w:eastAsia="zh-CN" w:bidi="ar"/>
        </w:rPr>
        <w:t>招标人授权评标委员会对投标人资格进行审查。</w:t>
      </w:r>
    </w:p>
    <w:p w14:paraId="2C15BB0C">
      <w:pPr>
        <w:pStyle w:val="3"/>
        <w:ind w:firstLine="422" w:firstLineChars="200"/>
        <w:rPr>
          <w:rFonts w:ascii="宋体" w:hAnsi="宋体" w:eastAsia="宋体" w:cs="宋体"/>
          <w:highlight w:val="none"/>
        </w:rPr>
      </w:pPr>
      <w:bookmarkStart w:id="480" w:name="_Toc35424921"/>
      <w:bookmarkStart w:id="481" w:name="_Toc12948"/>
      <w:bookmarkStart w:id="482" w:name="_Toc296602453"/>
      <w:bookmarkStart w:id="483" w:name="_Toc152042340"/>
      <w:bookmarkStart w:id="484" w:name="_Toc247085722"/>
      <w:bookmarkStart w:id="485" w:name="_Toc152045564"/>
      <w:bookmarkStart w:id="486" w:name="_Toc15058886"/>
      <w:bookmarkStart w:id="487" w:name="_Toc78803354"/>
      <w:bookmarkStart w:id="488" w:name="_Toc246996951"/>
      <w:bookmarkStart w:id="489" w:name="_Toc324404848"/>
      <w:bookmarkStart w:id="490" w:name="_Toc246996208"/>
      <w:bookmarkStart w:id="491" w:name="_Toc35425087"/>
      <w:bookmarkStart w:id="492" w:name="_Toc144974532"/>
      <w:bookmarkStart w:id="493" w:name="_Toc506107301"/>
      <w:bookmarkStart w:id="494" w:name="_Toc179632582"/>
      <w:r>
        <w:rPr>
          <w:rFonts w:hint="eastAsia" w:ascii="宋体" w:hAnsi="宋体" w:eastAsia="宋体" w:cs="宋体"/>
          <w:highlight w:val="none"/>
        </w:rPr>
        <w:t>6.2 评标原则</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47DBC71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评标活动遵循公平、公正、科学和择优的原则。</w:t>
      </w:r>
    </w:p>
    <w:p w14:paraId="298BCB48">
      <w:pPr>
        <w:pStyle w:val="3"/>
        <w:ind w:firstLine="422" w:firstLineChars="200"/>
        <w:rPr>
          <w:rFonts w:ascii="宋体" w:hAnsi="宋体" w:eastAsia="宋体" w:cs="宋体"/>
          <w:highlight w:val="none"/>
        </w:rPr>
      </w:pPr>
      <w:bookmarkStart w:id="495" w:name="_Toc78803355"/>
      <w:bookmarkStart w:id="496" w:name="_Toc152042341"/>
      <w:bookmarkStart w:id="497" w:name="_Toc35424922"/>
      <w:bookmarkStart w:id="498" w:name="_Toc506107302"/>
      <w:bookmarkStart w:id="499" w:name="_Toc144974533"/>
      <w:bookmarkStart w:id="500" w:name="_Toc324404849"/>
      <w:bookmarkStart w:id="501" w:name="_Toc15058887"/>
      <w:bookmarkStart w:id="502" w:name="_Toc247085723"/>
      <w:bookmarkStart w:id="503" w:name="_Toc14892"/>
      <w:bookmarkStart w:id="504" w:name="_Toc246996209"/>
      <w:bookmarkStart w:id="505" w:name="_Toc246996952"/>
      <w:bookmarkStart w:id="506" w:name="_Toc179632583"/>
      <w:bookmarkStart w:id="507" w:name="_Toc152045565"/>
      <w:bookmarkStart w:id="508" w:name="_Toc35425088"/>
      <w:bookmarkStart w:id="509" w:name="_Toc296602454"/>
      <w:r>
        <w:rPr>
          <w:rFonts w:hint="eastAsia" w:ascii="宋体" w:hAnsi="宋体" w:eastAsia="宋体" w:cs="宋体"/>
          <w:highlight w:val="none"/>
        </w:rPr>
        <w:t>6.3 评标</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4929DC3A">
      <w:pPr>
        <w:spacing w:line="440" w:lineRule="exact"/>
        <w:ind w:firstLine="420" w:firstLineChars="200"/>
        <w:jc w:val="left"/>
        <w:rPr>
          <w:rFonts w:ascii="宋体" w:hAnsi="宋体" w:cs="宋体"/>
          <w:szCs w:val="21"/>
          <w:highlight w:val="none"/>
        </w:rPr>
      </w:pPr>
      <w:bookmarkStart w:id="510" w:name="_Toc246996953"/>
      <w:bookmarkStart w:id="511" w:name="_Toc144974534"/>
      <w:bookmarkStart w:id="512" w:name="_Toc246996210"/>
      <w:bookmarkStart w:id="513" w:name="_Toc179632584"/>
      <w:bookmarkStart w:id="514" w:name="_Toc152045566"/>
      <w:bookmarkStart w:id="515" w:name="_Toc247085724"/>
      <w:bookmarkStart w:id="516" w:name="_Toc324404850"/>
      <w:bookmarkStart w:id="517" w:name="_Toc152042342"/>
      <w:r>
        <w:rPr>
          <w:rFonts w:hint="eastAsia" w:ascii="宋体" w:hAnsi="宋体" w:cs="宋体"/>
          <w:szCs w:val="21"/>
          <w:highlight w:val="none"/>
        </w:rPr>
        <w:t>6.3.1评标委员会按照第三章“评标办法”规定的方法、评审因素、标准和程序对投标文件进行评审。第三章“评标办法”没有规定的方法、评审因素和标准，不作为评标依据。</w:t>
      </w:r>
    </w:p>
    <w:p w14:paraId="7D4C11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6.3.2评标完成后，评标委员会应向招标人提交书面评标报告和中标候选人名单。评标委员会推荐中标候选人的人数见投标人须知前附表。</w:t>
      </w:r>
    </w:p>
    <w:p w14:paraId="1E17D868">
      <w:pPr>
        <w:pStyle w:val="3"/>
        <w:spacing w:beforeLines="50" w:afterLines="50"/>
        <w:ind w:firstLine="482" w:firstLineChars="200"/>
        <w:rPr>
          <w:rFonts w:ascii="宋体" w:hAnsi="宋体" w:eastAsia="宋体" w:cs="宋体"/>
          <w:sz w:val="24"/>
          <w:szCs w:val="24"/>
          <w:highlight w:val="none"/>
        </w:rPr>
      </w:pPr>
      <w:bookmarkStart w:id="518" w:name="_Toc506107303"/>
      <w:bookmarkStart w:id="519" w:name="_Toc35425089"/>
      <w:bookmarkStart w:id="520" w:name="_Toc26182"/>
      <w:bookmarkStart w:id="521" w:name="_Toc78803356"/>
      <w:bookmarkStart w:id="522" w:name="_Toc35424923"/>
      <w:bookmarkStart w:id="523" w:name="_Toc15058888"/>
      <w:r>
        <w:rPr>
          <w:rFonts w:hint="eastAsia" w:ascii="宋体" w:hAnsi="宋体" w:eastAsia="宋体" w:cs="宋体"/>
          <w:sz w:val="24"/>
          <w:szCs w:val="24"/>
          <w:highlight w:val="none"/>
        </w:rPr>
        <w:t>7. 合同授予</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5F565433">
      <w:pPr>
        <w:pStyle w:val="3"/>
        <w:ind w:firstLine="422" w:firstLineChars="200"/>
        <w:rPr>
          <w:rFonts w:ascii="宋体" w:hAnsi="宋体" w:eastAsia="宋体" w:cs="宋体"/>
          <w:highlight w:val="none"/>
        </w:rPr>
      </w:pPr>
      <w:bookmarkStart w:id="524" w:name="_Toc247085725"/>
      <w:bookmarkStart w:id="525" w:name="_Toc144974535"/>
      <w:bookmarkStart w:id="526" w:name="_Toc3945"/>
      <w:bookmarkStart w:id="527" w:name="_Toc246996954"/>
      <w:bookmarkStart w:id="528" w:name="_Toc179632585"/>
      <w:bookmarkStart w:id="529" w:name="_Toc246996211"/>
      <w:bookmarkStart w:id="530" w:name="_Toc35424924"/>
      <w:bookmarkStart w:id="531" w:name="_Toc78803357"/>
      <w:bookmarkStart w:id="532" w:name="_Toc152045567"/>
      <w:bookmarkStart w:id="533" w:name="_Toc35425090"/>
      <w:bookmarkStart w:id="534" w:name="_Toc324404851"/>
      <w:bookmarkStart w:id="535" w:name="_Toc296602456"/>
      <w:bookmarkStart w:id="536" w:name="_Toc152042343"/>
      <w:bookmarkStart w:id="537" w:name="_Toc20532"/>
      <w:bookmarkStart w:id="538" w:name="_Toc506107304"/>
      <w:bookmarkStart w:id="539" w:name="_Toc15058889"/>
      <w:bookmarkStart w:id="540" w:name="_Toc246996212"/>
      <w:bookmarkStart w:id="541" w:name="_Toc296602458"/>
      <w:bookmarkStart w:id="542" w:name="_Toc246996955"/>
      <w:bookmarkStart w:id="543" w:name="_Toc324404853"/>
      <w:bookmarkStart w:id="544" w:name="_Toc152042344"/>
      <w:bookmarkStart w:id="545" w:name="_Toc14692"/>
      <w:bookmarkStart w:id="546" w:name="_Toc144974536"/>
      <w:bookmarkStart w:id="547" w:name="_Toc35425093"/>
      <w:bookmarkStart w:id="548" w:name="_Toc15058891"/>
      <w:bookmarkStart w:id="549" w:name="_Toc179632586"/>
      <w:bookmarkStart w:id="550" w:name="_Toc152045568"/>
      <w:bookmarkStart w:id="551" w:name="_Toc35424927"/>
      <w:bookmarkStart w:id="552" w:name="_Toc506107306"/>
      <w:bookmarkStart w:id="553" w:name="_Toc247085726"/>
      <w:r>
        <w:rPr>
          <w:rFonts w:hint="eastAsia" w:ascii="宋体" w:hAnsi="宋体" w:eastAsia="宋体" w:cs="宋体"/>
          <w:highlight w:val="none"/>
        </w:rPr>
        <w:t xml:space="preserve">7.1 </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Fonts w:hint="eastAsia" w:ascii="宋体" w:hAnsi="宋体" w:eastAsia="宋体" w:cs="宋体"/>
          <w:highlight w:val="none"/>
        </w:rPr>
        <w:t>中标候选人公示</w:t>
      </w:r>
    </w:p>
    <w:p w14:paraId="54632C5F">
      <w:pPr>
        <w:spacing w:line="440" w:lineRule="exact"/>
        <w:ind w:firstLine="420" w:firstLineChars="200"/>
        <w:jc w:val="left"/>
        <w:rPr>
          <w:rFonts w:ascii="宋体" w:hAnsi="宋体" w:cs="宋体"/>
          <w:szCs w:val="21"/>
          <w:highlight w:val="none"/>
        </w:rPr>
      </w:pPr>
      <w:bookmarkStart w:id="554" w:name="_Toc296602457"/>
      <w:bookmarkStart w:id="555" w:name="_Toc324404852"/>
      <w:r>
        <w:rPr>
          <w:rFonts w:hint="eastAsia" w:ascii="宋体" w:hAnsi="宋体" w:cs="宋体"/>
          <w:szCs w:val="21"/>
          <w:highlight w:val="none"/>
        </w:rPr>
        <w:t>7.1.1招标人在收到评标报告之日起3日内，按照投标人须知前附表规定的公示媒介和期限依法公示中标候选人，公示期不得少于3日。</w:t>
      </w:r>
    </w:p>
    <w:p w14:paraId="3229C23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7.1.2投标人或其他利害关系人对评标结果有异议的，应在中标候选人公示期间提出。招标人将在收到异议之日起3日内作出答复；作出答复前，将暂停招标投标活动。</w:t>
      </w:r>
    </w:p>
    <w:bookmarkEnd w:id="554"/>
    <w:bookmarkEnd w:id="555"/>
    <w:p w14:paraId="1D0EB461">
      <w:pPr>
        <w:pStyle w:val="3"/>
        <w:ind w:firstLine="422" w:firstLineChars="200"/>
        <w:rPr>
          <w:rFonts w:ascii="宋体" w:hAnsi="宋体" w:eastAsia="宋体" w:cs="宋体"/>
          <w:highlight w:val="none"/>
        </w:rPr>
      </w:pPr>
      <w:bookmarkStart w:id="556" w:name="_Toc8261"/>
      <w:bookmarkStart w:id="557" w:name="_Toc35425092"/>
      <w:bookmarkStart w:id="558" w:name="_Toc27040"/>
      <w:bookmarkStart w:id="559" w:name="_Toc78803359"/>
      <w:bookmarkStart w:id="560" w:name="_Toc35424926"/>
      <w:r>
        <w:rPr>
          <w:rFonts w:hint="eastAsia" w:ascii="宋体" w:hAnsi="宋体" w:eastAsia="宋体" w:cs="宋体"/>
          <w:highlight w:val="none"/>
        </w:rPr>
        <w:t>7.</w:t>
      </w:r>
      <w:r>
        <w:rPr>
          <w:rFonts w:hint="eastAsia" w:ascii="宋体" w:hAnsi="宋体" w:eastAsia="宋体" w:cs="宋体"/>
          <w:highlight w:val="none"/>
          <w:lang w:val="en-US" w:eastAsia="zh-CN"/>
        </w:rPr>
        <w:t>2</w:t>
      </w:r>
      <w:r>
        <w:rPr>
          <w:rFonts w:hint="eastAsia" w:ascii="宋体" w:hAnsi="宋体" w:eastAsia="宋体" w:cs="宋体"/>
          <w:highlight w:val="none"/>
        </w:rPr>
        <w:t xml:space="preserve"> </w:t>
      </w:r>
      <w:bookmarkEnd w:id="556"/>
      <w:bookmarkEnd w:id="557"/>
      <w:bookmarkEnd w:id="558"/>
      <w:bookmarkEnd w:id="559"/>
      <w:bookmarkEnd w:id="560"/>
      <w:r>
        <w:rPr>
          <w:rFonts w:hint="eastAsia" w:ascii="宋体" w:hAnsi="宋体" w:eastAsia="宋体" w:cs="宋体"/>
          <w:highlight w:val="none"/>
        </w:rPr>
        <w:t>定标</w:t>
      </w:r>
    </w:p>
    <w:p w14:paraId="3D28E1B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1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42B6009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.2招标人在确定中标人后，按照投标人须知前附表规定的公示媒介依法公示中标结果。</w:t>
      </w:r>
    </w:p>
    <w:p w14:paraId="53EE4FBD">
      <w:pPr>
        <w:pStyle w:val="3"/>
        <w:ind w:firstLine="422" w:firstLineChars="200"/>
        <w:rPr>
          <w:rFonts w:hint="eastAsia" w:ascii="宋体" w:hAnsi="宋体" w:eastAsia="宋体" w:cs="宋体"/>
          <w:highlight w:val="none"/>
        </w:rPr>
      </w:pPr>
      <w:bookmarkStart w:id="561" w:name="_Toc4204"/>
      <w:bookmarkStart w:id="562" w:name="_Toc78803360"/>
      <w:r>
        <w:rPr>
          <w:rFonts w:hint="eastAsia" w:ascii="宋体" w:hAnsi="宋体" w:eastAsia="宋体" w:cs="宋体"/>
          <w:highlight w:val="none"/>
        </w:rPr>
        <w:t>7.</w:t>
      </w:r>
      <w:r>
        <w:rPr>
          <w:rFonts w:hint="eastAsia" w:ascii="宋体" w:hAnsi="宋体" w:eastAsia="宋体" w:cs="宋体"/>
          <w:highlight w:val="none"/>
          <w:lang w:val="en-US" w:eastAsia="zh-CN"/>
        </w:rPr>
        <w:t>3</w:t>
      </w:r>
      <w:r>
        <w:rPr>
          <w:rFonts w:hint="eastAsia" w:ascii="宋体" w:hAnsi="宋体" w:eastAsia="宋体" w:cs="宋体"/>
          <w:highlight w:val="none"/>
        </w:rPr>
        <w:t xml:space="preserve"> 中标结果公示</w:t>
      </w:r>
      <w:bookmarkEnd w:id="561"/>
    </w:p>
    <w:p w14:paraId="3D9572D3">
      <w:pPr>
        <w:spacing w:line="440" w:lineRule="exact"/>
        <w:ind w:firstLine="420" w:firstLineChars="200"/>
        <w:jc w:val="left"/>
        <w:rPr>
          <w:rFonts w:hint="eastAsia" w:ascii="宋体" w:hAnsi="宋体" w:eastAsia="宋体" w:cs="宋体"/>
          <w:highlight w:val="none"/>
        </w:rPr>
      </w:pPr>
      <w:r>
        <w:rPr>
          <w:rFonts w:hint="eastAsia" w:ascii="宋体" w:hAnsi="宋体" w:cs="宋体"/>
          <w:szCs w:val="21"/>
          <w:lang w:val="en-US" w:eastAsia="zh-CN"/>
        </w:rPr>
        <w:t>7.3.1</w:t>
      </w:r>
      <w:r>
        <w:rPr>
          <w:rFonts w:hint="eastAsia" w:ascii="宋体" w:hAnsi="宋体" w:cs="宋体"/>
          <w:szCs w:val="21"/>
        </w:rPr>
        <w:t>招标人在投标人须知前附表规定的媒介公示。</w:t>
      </w:r>
    </w:p>
    <w:p w14:paraId="50E88422">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4</w:t>
      </w:r>
      <w:r>
        <w:rPr>
          <w:rFonts w:hint="eastAsia" w:ascii="宋体" w:hAnsi="宋体" w:eastAsia="宋体" w:cs="宋体"/>
          <w:highlight w:val="none"/>
        </w:rPr>
        <w:t xml:space="preserve"> 中标通知</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62"/>
    </w:p>
    <w:p w14:paraId="3880A89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7.4.1</w:t>
      </w:r>
      <w:r>
        <w:rPr>
          <w:rFonts w:hint="eastAsia" w:ascii="宋体" w:hAnsi="宋体" w:cs="宋体"/>
          <w:szCs w:val="21"/>
          <w:highlight w:val="none"/>
        </w:rPr>
        <w:t>在本章第3.3款规定的投标有效期内，招标人</w:t>
      </w:r>
      <w:r>
        <w:rPr>
          <w:rFonts w:hint="eastAsia" w:ascii="宋体" w:hAnsi="宋体" w:cs="宋体"/>
          <w:szCs w:val="21"/>
        </w:rPr>
        <w:t>以书面形式</w:t>
      </w:r>
      <w:r>
        <w:rPr>
          <w:rFonts w:hint="eastAsia" w:ascii="宋体" w:hAnsi="宋体" w:cs="宋体"/>
          <w:szCs w:val="21"/>
          <w:highlight w:val="none"/>
        </w:rPr>
        <w:t>向中标人发出中标通知书。</w:t>
      </w:r>
    </w:p>
    <w:p w14:paraId="76BD1912">
      <w:pPr>
        <w:pStyle w:val="3"/>
        <w:ind w:firstLine="422" w:firstLineChars="200"/>
        <w:rPr>
          <w:rFonts w:ascii="宋体" w:hAnsi="宋体" w:eastAsia="宋体" w:cs="宋体"/>
          <w:highlight w:val="none"/>
        </w:rPr>
      </w:pPr>
      <w:bookmarkStart w:id="563" w:name="_Toc506107307"/>
      <w:bookmarkStart w:id="564" w:name="_Toc144974537"/>
      <w:bookmarkStart w:id="565" w:name="_Toc152045569"/>
      <w:bookmarkStart w:id="566" w:name="_Toc35424929"/>
      <w:bookmarkStart w:id="567" w:name="_Toc152042345"/>
      <w:bookmarkStart w:id="568" w:name="_Toc25501"/>
      <w:bookmarkStart w:id="569" w:name="_Toc247085727"/>
      <w:bookmarkStart w:id="570" w:name="_Toc324404854"/>
      <w:bookmarkStart w:id="571" w:name="_Toc35425095"/>
      <w:bookmarkStart w:id="572" w:name="_Toc246996956"/>
      <w:bookmarkStart w:id="573" w:name="_Toc179632587"/>
      <w:bookmarkStart w:id="574" w:name="_Toc15058892"/>
      <w:bookmarkStart w:id="575" w:name="_Toc246996213"/>
      <w:bookmarkStart w:id="576" w:name="_Toc78803362"/>
      <w:bookmarkStart w:id="577" w:name="_Toc296602459"/>
      <w:r>
        <w:rPr>
          <w:rFonts w:hint="eastAsia" w:ascii="宋体" w:hAnsi="宋体" w:eastAsia="宋体" w:cs="宋体"/>
          <w:highlight w:val="none"/>
        </w:rPr>
        <w:t>7.</w:t>
      </w:r>
      <w:r>
        <w:rPr>
          <w:rFonts w:hint="eastAsia" w:ascii="宋体" w:hAnsi="宋体" w:eastAsia="宋体" w:cs="宋体"/>
          <w:highlight w:val="none"/>
          <w:lang w:val="en-US" w:eastAsia="zh-CN"/>
        </w:rPr>
        <w:t>5</w:t>
      </w:r>
      <w:r>
        <w:rPr>
          <w:rFonts w:hint="eastAsia" w:ascii="宋体" w:hAnsi="宋体" w:eastAsia="宋体" w:cs="宋体"/>
          <w:highlight w:val="none"/>
        </w:rPr>
        <w:t xml:space="preserve"> 履约担保</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112BA13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1在签订合同前，中标人应按投标人须知前附表规定的担保形式和招标文件第四章“合同条款及格式”规定的或者事先经过招标人书面认可的履约担保格式向招标人提交履约担保。履约担保金额的相关要求见投标人须知前附表。</w:t>
      </w:r>
    </w:p>
    <w:p w14:paraId="7EC8048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.2 中标人不能按本章第7.6.1项要求提交履约担保的，视为放弃中标，给招标人造成的损失的，中标人还应当予以赔偿。</w:t>
      </w:r>
    </w:p>
    <w:p w14:paraId="3B4E380F">
      <w:pPr>
        <w:pStyle w:val="3"/>
        <w:ind w:firstLine="422" w:firstLineChars="200"/>
        <w:rPr>
          <w:rFonts w:ascii="宋体" w:hAnsi="宋体" w:eastAsia="宋体" w:cs="宋体"/>
          <w:highlight w:val="none"/>
        </w:rPr>
      </w:pPr>
      <w:bookmarkStart w:id="578" w:name="_Toc35425096"/>
      <w:bookmarkStart w:id="579" w:name="_Toc247085728"/>
      <w:bookmarkStart w:id="580" w:name="_Toc15058893"/>
      <w:bookmarkStart w:id="581" w:name="_Toc152042346"/>
      <w:bookmarkStart w:id="582" w:name="_Toc35424930"/>
      <w:bookmarkStart w:id="583" w:name="_Toc152045570"/>
      <w:bookmarkStart w:id="584" w:name="_Toc246996957"/>
      <w:bookmarkStart w:id="585" w:name="_Toc296602460"/>
      <w:bookmarkStart w:id="586" w:name="_Toc78803363"/>
      <w:bookmarkStart w:id="587" w:name="_Toc506107308"/>
      <w:bookmarkStart w:id="588" w:name="_Toc144974538"/>
      <w:bookmarkStart w:id="589" w:name="_Toc11010"/>
      <w:bookmarkStart w:id="590" w:name="_Toc246996214"/>
      <w:bookmarkStart w:id="591" w:name="_Toc179632588"/>
      <w:bookmarkStart w:id="592" w:name="_Toc324404855"/>
      <w:r>
        <w:rPr>
          <w:rFonts w:hint="eastAsia" w:ascii="宋体" w:hAnsi="宋体" w:eastAsia="宋体" w:cs="宋体"/>
          <w:highlight w:val="none"/>
        </w:rPr>
        <w:t>7.</w:t>
      </w:r>
      <w:r>
        <w:rPr>
          <w:rFonts w:hint="eastAsia" w:ascii="宋体" w:hAnsi="宋体" w:eastAsia="宋体" w:cs="宋体"/>
          <w:highlight w:val="none"/>
          <w:lang w:val="en-US" w:eastAsia="zh-CN"/>
        </w:rPr>
        <w:t>6</w:t>
      </w:r>
      <w:r>
        <w:rPr>
          <w:rFonts w:hint="eastAsia" w:ascii="宋体" w:hAnsi="宋体" w:eastAsia="宋体" w:cs="宋体"/>
          <w:highlight w:val="none"/>
        </w:rPr>
        <w:t xml:space="preserve"> 签订合同</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72DE0C53">
      <w:pPr>
        <w:wordWrap w:val="0"/>
        <w:spacing w:line="440" w:lineRule="exact"/>
        <w:ind w:firstLine="420" w:firstLineChars="200"/>
        <w:jc w:val="left"/>
        <w:rPr>
          <w:rFonts w:ascii="宋体" w:hAnsi="宋体" w:cs="宋体"/>
          <w:bCs/>
          <w:szCs w:val="21"/>
          <w:highlight w:val="none"/>
        </w:rPr>
      </w:pPr>
      <w:bookmarkStart w:id="593" w:name="_Toc324404856"/>
      <w:bookmarkStart w:id="594" w:name="_Toc506107309"/>
      <w:bookmarkStart w:id="595" w:name="_Toc15058894"/>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 xml:space="preserve">.1本招标工程的施工合同将授予按本须知第7.1条规定所确定的中标人。 </w:t>
      </w:r>
    </w:p>
    <w:p w14:paraId="18516895">
      <w:pPr>
        <w:wordWrap w:val="0"/>
        <w:spacing w:line="440" w:lineRule="atLeast"/>
        <w:ind w:firstLine="420" w:firstLineChars="200"/>
        <w:rPr>
          <w:rFonts w:hint="eastAsia" w:ascii="宋体" w:hAnsi="宋体" w:cs="宋体"/>
          <w:bCs/>
          <w:szCs w:val="21"/>
        </w:rPr>
      </w:pPr>
      <w:r>
        <w:rPr>
          <w:rFonts w:hint="eastAsia" w:ascii="宋体" w:hAnsi="宋体" w:cs="宋体"/>
          <w:bCs/>
          <w:szCs w:val="21"/>
        </w:rPr>
        <w:t>7.</w:t>
      </w:r>
      <w:r>
        <w:rPr>
          <w:rFonts w:hint="eastAsia" w:ascii="宋体" w:hAnsi="宋体" w:cs="宋体"/>
          <w:bCs/>
          <w:szCs w:val="21"/>
          <w:lang w:val="en-US" w:eastAsia="zh-CN"/>
        </w:rPr>
        <w:t>6</w:t>
      </w:r>
      <w:r>
        <w:rPr>
          <w:rFonts w:hint="eastAsia" w:ascii="宋体" w:hAnsi="宋体" w:cs="宋体"/>
          <w:bCs/>
          <w:szCs w:val="21"/>
        </w:rPr>
        <w:t>.2中标人须在中标通知书发出后30日内完成履约保证金缴纳及合同签订。否则，取消中标资格。</w:t>
      </w:r>
    </w:p>
    <w:p w14:paraId="01E0BEC3">
      <w:pPr>
        <w:wordWrap w:val="0"/>
        <w:spacing w:line="440" w:lineRule="atLeast"/>
        <w:ind w:firstLine="420" w:firstLineChars="200"/>
        <w:rPr>
          <w:rFonts w:hint="eastAsia" w:ascii="宋体" w:hAnsi="宋体" w:cs="宋体"/>
          <w:bCs/>
          <w:szCs w:val="21"/>
        </w:rPr>
      </w:pPr>
      <w:r>
        <w:rPr>
          <w:rFonts w:hint="eastAsia" w:ascii="宋体" w:hAnsi="宋体" w:cs="宋体"/>
          <w:bCs/>
          <w:szCs w:val="21"/>
        </w:rPr>
        <w:t>7.</w:t>
      </w:r>
      <w:r>
        <w:rPr>
          <w:rFonts w:hint="eastAsia" w:ascii="宋体" w:hAnsi="宋体" w:cs="宋体"/>
          <w:bCs/>
          <w:szCs w:val="21"/>
          <w:lang w:val="en-US" w:eastAsia="zh-CN"/>
        </w:rPr>
        <w:t>6</w:t>
      </w:r>
      <w:r>
        <w:rPr>
          <w:rFonts w:hint="eastAsia" w:ascii="宋体" w:hAnsi="宋体" w:cs="宋体"/>
          <w:bCs/>
          <w:szCs w:val="21"/>
        </w:rPr>
        <w:t>.3发出中标通知书后，招标单位无正当理由拒签合同的，给中标人造成损失的，还应当赔偿损失。</w:t>
      </w:r>
    </w:p>
    <w:p w14:paraId="77257B7E">
      <w:pPr>
        <w:wordWrap w:val="0"/>
        <w:spacing w:line="440" w:lineRule="exact"/>
        <w:ind w:firstLine="420" w:firstLineChars="200"/>
        <w:jc w:val="left"/>
        <w:rPr>
          <w:rFonts w:hint="eastAsia" w:ascii="宋体" w:hAnsi="宋体" w:cs="宋体"/>
          <w:bCs/>
          <w:szCs w:val="21"/>
          <w:highlight w:val="none"/>
        </w:rPr>
      </w:pPr>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.4除法定情形外，合同履行期间项目负责人不得更换。项目负责人确需变更的，应根据招标文件要求，变更后的项目负责人不低于投标文件中拟派项目负责人的资格条件。</w:t>
      </w:r>
    </w:p>
    <w:bookmarkEnd w:id="593"/>
    <w:bookmarkEnd w:id="594"/>
    <w:bookmarkEnd w:id="595"/>
    <w:p w14:paraId="31B2E77F">
      <w:pPr>
        <w:pStyle w:val="3"/>
        <w:spacing w:beforeLines="50" w:afterLines="50"/>
        <w:ind w:firstLine="422" w:firstLineChars="200"/>
        <w:rPr>
          <w:rFonts w:ascii="宋体" w:hAnsi="宋体" w:eastAsia="宋体" w:cs="宋体"/>
          <w:highlight w:val="none"/>
        </w:rPr>
      </w:pPr>
      <w:bookmarkStart w:id="596" w:name="_Toc26974"/>
      <w:bookmarkStart w:id="597" w:name="_Toc25375"/>
      <w:bookmarkStart w:id="598" w:name="_Toc31686"/>
      <w:bookmarkStart w:id="599" w:name="_Toc78803367"/>
      <w:bookmarkStart w:id="600" w:name="_Toc35425097"/>
      <w:bookmarkStart w:id="601" w:name="_Toc35424931"/>
      <w:bookmarkStart w:id="602" w:name="_Toc324404864"/>
      <w:bookmarkStart w:id="603" w:name="_Toc35424939"/>
      <w:bookmarkStart w:id="604" w:name="_Toc506107317"/>
      <w:bookmarkStart w:id="605" w:name="_Toc15058902"/>
      <w:bookmarkStart w:id="606" w:name="_Toc35425105"/>
      <w:bookmarkStart w:id="607" w:name="_Toc296602475"/>
      <w:r>
        <w:rPr>
          <w:rFonts w:hint="eastAsia" w:ascii="宋体" w:hAnsi="宋体" w:eastAsia="宋体" w:cs="宋体"/>
          <w:highlight w:val="none"/>
          <w:lang w:val="en-US" w:eastAsia="zh-CN"/>
        </w:rPr>
        <w:t>8</w:t>
      </w:r>
      <w:r>
        <w:rPr>
          <w:rFonts w:hint="eastAsia" w:ascii="宋体" w:hAnsi="宋体" w:eastAsia="宋体" w:cs="宋体"/>
          <w:highlight w:val="none"/>
        </w:rPr>
        <w:t>. 纪律和监督</w:t>
      </w:r>
      <w:bookmarkEnd w:id="596"/>
      <w:bookmarkEnd w:id="597"/>
      <w:bookmarkEnd w:id="598"/>
      <w:bookmarkEnd w:id="599"/>
      <w:bookmarkEnd w:id="600"/>
      <w:bookmarkEnd w:id="601"/>
    </w:p>
    <w:p w14:paraId="49CA1A8F">
      <w:pPr>
        <w:pStyle w:val="3"/>
        <w:ind w:firstLine="422" w:firstLineChars="200"/>
        <w:rPr>
          <w:rFonts w:ascii="宋体" w:hAnsi="宋体" w:eastAsia="宋体" w:cs="宋体"/>
          <w:highlight w:val="none"/>
        </w:rPr>
      </w:pPr>
      <w:bookmarkStart w:id="608" w:name="_Toc152045575"/>
      <w:bookmarkStart w:id="609" w:name="_Toc324404857"/>
      <w:bookmarkStart w:id="610" w:name="_Toc78803368"/>
      <w:bookmarkStart w:id="611" w:name="_Toc2855"/>
      <w:bookmarkStart w:id="612" w:name="_Toc35425098"/>
      <w:bookmarkStart w:id="613" w:name="_Toc144974543"/>
      <w:bookmarkStart w:id="614" w:name="_Toc15607"/>
      <w:bookmarkStart w:id="615" w:name="_Toc179632593"/>
      <w:bookmarkStart w:id="616" w:name="_Toc15058895"/>
      <w:bookmarkStart w:id="617" w:name="_Toc246996219"/>
      <w:bookmarkStart w:id="618" w:name="_Toc296590983"/>
      <w:bookmarkStart w:id="619" w:name="_Toc247085733"/>
      <w:bookmarkStart w:id="620" w:name="_Toc506107310"/>
      <w:bookmarkStart w:id="621" w:name="_Toc152042351"/>
      <w:bookmarkStart w:id="622" w:name="_Toc35424932"/>
      <w:bookmarkStart w:id="623" w:name="_Toc296602462"/>
      <w:bookmarkStart w:id="624" w:name="_Toc246996962"/>
      <w:r>
        <w:rPr>
          <w:rFonts w:hint="eastAsia" w:ascii="宋体" w:hAnsi="宋体" w:eastAsia="宋体" w:cs="宋体"/>
          <w:highlight w:val="none"/>
          <w:lang w:val="en-US" w:eastAsia="zh-CN"/>
        </w:rPr>
        <w:t>8</w:t>
      </w:r>
      <w:r>
        <w:rPr>
          <w:rFonts w:hint="eastAsia" w:ascii="宋体" w:hAnsi="宋体" w:eastAsia="宋体" w:cs="宋体"/>
          <w:highlight w:val="none"/>
        </w:rPr>
        <w:t>.1 对招标人的纪律要求</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25A9C8E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招标人不得泄漏招标投标活动中应当保密的情况和资料，不得与投标人串通损害国家利益、社会公共利益或者他人合法权益。</w:t>
      </w:r>
    </w:p>
    <w:p w14:paraId="6BA9BC3B">
      <w:pPr>
        <w:pStyle w:val="3"/>
        <w:ind w:firstLine="422" w:firstLineChars="200"/>
        <w:rPr>
          <w:rFonts w:ascii="宋体" w:hAnsi="宋体" w:eastAsia="宋体" w:cs="宋体"/>
          <w:highlight w:val="none"/>
        </w:rPr>
      </w:pPr>
      <w:bookmarkStart w:id="625" w:name="_Toc35425099"/>
      <w:bookmarkStart w:id="626" w:name="_Toc35424933"/>
      <w:bookmarkStart w:id="627" w:name="_Toc144974544"/>
      <w:bookmarkStart w:id="628" w:name="_Toc78803369"/>
      <w:bookmarkStart w:id="629" w:name="_Toc246996963"/>
      <w:bookmarkStart w:id="630" w:name="_Toc246996220"/>
      <w:bookmarkStart w:id="631" w:name="_Toc152042352"/>
      <w:bookmarkStart w:id="632" w:name="_Toc324404858"/>
      <w:bookmarkStart w:id="633" w:name="_Toc247085734"/>
      <w:bookmarkStart w:id="634" w:name="_Toc32177"/>
      <w:bookmarkStart w:id="635" w:name="_Toc152045576"/>
      <w:bookmarkStart w:id="636" w:name="_Toc296602463"/>
      <w:bookmarkStart w:id="637" w:name="_Toc506107311"/>
      <w:bookmarkStart w:id="638" w:name="_Toc15058896"/>
      <w:bookmarkStart w:id="639" w:name="_Toc19779"/>
      <w:bookmarkStart w:id="640" w:name="_Toc179632594"/>
      <w:r>
        <w:rPr>
          <w:rFonts w:hint="eastAsia" w:ascii="宋体" w:hAnsi="宋体" w:eastAsia="宋体" w:cs="宋体"/>
          <w:highlight w:val="none"/>
          <w:lang w:val="en-US" w:eastAsia="zh-CN"/>
        </w:rPr>
        <w:t>8</w:t>
      </w:r>
      <w:r>
        <w:rPr>
          <w:rFonts w:hint="eastAsia" w:ascii="宋体" w:hAnsi="宋体" w:eastAsia="宋体" w:cs="宋体"/>
          <w:highlight w:val="none"/>
        </w:rPr>
        <w:t>.2 对投标人的纪律要求</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1B7AC3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33A1F0E">
      <w:pPr>
        <w:pStyle w:val="3"/>
        <w:ind w:firstLine="422" w:firstLineChars="200"/>
        <w:rPr>
          <w:rFonts w:ascii="宋体" w:hAnsi="宋体" w:eastAsia="宋体" w:cs="宋体"/>
          <w:highlight w:val="none"/>
        </w:rPr>
      </w:pPr>
      <w:bookmarkStart w:id="641" w:name="_Toc296602464"/>
      <w:bookmarkStart w:id="642" w:name="_Toc247085735"/>
      <w:bookmarkStart w:id="643" w:name="_Toc506107312"/>
      <w:bookmarkStart w:id="644" w:name="_Toc152042353"/>
      <w:bookmarkStart w:id="645" w:name="_Toc35424934"/>
      <w:bookmarkStart w:id="646" w:name="_Toc152045577"/>
      <w:bookmarkStart w:id="647" w:name="_Toc13043"/>
      <w:bookmarkStart w:id="648" w:name="_Toc15058897"/>
      <w:bookmarkStart w:id="649" w:name="_Toc78803370"/>
      <w:bookmarkStart w:id="650" w:name="_Toc12564"/>
      <w:bookmarkStart w:id="651" w:name="_Toc246996221"/>
      <w:bookmarkStart w:id="652" w:name="_Toc144974545"/>
      <w:bookmarkStart w:id="653" w:name="_Toc35425100"/>
      <w:bookmarkStart w:id="654" w:name="_Toc324404859"/>
      <w:bookmarkStart w:id="655" w:name="_Toc246996964"/>
      <w:bookmarkStart w:id="656" w:name="_Toc179632595"/>
      <w:r>
        <w:rPr>
          <w:rFonts w:hint="eastAsia" w:ascii="宋体" w:hAnsi="宋体" w:eastAsia="宋体" w:cs="宋体"/>
          <w:highlight w:val="none"/>
          <w:lang w:val="en-US" w:eastAsia="zh-CN"/>
        </w:rPr>
        <w:t>8</w:t>
      </w:r>
      <w:r>
        <w:rPr>
          <w:rFonts w:hint="eastAsia" w:ascii="宋体" w:hAnsi="宋体" w:eastAsia="宋体" w:cs="宋体"/>
          <w:highlight w:val="none"/>
        </w:rPr>
        <w:t>.3 对评标委员会成员的纪律要求</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5256DC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6939E33C">
      <w:pPr>
        <w:pStyle w:val="3"/>
        <w:ind w:firstLine="422" w:firstLineChars="200"/>
        <w:rPr>
          <w:rFonts w:ascii="宋体" w:hAnsi="宋体" w:eastAsia="宋体" w:cs="宋体"/>
          <w:highlight w:val="none"/>
        </w:rPr>
      </w:pPr>
      <w:bookmarkStart w:id="657" w:name="_Toc506107313"/>
      <w:bookmarkStart w:id="658" w:name="_Toc247085736"/>
      <w:bookmarkStart w:id="659" w:name="_Toc246996222"/>
      <w:bookmarkStart w:id="660" w:name="_Toc35425101"/>
      <w:bookmarkStart w:id="661" w:name="_Toc324404860"/>
      <w:bookmarkStart w:id="662" w:name="_Toc246996965"/>
      <w:bookmarkStart w:id="663" w:name="_Toc78803371"/>
      <w:bookmarkStart w:id="664" w:name="_Toc15058898"/>
      <w:bookmarkStart w:id="665" w:name="_Toc152042354"/>
      <w:bookmarkStart w:id="666" w:name="_Toc35424935"/>
      <w:bookmarkStart w:id="667" w:name="_Toc152045578"/>
      <w:bookmarkStart w:id="668" w:name="_Toc179632596"/>
      <w:bookmarkStart w:id="669" w:name="_Toc296602465"/>
      <w:bookmarkStart w:id="670" w:name="_Toc32214"/>
      <w:bookmarkStart w:id="671" w:name="_Toc18329"/>
      <w:bookmarkStart w:id="672" w:name="_Toc144974546"/>
      <w:r>
        <w:rPr>
          <w:rFonts w:hint="eastAsia" w:ascii="宋体" w:hAnsi="宋体" w:eastAsia="宋体" w:cs="宋体"/>
          <w:highlight w:val="none"/>
          <w:lang w:val="en-US" w:eastAsia="zh-CN"/>
        </w:rPr>
        <w:t>8</w:t>
      </w:r>
      <w:r>
        <w:rPr>
          <w:rFonts w:hint="eastAsia" w:ascii="宋体" w:hAnsi="宋体" w:eastAsia="宋体" w:cs="宋体"/>
          <w:highlight w:val="none"/>
        </w:rPr>
        <w:t>.4 对与评标活动有关的工作人员的纪律要求</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766BE765">
      <w:pPr>
        <w:spacing w:line="440" w:lineRule="exact"/>
        <w:ind w:firstLine="420" w:firstLineChars="200"/>
        <w:jc w:val="left"/>
        <w:rPr>
          <w:rFonts w:ascii="宋体" w:hAnsi="宋体" w:cs="宋体"/>
          <w:szCs w:val="21"/>
          <w:highlight w:val="none"/>
        </w:rPr>
      </w:pPr>
      <w:bookmarkStart w:id="673" w:name="_Toc152042355"/>
      <w:r>
        <w:rPr>
          <w:rFonts w:hint="eastAsia" w:ascii="宋体" w:hAnsi="宋体" w:cs="宋体"/>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673"/>
    </w:p>
    <w:p w14:paraId="6EC5285F">
      <w:pPr>
        <w:pStyle w:val="3"/>
        <w:ind w:firstLine="422" w:firstLineChars="200"/>
        <w:rPr>
          <w:rFonts w:ascii="宋体" w:hAnsi="宋体" w:eastAsia="宋体" w:cs="宋体"/>
          <w:highlight w:val="none"/>
        </w:rPr>
      </w:pPr>
      <w:bookmarkStart w:id="674" w:name="_Toc179632597"/>
      <w:bookmarkStart w:id="675" w:name="_Toc35425102"/>
      <w:bookmarkStart w:id="676" w:name="_Toc152045579"/>
      <w:bookmarkStart w:id="677" w:name="_Toc246996966"/>
      <w:bookmarkStart w:id="678" w:name="_Toc15058899"/>
      <w:bookmarkStart w:id="679" w:name="_Toc296602466"/>
      <w:bookmarkStart w:id="680" w:name="_Toc35424936"/>
      <w:bookmarkStart w:id="681" w:name="_Toc246996223"/>
      <w:bookmarkStart w:id="682" w:name="_Toc247085737"/>
      <w:bookmarkStart w:id="683" w:name="_Toc152042356"/>
      <w:bookmarkStart w:id="684" w:name="_Toc2811"/>
      <w:bookmarkStart w:id="685" w:name="_Toc506107314"/>
      <w:bookmarkStart w:id="686" w:name="_Toc78803372"/>
      <w:bookmarkStart w:id="687" w:name="_Toc324404861"/>
      <w:bookmarkStart w:id="688" w:name="_Toc23607"/>
      <w:r>
        <w:rPr>
          <w:rFonts w:hint="eastAsia" w:ascii="宋体" w:hAnsi="宋体" w:eastAsia="宋体" w:cs="宋体"/>
          <w:highlight w:val="none"/>
          <w:lang w:val="en-US" w:eastAsia="zh-CN"/>
        </w:rPr>
        <w:t>8</w:t>
      </w:r>
      <w:r>
        <w:rPr>
          <w:rFonts w:hint="eastAsia" w:ascii="宋体" w:hAnsi="宋体" w:eastAsia="宋体" w:cs="宋体"/>
          <w:highlight w:val="none"/>
        </w:rPr>
        <w:t>.5 投诉</w:t>
      </w:r>
      <w:bookmarkEnd w:id="672"/>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6B9C537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.5.1投标人或者其他利害关系人认为招标投标活动不符合法律、行政法规规定的，可以自知道或者应当知道之日起10日内向有关行政监督部门投诉。投诉应当有明确的请求和必要的证明材料。</w:t>
      </w:r>
    </w:p>
    <w:p w14:paraId="3941694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.5.2投标人和其他利害关系人对招标文件、开标和评标结果事项投诉的，应当按照投标人须知第2.3.2款、第5.3款、和第7.1.2款的规定先向招标人提出异议。异议答复期间不计算在第</w:t>
      </w:r>
      <w:r>
        <w:rPr>
          <w:rFonts w:hint="eastAsia" w:ascii="宋体" w:hAnsi="宋体" w:cs="宋体"/>
          <w:szCs w:val="21"/>
          <w:highlight w:val="none"/>
          <w:lang w:val="en-US" w:eastAsia="zh-CN"/>
        </w:rPr>
        <w:t>8</w:t>
      </w:r>
      <w:r>
        <w:rPr>
          <w:rFonts w:hint="eastAsia" w:ascii="宋体" w:hAnsi="宋体" w:cs="宋体"/>
          <w:szCs w:val="21"/>
          <w:highlight w:val="none"/>
        </w:rPr>
        <w:t>.5.1款规定的期限内。</w:t>
      </w:r>
    </w:p>
    <w:p w14:paraId="39FC7842">
      <w:pPr>
        <w:pStyle w:val="3"/>
        <w:spacing w:beforeLines="50" w:afterLines="50"/>
        <w:ind w:firstLine="422" w:firstLineChars="200"/>
        <w:rPr>
          <w:rFonts w:ascii="宋体" w:hAnsi="宋体" w:eastAsia="宋体" w:cs="宋体"/>
          <w:highlight w:val="none"/>
        </w:rPr>
      </w:pPr>
      <w:bookmarkStart w:id="689" w:name="_Toc246996224"/>
      <w:bookmarkStart w:id="690" w:name="_Toc179632598"/>
      <w:bookmarkStart w:id="691" w:name="_Toc35425103"/>
      <w:bookmarkStart w:id="692" w:name="_Toc246996967"/>
      <w:bookmarkStart w:id="693" w:name="_Toc20669"/>
      <w:bookmarkStart w:id="694" w:name="_Toc78803373"/>
      <w:bookmarkStart w:id="695" w:name="_Toc15058900"/>
      <w:bookmarkStart w:id="696" w:name="_Toc152042357"/>
      <w:bookmarkStart w:id="697" w:name="_Toc324404862"/>
      <w:bookmarkStart w:id="698" w:name="_Toc506107315"/>
      <w:bookmarkStart w:id="699" w:name="_Toc247085738"/>
      <w:bookmarkStart w:id="700" w:name="_Toc152045580"/>
      <w:bookmarkStart w:id="701" w:name="_Toc35424937"/>
      <w:bookmarkStart w:id="702" w:name="_Toc16463"/>
      <w:bookmarkStart w:id="703" w:name="_Toc144974547"/>
      <w:bookmarkStart w:id="704" w:name="_Toc31643"/>
      <w:r>
        <w:rPr>
          <w:rFonts w:hint="eastAsia" w:ascii="宋体" w:hAnsi="宋体" w:eastAsia="宋体" w:cs="宋体"/>
          <w:highlight w:val="none"/>
          <w:lang w:val="en-US" w:eastAsia="zh-CN"/>
        </w:rPr>
        <w:t>9</w:t>
      </w:r>
      <w:r>
        <w:rPr>
          <w:rFonts w:hint="eastAsia" w:ascii="宋体" w:hAnsi="宋体" w:eastAsia="宋体" w:cs="宋体"/>
          <w:highlight w:val="none"/>
        </w:rPr>
        <w:t>.需要补充的其他内容</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2610702A">
      <w:pPr>
        <w:spacing w:line="440" w:lineRule="exact"/>
        <w:ind w:firstLine="420" w:firstLineChars="200"/>
        <w:jc w:val="left"/>
        <w:rPr>
          <w:rFonts w:ascii="宋体" w:hAnsi="宋体" w:cs="宋体"/>
          <w:szCs w:val="21"/>
          <w:highlight w:val="none"/>
        </w:rPr>
      </w:pPr>
      <w:bookmarkStart w:id="705" w:name="_Toc15058901"/>
      <w:r>
        <w:rPr>
          <w:rFonts w:hint="eastAsia" w:ascii="宋体" w:hAnsi="宋体" w:cs="宋体"/>
          <w:szCs w:val="21"/>
          <w:highlight w:val="none"/>
        </w:rPr>
        <w:t>需要补充的其他内容：见投标人须知前附表。</w:t>
      </w:r>
      <w:bookmarkEnd w:id="705"/>
    </w:p>
    <w:p w14:paraId="13695F73">
      <w:pPr>
        <w:spacing w:line="440" w:lineRule="exact"/>
        <w:jc w:val="left"/>
        <w:rPr>
          <w:rFonts w:ascii="宋体" w:hAnsi="宋体" w:cs="宋体"/>
          <w:szCs w:val="21"/>
          <w:highlight w:val="none"/>
        </w:rPr>
      </w:pPr>
    </w:p>
    <w:p w14:paraId="146D6C50">
      <w:pPr>
        <w:pageBreakBefore/>
        <w:spacing w:beforeLines="80" w:afterLines="80" w:line="440" w:lineRule="exact"/>
        <w:jc w:val="center"/>
        <w:outlineLvl w:val="1"/>
        <w:rPr>
          <w:rFonts w:ascii="宋体"/>
          <w:b/>
          <w:sz w:val="32"/>
          <w:szCs w:val="32"/>
          <w:highlight w:val="none"/>
        </w:rPr>
      </w:pPr>
      <w:bookmarkStart w:id="706" w:name="_Toc78803375"/>
      <w:r>
        <w:rPr>
          <w:rFonts w:hint="eastAsia" w:ascii="宋体"/>
          <w:b/>
          <w:sz w:val="32"/>
          <w:szCs w:val="32"/>
          <w:highlight w:val="none"/>
        </w:rPr>
        <w:t>第二章  资格审查</w:t>
      </w:r>
      <w:bookmarkEnd w:id="602"/>
      <w:r>
        <w:rPr>
          <w:rFonts w:hint="eastAsia" w:ascii="宋体"/>
          <w:b/>
          <w:sz w:val="32"/>
          <w:szCs w:val="32"/>
          <w:highlight w:val="none"/>
        </w:rPr>
        <w:t>办法</w:t>
      </w:r>
      <w:bookmarkEnd w:id="603"/>
      <w:bookmarkEnd w:id="604"/>
      <w:bookmarkEnd w:id="605"/>
      <w:bookmarkEnd w:id="606"/>
      <w:bookmarkEnd w:id="706"/>
    </w:p>
    <w:p w14:paraId="510BB1C6">
      <w:pPr>
        <w:spacing w:beforeLines="50" w:afterLines="50" w:line="440" w:lineRule="exact"/>
        <w:jc w:val="center"/>
        <w:rPr>
          <w:rFonts w:ascii="宋体" w:hAnsi="宋体" w:cs="宋体"/>
          <w:b/>
          <w:bCs/>
          <w:sz w:val="28"/>
          <w:szCs w:val="22"/>
          <w:highlight w:val="none"/>
        </w:rPr>
      </w:pPr>
      <w:bookmarkStart w:id="707" w:name="_Toc15058903"/>
      <w:bookmarkStart w:id="708" w:name="_Toc324404865"/>
      <w:bookmarkStart w:id="709" w:name="_Toc35425106"/>
      <w:bookmarkStart w:id="710" w:name="_Toc35424940"/>
      <w:bookmarkStart w:id="711" w:name="_Toc506107318"/>
      <w:r>
        <w:rPr>
          <w:rFonts w:hint="eastAsia" w:ascii="宋体" w:hAnsi="宋体" w:cs="宋体"/>
          <w:b/>
          <w:bCs/>
          <w:sz w:val="28"/>
          <w:szCs w:val="22"/>
          <w:highlight w:val="none"/>
        </w:rPr>
        <w:t>资格审查办法前附表</w:t>
      </w:r>
      <w:bookmarkEnd w:id="707"/>
      <w:bookmarkEnd w:id="708"/>
      <w:bookmarkEnd w:id="709"/>
      <w:bookmarkEnd w:id="710"/>
      <w:bookmarkEnd w:id="711"/>
    </w:p>
    <w:p w14:paraId="07C7DA4B">
      <w:pPr>
        <w:spacing w:beforeLines="50" w:afterLines="50" w:line="440" w:lineRule="exact"/>
        <w:jc w:val="center"/>
        <w:rPr>
          <w:b/>
          <w:bCs/>
          <w:sz w:val="24"/>
          <w:highlight w:val="none"/>
        </w:rPr>
      </w:pPr>
      <w:r>
        <w:rPr>
          <w:rFonts w:hint="eastAsia"/>
          <w:b/>
          <w:bCs/>
          <w:sz w:val="24"/>
          <w:highlight w:val="none"/>
        </w:rPr>
        <w:t>资信证明文件评审</w:t>
      </w:r>
    </w:p>
    <w:tbl>
      <w:tblPr>
        <w:tblStyle w:val="4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3443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noWrap/>
            <w:vAlign w:val="center"/>
          </w:tcPr>
          <w:p w14:paraId="21EA50D5">
            <w:pPr>
              <w:spacing w:line="440" w:lineRule="exact"/>
              <w:jc w:val="center"/>
              <w:rPr>
                <w:rFonts w:ascii="宋体" w:hAnsi="宋体" w:cs="宋体"/>
                <w:b/>
                <w:bCs/>
                <w:szCs w:val="21"/>
                <w:highlight w:val="none"/>
              </w:rPr>
            </w:pPr>
            <w:r>
              <w:rPr>
                <w:rFonts w:hint="eastAsia" w:ascii="宋体" w:hAnsi="宋体" w:cs="宋体"/>
                <w:b/>
                <w:bCs/>
                <w:szCs w:val="21"/>
                <w:highlight w:val="none"/>
              </w:rPr>
              <w:t>序号</w:t>
            </w:r>
          </w:p>
        </w:tc>
        <w:tc>
          <w:tcPr>
            <w:tcW w:w="6183" w:type="dxa"/>
            <w:noWrap/>
            <w:vAlign w:val="center"/>
          </w:tcPr>
          <w:p w14:paraId="737B946D">
            <w:pPr>
              <w:spacing w:line="440" w:lineRule="exact"/>
              <w:jc w:val="center"/>
              <w:rPr>
                <w:rFonts w:ascii="宋体" w:hAnsi="宋体" w:cs="宋体"/>
                <w:b/>
                <w:bCs/>
                <w:szCs w:val="21"/>
                <w:highlight w:val="none"/>
              </w:rPr>
            </w:pPr>
            <w:r>
              <w:rPr>
                <w:rFonts w:hint="eastAsia" w:ascii="宋体" w:hAnsi="宋体" w:cs="宋体"/>
                <w:b/>
                <w:bCs/>
                <w:szCs w:val="21"/>
                <w:highlight w:val="none"/>
              </w:rPr>
              <w:t>审查内容</w:t>
            </w:r>
          </w:p>
        </w:tc>
        <w:tc>
          <w:tcPr>
            <w:tcW w:w="1860" w:type="dxa"/>
            <w:noWrap/>
            <w:vAlign w:val="center"/>
          </w:tcPr>
          <w:p w14:paraId="10B4B499">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5E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noWrap/>
            <w:vAlign w:val="center"/>
          </w:tcPr>
          <w:p w14:paraId="4867F738">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1258" w:type="dxa"/>
            <w:vMerge w:val="restart"/>
            <w:noWrap/>
            <w:vAlign w:val="center"/>
          </w:tcPr>
          <w:p w14:paraId="12F9F292">
            <w:pPr>
              <w:spacing w:line="440" w:lineRule="exact"/>
              <w:jc w:val="center"/>
              <w:rPr>
                <w:rFonts w:ascii="宋体" w:hAnsi="宋体" w:cs="宋体"/>
                <w:b/>
                <w:bCs/>
                <w:szCs w:val="21"/>
                <w:highlight w:val="none"/>
              </w:rPr>
            </w:pPr>
            <w:r>
              <w:rPr>
                <w:rFonts w:hint="eastAsia" w:ascii="宋体" w:hAnsi="宋体" w:cs="宋体"/>
                <w:b/>
                <w:bCs/>
                <w:szCs w:val="21"/>
                <w:highlight w:val="none"/>
              </w:rPr>
              <w:t>审查资料</w:t>
            </w:r>
          </w:p>
        </w:tc>
        <w:tc>
          <w:tcPr>
            <w:tcW w:w="6183" w:type="dxa"/>
            <w:noWrap/>
            <w:vAlign w:val="center"/>
          </w:tcPr>
          <w:p w14:paraId="4223BCB8">
            <w:pPr>
              <w:spacing w:line="440" w:lineRule="exact"/>
              <w:rPr>
                <w:rFonts w:ascii="宋体" w:hAnsi="宋体" w:cs="宋体"/>
                <w:szCs w:val="21"/>
                <w:highlight w:val="none"/>
              </w:rPr>
            </w:pPr>
            <w:r>
              <w:rPr>
                <w:rFonts w:hint="eastAsia" w:ascii="宋体" w:hAnsi="宋体" w:cs="宋体"/>
                <w:szCs w:val="21"/>
                <w:highlight w:val="none"/>
              </w:rPr>
              <w:t>法定代表人身份证明文件和本人有效身份证(或法定代表人授权委托书和委托代理人有效身份证)</w:t>
            </w:r>
          </w:p>
        </w:tc>
        <w:tc>
          <w:tcPr>
            <w:tcW w:w="1860" w:type="dxa"/>
            <w:noWrap/>
            <w:vAlign w:val="center"/>
          </w:tcPr>
          <w:p w14:paraId="08425CC0">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0BB7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0CBF773D">
            <w:pPr>
              <w:spacing w:line="440" w:lineRule="exact"/>
              <w:jc w:val="center"/>
              <w:rPr>
                <w:rFonts w:ascii="宋体" w:hAnsi="宋体" w:cs="宋体"/>
                <w:szCs w:val="21"/>
                <w:highlight w:val="none"/>
              </w:rPr>
            </w:pPr>
          </w:p>
        </w:tc>
        <w:tc>
          <w:tcPr>
            <w:tcW w:w="1258" w:type="dxa"/>
            <w:vMerge w:val="continue"/>
            <w:noWrap/>
            <w:vAlign w:val="center"/>
          </w:tcPr>
          <w:p w14:paraId="5DD98737">
            <w:pPr>
              <w:spacing w:line="440" w:lineRule="exact"/>
              <w:jc w:val="center"/>
              <w:rPr>
                <w:rFonts w:ascii="宋体" w:hAnsi="宋体" w:cs="宋体"/>
                <w:b/>
                <w:bCs/>
                <w:szCs w:val="21"/>
                <w:highlight w:val="none"/>
              </w:rPr>
            </w:pPr>
          </w:p>
        </w:tc>
        <w:tc>
          <w:tcPr>
            <w:tcW w:w="6183" w:type="dxa"/>
            <w:noWrap/>
            <w:vAlign w:val="center"/>
          </w:tcPr>
          <w:p w14:paraId="356F4FA9">
            <w:pPr>
              <w:spacing w:line="440" w:lineRule="exact"/>
              <w:rPr>
                <w:rFonts w:ascii="宋体" w:hAnsi="宋体" w:cs="宋体"/>
                <w:szCs w:val="21"/>
                <w:highlight w:val="none"/>
              </w:rPr>
            </w:pPr>
            <w:r>
              <w:rPr>
                <w:rFonts w:hint="eastAsia" w:ascii="宋体" w:hAnsi="宋体" w:cs="宋体"/>
                <w:szCs w:val="21"/>
                <w:highlight w:val="none"/>
              </w:rPr>
              <w:t>诚信投标承诺书</w:t>
            </w:r>
          </w:p>
        </w:tc>
        <w:tc>
          <w:tcPr>
            <w:tcW w:w="1860" w:type="dxa"/>
            <w:vMerge w:val="restart"/>
            <w:noWrap/>
            <w:vAlign w:val="center"/>
          </w:tcPr>
          <w:p w14:paraId="1D178232">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6FB2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7D8563C4">
            <w:pPr>
              <w:spacing w:line="440" w:lineRule="exact"/>
              <w:jc w:val="center"/>
              <w:rPr>
                <w:rFonts w:ascii="宋体" w:hAnsi="宋体" w:cs="宋体"/>
                <w:szCs w:val="21"/>
                <w:highlight w:val="none"/>
              </w:rPr>
            </w:pPr>
          </w:p>
        </w:tc>
        <w:tc>
          <w:tcPr>
            <w:tcW w:w="1258" w:type="dxa"/>
            <w:vMerge w:val="continue"/>
            <w:noWrap/>
            <w:vAlign w:val="center"/>
          </w:tcPr>
          <w:p w14:paraId="04C1B076">
            <w:pPr>
              <w:spacing w:line="440" w:lineRule="exact"/>
              <w:jc w:val="center"/>
              <w:rPr>
                <w:rFonts w:ascii="宋体" w:hAnsi="宋体" w:cs="宋体"/>
                <w:b/>
                <w:bCs/>
                <w:szCs w:val="21"/>
                <w:highlight w:val="none"/>
              </w:rPr>
            </w:pPr>
          </w:p>
        </w:tc>
        <w:tc>
          <w:tcPr>
            <w:tcW w:w="6183" w:type="dxa"/>
            <w:noWrap/>
            <w:vAlign w:val="center"/>
          </w:tcPr>
          <w:p w14:paraId="7DE2EBA3">
            <w:pPr>
              <w:spacing w:line="440" w:lineRule="exact"/>
              <w:rPr>
                <w:rFonts w:ascii="宋体" w:hAnsi="宋体" w:cs="宋体"/>
                <w:szCs w:val="21"/>
                <w:highlight w:val="none"/>
              </w:rPr>
            </w:pPr>
            <w:r>
              <w:rPr>
                <w:rFonts w:hint="eastAsia" w:ascii="宋体" w:hAnsi="宋体" w:cs="宋体"/>
                <w:szCs w:val="21"/>
                <w:highlight w:val="none"/>
              </w:rPr>
              <w:t>企业法人营业执照</w:t>
            </w:r>
          </w:p>
        </w:tc>
        <w:tc>
          <w:tcPr>
            <w:tcW w:w="1860" w:type="dxa"/>
            <w:vMerge w:val="continue"/>
            <w:noWrap/>
            <w:vAlign w:val="center"/>
          </w:tcPr>
          <w:p w14:paraId="779E57B8">
            <w:pPr>
              <w:spacing w:line="440" w:lineRule="exact"/>
              <w:rPr>
                <w:rFonts w:ascii="宋体" w:hAnsi="宋体" w:cs="宋体"/>
                <w:b/>
                <w:szCs w:val="21"/>
                <w:highlight w:val="none"/>
              </w:rPr>
            </w:pPr>
          </w:p>
        </w:tc>
      </w:tr>
      <w:tr w14:paraId="25FC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ign w:val="center"/>
          </w:tcPr>
          <w:p w14:paraId="2D4982A9">
            <w:pPr>
              <w:spacing w:line="440" w:lineRule="exact"/>
              <w:jc w:val="center"/>
              <w:rPr>
                <w:rFonts w:ascii="宋体" w:hAnsi="宋体" w:cs="宋体"/>
                <w:szCs w:val="21"/>
                <w:highlight w:val="none"/>
              </w:rPr>
            </w:pPr>
          </w:p>
        </w:tc>
        <w:tc>
          <w:tcPr>
            <w:tcW w:w="1258" w:type="dxa"/>
            <w:vMerge w:val="continue"/>
            <w:noWrap/>
            <w:vAlign w:val="center"/>
          </w:tcPr>
          <w:p w14:paraId="0B3A3CE4">
            <w:pPr>
              <w:spacing w:line="440" w:lineRule="exact"/>
              <w:jc w:val="center"/>
              <w:rPr>
                <w:rFonts w:ascii="宋体" w:hAnsi="宋体" w:cs="宋体"/>
                <w:b/>
                <w:bCs/>
                <w:szCs w:val="21"/>
                <w:highlight w:val="none"/>
              </w:rPr>
            </w:pPr>
          </w:p>
        </w:tc>
        <w:tc>
          <w:tcPr>
            <w:tcW w:w="6183" w:type="dxa"/>
            <w:noWrap/>
            <w:vAlign w:val="center"/>
          </w:tcPr>
          <w:p w14:paraId="5DF3ACB3">
            <w:pPr>
              <w:spacing w:line="440" w:lineRule="exact"/>
              <w:rPr>
                <w:rFonts w:ascii="宋体" w:hAnsi="宋体" w:cs="宋体"/>
                <w:szCs w:val="21"/>
                <w:highlight w:val="none"/>
              </w:rPr>
            </w:pPr>
            <w:r>
              <w:rPr>
                <w:rFonts w:hint="eastAsia" w:ascii="宋体" w:hAnsi="宋体" w:eastAsia="宋体" w:cs="Times New Roman"/>
                <w:color w:val="000000"/>
                <w:szCs w:val="21"/>
                <w:highlight w:val="none"/>
                <w:lang w:val="en-US" w:eastAsia="zh-CN"/>
              </w:rPr>
              <w:t>有效的计量认证证书（CMA）</w:t>
            </w:r>
          </w:p>
        </w:tc>
        <w:tc>
          <w:tcPr>
            <w:tcW w:w="1860" w:type="dxa"/>
            <w:vMerge w:val="continue"/>
            <w:noWrap/>
            <w:vAlign w:val="center"/>
          </w:tcPr>
          <w:p w14:paraId="2E943AB5">
            <w:pPr>
              <w:spacing w:line="440" w:lineRule="exact"/>
              <w:rPr>
                <w:rFonts w:ascii="宋体" w:hAnsi="宋体" w:cs="宋体"/>
                <w:szCs w:val="21"/>
                <w:highlight w:val="none"/>
              </w:rPr>
            </w:pPr>
          </w:p>
        </w:tc>
      </w:tr>
      <w:tr w14:paraId="420B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ign w:val="center"/>
          </w:tcPr>
          <w:p w14:paraId="58D69691">
            <w:pPr>
              <w:spacing w:line="440" w:lineRule="exact"/>
              <w:jc w:val="center"/>
              <w:rPr>
                <w:rFonts w:ascii="宋体" w:hAnsi="宋体" w:cs="宋体"/>
                <w:szCs w:val="21"/>
                <w:highlight w:val="none"/>
              </w:rPr>
            </w:pPr>
          </w:p>
        </w:tc>
        <w:tc>
          <w:tcPr>
            <w:tcW w:w="1258" w:type="dxa"/>
            <w:vMerge w:val="continue"/>
            <w:noWrap/>
            <w:vAlign w:val="center"/>
          </w:tcPr>
          <w:p w14:paraId="76A00B69">
            <w:pPr>
              <w:spacing w:line="440" w:lineRule="exact"/>
              <w:jc w:val="center"/>
              <w:rPr>
                <w:rFonts w:ascii="宋体" w:hAnsi="宋体" w:cs="宋体"/>
                <w:b/>
                <w:bCs/>
                <w:szCs w:val="21"/>
                <w:highlight w:val="none"/>
              </w:rPr>
            </w:pPr>
          </w:p>
        </w:tc>
        <w:tc>
          <w:tcPr>
            <w:tcW w:w="6183" w:type="dxa"/>
            <w:noWrap/>
            <w:vAlign w:val="center"/>
          </w:tcPr>
          <w:p w14:paraId="7D75CEBB">
            <w:pPr>
              <w:spacing w:line="440" w:lineRule="exact"/>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服务承诺书</w:t>
            </w:r>
          </w:p>
        </w:tc>
        <w:tc>
          <w:tcPr>
            <w:tcW w:w="1860" w:type="dxa"/>
            <w:vMerge w:val="continue"/>
            <w:noWrap/>
            <w:vAlign w:val="center"/>
          </w:tcPr>
          <w:p w14:paraId="421E9DCB">
            <w:pPr>
              <w:spacing w:line="440" w:lineRule="exact"/>
              <w:rPr>
                <w:rFonts w:ascii="宋体" w:hAnsi="宋体" w:cs="宋体"/>
                <w:szCs w:val="21"/>
                <w:highlight w:val="none"/>
              </w:rPr>
            </w:pPr>
          </w:p>
        </w:tc>
      </w:tr>
    </w:tbl>
    <w:p w14:paraId="44418C94">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重要提示：</w:t>
      </w:r>
    </w:p>
    <w:p w14:paraId="3BA6D769">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w:t>
      </w:r>
      <w:r>
        <w:rPr>
          <w:rFonts w:hint="eastAsia" w:ascii="宋体" w:hAnsi="宋体" w:cs="宋体"/>
          <w:b/>
          <w:bCs/>
          <w:szCs w:val="21"/>
          <w:highlight w:val="none"/>
          <w:lang w:val="en-US" w:eastAsia="zh-CN"/>
        </w:rPr>
        <w:t>1</w:t>
      </w:r>
      <w:r>
        <w:rPr>
          <w:rFonts w:hint="eastAsia" w:ascii="宋体" w:hAnsi="宋体" w:cs="宋体"/>
          <w:b/>
          <w:bCs/>
          <w:szCs w:val="21"/>
          <w:highlight w:val="none"/>
        </w:rPr>
        <w:t>）评标专家在检验电子投标文件过程中，如果由于投标人自身原因导致评标专家无法查看并检验电子投标文件中相关资料的，视为无效标处理。即使投标人将原件携带至现场的，同样按无效标处理。</w:t>
      </w:r>
    </w:p>
    <w:p w14:paraId="4A8A3FCB">
      <w:pPr>
        <w:pStyle w:val="3"/>
        <w:spacing w:beforeLines="50" w:afterLines="50"/>
        <w:ind w:firstLine="422" w:firstLineChars="200"/>
        <w:rPr>
          <w:rFonts w:ascii="宋体" w:hAnsi="宋体" w:eastAsia="宋体" w:cs="宋体"/>
          <w:highlight w:val="none"/>
        </w:rPr>
      </w:pPr>
      <w:bookmarkStart w:id="712" w:name="_Toc35424941"/>
      <w:bookmarkStart w:id="713" w:name="_Toc27127"/>
      <w:bookmarkStart w:id="714" w:name="_Toc78803376"/>
      <w:bookmarkStart w:id="715" w:name="_Toc15058904"/>
      <w:bookmarkStart w:id="716" w:name="_Toc506107319"/>
      <w:bookmarkStart w:id="717" w:name="_Toc324404866"/>
      <w:bookmarkStart w:id="718" w:name="_Toc35425107"/>
      <w:r>
        <w:rPr>
          <w:rFonts w:hint="eastAsia" w:ascii="宋体" w:hAnsi="宋体" w:eastAsia="宋体" w:cs="宋体"/>
          <w:highlight w:val="none"/>
        </w:rPr>
        <w:t>1.审查资料</w:t>
      </w:r>
      <w:bookmarkEnd w:id="712"/>
      <w:bookmarkEnd w:id="713"/>
      <w:bookmarkEnd w:id="714"/>
      <w:bookmarkEnd w:id="715"/>
      <w:bookmarkEnd w:id="716"/>
      <w:bookmarkEnd w:id="717"/>
      <w:bookmarkEnd w:id="718"/>
    </w:p>
    <w:p w14:paraId="393FDB9F">
      <w:pPr>
        <w:spacing w:line="440" w:lineRule="exact"/>
        <w:ind w:firstLine="420" w:firstLineChars="200"/>
        <w:jc w:val="left"/>
        <w:rPr>
          <w:rFonts w:hint="eastAsia" w:ascii="宋体" w:hAnsi="宋体" w:cs="宋体"/>
          <w:szCs w:val="21"/>
          <w:highlight w:val="none"/>
        </w:rPr>
      </w:pPr>
      <w:bookmarkStart w:id="719" w:name="_Toc15058905"/>
      <w:bookmarkStart w:id="720" w:name="_Toc506107320"/>
      <w:bookmarkStart w:id="721" w:name="_Toc35425108"/>
      <w:bookmarkStart w:id="722" w:name="_Toc35424942"/>
      <w:bookmarkStart w:id="723" w:name="_Toc324404867"/>
      <w:bookmarkStart w:id="724" w:name="_Toc78803377"/>
      <w:bookmarkStart w:id="725" w:name="_Toc12549"/>
      <w:bookmarkStart w:id="726" w:name="_Toc15058909"/>
      <w:r>
        <w:rPr>
          <w:rFonts w:hint="eastAsia" w:ascii="宋体" w:hAnsi="宋体" w:cs="宋体"/>
          <w:szCs w:val="21"/>
          <w:highlight w:val="none"/>
        </w:rPr>
        <w:t>（1）法定代表人身份证明文件和本人有效身份证(或法定代表人授权委托书和委托代理人有效身份证)；</w:t>
      </w:r>
    </w:p>
    <w:p w14:paraId="5E343F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3B7B0F5F">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0592746A">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w:t>
      </w:r>
      <w:r>
        <w:rPr>
          <w:rFonts w:hint="eastAsia" w:ascii="宋体" w:hAnsi="宋体" w:eastAsia="宋体" w:cs="Times New Roman"/>
          <w:color w:val="000000"/>
          <w:szCs w:val="21"/>
          <w:highlight w:val="none"/>
          <w:lang w:val="en-US" w:eastAsia="zh-CN"/>
        </w:rPr>
        <w:t>有效的计量认证证书（CMA）</w:t>
      </w:r>
      <w:r>
        <w:rPr>
          <w:rFonts w:hint="eastAsia" w:ascii="宋体" w:hAnsi="宋体" w:cs="宋体"/>
          <w:szCs w:val="21"/>
          <w:highlight w:val="none"/>
        </w:rPr>
        <w:t>；</w:t>
      </w:r>
    </w:p>
    <w:p w14:paraId="06464384">
      <w:pPr>
        <w:spacing w:line="440" w:lineRule="exact"/>
        <w:ind w:firstLine="420" w:firstLineChars="200"/>
        <w:jc w:val="left"/>
        <w:rPr>
          <w:rFonts w:hint="eastAsia" w:ascii="宋体" w:hAnsi="宋体" w:eastAsia="宋体" w:cs="宋体"/>
          <w:highlight w:val="none"/>
          <w:lang w:val="en-US" w:eastAsia="zh-CN"/>
        </w:rPr>
      </w:pPr>
      <w:r>
        <w:rPr>
          <w:rFonts w:hint="eastAsia" w:ascii="宋体" w:hAnsi="宋体" w:cs="宋体"/>
          <w:szCs w:val="21"/>
          <w:highlight w:val="none"/>
        </w:rPr>
        <w:t>（5）</w:t>
      </w:r>
      <w:r>
        <w:rPr>
          <w:rFonts w:hint="eastAsia" w:ascii="宋体" w:hAnsi="宋体" w:eastAsia="宋体" w:cs="Times New Roman"/>
          <w:color w:val="000000"/>
          <w:szCs w:val="21"/>
          <w:highlight w:val="none"/>
          <w:lang w:val="en-US" w:eastAsia="zh-CN"/>
        </w:rPr>
        <w:t>服务承诺书</w:t>
      </w:r>
      <w:r>
        <w:rPr>
          <w:rFonts w:hint="eastAsia" w:ascii="宋体" w:hAnsi="宋体" w:cs="宋体"/>
          <w:highlight w:val="none"/>
          <w:lang w:eastAsia="zh-CN"/>
        </w:rPr>
        <w:t>。</w:t>
      </w:r>
    </w:p>
    <w:bookmarkEnd w:id="719"/>
    <w:p w14:paraId="5990719C">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2.审查办法</w:t>
      </w:r>
      <w:bookmarkEnd w:id="720"/>
      <w:bookmarkEnd w:id="721"/>
      <w:bookmarkEnd w:id="722"/>
      <w:bookmarkEnd w:id="723"/>
      <w:bookmarkEnd w:id="724"/>
      <w:bookmarkEnd w:id="725"/>
      <w:bookmarkEnd w:id="726"/>
    </w:p>
    <w:p w14:paraId="0B01855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由资格审查委员会（评标委员会）按资格审查办法前附表中资格审查必要合格条件评审表要求对投标人审查资料进行核验。</w:t>
      </w:r>
    </w:p>
    <w:p w14:paraId="447D2762">
      <w:pPr>
        <w:pStyle w:val="3"/>
        <w:spacing w:beforeLines="50" w:afterLines="50"/>
        <w:ind w:firstLine="422" w:firstLineChars="200"/>
        <w:rPr>
          <w:rFonts w:ascii="宋体" w:hAnsi="宋体" w:eastAsia="宋体" w:cs="宋体"/>
          <w:highlight w:val="none"/>
        </w:rPr>
      </w:pPr>
      <w:bookmarkStart w:id="727" w:name="_Toc35424943"/>
      <w:bookmarkStart w:id="728" w:name="_Toc78803378"/>
      <w:bookmarkStart w:id="729" w:name="_Toc506107321"/>
      <w:bookmarkStart w:id="730" w:name="_Toc15626"/>
      <w:bookmarkStart w:id="731" w:name="_Toc35425109"/>
      <w:bookmarkStart w:id="732" w:name="_Toc15058910"/>
      <w:bookmarkStart w:id="733" w:name="_Toc324404868"/>
      <w:r>
        <w:rPr>
          <w:rFonts w:hint="eastAsia" w:ascii="宋体" w:hAnsi="宋体" w:eastAsia="宋体" w:cs="宋体"/>
          <w:highlight w:val="none"/>
        </w:rPr>
        <w:t>3.资格审查委员会和审查标准</w:t>
      </w:r>
      <w:bookmarkEnd w:id="727"/>
      <w:bookmarkEnd w:id="728"/>
      <w:bookmarkEnd w:id="729"/>
      <w:bookmarkEnd w:id="730"/>
      <w:bookmarkEnd w:id="731"/>
      <w:bookmarkEnd w:id="732"/>
      <w:bookmarkEnd w:id="733"/>
    </w:p>
    <w:p w14:paraId="48F20776">
      <w:pPr>
        <w:spacing w:line="440" w:lineRule="exact"/>
        <w:ind w:firstLine="420" w:firstLineChars="200"/>
        <w:jc w:val="left"/>
        <w:rPr>
          <w:rFonts w:hint="eastAsia" w:ascii="宋体" w:hAnsi="宋体" w:eastAsia="宋体" w:cs="宋体"/>
          <w:szCs w:val="21"/>
          <w:highlight w:val="none"/>
        </w:rPr>
      </w:pPr>
      <w:bookmarkStart w:id="734" w:name="_Toc15058911"/>
      <w:bookmarkStart w:id="735" w:name="_Toc78803379"/>
      <w:bookmarkStart w:id="736" w:name="_Toc35424944"/>
      <w:bookmarkStart w:id="737" w:name="_Toc506107322"/>
      <w:bookmarkStart w:id="738" w:name="_Toc35425110"/>
      <w:bookmarkStart w:id="739" w:name="_Toc324404869"/>
      <w:bookmarkStart w:id="740" w:name="_Toc10330"/>
      <w:r>
        <w:rPr>
          <w:rFonts w:hint="eastAsia" w:ascii="宋体" w:hAnsi="宋体" w:eastAsia="宋体" w:cs="宋体"/>
          <w:szCs w:val="21"/>
          <w:highlight w:val="none"/>
        </w:rPr>
        <w:t>3.1资格审查由招标人依法组建的资格审查委员会（或评标委员会）负责。审查标准见资格审查办法前附表。</w:t>
      </w:r>
    </w:p>
    <w:p w14:paraId="75FCAEF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3.2由资格审查委员会（评标委员会）按资格审查办法前附表要求对投标人的审查资料进行核验。投标申请人有下列情形之一的，其资格审查为不合格： </w:t>
      </w:r>
    </w:p>
    <w:p w14:paraId="465F4E8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（1）未上传电子标书或电子标书经审查不合格；</w:t>
      </w:r>
    </w:p>
    <w:p w14:paraId="526FEED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cs="宋体"/>
          <w:szCs w:val="21"/>
          <w:highlight w:val="none"/>
          <w:lang w:val="en-US" w:eastAsia="zh-CN"/>
        </w:rPr>
        <w:t>2</w:t>
      </w:r>
      <w:r>
        <w:rPr>
          <w:rFonts w:hint="eastAsia" w:ascii="宋体" w:hAnsi="宋体" w:eastAsia="宋体" w:cs="宋体"/>
          <w:szCs w:val="21"/>
          <w:highlight w:val="none"/>
        </w:rPr>
        <w:t>）法律、法规规定的其他情形。</w:t>
      </w:r>
    </w:p>
    <w:p w14:paraId="439F3B10">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4.审查结果</w:t>
      </w:r>
      <w:bookmarkEnd w:id="734"/>
      <w:bookmarkEnd w:id="735"/>
      <w:bookmarkEnd w:id="736"/>
      <w:bookmarkEnd w:id="737"/>
      <w:bookmarkEnd w:id="738"/>
      <w:bookmarkEnd w:id="739"/>
      <w:bookmarkEnd w:id="740"/>
    </w:p>
    <w:p w14:paraId="58D45548">
      <w:pPr>
        <w:spacing w:line="440" w:lineRule="exact"/>
        <w:ind w:firstLine="420" w:firstLineChars="200"/>
        <w:jc w:val="left"/>
        <w:rPr>
          <w:rFonts w:ascii="宋体" w:hAnsi="宋体" w:cs="宋体"/>
          <w:szCs w:val="21"/>
          <w:highlight w:val="none"/>
        </w:rPr>
      </w:pPr>
      <w:r>
        <w:rPr>
          <w:rFonts w:hint="eastAsia" w:ascii="宋体" w:hAnsi="宋体" w:cs="宋体"/>
          <w:highlight w:val="none"/>
        </w:rPr>
        <w:t>只有通过资格审查的投标人才能进入下一步的评标程序。</w:t>
      </w:r>
      <w:bookmarkStart w:id="741" w:name="_Toc506107323"/>
    </w:p>
    <w:p w14:paraId="500CB5F4">
      <w:pPr>
        <w:pStyle w:val="2"/>
        <w:spacing w:beforeLines="50" w:afterLines="50"/>
        <w:rPr>
          <w:highlight w:val="none"/>
        </w:rPr>
      </w:pPr>
      <w:bookmarkStart w:id="742" w:name="_Toc35424945"/>
      <w:bookmarkStart w:id="743" w:name="_Toc35425111"/>
      <w:bookmarkStart w:id="744" w:name="_Toc15058912"/>
      <w:r>
        <w:rPr>
          <w:rFonts w:hint="eastAsia"/>
          <w:highlight w:val="none"/>
        </w:rPr>
        <w:br w:type="page"/>
      </w:r>
      <w:bookmarkStart w:id="745" w:name="_Toc78803380"/>
      <w:r>
        <w:rPr>
          <w:rFonts w:hint="eastAsia" w:ascii="Arial" w:hAnsi="Arial"/>
          <w:kern w:val="0"/>
          <w:sz w:val="32"/>
          <w:szCs w:val="32"/>
          <w:highlight w:val="none"/>
        </w:rPr>
        <w:t>第三章  评标办法</w:t>
      </w:r>
      <w:bookmarkEnd w:id="607"/>
      <w:bookmarkEnd w:id="741"/>
      <w:bookmarkEnd w:id="742"/>
      <w:bookmarkEnd w:id="743"/>
      <w:bookmarkEnd w:id="744"/>
      <w:bookmarkEnd w:id="745"/>
    </w:p>
    <w:p w14:paraId="3303ED71">
      <w:pPr>
        <w:spacing w:beforeLines="50" w:afterLines="50" w:line="440" w:lineRule="exact"/>
        <w:jc w:val="center"/>
        <w:rPr>
          <w:rFonts w:ascii="宋体" w:hAnsi="宋体" w:cs="宋体"/>
          <w:b/>
          <w:bCs/>
          <w:sz w:val="28"/>
          <w:szCs w:val="28"/>
          <w:highlight w:val="none"/>
        </w:rPr>
      </w:pPr>
      <w:bookmarkStart w:id="746" w:name="_Toc35425112"/>
      <w:bookmarkStart w:id="747" w:name="_Toc35424946"/>
      <w:r>
        <w:rPr>
          <w:rFonts w:hint="eastAsia" w:ascii="宋体" w:hAnsi="宋体" w:cs="宋体"/>
          <w:b/>
          <w:bCs/>
          <w:sz w:val="28"/>
          <w:szCs w:val="28"/>
          <w:highlight w:val="none"/>
        </w:rPr>
        <w:t>评标办法前附表</w:t>
      </w:r>
      <w:bookmarkEnd w:id="746"/>
      <w:bookmarkEnd w:id="747"/>
    </w:p>
    <w:p w14:paraId="1395A076">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lang w:val="en-US" w:eastAsia="zh-CN"/>
        </w:rPr>
      </w:pPr>
      <w:r>
        <w:rPr>
          <w:rFonts w:hint="eastAsia" w:ascii="Times New Roman" w:hAnsi="Times New Roman" w:eastAsia="宋体" w:cs="Times New Roman"/>
          <w:b/>
          <w:color w:val="auto"/>
          <w:sz w:val="28"/>
          <w:szCs w:val="21"/>
          <w:lang w:val="en-US" w:eastAsia="zh-CN"/>
        </w:rPr>
        <w:t>（一）资信标评分细则（40分）</w:t>
      </w:r>
    </w:p>
    <w:tbl>
      <w:tblPr>
        <w:tblStyle w:val="48"/>
        <w:tblW w:w="10208" w:type="dxa"/>
        <w:tblInd w:w="-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8"/>
        <w:gridCol w:w="7990"/>
      </w:tblGrid>
      <w:tr w14:paraId="4DF3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14D139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2" w:firstLineChars="200"/>
              <w:jc w:val="center"/>
              <w:textAlignment w:val="auto"/>
              <w:rPr>
                <w:rFonts w:hint="eastAsia"/>
                <w:color w:val="auto"/>
                <w:highlight w:val="none"/>
                <w:vertAlign w:val="baseline"/>
                <w:lang w:val="en-US" w:eastAsia="zh-CN"/>
              </w:rPr>
            </w:pPr>
            <w:r>
              <w:rPr>
                <w:rFonts w:hint="eastAsia" w:ascii="宋体" w:hAnsi="宋体" w:eastAsia="宋体" w:cs="宋体"/>
                <w:b/>
                <w:bCs/>
                <w:color w:val="auto"/>
                <w:sz w:val="21"/>
                <w:szCs w:val="21"/>
                <w:highlight w:val="none"/>
              </w:rPr>
              <w:t>评审因素</w:t>
            </w:r>
          </w:p>
        </w:tc>
        <w:tc>
          <w:tcPr>
            <w:tcW w:w="7990" w:type="dxa"/>
            <w:vAlign w:val="center"/>
          </w:tcPr>
          <w:p w14:paraId="2760AD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2" w:firstLineChars="200"/>
              <w:jc w:val="center"/>
              <w:textAlignment w:val="auto"/>
              <w:rPr>
                <w:rFonts w:hint="eastAsia"/>
                <w:color w:val="auto"/>
                <w:highlight w:val="none"/>
                <w:vertAlign w:val="baseline"/>
                <w:lang w:val="en-US" w:eastAsia="zh-CN"/>
              </w:rPr>
            </w:pPr>
            <w:r>
              <w:rPr>
                <w:rFonts w:hint="eastAsia" w:ascii="宋体" w:hAnsi="宋体" w:eastAsia="宋体" w:cs="宋体"/>
                <w:b/>
                <w:bCs/>
                <w:color w:val="auto"/>
                <w:sz w:val="21"/>
                <w:szCs w:val="21"/>
                <w:highlight w:val="none"/>
              </w:rPr>
              <w:t>评审标准</w:t>
            </w:r>
          </w:p>
        </w:tc>
      </w:tr>
      <w:tr w14:paraId="35EB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61372170">
            <w:pPr>
              <w:keepNext w:val="0"/>
              <w:keepLines w:val="0"/>
              <w:suppressLineNumbers w:val="0"/>
              <w:adjustRightInd w:val="0"/>
              <w:spacing w:before="0" w:beforeAutospacing="0" w:after="0" w:afterAutospacing="0" w:line="360" w:lineRule="auto"/>
              <w:ind w:left="0" w:right="0"/>
              <w:jc w:val="center"/>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企业业绩（20分）</w:t>
            </w:r>
          </w:p>
        </w:tc>
        <w:tc>
          <w:tcPr>
            <w:tcW w:w="7990" w:type="dxa"/>
            <w:vAlign w:val="center"/>
          </w:tcPr>
          <w:p w14:paraId="2237DC8D">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自202</w:t>
            </w:r>
            <w:r>
              <w:rPr>
                <w:rFonts w:hint="eastAsia" w:ascii="宋体" w:hAnsi="宋体" w:cs="仿宋_GB2312"/>
                <w:b w:val="0"/>
                <w:bCs w:val="0"/>
                <w:color w:val="auto"/>
                <w:szCs w:val="21"/>
                <w:highlight w:val="none"/>
                <w:lang w:val="en-US" w:eastAsia="zh-CN"/>
              </w:rPr>
              <w:t>1</w:t>
            </w:r>
            <w:r>
              <w:rPr>
                <w:rFonts w:hint="eastAsia" w:ascii="宋体" w:hAnsi="宋体" w:eastAsia="宋体" w:cs="仿宋_GB2312"/>
                <w:b w:val="0"/>
                <w:bCs w:val="0"/>
                <w:color w:val="auto"/>
                <w:szCs w:val="21"/>
                <w:highlight w:val="none"/>
                <w:lang w:val="en-US" w:eastAsia="zh-CN"/>
              </w:rPr>
              <w:t>年1月1日至投标截止时间（以合同签订时间为准），投标人每完成过一个</w:t>
            </w:r>
            <w:r>
              <w:rPr>
                <w:rFonts w:hint="eastAsia" w:ascii="宋体" w:hAnsi="宋体" w:cs="仿宋_GB2312"/>
                <w:b w:val="0"/>
                <w:bCs w:val="0"/>
                <w:color w:val="auto"/>
                <w:szCs w:val="21"/>
                <w:highlight w:val="none"/>
                <w:lang w:val="en-US" w:eastAsia="zh-CN"/>
              </w:rPr>
              <w:t>电力工程第三方检测业绩（且业绩内容同时包含变压器、开关柜及电缆的）</w:t>
            </w:r>
            <w:r>
              <w:rPr>
                <w:rFonts w:hint="eastAsia" w:ascii="宋体" w:hAnsi="宋体" w:eastAsia="宋体" w:cs="仿宋_GB2312"/>
                <w:b w:val="0"/>
                <w:bCs w:val="0"/>
                <w:color w:val="auto"/>
                <w:szCs w:val="21"/>
                <w:highlight w:val="none"/>
                <w:lang w:val="en-US" w:eastAsia="zh-CN"/>
              </w:rPr>
              <w:t>得10分</w:t>
            </w:r>
            <w:r>
              <w:rPr>
                <w:rFonts w:hint="eastAsia" w:ascii="宋体" w:hAnsi="宋体" w:eastAsia="宋体" w:cs="仿宋_GB2312"/>
                <w:b w:val="0"/>
                <w:bCs w:val="0"/>
                <w:color w:val="auto"/>
                <w:szCs w:val="21"/>
                <w:highlight w:val="none"/>
                <w:lang w:val="zh-CN" w:eastAsia="zh-CN"/>
              </w:rPr>
              <w:t>，</w:t>
            </w:r>
            <w:r>
              <w:rPr>
                <w:rFonts w:hint="eastAsia" w:ascii="宋体" w:hAnsi="宋体" w:eastAsia="宋体" w:cs="仿宋_GB2312"/>
                <w:b w:val="0"/>
                <w:bCs w:val="0"/>
                <w:color w:val="auto"/>
                <w:szCs w:val="21"/>
                <w:highlight w:val="none"/>
                <w:lang w:val="en-US" w:eastAsia="zh-CN"/>
              </w:rPr>
              <w:t>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20</w:t>
            </w:r>
            <w:r>
              <w:rPr>
                <w:rFonts w:hint="eastAsia" w:ascii="宋体" w:hAnsi="宋体" w:eastAsia="宋体" w:cs="仿宋_GB2312"/>
                <w:b w:val="0"/>
                <w:bCs w:val="0"/>
                <w:color w:val="auto"/>
                <w:szCs w:val="21"/>
                <w:highlight w:val="none"/>
                <w:lang w:val="zh-CN" w:eastAsia="zh-CN"/>
              </w:rPr>
              <w:t>分。</w:t>
            </w:r>
          </w:p>
          <w:p w14:paraId="1328DCE1">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zh-CN" w:eastAsia="zh-CN"/>
              </w:rPr>
              <w:t>注：</w:t>
            </w:r>
            <w:r>
              <w:rPr>
                <w:rFonts w:hint="eastAsia" w:ascii="宋体" w:hAnsi="宋体" w:eastAsia="宋体" w:cs="仿宋_GB2312"/>
                <w:b w:val="0"/>
                <w:bCs w:val="0"/>
                <w:color w:val="auto"/>
                <w:szCs w:val="21"/>
                <w:highlight w:val="none"/>
                <w:lang w:val="en-US" w:eastAsia="zh-CN"/>
              </w:rPr>
              <w:t>投标文件中提供业绩合同扫描件，若合同中无法体现签订时间、服务内容等关键评审因素的，须同时提供业主(合同甲方)证明材料扫描件。</w:t>
            </w:r>
          </w:p>
        </w:tc>
      </w:tr>
      <w:tr w14:paraId="2F86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218" w:type="dxa"/>
            <w:vAlign w:val="center"/>
          </w:tcPr>
          <w:p w14:paraId="3E94C367">
            <w:pPr>
              <w:keepNext w:val="0"/>
              <w:keepLines w:val="0"/>
              <w:suppressLineNumbers w:val="0"/>
              <w:adjustRightInd w:val="0"/>
              <w:spacing w:before="0" w:beforeAutospacing="0" w:after="0" w:afterAutospacing="0" w:line="360" w:lineRule="auto"/>
              <w:ind w:left="0" w:right="0"/>
              <w:jc w:val="center"/>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企业综合实力（10分）</w:t>
            </w:r>
          </w:p>
        </w:tc>
        <w:tc>
          <w:tcPr>
            <w:tcW w:w="7990" w:type="dxa"/>
            <w:vAlign w:val="center"/>
          </w:tcPr>
          <w:p w14:paraId="5B1757AB">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1、投标人具有有效期内的质量管理体系认证证书、环境管理体系认证证书、职业健康安全管理体系认证证书，每提供1个得2分，其他的不得分，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6</w:t>
            </w:r>
            <w:r>
              <w:rPr>
                <w:rFonts w:hint="eastAsia" w:ascii="宋体" w:hAnsi="宋体" w:eastAsia="宋体" w:cs="仿宋_GB2312"/>
                <w:b w:val="0"/>
                <w:bCs w:val="0"/>
                <w:color w:val="auto"/>
                <w:szCs w:val="21"/>
                <w:highlight w:val="none"/>
                <w:lang w:val="zh-CN" w:eastAsia="zh-CN"/>
              </w:rPr>
              <w:t>分。</w:t>
            </w:r>
          </w:p>
          <w:p w14:paraId="53952EA1">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2、投标人具有CNAS实验室认可资质的，得4分，其他的不得分，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4</w:t>
            </w:r>
            <w:r>
              <w:rPr>
                <w:rFonts w:hint="eastAsia" w:ascii="宋体" w:hAnsi="宋体" w:eastAsia="宋体" w:cs="仿宋_GB2312"/>
                <w:b w:val="0"/>
                <w:bCs w:val="0"/>
                <w:color w:val="auto"/>
                <w:szCs w:val="21"/>
                <w:highlight w:val="none"/>
                <w:lang w:val="zh-CN" w:eastAsia="zh-CN"/>
              </w:rPr>
              <w:t>分。</w:t>
            </w:r>
          </w:p>
          <w:p w14:paraId="205465D9">
            <w:pPr>
              <w:keepNext w:val="0"/>
              <w:keepLines w:val="0"/>
              <w:suppressLineNumbers w:val="0"/>
              <w:adjustRightInd w:val="0"/>
              <w:spacing w:before="0" w:beforeAutospacing="0" w:after="0" w:afterAutospacing="0" w:line="360" w:lineRule="auto"/>
              <w:ind w:left="0" w:right="0"/>
              <w:rPr>
                <w:rFonts w:hint="default"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注：投标文件中提供对应证书或证明材料扫描件。</w:t>
            </w:r>
          </w:p>
        </w:tc>
      </w:tr>
      <w:tr w14:paraId="5E3B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218" w:type="dxa"/>
            <w:vAlign w:val="center"/>
          </w:tcPr>
          <w:p w14:paraId="3686FB7F">
            <w:pPr>
              <w:keepNext w:val="0"/>
              <w:keepLines w:val="0"/>
              <w:suppressLineNumbers w:val="0"/>
              <w:adjustRightInd w:val="0"/>
              <w:spacing w:before="0" w:beforeAutospacing="0" w:after="0" w:afterAutospacing="0" w:line="360" w:lineRule="auto"/>
              <w:ind w:left="0" w:right="0"/>
              <w:jc w:val="center"/>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人员配备（10分）</w:t>
            </w:r>
          </w:p>
        </w:tc>
        <w:tc>
          <w:tcPr>
            <w:tcW w:w="7990" w:type="dxa"/>
            <w:vAlign w:val="center"/>
          </w:tcPr>
          <w:p w14:paraId="59CD9CE0">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1、拟为本项目配备的项目负责人（仅限1人）：</w:t>
            </w:r>
          </w:p>
          <w:p w14:paraId="11665706">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1.1具有工程类高级工程师及以上职称的得4分，其他的不得分，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4</w:t>
            </w:r>
            <w:r>
              <w:rPr>
                <w:rFonts w:hint="eastAsia" w:ascii="宋体" w:hAnsi="宋体" w:eastAsia="宋体" w:cs="仿宋_GB2312"/>
                <w:b w:val="0"/>
                <w:bCs w:val="0"/>
                <w:color w:val="auto"/>
                <w:szCs w:val="21"/>
                <w:highlight w:val="none"/>
                <w:lang w:val="zh-CN" w:eastAsia="zh-CN"/>
              </w:rPr>
              <w:t>分。</w:t>
            </w:r>
          </w:p>
          <w:p w14:paraId="5DBCBE71">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1.2具有检测工程师证书的得2分，其他的不得分，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2</w:t>
            </w:r>
            <w:r>
              <w:rPr>
                <w:rFonts w:hint="eastAsia" w:ascii="宋体" w:hAnsi="宋体" w:eastAsia="宋体" w:cs="仿宋_GB2312"/>
                <w:b w:val="0"/>
                <w:bCs w:val="0"/>
                <w:color w:val="auto"/>
                <w:szCs w:val="21"/>
                <w:highlight w:val="none"/>
                <w:lang w:val="zh-CN" w:eastAsia="zh-CN"/>
              </w:rPr>
              <w:t>分。</w:t>
            </w:r>
          </w:p>
          <w:p w14:paraId="5E2493F2">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2、其他人员（不含项目负责人）：</w:t>
            </w:r>
          </w:p>
          <w:p w14:paraId="0A69050E">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2.1具有检测工程师证书，每提供一个得1分，其他的不得分，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4</w:t>
            </w:r>
            <w:r>
              <w:rPr>
                <w:rFonts w:hint="eastAsia" w:ascii="宋体" w:hAnsi="宋体" w:eastAsia="宋体" w:cs="仿宋_GB2312"/>
                <w:b w:val="0"/>
                <w:bCs w:val="0"/>
                <w:color w:val="auto"/>
                <w:szCs w:val="21"/>
                <w:highlight w:val="none"/>
                <w:lang w:val="zh-CN" w:eastAsia="zh-CN"/>
              </w:rPr>
              <w:t>分。</w:t>
            </w:r>
          </w:p>
          <w:p w14:paraId="2722C2E4">
            <w:pPr>
              <w:keepNext w:val="0"/>
              <w:keepLines w:val="0"/>
              <w:suppressLineNumbers w:val="0"/>
              <w:adjustRightInd w:val="0"/>
              <w:spacing w:before="0" w:beforeAutospacing="0" w:after="0" w:afterAutospacing="0" w:line="360" w:lineRule="auto"/>
              <w:ind w:left="0" w:right="0"/>
              <w:rPr>
                <w:rFonts w:hint="default"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注：投标文件中同时提供人员名单（格式自拟）和上述人员对应证书扫描件。</w:t>
            </w:r>
          </w:p>
        </w:tc>
      </w:tr>
    </w:tbl>
    <w:p w14:paraId="6EF3540D">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lang w:val="en-US" w:eastAsia="zh-CN"/>
        </w:rPr>
      </w:pPr>
      <w:r>
        <w:rPr>
          <w:rFonts w:hint="eastAsia" w:ascii="Times New Roman" w:hAnsi="Times New Roman" w:eastAsia="宋体" w:cs="Times New Roman"/>
          <w:b/>
          <w:color w:val="auto"/>
          <w:sz w:val="28"/>
          <w:szCs w:val="21"/>
          <w:lang w:val="en-US" w:eastAsia="zh-CN"/>
        </w:rPr>
        <w:t>（二）技术标评分细则</w:t>
      </w:r>
      <w:r>
        <w:rPr>
          <w:rFonts w:hint="eastAsia" w:ascii="Times New Roman" w:hAnsi="Times New Roman" w:eastAsia="宋体" w:cs="Times New Roman"/>
          <w:b/>
          <w:color w:val="auto"/>
          <w:sz w:val="28"/>
          <w:szCs w:val="21"/>
          <w:highlight w:val="none"/>
          <w:lang w:val="en-US" w:eastAsia="zh-CN"/>
        </w:rPr>
        <w:t>（</w:t>
      </w:r>
      <w:r>
        <w:rPr>
          <w:rFonts w:hint="eastAsia" w:cs="Times New Roman"/>
          <w:b/>
          <w:color w:val="auto"/>
          <w:sz w:val="28"/>
          <w:szCs w:val="21"/>
          <w:highlight w:val="none"/>
          <w:lang w:val="en-US" w:eastAsia="zh-CN"/>
        </w:rPr>
        <w:t>30</w:t>
      </w:r>
      <w:r>
        <w:rPr>
          <w:rFonts w:hint="eastAsia" w:ascii="Times New Roman" w:hAnsi="Times New Roman" w:eastAsia="宋体" w:cs="Times New Roman"/>
          <w:b/>
          <w:color w:val="auto"/>
          <w:sz w:val="28"/>
          <w:szCs w:val="21"/>
          <w:highlight w:val="none"/>
          <w:lang w:val="en-US" w:eastAsia="zh-CN"/>
        </w:rPr>
        <w:t>分）</w:t>
      </w:r>
    </w:p>
    <w:tbl>
      <w:tblPr>
        <w:tblStyle w:val="47"/>
        <w:tblW w:w="10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5"/>
        <w:gridCol w:w="1136"/>
        <w:gridCol w:w="2610"/>
        <w:gridCol w:w="5614"/>
      </w:tblGrid>
      <w:tr w14:paraId="61B6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29" w:type="dxa"/>
            <w:gridSpan w:val="2"/>
            <w:noWrap w:val="0"/>
            <w:vAlign w:val="center"/>
          </w:tcPr>
          <w:p w14:paraId="4D9BB3F3">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序号</w:t>
            </w:r>
          </w:p>
        </w:tc>
        <w:tc>
          <w:tcPr>
            <w:tcW w:w="3746" w:type="dxa"/>
            <w:gridSpan w:val="2"/>
            <w:noWrap w:val="0"/>
            <w:vAlign w:val="center"/>
          </w:tcPr>
          <w:p w14:paraId="69B010B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5614" w:type="dxa"/>
            <w:noWrap w:val="0"/>
            <w:vAlign w:val="center"/>
          </w:tcPr>
          <w:p w14:paraId="3A2DBE89">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7793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noWrap w:val="0"/>
            <w:vAlign w:val="center"/>
          </w:tcPr>
          <w:p w14:paraId="306FF901">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41" w:type="dxa"/>
            <w:gridSpan w:val="2"/>
            <w:noWrap w:val="0"/>
            <w:vAlign w:val="center"/>
          </w:tcPr>
          <w:p w14:paraId="578A6ED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610" w:type="dxa"/>
            <w:noWrap w:val="0"/>
            <w:vAlign w:val="center"/>
          </w:tcPr>
          <w:p w14:paraId="77B9C21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5614" w:type="dxa"/>
            <w:noWrap w:val="0"/>
            <w:vAlign w:val="center"/>
          </w:tcPr>
          <w:p w14:paraId="35FC80A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color w:val="auto"/>
                <w:highlight w:val="none"/>
              </w:rPr>
            </w:pPr>
            <w:r>
              <w:rPr>
                <w:rFonts w:hint="eastAsia"/>
                <w:color w:val="auto"/>
                <w:highlight w:val="none"/>
              </w:rPr>
              <w:t>符合第</w:t>
            </w:r>
            <w:r>
              <w:rPr>
                <w:rFonts w:hint="eastAsia"/>
                <w:color w:val="auto"/>
                <w:highlight w:val="none"/>
                <w:lang w:val="en-US" w:eastAsia="zh-CN"/>
              </w:rPr>
              <w:t>六</w:t>
            </w:r>
            <w:r>
              <w:rPr>
                <w:rFonts w:hint="eastAsia"/>
                <w:color w:val="auto"/>
                <w:highlight w:val="none"/>
              </w:rPr>
              <w:t>章“投标文件格式”的要求，</w:t>
            </w:r>
          </w:p>
          <w:p w14:paraId="3543260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color w:val="auto"/>
                <w:highlight w:val="none"/>
              </w:rPr>
            </w:pPr>
            <w:r>
              <w:rPr>
                <w:rFonts w:hint="eastAsia"/>
                <w:color w:val="auto"/>
                <w:highlight w:val="none"/>
              </w:rPr>
              <w:t>否则经评委会一致认定后,按照无效投标处理。</w:t>
            </w:r>
          </w:p>
        </w:tc>
      </w:tr>
      <w:tr w14:paraId="2A2D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restart"/>
            <w:noWrap w:val="0"/>
            <w:vAlign w:val="center"/>
          </w:tcPr>
          <w:p w14:paraId="3382EB2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41" w:type="dxa"/>
            <w:gridSpan w:val="2"/>
            <w:vMerge w:val="restart"/>
            <w:noWrap w:val="0"/>
            <w:vAlign w:val="center"/>
          </w:tcPr>
          <w:p w14:paraId="1E5A009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tc>
        <w:tc>
          <w:tcPr>
            <w:tcW w:w="2610" w:type="dxa"/>
            <w:noWrap w:val="0"/>
            <w:vAlign w:val="center"/>
          </w:tcPr>
          <w:p w14:paraId="7F84CE2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投标内容</w:t>
            </w:r>
          </w:p>
        </w:tc>
        <w:tc>
          <w:tcPr>
            <w:tcW w:w="5614" w:type="dxa"/>
            <w:noWrap w:val="0"/>
            <w:vAlign w:val="top"/>
          </w:tcPr>
          <w:p w14:paraId="3A646691">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一</w:t>
            </w:r>
            <w:r>
              <w:rPr>
                <w:rFonts w:hint="eastAsia" w:ascii="宋体" w:hAnsi="宋体" w:eastAsia="宋体" w:cs="宋体"/>
                <w:color w:val="auto"/>
                <w:sz w:val="21"/>
                <w:szCs w:val="21"/>
                <w:highlight w:val="none"/>
              </w:rPr>
              <w:t>章“投标人须知”第2.1项规定</w:t>
            </w:r>
          </w:p>
        </w:tc>
      </w:tr>
      <w:tr w14:paraId="0C50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continue"/>
            <w:noWrap w:val="0"/>
            <w:vAlign w:val="top"/>
          </w:tcPr>
          <w:p w14:paraId="11F0D448">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027CACF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3FE2123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权利义务</w:t>
            </w:r>
          </w:p>
        </w:tc>
        <w:tc>
          <w:tcPr>
            <w:tcW w:w="5614" w:type="dxa"/>
            <w:noWrap w:val="0"/>
            <w:vAlign w:val="top"/>
          </w:tcPr>
          <w:p w14:paraId="25F9395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0F8C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724" w:type="dxa"/>
            <w:vMerge w:val="continue"/>
            <w:noWrap w:val="0"/>
            <w:vAlign w:val="top"/>
          </w:tcPr>
          <w:p w14:paraId="41A25BF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081A1C7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3428EB3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技术标准和要求</w:t>
            </w:r>
          </w:p>
        </w:tc>
        <w:tc>
          <w:tcPr>
            <w:tcW w:w="5614" w:type="dxa"/>
            <w:noWrap w:val="0"/>
            <w:vAlign w:val="top"/>
          </w:tcPr>
          <w:p w14:paraId="5790742B">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1DFE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24" w:type="dxa"/>
            <w:vMerge w:val="restart"/>
            <w:noWrap w:val="0"/>
            <w:vAlign w:val="center"/>
          </w:tcPr>
          <w:p w14:paraId="1355685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141" w:type="dxa"/>
            <w:gridSpan w:val="2"/>
            <w:vMerge w:val="restart"/>
            <w:noWrap w:val="0"/>
            <w:vAlign w:val="center"/>
          </w:tcPr>
          <w:p w14:paraId="2027D2C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技术标评分标准（</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p w14:paraId="0D70614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noWrap w:val="0"/>
            <w:vAlign w:val="center"/>
          </w:tcPr>
          <w:p w14:paraId="3BC18C9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检测实施组织计划（</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0分）</w:t>
            </w:r>
          </w:p>
        </w:tc>
        <w:tc>
          <w:tcPr>
            <w:tcW w:w="5614" w:type="dxa"/>
            <w:shd w:val="clear" w:color="auto" w:fill="auto"/>
            <w:noWrap w:val="0"/>
            <w:vAlign w:val="center"/>
          </w:tcPr>
          <w:p w14:paraId="2E9BCA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根据投标人提供的检测组织计划(包括但不限于检测人员组织、检测计划安排及检测设备仪器投入、检测报告时限、不合格信息处理进行综合评分：</w:t>
            </w:r>
          </w:p>
          <w:p w14:paraId="42EF9C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1、计划全面详细，定位准确，服务内容针对性强的得</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 xml:space="preserve">0分； </w:t>
            </w:r>
          </w:p>
          <w:p w14:paraId="460380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0E98F0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2BF10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6B911F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0分。</w:t>
            </w:r>
          </w:p>
        </w:tc>
      </w:tr>
      <w:tr w14:paraId="7708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24" w:type="dxa"/>
            <w:vMerge w:val="continue"/>
            <w:noWrap w:val="0"/>
            <w:vAlign w:val="center"/>
          </w:tcPr>
          <w:p w14:paraId="07E0A888">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5644BCE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noWrap w:val="0"/>
            <w:vAlign w:val="center"/>
          </w:tcPr>
          <w:p w14:paraId="7D8AD77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检测和试验质量保障方案（</w:t>
            </w:r>
            <w:r>
              <w:rPr>
                <w:rFonts w:hint="eastAsia" w:ascii="宋体" w:hAnsi="宋体" w:eastAsia="宋体" w:cs="宋体"/>
                <w:color w:val="auto"/>
                <w:sz w:val="21"/>
                <w:szCs w:val="21"/>
                <w:highlight w:val="none"/>
                <w:lang w:val="en-US" w:eastAsia="zh-CN"/>
              </w:rPr>
              <w:t>20分）</w:t>
            </w:r>
          </w:p>
        </w:tc>
        <w:tc>
          <w:tcPr>
            <w:tcW w:w="5614" w:type="dxa"/>
            <w:shd w:val="clear" w:color="auto" w:fill="auto"/>
            <w:noWrap w:val="0"/>
            <w:vAlign w:val="center"/>
          </w:tcPr>
          <w:p w14:paraId="6036E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lang w:val="en-US" w:eastAsia="zh-CN"/>
              </w:rPr>
            </w:pPr>
            <w:r>
              <w:rPr>
                <w:rFonts w:hint="eastAsia" w:ascii="宋体" w:hAnsi="宋体" w:eastAsia="宋体" w:cs="宋体"/>
                <w:color w:val="auto"/>
                <w:highlight w:val="none"/>
                <w:lang w:val="en-US" w:eastAsia="zh-CN"/>
              </w:rPr>
              <w:t>根据投标人提供的检测和试验质量保障方案(包括但不限于质量管理、保障措施)进行综合评分：</w:t>
            </w:r>
          </w:p>
          <w:p w14:paraId="7D6F4F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1、方案全面详细，定位准确，服务内容针对 性强的得20分； </w:t>
            </w:r>
          </w:p>
          <w:p w14:paraId="48310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2、方案基本符合实际，具有一定实用性的得15分； </w:t>
            </w:r>
          </w:p>
          <w:p w14:paraId="5EC2C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3、方案初步符合要求的、有待提升完善的得10分； </w:t>
            </w:r>
          </w:p>
          <w:p w14:paraId="7DC880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34DB3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highlight w:val="none"/>
                <w:lang w:val="en-US" w:eastAsia="zh-CN"/>
              </w:rPr>
              <w:t>本项满分20分。</w:t>
            </w:r>
          </w:p>
        </w:tc>
      </w:tr>
    </w:tbl>
    <w:p w14:paraId="669BBA0D">
      <w:pPr>
        <w:pStyle w:val="198"/>
        <w:keepNext w:val="0"/>
        <w:keepLines w:val="0"/>
        <w:pageBreakBefore w:val="0"/>
        <w:widowControl w:val="0"/>
        <w:kinsoku/>
        <w:wordWrap/>
        <w:overflowPunct/>
        <w:topLinePunct w:val="0"/>
        <w:autoSpaceDE/>
        <w:autoSpaceDN/>
        <w:bidi w:val="0"/>
        <w:spacing w:line="440" w:lineRule="exact"/>
        <w:ind w:left="59" w:leftChars="28" w:firstLine="0"/>
        <w:jc w:val="left"/>
        <w:textAlignment w:val="auto"/>
        <w:rPr>
          <w:rFonts w:hint="eastAsia" w:ascii="宋体" w:hAnsi="宋体" w:eastAsia="宋体" w:cs="宋体"/>
          <w:b/>
          <w:bCs/>
          <w:szCs w:val="21"/>
          <w:highlight w:val="none"/>
          <w:lang w:eastAsia="zh-CN"/>
        </w:rPr>
      </w:pPr>
      <w:r>
        <w:rPr>
          <w:rFonts w:hint="eastAsia" w:ascii="宋体" w:hAnsi="宋体" w:cs="宋体"/>
          <w:b/>
          <w:bCs/>
          <w:szCs w:val="21"/>
          <w:highlight w:val="none"/>
        </w:rPr>
        <w:t>备注</w:t>
      </w:r>
      <w:r>
        <w:rPr>
          <w:rFonts w:hint="eastAsia" w:ascii="宋体" w:hAnsi="宋体" w:cs="宋体"/>
          <w:b/>
          <w:bCs/>
          <w:szCs w:val="21"/>
          <w:highlight w:val="none"/>
          <w:lang w:eastAsia="zh-CN"/>
        </w:rPr>
        <w:t>：</w:t>
      </w:r>
      <w:r>
        <w:rPr>
          <w:rFonts w:hint="eastAsia" w:ascii="宋体" w:hAnsi="宋体" w:cs="宋体"/>
          <w:b/>
          <w:bCs/>
          <w:szCs w:val="21"/>
          <w:highlight w:val="none"/>
        </w:rPr>
        <w:t>该项由专家评委评审打分，取所有评委评分的平均值为最终得分，保留两位小数点，第三位四舍五入</w:t>
      </w:r>
      <w:r>
        <w:rPr>
          <w:rFonts w:hint="eastAsia" w:ascii="宋体" w:hAnsi="宋体" w:cs="宋体"/>
          <w:b/>
          <w:bCs/>
          <w:szCs w:val="21"/>
          <w:highlight w:val="none"/>
          <w:lang w:eastAsia="zh-CN"/>
        </w:rPr>
        <w:t>。</w:t>
      </w:r>
    </w:p>
    <w:p w14:paraId="0B4C7729">
      <w:pPr>
        <w:spacing w:beforeLines="80" w:afterLines="80" w:line="440" w:lineRule="exact"/>
        <w:jc w:val="center"/>
        <w:rPr>
          <w:rFonts w:ascii="宋体" w:hAnsi="宋体" w:cs="宋体"/>
          <w:b/>
          <w:bCs/>
          <w:sz w:val="24"/>
          <w:highlight w:val="none"/>
        </w:rPr>
      </w:pPr>
      <w:r>
        <w:rPr>
          <w:rFonts w:hint="eastAsia" w:ascii="宋体" w:hAnsi="宋体" w:cs="宋体"/>
          <w:b/>
          <w:bCs/>
          <w:sz w:val="24"/>
          <w:highlight w:val="none"/>
        </w:rPr>
        <w:t>（</w:t>
      </w:r>
      <w:r>
        <w:rPr>
          <w:rFonts w:hint="eastAsia" w:ascii="宋体" w:hAnsi="宋体" w:cs="宋体"/>
          <w:b/>
          <w:bCs/>
          <w:sz w:val="24"/>
          <w:highlight w:val="none"/>
          <w:lang w:val="en-US" w:eastAsia="zh-CN"/>
        </w:rPr>
        <w:t>三</w:t>
      </w:r>
      <w:r>
        <w:rPr>
          <w:rFonts w:hint="eastAsia" w:ascii="宋体" w:hAnsi="宋体" w:cs="宋体"/>
          <w:b/>
          <w:bCs/>
          <w:sz w:val="24"/>
          <w:highlight w:val="none"/>
        </w:rPr>
        <w:t>）商务标评审</w:t>
      </w:r>
    </w:p>
    <w:tbl>
      <w:tblPr>
        <w:tblStyle w:val="47"/>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915"/>
        <w:gridCol w:w="945"/>
        <w:gridCol w:w="2158"/>
        <w:gridCol w:w="4727"/>
      </w:tblGrid>
      <w:tr w14:paraId="3073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671" w:type="dxa"/>
            <w:gridSpan w:val="3"/>
            <w:noWrap/>
            <w:vAlign w:val="center"/>
          </w:tcPr>
          <w:p w14:paraId="7C34A325">
            <w:pPr>
              <w:spacing w:line="440" w:lineRule="exact"/>
              <w:jc w:val="center"/>
              <w:rPr>
                <w:rFonts w:ascii="宋体" w:hAnsi="宋体" w:cs="宋体"/>
                <w:b/>
                <w:bCs/>
                <w:szCs w:val="21"/>
                <w:highlight w:val="none"/>
              </w:rPr>
            </w:pPr>
            <w:r>
              <w:rPr>
                <w:rFonts w:hint="eastAsia" w:ascii="宋体" w:hAnsi="宋体" w:cs="宋体"/>
                <w:b/>
                <w:bCs/>
                <w:szCs w:val="21"/>
                <w:highlight w:val="none"/>
              </w:rPr>
              <w:t>条款号</w:t>
            </w:r>
          </w:p>
        </w:tc>
        <w:tc>
          <w:tcPr>
            <w:tcW w:w="2158" w:type="dxa"/>
            <w:noWrap/>
            <w:vAlign w:val="center"/>
          </w:tcPr>
          <w:p w14:paraId="1CF92DDF">
            <w:pPr>
              <w:spacing w:line="440" w:lineRule="exact"/>
              <w:jc w:val="center"/>
              <w:rPr>
                <w:rFonts w:ascii="宋体" w:hAnsi="宋体" w:cs="宋体"/>
                <w:b/>
                <w:bCs/>
                <w:szCs w:val="21"/>
                <w:highlight w:val="none"/>
              </w:rPr>
            </w:pPr>
            <w:r>
              <w:rPr>
                <w:rFonts w:hint="eastAsia" w:ascii="宋体" w:hAnsi="宋体" w:cs="宋体"/>
                <w:b/>
                <w:bCs/>
                <w:szCs w:val="21"/>
                <w:highlight w:val="none"/>
              </w:rPr>
              <w:t>评审因素</w:t>
            </w:r>
          </w:p>
        </w:tc>
        <w:tc>
          <w:tcPr>
            <w:tcW w:w="4727" w:type="dxa"/>
            <w:noWrap/>
            <w:vAlign w:val="center"/>
          </w:tcPr>
          <w:p w14:paraId="10027A3D">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3C6C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noWrap/>
            <w:vAlign w:val="center"/>
          </w:tcPr>
          <w:p w14:paraId="1606681B">
            <w:pPr>
              <w:spacing w:line="440" w:lineRule="exact"/>
              <w:jc w:val="center"/>
              <w:rPr>
                <w:rFonts w:ascii="宋体" w:hAnsi="宋体" w:cs="宋体"/>
                <w:szCs w:val="21"/>
                <w:highlight w:val="none"/>
              </w:rPr>
            </w:pPr>
            <w:r>
              <w:rPr>
                <w:rFonts w:hint="eastAsia" w:ascii="宋体" w:hAnsi="宋体" w:cs="宋体"/>
                <w:szCs w:val="21"/>
                <w:highlight w:val="none"/>
              </w:rPr>
              <w:t>4.2.1</w:t>
            </w:r>
          </w:p>
        </w:tc>
        <w:tc>
          <w:tcPr>
            <w:tcW w:w="1860" w:type="dxa"/>
            <w:gridSpan w:val="2"/>
            <w:vMerge w:val="restart"/>
            <w:noWrap/>
            <w:vAlign w:val="center"/>
          </w:tcPr>
          <w:p w14:paraId="2ABF61DD">
            <w:pPr>
              <w:spacing w:line="440" w:lineRule="exact"/>
              <w:jc w:val="center"/>
              <w:rPr>
                <w:rFonts w:ascii="宋体" w:hAnsi="宋体" w:cs="宋体"/>
                <w:szCs w:val="21"/>
                <w:highlight w:val="none"/>
              </w:rPr>
            </w:pPr>
            <w:r>
              <w:rPr>
                <w:rFonts w:hint="eastAsia" w:ascii="宋体" w:hAnsi="宋体" w:cs="宋体"/>
                <w:szCs w:val="21"/>
                <w:highlight w:val="none"/>
              </w:rPr>
              <w:t>形式评审标准</w:t>
            </w:r>
          </w:p>
        </w:tc>
        <w:tc>
          <w:tcPr>
            <w:tcW w:w="2158" w:type="dxa"/>
            <w:noWrap/>
            <w:vAlign w:val="center"/>
          </w:tcPr>
          <w:p w14:paraId="73517A2E">
            <w:pPr>
              <w:spacing w:line="440" w:lineRule="exact"/>
              <w:rPr>
                <w:rFonts w:ascii="宋体" w:hAnsi="宋体" w:cs="宋体"/>
                <w:szCs w:val="21"/>
                <w:highlight w:val="none"/>
              </w:rPr>
            </w:pPr>
            <w:r>
              <w:rPr>
                <w:rFonts w:hint="eastAsia" w:ascii="宋体" w:hAnsi="宋体" w:cs="宋体"/>
                <w:szCs w:val="21"/>
                <w:highlight w:val="none"/>
              </w:rPr>
              <w:t>投标函签字盖章</w:t>
            </w:r>
          </w:p>
        </w:tc>
        <w:tc>
          <w:tcPr>
            <w:tcW w:w="4727" w:type="dxa"/>
            <w:noWrap/>
          </w:tcPr>
          <w:p w14:paraId="2DBE6DD3">
            <w:pPr>
              <w:spacing w:line="440" w:lineRule="exact"/>
              <w:rPr>
                <w:rFonts w:ascii="宋体" w:hAnsi="宋体" w:cs="宋体"/>
                <w:szCs w:val="21"/>
                <w:highlight w:val="none"/>
              </w:rPr>
            </w:pPr>
            <w:r>
              <w:rPr>
                <w:rFonts w:hint="eastAsia" w:ascii="宋体" w:hAnsi="宋体" w:cs="宋体"/>
                <w:szCs w:val="21"/>
                <w:highlight w:val="none"/>
              </w:rPr>
              <w:t>有投标人及其法定代表人签章</w:t>
            </w:r>
          </w:p>
        </w:tc>
      </w:tr>
      <w:tr w14:paraId="5E02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1" w:type="dxa"/>
            <w:vMerge w:val="continue"/>
            <w:noWrap/>
          </w:tcPr>
          <w:p w14:paraId="274A7B26">
            <w:pPr>
              <w:spacing w:line="440" w:lineRule="exact"/>
              <w:rPr>
                <w:rFonts w:ascii="宋体" w:hAnsi="宋体" w:cs="宋体"/>
                <w:szCs w:val="21"/>
                <w:highlight w:val="none"/>
              </w:rPr>
            </w:pPr>
          </w:p>
        </w:tc>
        <w:tc>
          <w:tcPr>
            <w:tcW w:w="1860" w:type="dxa"/>
            <w:gridSpan w:val="2"/>
            <w:vMerge w:val="continue"/>
            <w:noWrap/>
          </w:tcPr>
          <w:p w14:paraId="7570E8C7">
            <w:pPr>
              <w:spacing w:line="440" w:lineRule="exact"/>
              <w:rPr>
                <w:rFonts w:ascii="宋体" w:hAnsi="宋体" w:cs="宋体"/>
                <w:szCs w:val="21"/>
                <w:highlight w:val="none"/>
              </w:rPr>
            </w:pPr>
          </w:p>
        </w:tc>
        <w:tc>
          <w:tcPr>
            <w:tcW w:w="2158" w:type="dxa"/>
            <w:noWrap/>
            <w:vAlign w:val="center"/>
          </w:tcPr>
          <w:p w14:paraId="45179B0C">
            <w:pPr>
              <w:spacing w:line="440" w:lineRule="exact"/>
              <w:rPr>
                <w:rFonts w:ascii="宋体" w:hAnsi="宋体" w:cs="宋体"/>
                <w:szCs w:val="21"/>
                <w:highlight w:val="none"/>
              </w:rPr>
            </w:pPr>
            <w:r>
              <w:rPr>
                <w:rFonts w:hint="eastAsia" w:ascii="宋体" w:hAnsi="宋体" w:cs="宋体"/>
                <w:szCs w:val="21"/>
                <w:highlight w:val="none"/>
              </w:rPr>
              <w:t>投标文件格式</w:t>
            </w:r>
          </w:p>
        </w:tc>
        <w:tc>
          <w:tcPr>
            <w:tcW w:w="4727" w:type="dxa"/>
            <w:noWrap/>
          </w:tcPr>
          <w:p w14:paraId="24166B6D">
            <w:pPr>
              <w:spacing w:line="440" w:lineRule="exact"/>
              <w:jc w:val="left"/>
              <w:rPr>
                <w:rFonts w:ascii="宋体" w:hAnsi="宋体" w:cs="宋体"/>
                <w:szCs w:val="21"/>
                <w:highlight w:val="none"/>
              </w:rPr>
            </w:pPr>
            <w:r>
              <w:rPr>
                <w:rFonts w:hint="eastAsia" w:ascii="宋体" w:hAnsi="宋体" w:cs="宋体"/>
                <w:szCs w:val="21"/>
                <w:highlight w:val="none"/>
              </w:rPr>
              <w:t>符合第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章“投标文件格式”的要求</w:t>
            </w:r>
          </w:p>
        </w:tc>
      </w:tr>
      <w:tr w14:paraId="327F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7C9F9938">
            <w:pPr>
              <w:spacing w:line="440" w:lineRule="exact"/>
              <w:rPr>
                <w:rFonts w:ascii="宋体" w:hAnsi="宋体" w:cs="宋体"/>
                <w:szCs w:val="21"/>
                <w:highlight w:val="none"/>
              </w:rPr>
            </w:pPr>
          </w:p>
        </w:tc>
        <w:tc>
          <w:tcPr>
            <w:tcW w:w="1860" w:type="dxa"/>
            <w:gridSpan w:val="2"/>
            <w:vMerge w:val="continue"/>
            <w:noWrap/>
          </w:tcPr>
          <w:p w14:paraId="083A6289">
            <w:pPr>
              <w:spacing w:line="440" w:lineRule="exact"/>
              <w:rPr>
                <w:rFonts w:ascii="宋体" w:hAnsi="宋体" w:cs="宋体"/>
                <w:szCs w:val="21"/>
                <w:highlight w:val="none"/>
              </w:rPr>
            </w:pPr>
          </w:p>
        </w:tc>
        <w:tc>
          <w:tcPr>
            <w:tcW w:w="2158" w:type="dxa"/>
            <w:noWrap/>
            <w:vAlign w:val="center"/>
          </w:tcPr>
          <w:p w14:paraId="5EC25201">
            <w:pPr>
              <w:spacing w:line="440" w:lineRule="exact"/>
              <w:rPr>
                <w:rFonts w:ascii="宋体" w:hAnsi="宋体" w:cs="宋体"/>
                <w:szCs w:val="21"/>
                <w:highlight w:val="none"/>
              </w:rPr>
            </w:pPr>
            <w:r>
              <w:rPr>
                <w:rFonts w:hint="eastAsia" w:ascii="宋体" w:hAnsi="宋体" w:cs="宋体"/>
                <w:szCs w:val="21"/>
                <w:highlight w:val="none"/>
              </w:rPr>
              <w:t>报价唯一</w:t>
            </w:r>
          </w:p>
        </w:tc>
        <w:tc>
          <w:tcPr>
            <w:tcW w:w="4727" w:type="dxa"/>
            <w:noWrap/>
          </w:tcPr>
          <w:p w14:paraId="1080A4B7">
            <w:pPr>
              <w:spacing w:line="440" w:lineRule="exact"/>
              <w:jc w:val="left"/>
              <w:rPr>
                <w:rFonts w:ascii="宋体" w:hAnsi="宋体" w:cs="宋体"/>
                <w:szCs w:val="21"/>
                <w:highlight w:val="none"/>
              </w:rPr>
            </w:pPr>
            <w:r>
              <w:rPr>
                <w:rFonts w:hint="eastAsia" w:ascii="宋体" w:hAnsi="宋体" w:cs="宋体"/>
                <w:szCs w:val="21"/>
                <w:highlight w:val="none"/>
              </w:rPr>
              <w:t>只能有一个报价</w:t>
            </w:r>
          </w:p>
        </w:tc>
      </w:tr>
      <w:tr w14:paraId="7D30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noWrap/>
            <w:vAlign w:val="center"/>
          </w:tcPr>
          <w:p w14:paraId="27814028">
            <w:pPr>
              <w:spacing w:line="440" w:lineRule="exact"/>
              <w:jc w:val="center"/>
              <w:rPr>
                <w:rFonts w:ascii="宋体" w:hAnsi="宋体" w:cs="宋体"/>
                <w:szCs w:val="21"/>
                <w:highlight w:val="none"/>
              </w:rPr>
            </w:pPr>
            <w:r>
              <w:rPr>
                <w:rFonts w:hint="eastAsia" w:ascii="宋体" w:hAnsi="宋体" w:cs="宋体"/>
                <w:szCs w:val="21"/>
                <w:highlight w:val="none"/>
              </w:rPr>
              <w:t>4.2.2</w:t>
            </w:r>
          </w:p>
        </w:tc>
        <w:tc>
          <w:tcPr>
            <w:tcW w:w="1860" w:type="dxa"/>
            <w:gridSpan w:val="2"/>
            <w:vMerge w:val="restart"/>
            <w:noWrap/>
            <w:vAlign w:val="center"/>
          </w:tcPr>
          <w:p w14:paraId="477FB6B5">
            <w:pPr>
              <w:spacing w:line="440" w:lineRule="exact"/>
              <w:rPr>
                <w:rFonts w:ascii="宋体" w:hAnsi="宋体" w:cs="宋体"/>
                <w:szCs w:val="21"/>
                <w:highlight w:val="none"/>
              </w:rPr>
            </w:pPr>
            <w:r>
              <w:rPr>
                <w:rFonts w:hint="eastAsia" w:ascii="宋体" w:hAnsi="宋体" w:cs="宋体"/>
                <w:szCs w:val="21"/>
                <w:highlight w:val="none"/>
              </w:rPr>
              <w:t>响应性评审标准</w:t>
            </w:r>
          </w:p>
        </w:tc>
        <w:tc>
          <w:tcPr>
            <w:tcW w:w="2158" w:type="dxa"/>
            <w:noWrap/>
            <w:vAlign w:val="center"/>
          </w:tcPr>
          <w:p w14:paraId="341144D6">
            <w:pPr>
              <w:spacing w:line="440" w:lineRule="exact"/>
              <w:rPr>
                <w:rFonts w:ascii="宋体" w:hAnsi="宋体" w:cs="宋体"/>
                <w:szCs w:val="21"/>
                <w:highlight w:val="none"/>
              </w:rPr>
            </w:pPr>
            <w:r>
              <w:rPr>
                <w:rFonts w:hint="eastAsia" w:ascii="宋体" w:hAnsi="宋体" w:cs="宋体"/>
                <w:szCs w:val="21"/>
                <w:highlight w:val="none"/>
              </w:rPr>
              <w:t>服务期限</w:t>
            </w:r>
          </w:p>
        </w:tc>
        <w:tc>
          <w:tcPr>
            <w:tcW w:w="4727" w:type="dxa"/>
            <w:noWrap/>
            <w:vAlign w:val="center"/>
          </w:tcPr>
          <w:p w14:paraId="37215412">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5507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1AFE4EF1">
            <w:pPr>
              <w:spacing w:line="440" w:lineRule="exact"/>
              <w:rPr>
                <w:rFonts w:ascii="宋体" w:hAnsi="宋体" w:cs="宋体"/>
                <w:szCs w:val="21"/>
                <w:highlight w:val="none"/>
              </w:rPr>
            </w:pPr>
          </w:p>
        </w:tc>
        <w:tc>
          <w:tcPr>
            <w:tcW w:w="1860" w:type="dxa"/>
            <w:gridSpan w:val="2"/>
            <w:vMerge w:val="continue"/>
            <w:noWrap/>
          </w:tcPr>
          <w:p w14:paraId="7B4C01AA">
            <w:pPr>
              <w:spacing w:line="440" w:lineRule="exact"/>
              <w:rPr>
                <w:rFonts w:ascii="宋体" w:hAnsi="宋体" w:cs="宋体"/>
                <w:szCs w:val="21"/>
                <w:highlight w:val="none"/>
              </w:rPr>
            </w:pPr>
          </w:p>
        </w:tc>
        <w:tc>
          <w:tcPr>
            <w:tcW w:w="2158" w:type="dxa"/>
            <w:noWrap/>
            <w:vAlign w:val="center"/>
          </w:tcPr>
          <w:p w14:paraId="1A3A3F53">
            <w:pPr>
              <w:spacing w:line="440" w:lineRule="exact"/>
              <w:rPr>
                <w:rFonts w:ascii="宋体" w:hAnsi="宋体" w:cs="宋体"/>
                <w:szCs w:val="21"/>
                <w:highlight w:val="none"/>
              </w:rPr>
            </w:pPr>
            <w:r>
              <w:rPr>
                <w:rFonts w:hint="eastAsia" w:ascii="宋体" w:hAnsi="宋体" w:cs="宋体"/>
                <w:szCs w:val="21"/>
                <w:highlight w:val="none"/>
              </w:rPr>
              <w:t>投标有效期</w:t>
            </w:r>
          </w:p>
        </w:tc>
        <w:tc>
          <w:tcPr>
            <w:tcW w:w="4727" w:type="dxa"/>
            <w:noWrap/>
            <w:vAlign w:val="center"/>
          </w:tcPr>
          <w:p w14:paraId="4CC287BA">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3F30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noWrap/>
          </w:tcPr>
          <w:p w14:paraId="2D8AC126">
            <w:pPr>
              <w:spacing w:line="440" w:lineRule="exact"/>
              <w:rPr>
                <w:rFonts w:ascii="宋体" w:hAnsi="宋体" w:cs="宋体"/>
                <w:szCs w:val="21"/>
                <w:highlight w:val="none"/>
              </w:rPr>
            </w:pPr>
          </w:p>
        </w:tc>
        <w:tc>
          <w:tcPr>
            <w:tcW w:w="1860" w:type="dxa"/>
            <w:gridSpan w:val="2"/>
            <w:vMerge w:val="continue"/>
            <w:noWrap/>
          </w:tcPr>
          <w:p w14:paraId="6058B882">
            <w:pPr>
              <w:spacing w:line="440" w:lineRule="exact"/>
              <w:rPr>
                <w:rFonts w:ascii="宋体" w:hAnsi="宋体" w:cs="宋体"/>
                <w:szCs w:val="21"/>
                <w:highlight w:val="none"/>
              </w:rPr>
            </w:pPr>
          </w:p>
        </w:tc>
        <w:tc>
          <w:tcPr>
            <w:tcW w:w="2158" w:type="dxa"/>
            <w:noWrap/>
            <w:vAlign w:val="center"/>
          </w:tcPr>
          <w:p w14:paraId="59243F41">
            <w:pPr>
              <w:spacing w:line="440" w:lineRule="exact"/>
              <w:rPr>
                <w:rFonts w:ascii="宋体" w:hAnsi="宋体" w:cs="宋体"/>
                <w:szCs w:val="21"/>
                <w:highlight w:val="none"/>
              </w:rPr>
            </w:pPr>
            <w:r>
              <w:rPr>
                <w:rFonts w:hint="eastAsia" w:ascii="宋体" w:hAnsi="宋体" w:cs="宋体"/>
                <w:szCs w:val="21"/>
                <w:highlight w:val="none"/>
              </w:rPr>
              <w:t>工程质量</w:t>
            </w:r>
          </w:p>
        </w:tc>
        <w:tc>
          <w:tcPr>
            <w:tcW w:w="4727" w:type="dxa"/>
            <w:noWrap/>
            <w:vAlign w:val="center"/>
          </w:tcPr>
          <w:p w14:paraId="6B69FB9B">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2F17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noWrap/>
          </w:tcPr>
          <w:p w14:paraId="58017497">
            <w:pPr>
              <w:spacing w:line="440" w:lineRule="exact"/>
              <w:rPr>
                <w:rFonts w:ascii="宋体" w:hAnsi="宋体" w:cs="宋体"/>
                <w:szCs w:val="21"/>
                <w:highlight w:val="none"/>
              </w:rPr>
            </w:pPr>
          </w:p>
        </w:tc>
        <w:tc>
          <w:tcPr>
            <w:tcW w:w="1860" w:type="dxa"/>
            <w:gridSpan w:val="2"/>
            <w:vMerge w:val="continue"/>
            <w:noWrap/>
          </w:tcPr>
          <w:p w14:paraId="03CDB8FB">
            <w:pPr>
              <w:spacing w:line="440" w:lineRule="exact"/>
              <w:rPr>
                <w:rFonts w:ascii="宋体" w:hAnsi="宋体" w:cs="宋体"/>
                <w:szCs w:val="21"/>
                <w:highlight w:val="none"/>
              </w:rPr>
            </w:pPr>
          </w:p>
        </w:tc>
        <w:tc>
          <w:tcPr>
            <w:tcW w:w="2158" w:type="dxa"/>
            <w:noWrap/>
            <w:vAlign w:val="center"/>
          </w:tcPr>
          <w:p w14:paraId="68CD3BA7">
            <w:pPr>
              <w:spacing w:line="440" w:lineRule="exact"/>
              <w:rPr>
                <w:rFonts w:ascii="宋体" w:hAnsi="宋体" w:cs="宋体"/>
                <w:szCs w:val="21"/>
                <w:highlight w:val="none"/>
              </w:rPr>
            </w:pPr>
            <w:r>
              <w:rPr>
                <w:rFonts w:hint="eastAsia" w:ascii="宋体" w:hAnsi="宋体" w:cs="宋体"/>
                <w:szCs w:val="21"/>
                <w:highlight w:val="none"/>
              </w:rPr>
              <w:t>投标文件内容</w:t>
            </w:r>
          </w:p>
        </w:tc>
        <w:tc>
          <w:tcPr>
            <w:tcW w:w="4727" w:type="dxa"/>
            <w:noWrap/>
            <w:vAlign w:val="center"/>
          </w:tcPr>
          <w:p w14:paraId="7A7D463D">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1D93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noWrap/>
          </w:tcPr>
          <w:p w14:paraId="7CC84D4C">
            <w:pPr>
              <w:spacing w:line="440" w:lineRule="exact"/>
              <w:rPr>
                <w:rFonts w:ascii="宋体" w:hAnsi="宋体" w:cs="宋体"/>
                <w:szCs w:val="21"/>
                <w:highlight w:val="none"/>
              </w:rPr>
            </w:pPr>
          </w:p>
        </w:tc>
        <w:tc>
          <w:tcPr>
            <w:tcW w:w="1860" w:type="dxa"/>
            <w:gridSpan w:val="2"/>
            <w:vMerge w:val="continue"/>
            <w:noWrap/>
          </w:tcPr>
          <w:p w14:paraId="6C3BBE5A">
            <w:pPr>
              <w:spacing w:line="440" w:lineRule="exact"/>
              <w:rPr>
                <w:rFonts w:ascii="宋体" w:hAnsi="宋体" w:cs="宋体"/>
                <w:szCs w:val="21"/>
                <w:highlight w:val="none"/>
              </w:rPr>
            </w:pPr>
          </w:p>
        </w:tc>
        <w:tc>
          <w:tcPr>
            <w:tcW w:w="2158" w:type="dxa"/>
            <w:noWrap/>
            <w:vAlign w:val="center"/>
          </w:tcPr>
          <w:p w14:paraId="7B8E7F30">
            <w:pPr>
              <w:spacing w:line="440" w:lineRule="exact"/>
              <w:rPr>
                <w:rFonts w:ascii="宋体" w:hAnsi="宋体" w:cs="宋体"/>
                <w:szCs w:val="21"/>
                <w:highlight w:val="none"/>
              </w:rPr>
            </w:pPr>
            <w:r>
              <w:rPr>
                <w:rFonts w:hint="eastAsia" w:ascii="宋体" w:hAnsi="宋体" w:cs="宋体"/>
                <w:szCs w:val="21"/>
                <w:highlight w:val="none"/>
              </w:rPr>
              <w:t>投标报价</w:t>
            </w:r>
          </w:p>
        </w:tc>
        <w:tc>
          <w:tcPr>
            <w:tcW w:w="4727" w:type="dxa"/>
            <w:noWrap/>
            <w:vAlign w:val="center"/>
          </w:tcPr>
          <w:p w14:paraId="2BF22B2C">
            <w:pPr>
              <w:spacing w:line="440" w:lineRule="exact"/>
              <w:rPr>
                <w:rFonts w:ascii="宋体" w:hAnsi="宋体" w:cs="宋体"/>
                <w:szCs w:val="21"/>
                <w:highlight w:val="none"/>
              </w:rPr>
            </w:pPr>
            <w:r>
              <w:rPr>
                <w:rFonts w:hint="eastAsia" w:ascii="宋体" w:hAnsi="宋体" w:cs="宋体"/>
                <w:szCs w:val="21"/>
                <w:highlight w:val="none"/>
              </w:rPr>
              <w:t>不高于最高限价</w:t>
            </w:r>
          </w:p>
        </w:tc>
      </w:tr>
      <w:tr w14:paraId="1CF6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726" w:type="dxa"/>
            <w:gridSpan w:val="2"/>
            <w:noWrap/>
            <w:vAlign w:val="center"/>
          </w:tcPr>
          <w:p w14:paraId="638622D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报价（费率）</w:t>
            </w:r>
          </w:p>
          <w:p w14:paraId="6AD98B8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rightChars="0"/>
              <w:jc w:val="center"/>
              <w:textAlignment w:val="auto"/>
              <w:rPr>
                <w:rFonts w:hint="eastAsia" w:ascii="宋体" w:hAnsi="宋体" w:eastAsia="宋体" w:cs="宋体"/>
                <w:bCs/>
                <w:color w:val="auto"/>
                <w:szCs w:val="21"/>
                <w:highlight w:val="none"/>
                <w:lang w:val="en-US"/>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分）</w:t>
            </w:r>
          </w:p>
        </w:tc>
        <w:tc>
          <w:tcPr>
            <w:tcW w:w="7830" w:type="dxa"/>
            <w:gridSpan w:val="3"/>
            <w:noWrap/>
            <w:vAlign w:val="center"/>
          </w:tcPr>
          <w:p w14:paraId="3BB129CB">
            <w:pPr>
              <w:pStyle w:val="24"/>
              <w:keepNext w:val="0"/>
              <w:keepLines w:val="0"/>
              <w:pageBreakBefore w:val="0"/>
              <w:numPr>
                <w:ilvl w:val="0"/>
                <w:numId w:val="1"/>
              </w:numPr>
              <w:kinsoku/>
              <w:wordWrap/>
              <w:overflowPunct/>
              <w:topLinePunct w:val="0"/>
              <w:autoSpaceDE/>
              <w:autoSpaceDN/>
              <w:bidi w:val="0"/>
              <w:adjustRightInd/>
              <w:snapToGrid/>
              <w:spacing w:line="300" w:lineRule="exact"/>
              <w:textAlignment w:val="auto"/>
              <w:rPr>
                <w:rFonts w:hint="eastAsia" w:ascii="宋体" w:hAnsi="宋体" w:eastAsia="宋体" w:cs="宋体"/>
                <w:highlight w:val="none"/>
                <w:lang w:val="en-US" w:eastAsia="zh-CN"/>
              </w:rPr>
            </w:pPr>
            <w:r>
              <w:rPr>
                <w:rFonts w:hint="eastAsia" w:ascii="宋体" w:hAnsi="宋体" w:eastAsia="宋体" w:cs="宋体"/>
                <w:color w:val="auto"/>
                <w:sz w:val="21"/>
                <w:szCs w:val="21"/>
                <w:highlight w:val="none"/>
              </w:rPr>
              <w:t>本项目最高投标限价（费率）</w:t>
            </w:r>
            <w:r>
              <w:rPr>
                <w:rFonts w:hint="eastAsia" w:ascii="宋体" w:hAnsi="宋体" w:eastAsia="宋体" w:cs="宋体"/>
                <w:color w:val="auto"/>
                <w:sz w:val="21"/>
                <w:szCs w:val="21"/>
                <w:highlight w:val="none"/>
                <w:lang w:val="en-US" w:eastAsia="zh-CN"/>
              </w:rPr>
              <w:t>为：</w:t>
            </w:r>
            <w:r>
              <w:rPr>
                <w:rFonts w:hint="eastAsia" w:ascii="宋体" w:hAnsi="宋体" w:cs="宋体"/>
                <w:color w:val="auto"/>
                <w:szCs w:val="21"/>
                <w:highlight w:val="none"/>
                <w:lang w:val="en-US" w:eastAsia="zh-CN"/>
              </w:rPr>
              <w:t>1.00</w:t>
            </w:r>
            <w:r>
              <w:rPr>
                <w:rFonts w:hint="eastAsia" w:ascii="宋体" w:hAnsi="宋体" w:eastAsia="宋体" w:cs="宋体"/>
                <w:color w:val="auto"/>
                <w:szCs w:val="21"/>
                <w:highlight w:val="none"/>
                <w:lang w:val="en-US" w:eastAsia="zh-CN"/>
              </w:rPr>
              <w:t>%；</w:t>
            </w:r>
            <w:r>
              <w:rPr>
                <w:rFonts w:hint="eastAsia" w:ascii="宋体" w:hAnsi="宋体" w:eastAsia="宋体" w:cs="宋体"/>
                <w:highlight w:val="none"/>
                <w:lang w:val="en-US" w:eastAsia="zh-CN"/>
              </w:rPr>
              <w:t>投标单位所报费率不得高于招标人发布的最高限价（费率），否则按无效标处理。</w:t>
            </w:r>
          </w:p>
          <w:p w14:paraId="253F903B">
            <w:pPr>
              <w:keepNext w:val="0"/>
              <w:keepLines w:val="0"/>
              <w:pageBreakBefore w:val="0"/>
              <w:suppressLineNumbers w:val="0"/>
              <w:kinsoku/>
              <w:overflowPunct/>
              <w:topLinePunct w:val="0"/>
              <w:autoSpaceDE/>
              <w:autoSpaceDN/>
              <w:bidi w:val="0"/>
              <w:adjustRightInd/>
              <w:snapToGrid/>
              <w:spacing w:before="0" w:beforeAutospacing="0" w:after="0" w:afterAutospacing="0" w:line="300" w:lineRule="exact"/>
              <w:ind w:left="0" w:right="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2、评标基准值为B，B值为通过详细评审的所有有效投标人投标报价（费率）的算术平均值，评标基准值的计算结果以百分数形式，百分数小数点后保留两位小数（例如 0.31%或0.28%）。</w:t>
            </w:r>
          </w:p>
          <w:p w14:paraId="12DAFF92">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4、各有效投标人的投标报价（费率）与评标基准值B相比，相同的得</w:t>
            </w:r>
            <w:r>
              <w:rPr>
                <w:rFonts w:hint="eastAsia" w:ascii="宋体" w:hAnsi="宋体" w:cs="宋体"/>
                <w:highlight w:val="none"/>
                <w:lang w:val="en-US" w:eastAsia="zh-CN"/>
              </w:rPr>
              <w:t>3</w:t>
            </w:r>
            <w:r>
              <w:rPr>
                <w:rFonts w:hint="eastAsia" w:ascii="宋体" w:hAnsi="宋体" w:eastAsia="宋体" w:cs="宋体"/>
                <w:highlight w:val="none"/>
                <w:lang w:val="en-US" w:eastAsia="zh-CN"/>
              </w:rPr>
              <w:t>0分，每增加1%扣0.2分，每减少1%扣0.1分；不足1%时按插入法计算，百分数取两位小数，小数点后第三位四舍五入。</w:t>
            </w:r>
          </w:p>
          <w:p w14:paraId="01AEE954">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5、本项分值由评标委员会负责组织计算。</w:t>
            </w:r>
          </w:p>
          <w:p w14:paraId="1D78227F">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6、例如：有效投标人为5家，投标人甲的评分费率为0.31%、投标人乙的评分费率为0.28%、投标人丙的评分费率为0.25%、投标人丁的评分费率为0.34%、投标人戊的评分费率为0.23%；则评标基准值 B为 0.28%， </w:t>
            </w:r>
          </w:p>
          <w:p w14:paraId="20BEEC01">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投标人甲：【（0.31%-0.28%）÷0.28%】×100=10.71%，得分=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0－10.71×0.2=</w:t>
            </w:r>
            <w:r>
              <w:rPr>
                <w:rFonts w:hint="eastAsia" w:ascii="宋体" w:hAnsi="宋体" w:cs="宋体"/>
                <w:highlight w:val="none"/>
                <w:lang w:val="en-US" w:eastAsia="zh-CN"/>
              </w:rPr>
              <w:t>2</w:t>
            </w:r>
            <w:r>
              <w:rPr>
                <w:rFonts w:hint="eastAsia" w:ascii="宋体" w:hAnsi="宋体" w:eastAsia="宋体" w:cs="宋体"/>
                <w:highlight w:val="none"/>
                <w:lang w:val="en-US" w:eastAsia="zh-CN"/>
              </w:rPr>
              <w:t>7.86；</w:t>
            </w:r>
          </w:p>
          <w:p w14:paraId="3D7B3D28">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投标人乙：【（0.28%-0.28%）÷0.28%】×100=0，得分=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w:t>
            </w:r>
          </w:p>
          <w:p w14:paraId="12B61711">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投标人丙：【（0.25%-0.28%）÷0.28%】×100=－10.71%，得分=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0-10.71×0.1=</w:t>
            </w:r>
            <w:r>
              <w:rPr>
                <w:rFonts w:hint="eastAsia" w:ascii="宋体" w:hAnsi="宋体" w:cs="宋体"/>
                <w:highlight w:val="none"/>
                <w:lang w:val="en-US" w:eastAsia="zh-CN"/>
              </w:rPr>
              <w:t>2</w:t>
            </w:r>
            <w:r>
              <w:rPr>
                <w:rFonts w:hint="eastAsia" w:ascii="宋体" w:hAnsi="宋体" w:eastAsia="宋体" w:cs="宋体"/>
                <w:highlight w:val="none"/>
                <w:lang w:val="en-US" w:eastAsia="zh-CN"/>
              </w:rPr>
              <w:t>8.93；</w:t>
            </w:r>
          </w:p>
          <w:p w14:paraId="4B7B8ECC">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投标人丁：【（0.34%-0.28%）÷0.28%】×100=21.43%，得分=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0-21.43×0.2=</w:t>
            </w:r>
            <w:r>
              <w:rPr>
                <w:rFonts w:hint="eastAsia" w:ascii="宋体" w:hAnsi="宋体" w:cs="宋体"/>
                <w:highlight w:val="none"/>
                <w:lang w:val="en-US" w:eastAsia="zh-CN"/>
              </w:rPr>
              <w:t>2</w:t>
            </w:r>
            <w:r>
              <w:rPr>
                <w:rFonts w:hint="eastAsia" w:ascii="宋体" w:hAnsi="宋体" w:eastAsia="宋体" w:cs="宋体"/>
                <w:highlight w:val="none"/>
                <w:lang w:val="en-US" w:eastAsia="zh-CN"/>
              </w:rPr>
              <w:t>5.71；</w:t>
            </w:r>
          </w:p>
          <w:p w14:paraId="7F44D8C0">
            <w:pPr>
              <w:keepNext w:val="0"/>
              <w:keepLines w:val="0"/>
              <w:suppressLineNumbers w:val="0"/>
              <w:spacing w:before="0" w:beforeAutospacing="0" w:after="0" w:afterAutospacing="0"/>
              <w:ind w:left="0" w:leftChars="0" w:right="0" w:rightChars="0"/>
              <w:rPr>
                <w:rFonts w:hint="eastAsia" w:ascii="宋体" w:hAnsi="宋体" w:eastAsia="宋体" w:cs="宋体"/>
                <w:color w:val="auto"/>
                <w:highlight w:val="none"/>
              </w:rPr>
            </w:pPr>
            <w:r>
              <w:rPr>
                <w:rFonts w:hint="eastAsia" w:ascii="宋体" w:hAnsi="宋体" w:eastAsia="宋体" w:cs="宋体"/>
                <w:highlight w:val="none"/>
                <w:lang w:val="en-US" w:eastAsia="zh-CN"/>
              </w:rPr>
              <w:t>投标人戊：【（0.23%-0.28%）÷0.28%】×100=－17.86%，得分=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0－17.86×0.1=</w:t>
            </w:r>
            <w:r>
              <w:rPr>
                <w:rFonts w:hint="eastAsia" w:ascii="宋体" w:hAnsi="宋体" w:cs="宋体"/>
                <w:highlight w:val="none"/>
                <w:lang w:val="en-US" w:eastAsia="zh-CN"/>
              </w:rPr>
              <w:t>2</w:t>
            </w:r>
            <w:r>
              <w:rPr>
                <w:rFonts w:hint="eastAsia" w:ascii="宋体" w:hAnsi="宋体" w:eastAsia="宋体" w:cs="宋体"/>
                <w:highlight w:val="none"/>
                <w:lang w:val="en-US" w:eastAsia="zh-CN"/>
              </w:rPr>
              <w:t>8.21。</w:t>
            </w:r>
          </w:p>
        </w:tc>
      </w:tr>
    </w:tbl>
    <w:p w14:paraId="59E5148A">
      <w:pPr>
        <w:pStyle w:val="3"/>
        <w:spacing w:beforeLines="50" w:afterLines="50"/>
        <w:ind w:firstLine="422" w:firstLineChars="200"/>
        <w:rPr>
          <w:rFonts w:ascii="宋体" w:hAnsi="宋体" w:eastAsia="宋体" w:cs="宋体"/>
          <w:highlight w:val="none"/>
        </w:rPr>
      </w:pPr>
      <w:bookmarkStart w:id="748" w:name="_Toc35424947"/>
      <w:bookmarkStart w:id="749" w:name="_Toc179632607"/>
      <w:bookmarkStart w:id="750" w:name="_Toc506107324"/>
      <w:bookmarkStart w:id="751" w:name="_Toc246996232"/>
      <w:bookmarkStart w:id="752" w:name="_Toc78803381"/>
      <w:bookmarkStart w:id="753" w:name="_Toc324404872"/>
      <w:bookmarkStart w:id="754" w:name="_Toc152045589"/>
      <w:bookmarkStart w:id="755" w:name="_Toc246996975"/>
      <w:bookmarkStart w:id="756" w:name="_Toc152042366"/>
      <w:bookmarkStart w:id="757" w:name="_Toc35425113"/>
      <w:bookmarkStart w:id="758" w:name="_Toc144974556"/>
      <w:bookmarkStart w:id="759" w:name="_Toc6491"/>
      <w:bookmarkStart w:id="760" w:name="_Toc15058913"/>
      <w:bookmarkStart w:id="761" w:name="_Toc247085747"/>
      <w:r>
        <w:rPr>
          <w:rFonts w:hint="eastAsia" w:ascii="宋体" w:hAnsi="宋体" w:eastAsia="宋体" w:cs="宋体"/>
          <w:highlight w:val="none"/>
        </w:rPr>
        <w:t>1.评标方法</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172AB4E8">
      <w:pPr>
        <w:snapToGrid w:val="0"/>
        <w:spacing w:line="440" w:lineRule="exact"/>
        <w:ind w:right="252" w:rightChars="120" w:firstLine="420" w:firstLineChars="200"/>
        <w:jc w:val="left"/>
        <w:rPr>
          <w:rFonts w:ascii="宋体" w:hAnsi="宋体" w:cs="宋体"/>
          <w:szCs w:val="21"/>
          <w:highlight w:val="none"/>
        </w:rPr>
      </w:pPr>
      <w:bookmarkStart w:id="762" w:name="_Toc324404873"/>
      <w:bookmarkStart w:id="763" w:name="_Toc144974557"/>
      <w:bookmarkStart w:id="764" w:name="_Toc246996233"/>
      <w:bookmarkStart w:id="765" w:name="_Toc179632608"/>
      <w:bookmarkStart w:id="766" w:name="_Toc296602478"/>
      <w:bookmarkStart w:id="767" w:name="_Toc246996976"/>
      <w:bookmarkStart w:id="768" w:name="_Toc152042367"/>
      <w:bookmarkStart w:id="769" w:name="_Toc152045590"/>
      <w:bookmarkStart w:id="770" w:name="_Toc247085748"/>
      <w:r>
        <w:rPr>
          <w:rFonts w:hint="eastAsia" w:ascii="宋体" w:hAnsi="宋体" w:cs="宋体"/>
          <w:szCs w:val="21"/>
          <w:highlight w:val="none"/>
        </w:rPr>
        <w:t>本次评标采用综合评估法。评标委员会对满足招标文件实质性要求的投标文件，按照本章规定的评分标准进行打分，并按总得分（资信分+技术分+商务分）由高到低顺序推荐中标候选人</w:t>
      </w:r>
      <w:r>
        <w:rPr>
          <w:rFonts w:hint="eastAsia" w:ascii="宋体" w:hAnsi="宋体" w:cs="宋体"/>
          <w:szCs w:val="21"/>
          <w:highlight w:val="none"/>
          <w:lang w:val="en-US" w:eastAsia="zh-CN"/>
        </w:rPr>
        <w:t>3</w:t>
      </w:r>
      <w:r>
        <w:rPr>
          <w:rFonts w:hint="eastAsia" w:ascii="宋体" w:hAnsi="宋体" w:cs="宋体"/>
          <w:szCs w:val="21"/>
          <w:highlight w:val="none"/>
        </w:rPr>
        <w:t>名，并标明</w:t>
      </w:r>
      <w:r>
        <w:rPr>
          <w:rFonts w:hint="eastAsia" w:ascii="宋体" w:hAnsi="宋体" w:cs="宋体"/>
          <w:color w:val="auto"/>
          <w:szCs w:val="21"/>
          <w:highlight w:val="none"/>
        </w:rPr>
        <w:t>排序，但投标报价低于其成本的除外。总评分相等时，以投标报价低的优先；若投标报价也相等，由</w:t>
      </w:r>
      <w:r>
        <w:rPr>
          <w:rFonts w:hint="eastAsia" w:ascii="宋体" w:hAnsi="宋体" w:cs="宋体"/>
          <w:szCs w:val="21"/>
          <w:highlight w:val="none"/>
        </w:rPr>
        <w:t>招标人抽签确定。</w:t>
      </w:r>
    </w:p>
    <w:p w14:paraId="3F12DD3B">
      <w:pPr>
        <w:pStyle w:val="3"/>
        <w:spacing w:beforeLines="50" w:afterLines="50"/>
        <w:ind w:firstLine="422" w:firstLineChars="200"/>
        <w:rPr>
          <w:rFonts w:ascii="宋体" w:hAnsi="宋体" w:eastAsia="宋体" w:cs="宋体"/>
          <w:highlight w:val="none"/>
        </w:rPr>
      </w:pPr>
      <w:bookmarkStart w:id="771" w:name="_Toc15058914"/>
      <w:bookmarkStart w:id="772" w:name="_Toc35424948"/>
      <w:bookmarkStart w:id="773" w:name="_Toc78803382"/>
      <w:bookmarkStart w:id="774" w:name="_Toc11945"/>
      <w:bookmarkStart w:id="775" w:name="_Toc506107325"/>
      <w:bookmarkStart w:id="776" w:name="_Toc35425114"/>
      <w:r>
        <w:rPr>
          <w:rFonts w:hint="eastAsia" w:ascii="宋体" w:hAnsi="宋体" w:eastAsia="宋体" w:cs="宋体"/>
          <w:highlight w:val="none"/>
        </w:rPr>
        <w:t>2.评标委员会的职责</w:t>
      </w:r>
      <w:bookmarkEnd w:id="762"/>
      <w:bookmarkEnd w:id="771"/>
      <w:bookmarkEnd w:id="772"/>
      <w:bookmarkEnd w:id="773"/>
      <w:bookmarkEnd w:id="774"/>
      <w:bookmarkEnd w:id="775"/>
      <w:bookmarkEnd w:id="776"/>
    </w:p>
    <w:p w14:paraId="009BCFE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9C91FEC">
      <w:pPr>
        <w:spacing w:line="440" w:lineRule="exact"/>
        <w:ind w:firstLine="420" w:firstLineChars="200"/>
        <w:jc w:val="left"/>
        <w:rPr>
          <w:rFonts w:ascii="宋体" w:hAnsi="宋体" w:cs="宋体"/>
          <w:szCs w:val="21"/>
          <w:highlight w:val="none"/>
        </w:rPr>
      </w:pPr>
      <w:bookmarkStart w:id="777" w:name="_Toc78803383"/>
      <w:r>
        <w:rPr>
          <w:rFonts w:hint="eastAsia" w:ascii="宋体" w:hAnsi="宋体" w:cs="宋体"/>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bookmarkEnd w:id="777"/>
    </w:p>
    <w:p w14:paraId="2EE942C7">
      <w:pPr>
        <w:pStyle w:val="3"/>
        <w:spacing w:beforeLines="50" w:afterLines="50"/>
        <w:ind w:firstLine="422" w:firstLineChars="200"/>
        <w:rPr>
          <w:rFonts w:ascii="宋体" w:hAnsi="宋体" w:eastAsia="宋体" w:cs="宋体"/>
          <w:highlight w:val="none"/>
        </w:rPr>
      </w:pPr>
      <w:bookmarkStart w:id="778" w:name="_Toc324404874"/>
      <w:bookmarkStart w:id="779" w:name="_Toc15058915"/>
      <w:bookmarkStart w:id="780" w:name="_Toc17377"/>
      <w:bookmarkStart w:id="781" w:name="_Toc35425115"/>
      <w:bookmarkStart w:id="782" w:name="_Toc506107326"/>
      <w:bookmarkStart w:id="783" w:name="_Toc78803384"/>
      <w:bookmarkStart w:id="784" w:name="_Toc35424949"/>
      <w:r>
        <w:rPr>
          <w:rFonts w:hint="eastAsia" w:ascii="宋体" w:hAnsi="宋体" w:eastAsia="宋体" w:cs="宋体"/>
          <w:highlight w:val="none"/>
        </w:rPr>
        <w:t>3.评标程序</w:t>
      </w:r>
      <w:bookmarkEnd w:id="778"/>
      <w:bookmarkEnd w:id="779"/>
      <w:bookmarkEnd w:id="780"/>
      <w:bookmarkEnd w:id="781"/>
      <w:bookmarkEnd w:id="782"/>
      <w:bookmarkEnd w:id="783"/>
      <w:bookmarkEnd w:id="784"/>
    </w:p>
    <w:p w14:paraId="609184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评标先做准备工作，先进行资信评审，然后进行技术标评审，最后进行商务标评审。</w:t>
      </w:r>
    </w:p>
    <w:p w14:paraId="6E980930">
      <w:pPr>
        <w:pStyle w:val="3"/>
        <w:ind w:firstLine="422" w:firstLineChars="200"/>
        <w:rPr>
          <w:rFonts w:ascii="宋体" w:hAnsi="宋体" w:eastAsia="宋体" w:cs="宋体"/>
          <w:highlight w:val="none"/>
        </w:rPr>
      </w:pPr>
      <w:bookmarkStart w:id="785" w:name="_Toc35425116"/>
      <w:bookmarkStart w:id="786" w:name="_Toc27389"/>
      <w:bookmarkStart w:id="787" w:name="_Toc15058916"/>
      <w:bookmarkStart w:id="788" w:name="_Toc78803385"/>
      <w:bookmarkStart w:id="789" w:name="_Toc35424950"/>
      <w:r>
        <w:rPr>
          <w:rFonts w:hint="eastAsia" w:ascii="宋体" w:hAnsi="宋体" w:eastAsia="宋体" w:cs="宋体"/>
          <w:highlight w:val="none"/>
        </w:rPr>
        <w:t>3.1评标准备工作</w:t>
      </w:r>
      <w:bookmarkEnd w:id="785"/>
      <w:bookmarkEnd w:id="786"/>
      <w:bookmarkEnd w:id="787"/>
      <w:bookmarkEnd w:id="788"/>
      <w:bookmarkEnd w:id="789"/>
    </w:p>
    <w:p w14:paraId="12DD11E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评标委员会熟悉评标工作情况：</w:t>
      </w:r>
    </w:p>
    <w:p w14:paraId="61A767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（1）阅读由招标人或者其委托的工程代理机构编制的招标项目情况材料。</w:t>
      </w:r>
    </w:p>
    <w:p w14:paraId="3327388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（2）阅读、研究招标文件和相关评标资料，获取评标所需要的重要信息和数据，至少应了解和熟悉以下内容：招标项目的范围和性质，招标文件规定的主要技术要求、标准和商务条款。</w:t>
      </w:r>
    </w:p>
    <w:p w14:paraId="3514C3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（3）熟悉招标文件规定的评标标准和评标方法及在评标过程中需要考虑的相关因素。</w:t>
      </w:r>
    </w:p>
    <w:p w14:paraId="0377C0C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（4）核对评标工作用表。</w:t>
      </w:r>
    </w:p>
    <w:p w14:paraId="13E391E0">
      <w:pPr>
        <w:pStyle w:val="3"/>
        <w:ind w:firstLine="422" w:firstLineChars="200"/>
        <w:rPr>
          <w:rFonts w:ascii="宋体" w:hAnsi="宋体" w:eastAsia="宋体" w:cs="宋体"/>
          <w:highlight w:val="none"/>
        </w:rPr>
      </w:pPr>
      <w:bookmarkStart w:id="790" w:name="_Toc35424951"/>
      <w:bookmarkStart w:id="791" w:name="_Toc15058917"/>
      <w:bookmarkStart w:id="792" w:name="_Toc35425117"/>
      <w:bookmarkStart w:id="793" w:name="_Toc78803386"/>
      <w:bookmarkStart w:id="794" w:name="_Toc24650"/>
      <w:bookmarkStart w:id="795" w:name="_Toc1299"/>
      <w:bookmarkStart w:id="796" w:name="_Toc35425120"/>
      <w:bookmarkStart w:id="797" w:name="_Toc35424954"/>
      <w:bookmarkStart w:id="798" w:name="_Toc324404875"/>
      <w:bookmarkStart w:id="799" w:name="_Toc15058919"/>
      <w:bookmarkStart w:id="800" w:name="_Toc12200"/>
      <w:bookmarkStart w:id="801" w:name="_Toc506107327"/>
      <w:r>
        <w:rPr>
          <w:rFonts w:hint="eastAsia" w:ascii="宋体" w:hAnsi="宋体" w:eastAsia="宋体" w:cs="宋体"/>
          <w:highlight w:val="none"/>
        </w:rPr>
        <w:t>3.2技术标评审</w:t>
      </w:r>
      <w:bookmarkEnd w:id="790"/>
      <w:bookmarkEnd w:id="791"/>
      <w:bookmarkEnd w:id="792"/>
      <w:bookmarkEnd w:id="793"/>
      <w:bookmarkEnd w:id="794"/>
      <w:bookmarkEnd w:id="795"/>
    </w:p>
    <w:p w14:paraId="755D589C">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详见技术标评审表。</w:t>
      </w:r>
    </w:p>
    <w:p w14:paraId="6912EA5D">
      <w:pPr>
        <w:pStyle w:val="3"/>
        <w:ind w:firstLine="422" w:firstLineChars="200"/>
        <w:rPr>
          <w:rFonts w:ascii="宋体" w:hAnsi="宋体" w:eastAsia="宋体" w:cs="宋体"/>
          <w:highlight w:val="none"/>
        </w:rPr>
      </w:pPr>
      <w:bookmarkStart w:id="802" w:name="_Toc17468"/>
      <w:bookmarkStart w:id="803" w:name="_Toc15058918"/>
      <w:bookmarkStart w:id="804" w:name="_Toc78803387"/>
      <w:bookmarkStart w:id="805" w:name="_Toc35425118"/>
      <w:bookmarkStart w:id="806" w:name="_Toc35424952"/>
      <w:bookmarkStart w:id="807" w:name="_Toc11990"/>
      <w:r>
        <w:rPr>
          <w:rFonts w:hint="eastAsia" w:ascii="宋体" w:hAnsi="宋体" w:eastAsia="宋体" w:cs="宋体"/>
          <w:highlight w:val="none"/>
        </w:rPr>
        <w:t>3.3商务标评审</w:t>
      </w:r>
      <w:bookmarkEnd w:id="802"/>
      <w:bookmarkEnd w:id="803"/>
      <w:bookmarkEnd w:id="804"/>
      <w:bookmarkEnd w:id="805"/>
      <w:bookmarkEnd w:id="806"/>
      <w:bookmarkEnd w:id="807"/>
    </w:p>
    <w:p w14:paraId="686CA6CF">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详见商务标评审表。</w:t>
      </w:r>
    </w:p>
    <w:p w14:paraId="56AFC15C">
      <w:pPr>
        <w:spacing w:line="440" w:lineRule="exact"/>
        <w:ind w:firstLine="422" w:firstLineChars="200"/>
        <w:rPr>
          <w:rFonts w:ascii="宋体" w:hAnsi="宋体" w:cs="宋体"/>
          <w:color w:val="auto"/>
          <w:szCs w:val="21"/>
          <w:highlight w:val="none"/>
        </w:rPr>
      </w:pPr>
      <w:bookmarkStart w:id="808" w:name="_Toc35425119"/>
      <w:bookmarkStart w:id="809" w:name="_Toc35424953"/>
      <w:bookmarkStart w:id="810" w:name="_Toc18087"/>
      <w:bookmarkStart w:id="811" w:name="_Toc78803388"/>
      <w:bookmarkStart w:id="812" w:name="_Toc26895"/>
      <w:r>
        <w:rPr>
          <w:rStyle w:val="197"/>
          <w:rFonts w:hint="eastAsia" w:ascii="宋体" w:hAnsi="宋体" w:eastAsia="宋体" w:cs="宋体"/>
          <w:highlight w:val="none"/>
        </w:rPr>
        <w:t>3.4推荐中标候选人</w:t>
      </w:r>
      <w:bookmarkEnd w:id="808"/>
      <w:bookmarkEnd w:id="809"/>
      <w:bookmarkEnd w:id="810"/>
      <w:bookmarkEnd w:id="811"/>
      <w:bookmarkEnd w:id="812"/>
      <w:r>
        <w:rPr>
          <w:rFonts w:hint="eastAsia" w:ascii="宋体" w:hAnsi="宋体" w:cs="宋体"/>
          <w:b/>
          <w:bCs/>
          <w:highlight w:val="none"/>
        </w:rPr>
        <w:t>：</w:t>
      </w:r>
      <w:r>
        <w:rPr>
          <w:rFonts w:hint="eastAsia" w:ascii="宋体" w:hAnsi="宋体" w:cs="宋体"/>
          <w:highlight w:val="none"/>
        </w:rPr>
        <w:t>资信评审、技术标评审、商务标</w:t>
      </w:r>
      <w:r>
        <w:rPr>
          <w:rFonts w:hint="eastAsia" w:ascii="宋体" w:hAnsi="宋体" w:cs="宋体"/>
          <w:color w:val="auto"/>
          <w:highlight w:val="none"/>
        </w:rPr>
        <w:t>评审后，推荐</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3</w:t>
      </w:r>
      <w:r>
        <w:rPr>
          <w:rFonts w:hint="eastAsia" w:ascii="宋体" w:hAnsi="宋体" w:cs="宋体"/>
          <w:color w:val="auto"/>
          <w:highlight w:val="none"/>
          <w:u w:val="single"/>
        </w:rPr>
        <w:t xml:space="preserve"> </w:t>
      </w:r>
      <w:r>
        <w:rPr>
          <w:rFonts w:hint="eastAsia" w:ascii="宋体" w:hAnsi="宋体" w:cs="宋体"/>
          <w:color w:val="auto"/>
          <w:highlight w:val="none"/>
        </w:rPr>
        <w:t>名中标候选人。</w:t>
      </w:r>
    </w:p>
    <w:p w14:paraId="3113A55A">
      <w:pPr>
        <w:pStyle w:val="3"/>
        <w:spacing w:beforeLines="50" w:afterLines="50"/>
        <w:ind w:firstLine="422" w:firstLineChars="200"/>
        <w:rPr>
          <w:rFonts w:ascii="宋体" w:hAnsi="宋体" w:eastAsia="宋体" w:cs="宋体"/>
          <w:highlight w:val="none"/>
        </w:rPr>
      </w:pPr>
      <w:bookmarkStart w:id="813" w:name="_Toc78803389"/>
      <w:r>
        <w:rPr>
          <w:rFonts w:hint="eastAsia" w:ascii="宋体" w:hAnsi="宋体" w:eastAsia="宋体" w:cs="宋体"/>
          <w:highlight w:val="none"/>
        </w:rPr>
        <w:t>4.评审内容</w:t>
      </w:r>
      <w:bookmarkEnd w:id="796"/>
      <w:bookmarkEnd w:id="797"/>
      <w:bookmarkEnd w:id="798"/>
      <w:bookmarkEnd w:id="799"/>
      <w:bookmarkEnd w:id="800"/>
      <w:bookmarkEnd w:id="801"/>
      <w:bookmarkEnd w:id="813"/>
    </w:p>
    <w:p w14:paraId="0F1392E9">
      <w:pPr>
        <w:pStyle w:val="3"/>
        <w:ind w:firstLine="422" w:firstLineChars="200"/>
        <w:rPr>
          <w:rFonts w:ascii="宋体" w:hAnsi="宋体" w:eastAsia="宋体" w:cs="宋体"/>
          <w:highlight w:val="none"/>
        </w:rPr>
      </w:pPr>
      <w:bookmarkStart w:id="814" w:name="_Toc9630"/>
      <w:bookmarkStart w:id="815" w:name="_Toc78803390"/>
      <w:r>
        <w:rPr>
          <w:rFonts w:hint="eastAsia" w:ascii="宋体" w:hAnsi="宋体" w:eastAsia="宋体" w:cs="宋体"/>
          <w:highlight w:val="none"/>
        </w:rPr>
        <w:t>4.1</w:t>
      </w:r>
      <w:bookmarkEnd w:id="814"/>
      <w:bookmarkEnd w:id="815"/>
      <w:bookmarkStart w:id="816" w:name="_Toc35424956"/>
      <w:bookmarkStart w:id="817" w:name="_Toc35425122"/>
      <w:bookmarkStart w:id="818" w:name="_Toc3531"/>
      <w:bookmarkStart w:id="819" w:name="_Toc15058921"/>
      <w:bookmarkStart w:id="820" w:name="_Toc78803391"/>
      <w:bookmarkStart w:id="821" w:name="_Toc324404876"/>
      <w:r>
        <w:rPr>
          <w:rFonts w:hint="eastAsia" w:ascii="宋体" w:hAnsi="宋体" w:eastAsia="宋体" w:cs="宋体"/>
          <w:highlight w:val="none"/>
        </w:rPr>
        <w:t>商务标评审</w:t>
      </w:r>
      <w:bookmarkEnd w:id="816"/>
      <w:bookmarkEnd w:id="817"/>
      <w:bookmarkEnd w:id="818"/>
      <w:bookmarkEnd w:id="819"/>
      <w:bookmarkEnd w:id="820"/>
    </w:p>
    <w:p w14:paraId="79EFB735">
      <w:pPr>
        <w:spacing w:line="440" w:lineRule="exact"/>
        <w:ind w:firstLine="420" w:firstLineChars="200"/>
        <w:jc w:val="left"/>
        <w:rPr>
          <w:rFonts w:ascii="宋体" w:hAnsi="宋体" w:cs="宋体"/>
          <w:highlight w:val="none"/>
        </w:rPr>
      </w:pPr>
      <w:r>
        <w:rPr>
          <w:rFonts w:hint="eastAsia" w:ascii="宋体" w:hAnsi="宋体" w:cs="宋体"/>
          <w:highlight w:val="none"/>
        </w:rPr>
        <w:t>只有通过技术标评审的投标才能够进入本阶段评审。</w:t>
      </w:r>
    </w:p>
    <w:p w14:paraId="7908D5C2">
      <w:pPr>
        <w:spacing w:line="440" w:lineRule="exact"/>
        <w:ind w:firstLine="420" w:firstLineChars="200"/>
        <w:jc w:val="left"/>
        <w:rPr>
          <w:rFonts w:ascii="宋体" w:hAnsi="宋体" w:cs="宋体"/>
          <w:highlight w:val="none"/>
        </w:rPr>
      </w:pPr>
      <w:r>
        <w:rPr>
          <w:rFonts w:hint="eastAsia" w:ascii="宋体" w:hAnsi="宋体" w:cs="宋体"/>
          <w:highlight w:val="none"/>
        </w:rPr>
        <w:t>4.1.1形式性评审标准：见商务标评审表。</w:t>
      </w:r>
    </w:p>
    <w:p w14:paraId="5FDB8153">
      <w:pPr>
        <w:spacing w:line="440" w:lineRule="exact"/>
        <w:ind w:firstLine="420" w:firstLineChars="200"/>
        <w:jc w:val="left"/>
        <w:rPr>
          <w:rFonts w:ascii="宋体" w:hAnsi="宋体" w:cs="宋体"/>
          <w:highlight w:val="none"/>
        </w:rPr>
      </w:pPr>
      <w:r>
        <w:rPr>
          <w:rFonts w:hint="eastAsia" w:ascii="宋体" w:hAnsi="宋体" w:cs="宋体"/>
          <w:highlight w:val="none"/>
        </w:rPr>
        <w:t>4.1.2响应性评审标准：见商务标评审表。</w:t>
      </w:r>
    </w:p>
    <w:p w14:paraId="5104F405">
      <w:pPr>
        <w:spacing w:line="440" w:lineRule="exact"/>
        <w:ind w:firstLine="420" w:firstLineChars="200"/>
        <w:jc w:val="left"/>
        <w:rPr>
          <w:rFonts w:ascii="宋体" w:hAnsi="宋体" w:cs="宋体"/>
          <w:highlight w:val="none"/>
        </w:rPr>
      </w:pPr>
      <w:r>
        <w:rPr>
          <w:rFonts w:hint="eastAsia" w:ascii="宋体" w:hAnsi="宋体" w:cs="宋体"/>
          <w:highlight w:val="none"/>
        </w:rPr>
        <w:t>评标委员会依据上述标准对投标文件进行初步评审。有一项不符合评审标准的，作无效投标处理。</w:t>
      </w:r>
    </w:p>
    <w:p w14:paraId="5FFAD8BA">
      <w:pPr>
        <w:spacing w:line="440" w:lineRule="exact"/>
        <w:ind w:firstLine="420" w:firstLineChars="200"/>
        <w:jc w:val="left"/>
        <w:rPr>
          <w:rFonts w:ascii="宋体" w:hAnsi="宋体" w:cs="宋体"/>
          <w:highlight w:val="none"/>
        </w:rPr>
      </w:pPr>
      <w:r>
        <w:rPr>
          <w:rFonts w:hint="eastAsia" w:ascii="宋体" w:hAnsi="宋体" w:cs="宋体"/>
          <w:highlight w:val="none"/>
        </w:rPr>
        <w:t>4.1.3投标报价评审</w:t>
      </w:r>
    </w:p>
    <w:p w14:paraId="43D228EB">
      <w:pPr>
        <w:spacing w:line="440" w:lineRule="exact"/>
        <w:ind w:firstLine="420" w:firstLineChars="200"/>
        <w:jc w:val="left"/>
        <w:rPr>
          <w:rFonts w:ascii="宋体" w:hAnsi="宋体" w:cs="宋体"/>
          <w:highlight w:val="none"/>
        </w:rPr>
      </w:pPr>
      <w:r>
        <w:rPr>
          <w:rFonts w:hint="eastAsia" w:ascii="宋体" w:hAnsi="宋体" w:cs="宋体"/>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914B093">
      <w:pPr>
        <w:spacing w:line="440" w:lineRule="exact"/>
        <w:ind w:firstLine="420" w:firstLineChars="200"/>
        <w:jc w:val="left"/>
        <w:rPr>
          <w:rFonts w:ascii="宋体" w:hAnsi="宋体" w:cs="宋体"/>
          <w:highlight w:val="none"/>
        </w:rPr>
      </w:pPr>
      <w:r>
        <w:rPr>
          <w:rFonts w:hint="eastAsia" w:ascii="宋体" w:hAnsi="宋体" w:cs="宋体"/>
          <w:highlight w:val="none"/>
        </w:rPr>
        <w:t>4.1.4评标委员会审查投标文件，投标报价有错误的，评标委员会按以下原则对投标报价进行修正。</w:t>
      </w:r>
    </w:p>
    <w:p w14:paraId="263D918E">
      <w:pPr>
        <w:spacing w:line="440" w:lineRule="exact"/>
        <w:ind w:firstLine="420" w:firstLineChars="200"/>
        <w:jc w:val="left"/>
        <w:rPr>
          <w:rFonts w:ascii="宋体" w:hAnsi="宋体" w:cs="宋体"/>
          <w:highlight w:val="none"/>
        </w:rPr>
      </w:pPr>
      <w:r>
        <w:rPr>
          <w:rFonts w:hint="eastAsia" w:ascii="宋体" w:hAnsi="宋体" w:cs="宋体"/>
          <w:highlight w:val="none"/>
        </w:rPr>
        <w:t>（1）投标文件中的大写金额与小写金额不一致的，以大写金额为准。</w:t>
      </w:r>
    </w:p>
    <w:p w14:paraId="62D11E9B">
      <w:pPr>
        <w:spacing w:line="440" w:lineRule="exact"/>
        <w:ind w:firstLine="420" w:firstLineChars="200"/>
        <w:jc w:val="left"/>
        <w:rPr>
          <w:rFonts w:ascii="宋体" w:hAnsi="宋体" w:cs="宋体"/>
          <w:szCs w:val="21"/>
          <w:highlight w:val="none"/>
        </w:rPr>
      </w:pPr>
      <w:r>
        <w:rPr>
          <w:rFonts w:hint="eastAsia" w:ascii="宋体" w:hAnsi="宋体" w:cs="宋体"/>
          <w:highlight w:val="none"/>
        </w:rPr>
        <w:t>（2）总价金额与依据单价计算出的结果不一致的，以单价金额为准修正总价，但单价金额小数点有明显错误的除外。</w:t>
      </w:r>
    </w:p>
    <w:p w14:paraId="583982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0D8AA3CD">
      <w:pPr>
        <w:pStyle w:val="3"/>
        <w:spacing w:beforeLines="50" w:afterLines="50"/>
        <w:ind w:firstLine="422" w:firstLineChars="200"/>
        <w:rPr>
          <w:rFonts w:ascii="宋体" w:hAnsi="宋体" w:eastAsia="宋体" w:cs="宋体"/>
          <w:highlight w:val="none"/>
        </w:rPr>
      </w:pPr>
      <w:bookmarkStart w:id="822" w:name="_Toc13125"/>
      <w:bookmarkStart w:id="823" w:name="_Toc506107328"/>
      <w:bookmarkStart w:id="824" w:name="_Toc35424957"/>
      <w:bookmarkStart w:id="825" w:name="_Toc15058922"/>
      <w:bookmarkStart w:id="826" w:name="_Toc35425123"/>
      <w:bookmarkStart w:id="827" w:name="_Toc78803392"/>
      <w:r>
        <w:rPr>
          <w:rFonts w:hint="eastAsia" w:ascii="宋体" w:hAnsi="宋体" w:eastAsia="宋体" w:cs="宋体"/>
          <w:highlight w:val="none"/>
        </w:rPr>
        <w:t>5.无效投标条款</w:t>
      </w:r>
      <w:bookmarkEnd w:id="821"/>
      <w:bookmarkEnd w:id="822"/>
      <w:bookmarkEnd w:id="823"/>
      <w:bookmarkEnd w:id="824"/>
      <w:bookmarkEnd w:id="825"/>
      <w:bookmarkEnd w:id="826"/>
      <w:bookmarkEnd w:id="827"/>
    </w:p>
    <w:p w14:paraId="0DF5C34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1</w:t>
      </w:r>
      <w:r>
        <w:rPr>
          <w:rFonts w:hint="eastAsia" w:ascii="宋体" w:hAnsi="宋体" w:cs="宋体"/>
          <w:szCs w:val="21"/>
          <w:highlight w:val="none"/>
        </w:rPr>
        <w:t>由资格审查委员会（评标委员会）按资格审查办法前附表要求对投标人审查资料的第二章《资格审查办法》进行核验。投标申请人有下列情形之一的，其资格审查为不合格：</w:t>
      </w:r>
    </w:p>
    <w:p w14:paraId="528FDC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（1）未上传电子标书或电子标书经审查不合格；</w:t>
      </w:r>
    </w:p>
    <w:p w14:paraId="18F3565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）法律、法规规定的其他情形。</w:t>
      </w:r>
    </w:p>
    <w:p w14:paraId="0343AB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投标人有下列情形的，经评审后其投标作无效投标处理无效投标：</w:t>
      </w:r>
    </w:p>
    <w:p w14:paraId="2F946A1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.1商标评审</w:t>
      </w:r>
    </w:p>
    <w:p w14:paraId="5AF5194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(1)评标委员会依据《商务标评审表》进行形式性评审和响应性评审。有一项不符合评审标准的，做无效投标处理；</w:t>
      </w:r>
    </w:p>
    <w:p w14:paraId="5172AA9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（2）商务标详细评审标准中有任何一项不能通过评审的，作无效投标处理。</w:t>
      </w:r>
    </w:p>
    <w:p w14:paraId="57BB8B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3</w:t>
      </w:r>
      <w:r>
        <w:rPr>
          <w:rFonts w:hint="eastAsia" w:ascii="宋体" w:hAnsi="宋体" w:cs="宋体"/>
          <w:szCs w:val="21"/>
          <w:highlight w:val="none"/>
        </w:rPr>
        <w:t>其他无效投标情况：</w:t>
      </w:r>
    </w:p>
    <w:p w14:paraId="78EF0F0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ED44C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（2）按第三章《评标方法》4.2.4条款修正错误的原则及方法调整或修正投标文件的投标报价，调整或修正的价格经投标人书面确认后具有约束力。投标人不接修正价格的，其投标将被拒绝。</w:t>
      </w:r>
    </w:p>
    <w:p w14:paraId="6F0CAC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）投标人有串通投标、弄虚作假、行贿等违法行为。</w:t>
      </w:r>
    </w:p>
    <w:p w14:paraId="125E94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）投标文件没有对招标文件的实质性要求和条件作出响应。</w:t>
      </w:r>
    </w:p>
    <w:p w14:paraId="0FC202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5</w:t>
      </w:r>
      <w:r>
        <w:rPr>
          <w:rFonts w:hint="eastAsia" w:ascii="宋体" w:hAnsi="宋体" w:cs="宋体"/>
          <w:szCs w:val="21"/>
          <w:highlight w:val="none"/>
        </w:rPr>
        <w:t>）未按规定的格式填写导致实质性内容不全以及实质上不响应，或者关键字迹模糊、无法辨认。</w:t>
      </w:r>
    </w:p>
    <w:p w14:paraId="1099022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）同一投标人提交两个以上不同的投标文件或者投标报价，但招标文件规定提交备选投标的除外。</w:t>
      </w:r>
    </w:p>
    <w:p w14:paraId="0C71CF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7</w:t>
      </w:r>
      <w:r>
        <w:rPr>
          <w:rFonts w:hint="eastAsia" w:ascii="宋体" w:hAnsi="宋体" w:cs="宋体"/>
          <w:szCs w:val="21"/>
          <w:highlight w:val="none"/>
        </w:rPr>
        <w:t>）投标文件中存在招标人不能接受的其他实质性条件。</w:t>
      </w:r>
    </w:p>
    <w:p w14:paraId="641BCD2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）投标文件中填报的拟任项目负责人与资格审查通过的项目负责人前后不一致的。</w:t>
      </w:r>
    </w:p>
    <w:p w14:paraId="6FD5979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9</w:t>
      </w:r>
      <w:r>
        <w:rPr>
          <w:rFonts w:hint="eastAsia" w:ascii="宋体" w:hAnsi="宋体" w:cs="宋体"/>
          <w:szCs w:val="21"/>
          <w:highlight w:val="none"/>
        </w:rPr>
        <w:t>）投标人拒不按照要求对投标文件进行澄清、说明、补正的，或评标委员会根据招标文件的规定对招标文件的计算错误进行修正后，投标人不接受修正的投标报价的。</w:t>
      </w:r>
    </w:p>
    <w:p w14:paraId="62290F1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0</w:t>
      </w:r>
      <w:r>
        <w:rPr>
          <w:rFonts w:hint="eastAsia" w:ascii="宋体" w:hAnsi="宋体" w:cs="宋体"/>
          <w:szCs w:val="21"/>
          <w:highlight w:val="none"/>
        </w:rPr>
        <w:t>）投标人单方面出现其他投标人材料。</w:t>
      </w:r>
    </w:p>
    <w:p w14:paraId="7E65ED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w:t>
      </w:r>
      <w:r>
        <w:rPr>
          <w:rFonts w:hint="eastAsia" w:ascii="宋体" w:hAnsi="宋体" w:cs="宋体"/>
          <w:szCs w:val="21"/>
          <w:highlight w:val="none"/>
        </w:rPr>
        <w:t>）法律、法规规定的其他情形。</w:t>
      </w:r>
    </w:p>
    <w:p w14:paraId="6C2FB7F4">
      <w:pPr>
        <w:pStyle w:val="3"/>
        <w:spacing w:beforeLines="50" w:afterLines="50"/>
        <w:ind w:firstLine="422" w:firstLineChars="200"/>
        <w:rPr>
          <w:rFonts w:ascii="宋体" w:hAnsi="宋体" w:eastAsia="宋体" w:cs="宋体"/>
          <w:highlight w:val="none"/>
        </w:rPr>
      </w:pPr>
      <w:bookmarkStart w:id="828" w:name="_Toc15058923"/>
      <w:bookmarkStart w:id="829" w:name="_Toc35424958"/>
      <w:bookmarkStart w:id="830" w:name="_Toc78803393"/>
      <w:bookmarkStart w:id="831" w:name="_Toc506107329"/>
      <w:bookmarkStart w:id="832" w:name="_Toc27846"/>
      <w:bookmarkStart w:id="833" w:name="_Toc324404877"/>
      <w:bookmarkStart w:id="834" w:name="_Toc35425124"/>
      <w:r>
        <w:rPr>
          <w:rFonts w:hint="eastAsia" w:ascii="宋体" w:hAnsi="宋体" w:eastAsia="宋体" w:cs="宋体"/>
          <w:highlight w:val="none"/>
        </w:rPr>
        <w:t>6.投标文件的澄清和补正</w:t>
      </w:r>
      <w:bookmarkEnd w:id="828"/>
      <w:bookmarkEnd w:id="829"/>
      <w:bookmarkEnd w:id="830"/>
      <w:bookmarkEnd w:id="831"/>
      <w:bookmarkEnd w:id="832"/>
      <w:bookmarkEnd w:id="833"/>
      <w:bookmarkEnd w:id="834"/>
    </w:p>
    <w:p w14:paraId="2F477AC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6.1在评标过程中，评标委员会可以要求投标人对所提交的投标文件中不明确的内容进行书面澄清或说明，或者对细微偏差进行补正。评标委员会不接受投标人主动提出的澄清、说明或补正。</w:t>
      </w:r>
    </w:p>
    <w:p w14:paraId="681AC39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6.2澄清、说明和补正不得改变投标文件的实质性内容（算术性错误修正的除外）。投标人的书面澄清、说明和补正属于投标文件的组成部分。</w:t>
      </w:r>
    </w:p>
    <w:p w14:paraId="2FE1D5D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6.3评标委员会对投标人提交的澄清、说明和补正有疑问的，可以要求投标人进一步澄清、说明或补正、直至满足评标委员会的要求。</w:t>
      </w:r>
    </w:p>
    <w:p w14:paraId="149643F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按照投标文件规定进行澄清、补正后的投标报价经投标人的法定代表人或其委托代理人确认后即为该投标人的最终投标报价。投标人一旦中标，此报价即为中标价。</w:t>
      </w:r>
    </w:p>
    <w:p w14:paraId="4D82B21A">
      <w:pPr>
        <w:pStyle w:val="3"/>
        <w:spacing w:beforeLines="50" w:afterLines="50"/>
        <w:ind w:firstLine="422" w:firstLineChars="200"/>
        <w:rPr>
          <w:rFonts w:ascii="宋体" w:hAnsi="宋体" w:eastAsia="宋体" w:cs="宋体"/>
          <w:highlight w:val="none"/>
        </w:rPr>
      </w:pPr>
      <w:bookmarkStart w:id="835" w:name="_Toc13990"/>
      <w:bookmarkStart w:id="836" w:name="_Toc15058924"/>
      <w:bookmarkStart w:id="837" w:name="_Toc78803394"/>
      <w:bookmarkStart w:id="838" w:name="_Toc506107330"/>
      <w:bookmarkStart w:id="839" w:name="_Toc35424959"/>
      <w:bookmarkStart w:id="840" w:name="_Toc324404878"/>
      <w:bookmarkStart w:id="841" w:name="_Toc35425125"/>
      <w:r>
        <w:rPr>
          <w:rFonts w:hint="eastAsia" w:ascii="宋体" w:hAnsi="宋体" w:eastAsia="宋体" w:cs="宋体"/>
          <w:highlight w:val="none"/>
        </w:rPr>
        <w:t>7.评分标准</w:t>
      </w:r>
      <w:bookmarkEnd w:id="835"/>
      <w:bookmarkEnd w:id="836"/>
      <w:bookmarkEnd w:id="837"/>
      <w:bookmarkEnd w:id="838"/>
      <w:bookmarkEnd w:id="839"/>
      <w:bookmarkEnd w:id="840"/>
      <w:bookmarkEnd w:id="841"/>
    </w:p>
    <w:p w14:paraId="30E8B7B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商务标评分标准：见商务标评审表。</w:t>
      </w:r>
    </w:p>
    <w:p w14:paraId="24D3B8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技术标评分标准：见技术标评审表。</w:t>
      </w:r>
    </w:p>
    <w:p w14:paraId="481120C8">
      <w:pPr>
        <w:spacing w:line="440" w:lineRule="exact"/>
        <w:ind w:firstLine="420" w:firstLineChars="200"/>
        <w:jc w:val="left"/>
        <w:rPr>
          <w:rFonts w:hAnsi="宋体" w:cs="宋体"/>
          <w:highlight w:val="none"/>
        </w:rPr>
      </w:pPr>
      <w:r>
        <w:rPr>
          <w:rFonts w:hint="eastAsia" w:ascii="宋体" w:hAnsi="宋体" w:cs="宋体"/>
          <w:szCs w:val="21"/>
          <w:highlight w:val="none"/>
        </w:rPr>
        <w:t>资信</w:t>
      </w:r>
      <w:r>
        <w:rPr>
          <w:rFonts w:hint="eastAsia" w:ascii="宋体" w:hAnsi="宋体" w:cs="宋体"/>
          <w:szCs w:val="21"/>
          <w:highlight w:val="none"/>
          <w:lang w:val="en-US" w:eastAsia="zh-CN"/>
        </w:rPr>
        <w:t>标</w:t>
      </w:r>
      <w:r>
        <w:rPr>
          <w:rFonts w:hint="eastAsia" w:ascii="宋体" w:hAnsi="宋体" w:cs="宋体"/>
          <w:szCs w:val="21"/>
          <w:highlight w:val="none"/>
        </w:rPr>
        <w:t>评分标准：见资信评分细则</w:t>
      </w:r>
      <w:r>
        <w:rPr>
          <w:rFonts w:hint="eastAsia" w:hAnsi="宋体" w:cs="宋体"/>
          <w:szCs w:val="21"/>
          <w:highlight w:val="none"/>
        </w:rPr>
        <w:t>。</w:t>
      </w:r>
    </w:p>
    <w:p w14:paraId="26B2972C">
      <w:pPr>
        <w:pStyle w:val="3"/>
        <w:spacing w:beforeLines="50" w:afterLines="50"/>
        <w:ind w:firstLine="422" w:firstLineChars="200"/>
        <w:rPr>
          <w:rFonts w:ascii="宋体" w:hAnsi="宋体" w:eastAsia="宋体" w:cs="宋体"/>
          <w:highlight w:val="none"/>
        </w:rPr>
      </w:pPr>
      <w:bookmarkStart w:id="842" w:name="_Toc35425126"/>
      <w:bookmarkStart w:id="843" w:name="_Toc15058925"/>
      <w:bookmarkStart w:id="844" w:name="_Toc506107331"/>
      <w:bookmarkStart w:id="845" w:name="_Toc78803395"/>
      <w:bookmarkStart w:id="846" w:name="_Toc22863"/>
      <w:bookmarkStart w:id="847" w:name="_Toc35424960"/>
      <w:bookmarkStart w:id="848" w:name="_Toc324404879"/>
      <w:r>
        <w:rPr>
          <w:rFonts w:hint="eastAsia" w:ascii="宋体" w:hAnsi="宋体" w:eastAsia="宋体" w:cs="宋体"/>
          <w:highlight w:val="none"/>
        </w:rPr>
        <w:t>8.评审结果</w:t>
      </w:r>
      <w:bookmarkEnd w:id="842"/>
      <w:bookmarkEnd w:id="843"/>
      <w:bookmarkEnd w:id="844"/>
      <w:bookmarkEnd w:id="845"/>
      <w:bookmarkEnd w:id="846"/>
      <w:bookmarkEnd w:id="847"/>
      <w:bookmarkEnd w:id="848"/>
    </w:p>
    <w:p w14:paraId="6C92BA2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8.1除投标人须知前附表授权直接确定中标人外，评标委员会按照总得分由高到低顺序推荐中标候选人。</w:t>
      </w:r>
    </w:p>
    <w:p w14:paraId="538B5B0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8.2评标委员会完成评标后，应当向招标人提交书面评标报告。评标报告应当如实记载以下内容：</w:t>
      </w:r>
    </w:p>
    <w:p w14:paraId="32C6C45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（1）基本情况和数据表。</w:t>
      </w:r>
    </w:p>
    <w:p w14:paraId="420D2A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（2）评标委员会成员名单。</w:t>
      </w:r>
    </w:p>
    <w:p w14:paraId="02179E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（3）开标记录。</w:t>
      </w:r>
    </w:p>
    <w:p w14:paraId="11B25BD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（4）符合要求的投标人一览表。</w:t>
      </w:r>
    </w:p>
    <w:p w14:paraId="43A3025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（5）废标情况说明。</w:t>
      </w:r>
    </w:p>
    <w:p w14:paraId="424F00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（6）评标标准、评标方法或者评标因素。</w:t>
      </w:r>
    </w:p>
    <w:p w14:paraId="2FCC2BB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（7）经评审的价格一览表。</w:t>
      </w:r>
    </w:p>
    <w:p w14:paraId="2E69437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（8）经评审的投标人排序。</w:t>
      </w:r>
    </w:p>
    <w:p w14:paraId="3FF8F21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（9）推荐的中标候选人名单与签订合同前要处理的事宜。</w:t>
      </w:r>
    </w:p>
    <w:p w14:paraId="1CB6501F">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（10）澄清、说明、补正事项纪要。</w:t>
      </w:r>
    </w:p>
    <w:p w14:paraId="41797198">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8.3评标委员会推荐的中标候选人应当限定在</w:t>
      </w:r>
      <w:r>
        <w:rPr>
          <w:rFonts w:hint="eastAsia" w:ascii="宋体" w:hAnsi="宋体" w:cs="宋体"/>
          <w:color w:val="auto"/>
          <w:szCs w:val="21"/>
          <w:highlight w:val="none"/>
          <w:u w:val="single"/>
          <w:lang w:val="en-US" w:eastAsia="zh-CN"/>
        </w:rPr>
        <w:t xml:space="preserve">3 </w:t>
      </w:r>
      <w:r>
        <w:rPr>
          <w:rFonts w:hint="eastAsia" w:ascii="宋体" w:hAnsi="宋体" w:cs="宋体"/>
          <w:color w:val="auto"/>
          <w:szCs w:val="21"/>
          <w:highlight w:val="none"/>
        </w:rPr>
        <w:t>名。</w:t>
      </w:r>
    </w:p>
    <w:p w14:paraId="6FC489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8.4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1EF70C6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3E1A994F">
      <w:pPr>
        <w:pStyle w:val="3"/>
        <w:spacing w:beforeLines="50" w:afterLines="50"/>
        <w:ind w:firstLine="422" w:firstLineChars="200"/>
        <w:rPr>
          <w:rFonts w:ascii="宋体" w:hAnsi="宋体" w:eastAsia="宋体" w:cs="宋体"/>
          <w:highlight w:val="none"/>
        </w:rPr>
      </w:pPr>
      <w:bookmarkStart w:id="849" w:name="_Toc324404880"/>
      <w:bookmarkStart w:id="850" w:name="_Toc35424961"/>
      <w:bookmarkStart w:id="851" w:name="_Toc78803396"/>
      <w:bookmarkStart w:id="852" w:name="_Toc15058926"/>
      <w:bookmarkStart w:id="853" w:name="_Toc35425127"/>
      <w:bookmarkStart w:id="854" w:name="_Toc506107332"/>
      <w:bookmarkStart w:id="855" w:name="_Toc1576"/>
      <w:r>
        <w:rPr>
          <w:rFonts w:hint="eastAsia" w:ascii="宋体" w:hAnsi="宋体" w:eastAsia="宋体" w:cs="宋体"/>
          <w:highlight w:val="none"/>
        </w:rPr>
        <w:t>9.其他</w:t>
      </w:r>
      <w:bookmarkEnd w:id="849"/>
      <w:bookmarkEnd w:id="850"/>
      <w:bookmarkEnd w:id="851"/>
      <w:bookmarkEnd w:id="852"/>
      <w:bookmarkEnd w:id="853"/>
      <w:bookmarkEnd w:id="854"/>
      <w:bookmarkEnd w:id="855"/>
    </w:p>
    <w:p w14:paraId="65923B12">
      <w:pPr>
        <w:spacing w:line="440" w:lineRule="exact"/>
        <w:ind w:firstLine="420" w:firstLineChars="200"/>
        <w:jc w:val="left"/>
        <w:rPr>
          <w:rFonts w:hint="eastAsia"/>
        </w:rPr>
      </w:pPr>
      <w:r>
        <w:rPr>
          <w:rFonts w:hint="eastAsia" w:ascii="宋体" w:hAnsi="宋体" w:cs="宋体"/>
          <w:szCs w:val="21"/>
          <w:highlight w:val="none"/>
        </w:rPr>
        <w:t>投标人提供的与投标文件有关的各类证书、证明、文件、资料等的真实性、合法性由投标人负全责。</w:t>
      </w:r>
      <w:bookmarkEnd w:id="763"/>
      <w:bookmarkEnd w:id="764"/>
      <w:bookmarkEnd w:id="765"/>
      <w:bookmarkEnd w:id="766"/>
      <w:bookmarkEnd w:id="767"/>
      <w:bookmarkEnd w:id="768"/>
      <w:bookmarkEnd w:id="769"/>
      <w:bookmarkEnd w:id="770"/>
      <w:bookmarkStart w:id="856" w:name="_Toc506107333"/>
      <w:bookmarkStart w:id="857" w:name="_Toc35424962"/>
      <w:bookmarkStart w:id="858" w:name="_Toc15058927"/>
      <w:bookmarkStart w:id="859" w:name="_Toc35425128"/>
      <w:bookmarkStart w:id="860" w:name="_Toc152045767"/>
      <w:bookmarkStart w:id="861" w:name="_Toc179632785"/>
      <w:bookmarkStart w:id="862" w:name="_Toc144974826"/>
      <w:bookmarkStart w:id="863" w:name="_Toc152042546"/>
      <w:r>
        <w:rPr>
          <w:rFonts w:hint="eastAsia"/>
          <w:highlight w:val="none"/>
        </w:rPr>
        <w:br w:type="page"/>
      </w:r>
      <w:bookmarkStart w:id="864" w:name="_Toc78803397"/>
    </w:p>
    <w:bookmarkEnd w:id="856"/>
    <w:bookmarkEnd w:id="857"/>
    <w:bookmarkEnd w:id="858"/>
    <w:bookmarkEnd w:id="859"/>
    <w:bookmarkEnd w:id="864"/>
    <w:p w14:paraId="226BC7FC">
      <w:pPr>
        <w:pStyle w:val="2"/>
        <w:numPr>
          <w:ilvl w:val="0"/>
          <w:numId w:val="2"/>
        </w:numPr>
        <w:rPr>
          <w:rFonts w:hint="eastAsia" w:ascii="Arial" w:hAnsi="Arial"/>
          <w:kern w:val="0"/>
          <w:sz w:val="32"/>
          <w:szCs w:val="32"/>
        </w:rPr>
      </w:pPr>
      <w:bookmarkStart w:id="865" w:name="_Toc16721"/>
      <w:r>
        <w:rPr>
          <w:rFonts w:hint="eastAsia" w:ascii="Arial" w:hAnsi="Arial"/>
          <w:kern w:val="0"/>
          <w:sz w:val="32"/>
          <w:szCs w:val="32"/>
        </w:rPr>
        <w:t xml:space="preserve"> 合同条款及格式</w:t>
      </w:r>
      <w:bookmarkEnd w:id="865"/>
    </w:p>
    <w:bookmarkEnd w:id="860"/>
    <w:bookmarkEnd w:id="861"/>
    <w:bookmarkEnd w:id="862"/>
    <w:bookmarkEnd w:id="863"/>
    <w:p w14:paraId="13F2BA88">
      <w:pPr>
        <w:spacing w:line="360" w:lineRule="auto"/>
        <w:jc w:val="center"/>
        <w:rPr>
          <w:b/>
          <w:sz w:val="28"/>
          <w:szCs w:val="28"/>
          <w:highlight w:val="none"/>
        </w:rPr>
      </w:pPr>
      <w:bookmarkStart w:id="866" w:name="_Toc15058934"/>
      <w:bookmarkStart w:id="867" w:name="_Toc35424970"/>
      <w:bookmarkStart w:id="868" w:name="_Toc179632806"/>
      <w:bookmarkStart w:id="869" w:name="_Toc35425136"/>
      <w:bookmarkStart w:id="870" w:name="_Toc152045786"/>
      <w:bookmarkStart w:id="871" w:name="_Toc324404888"/>
      <w:bookmarkStart w:id="872" w:name="_Toc247085872"/>
      <w:bookmarkStart w:id="873" w:name="_Toc152042575"/>
      <w:bookmarkStart w:id="874" w:name="_Toc246996354"/>
      <w:bookmarkStart w:id="875" w:name="_Toc506107340"/>
      <w:bookmarkStart w:id="876" w:name="_Toc78803398"/>
      <w:bookmarkStart w:id="877" w:name="_Toc144974855"/>
      <w:bookmarkStart w:id="878" w:name="_Toc246997097"/>
      <w:r>
        <w:rPr>
          <w:rFonts w:hint="eastAsia"/>
          <w:b/>
          <w:sz w:val="28"/>
          <w:szCs w:val="28"/>
          <w:highlight w:val="none"/>
        </w:rPr>
        <w:t>第一部分  合同协议书</w:t>
      </w:r>
    </w:p>
    <w:p w14:paraId="7850BA4F">
      <w:pPr>
        <w:spacing w:line="500" w:lineRule="exact"/>
        <w:ind w:firstLine="315" w:firstLineChars="150"/>
        <w:rPr>
          <w:rFonts w:hint="default" w:eastAsia="宋体"/>
          <w:highlight w:val="none"/>
          <w:u w:val="single"/>
          <w:lang w:val="en-US" w:eastAsia="zh-CN"/>
        </w:rPr>
      </w:pPr>
      <w:r>
        <w:rPr>
          <w:rFonts w:hint="eastAsia"/>
          <w:highlight w:val="none"/>
          <w:lang w:val="en-US" w:eastAsia="zh-CN"/>
        </w:rPr>
        <w:t>发包人</w:t>
      </w:r>
      <w:r>
        <w:rPr>
          <w:rFonts w:hint="eastAsia"/>
          <w:highlight w:val="none"/>
        </w:rPr>
        <w:t>(甲方)：</w:t>
      </w:r>
    </w:p>
    <w:p w14:paraId="10C3B46A">
      <w:pPr>
        <w:spacing w:line="500" w:lineRule="exact"/>
        <w:ind w:firstLine="315" w:firstLineChars="150"/>
        <w:rPr>
          <w:rFonts w:hint="default" w:eastAsia="宋体"/>
          <w:highlight w:val="none"/>
          <w:u w:val="single"/>
          <w:lang w:val="en-US" w:eastAsia="zh-CN"/>
        </w:rPr>
      </w:pPr>
      <w:r>
        <w:rPr>
          <w:rFonts w:hint="eastAsia"/>
          <w:highlight w:val="none"/>
          <w:lang w:val="en-US" w:eastAsia="zh-CN"/>
        </w:rPr>
        <w:t>承包人</w:t>
      </w:r>
      <w:r>
        <w:rPr>
          <w:rFonts w:hint="eastAsia"/>
          <w:highlight w:val="none"/>
        </w:rPr>
        <w:t>(乙方)：</w:t>
      </w:r>
    </w:p>
    <w:p w14:paraId="589C7F04">
      <w:pPr>
        <w:spacing w:line="500" w:lineRule="exact"/>
        <w:ind w:firstLine="315" w:firstLineChars="150"/>
        <w:rPr>
          <w:highlight w:val="none"/>
          <w:u w:val="single"/>
        </w:rPr>
      </w:pPr>
      <w:r>
        <w:rPr>
          <w:rFonts w:hint="eastAsia"/>
          <w:highlight w:val="none"/>
        </w:rPr>
        <w:t>合同签订地点</w:t>
      </w:r>
      <w:r>
        <w:rPr>
          <w:rFonts w:hint="eastAsia"/>
          <w:highlight w:val="none"/>
          <w:lang w:eastAsia="zh-CN"/>
        </w:rPr>
        <w:t>：</w:t>
      </w:r>
    </w:p>
    <w:p w14:paraId="4707BFCE">
      <w:pPr>
        <w:keepNext w:val="0"/>
        <w:keepLines w:val="0"/>
        <w:pageBreakBefore w:val="0"/>
        <w:widowControl/>
        <w:kinsoku/>
        <w:wordWrap/>
        <w:overflowPunct/>
        <w:topLinePunct w:val="0"/>
        <w:autoSpaceDE/>
        <w:autoSpaceDN/>
        <w:bidi w:val="0"/>
        <w:spacing w:line="41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为加强工程施工过程中的质量控制，发包人委托承包人对进行技术服务，并支付相应的技术服务报酬，经过平等协商，在真实、充分地表达各自意愿的基础上，根据《中华人民共和国民法典》及有关法律、法规的规定，达成如下协议，并由双方共同恪守。 </w:t>
      </w:r>
    </w:p>
    <w:p w14:paraId="1E7D82D3">
      <w:pPr>
        <w:spacing w:line="500" w:lineRule="exact"/>
        <w:ind w:firstLine="316" w:firstLineChars="150"/>
        <w:rPr>
          <w:b/>
          <w:highlight w:val="none"/>
        </w:rPr>
      </w:pPr>
      <w:r>
        <w:rPr>
          <w:rFonts w:hint="eastAsia"/>
          <w:b/>
          <w:highlight w:val="none"/>
        </w:rPr>
        <w:t xml:space="preserve">第一条  服务的内容、形式和要求  </w:t>
      </w:r>
    </w:p>
    <w:p w14:paraId="2F0DF407">
      <w:pPr>
        <w:spacing w:line="500" w:lineRule="exact"/>
        <w:ind w:firstLine="315" w:firstLineChars="150"/>
        <w:rPr>
          <w:rFonts w:hint="eastAsia" w:eastAsia="宋体"/>
          <w:highlight w:val="none"/>
          <w:u w:val="single"/>
          <w:lang w:eastAsia="zh-CN"/>
        </w:rPr>
      </w:pPr>
      <w:r>
        <w:rPr>
          <w:rFonts w:hint="eastAsia"/>
          <w:highlight w:val="none"/>
        </w:rPr>
        <w:t>1.1 工程名称：</w:t>
      </w:r>
      <w:r>
        <w:rPr>
          <w:rFonts w:hint="eastAsia"/>
          <w:highlight w:val="none"/>
          <w:lang w:val="en-US" w:eastAsia="zh-CN"/>
        </w:rPr>
        <w:t xml:space="preserve"> </w:t>
      </w:r>
    </w:p>
    <w:p w14:paraId="7A77E150">
      <w:pPr>
        <w:spacing w:line="500" w:lineRule="exact"/>
        <w:ind w:firstLine="315" w:firstLineChars="150"/>
        <w:rPr>
          <w:rFonts w:hint="eastAsia" w:eastAsia="宋体"/>
          <w:highlight w:val="none"/>
          <w:u w:val="single"/>
          <w:lang w:val="en-US" w:eastAsia="zh-CN"/>
        </w:rPr>
      </w:pPr>
      <w:r>
        <w:rPr>
          <w:rFonts w:hint="eastAsia"/>
          <w:highlight w:val="none"/>
        </w:rPr>
        <w:t>1.2 工程地点：</w:t>
      </w:r>
      <w:r>
        <w:rPr>
          <w:rFonts w:hint="eastAsia"/>
          <w:highlight w:val="none"/>
          <w:lang w:val="en-US" w:eastAsia="zh-CN"/>
        </w:rPr>
        <w:t xml:space="preserve"> </w:t>
      </w:r>
    </w:p>
    <w:p w14:paraId="26C045D2">
      <w:pPr>
        <w:spacing w:line="500" w:lineRule="exact"/>
        <w:ind w:firstLine="315" w:firstLineChars="150"/>
        <w:rPr>
          <w:rFonts w:hint="eastAsia" w:eastAsia="宋体"/>
          <w:highlight w:val="none"/>
          <w:lang w:val="en-US" w:eastAsia="zh-CN"/>
        </w:rPr>
      </w:pPr>
      <w:r>
        <w:rPr>
          <w:rFonts w:hint="eastAsia"/>
          <w:highlight w:val="none"/>
        </w:rPr>
        <w:t>1.3 工程规模、特征：</w:t>
      </w:r>
      <w:r>
        <w:rPr>
          <w:rFonts w:hint="eastAsia"/>
          <w:highlight w:val="none"/>
          <w:lang w:val="en-US" w:eastAsia="zh-CN"/>
        </w:rPr>
        <w:t xml:space="preserve"> </w:t>
      </w:r>
    </w:p>
    <w:p w14:paraId="3C360555">
      <w:pPr>
        <w:spacing w:line="500" w:lineRule="exact"/>
        <w:ind w:firstLine="315" w:firstLineChars="15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1.4服务内容：</w:t>
      </w:r>
    </w:p>
    <w:p w14:paraId="1C8F962B">
      <w:pPr>
        <w:spacing w:line="500" w:lineRule="exact"/>
        <w:ind w:firstLine="315" w:firstLineChars="15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1.5 服务要求</w:t>
      </w:r>
    </w:p>
    <w:p w14:paraId="7233B4DC">
      <w:pPr>
        <w:spacing w:line="440" w:lineRule="exact"/>
        <w:ind w:firstLine="359" w:firstLineChars="171"/>
        <w:rPr>
          <w:szCs w:val="21"/>
          <w:highlight w:val="none"/>
        </w:rPr>
      </w:pPr>
      <w:r>
        <w:rPr>
          <w:rFonts w:hint="eastAsia"/>
          <w:szCs w:val="21"/>
          <w:highlight w:val="none"/>
        </w:rPr>
        <w:t>1、</w:t>
      </w:r>
      <w:r>
        <w:rPr>
          <w:rFonts w:hint="eastAsia"/>
          <w:szCs w:val="21"/>
          <w:highlight w:val="none"/>
          <w:lang w:val="en-US" w:eastAsia="zh-CN"/>
        </w:rPr>
        <w:t>乙方</w:t>
      </w:r>
      <w:r>
        <w:rPr>
          <w:rFonts w:hint="eastAsia"/>
          <w:szCs w:val="21"/>
          <w:highlight w:val="none"/>
        </w:rPr>
        <w:t>须编制切实可行的检测方案经专家评审通过后报招标人备案， 并按评审通过后的方案认真检测。</w:t>
      </w:r>
      <w:r>
        <w:rPr>
          <w:rFonts w:hint="eastAsia"/>
          <w:szCs w:val="21"/>
          <w:highlight w:val="none"/>
          <w:lang w:val="en-US" w:eastAsia="zh-CN"/>
        </w:rPr>
        <w:t>乙方</w:t>
      </w:r>
      <w:r>
        <w:rPr>
          <w:rFonts w:hint="eastAsia"/>
          <w:szCs w:val="21"/>
          <w:highlight w:val="none"/>
        </w:rPr>
        <w:t>对</w:t>
      </w:r>
      <w:r>
        <w:rPr>
          <w:rFonts w:hint="eastAsia"/>
          <w:highlight w:val="none"/>
        </w:rPr>
        <w:t>甲方</w:t>
      </w:r>
      <w:r>
        <w:rPr>
          <w:rFonts w:hint="eastAsia"/>
          <w:szCs w:val="21"/>
          <w:highlight w:val="none"/>
        </w:rPr>
        <w:t>负责，否则予以重罚直至终止合同</w:t>
      </w:r>
      <w:r>
        <w:rPr>
          <w:rFonts w:hint="eastAsia"/>
          <w:szCs w:val="21"/>
          <w:highlight w:val="none"/>
          <w:lang w:eastAsia="zh-CN"/>
        </w:rPr>
        <w:t>（</w:t>
      </w:r>
      <w:r>
        <w:rPr>
          <w:rFonts w:hint="eastAsia"/>
          <w:szCs w:val="21"/>
          <w:highlight w:val="none"/>
          <w:lang w:val="en-US" w:eastAsia="zh-CN"/>
        </w:rPr>
        <w:t>专家评审费由乙方承担</w:t>
      </w:r>
      <w:r>
        <w:rPr>
          <w:rFonts w:hint="eastAsia"/>
          <w:szCs w:val="21"/>
          <w:highlight w:val="none"/>
          <w:lang w:eastAsia="zh-CN"/>
        </w:rPr>
        <w:t>）</w:t>
      </w:r>
      <w:r>
        <w:rPr>
          <w:rFonts w:hint="eastAsia"/>
          <w:szCs w:val="21"/>
          <w:highlight w:val="none"/>
        </w:rPr>
        <w:t>。</w:t>
      </w:r>
    </w:p>
    <w:p w14:paraId="6D9B53E5">
      <w:pPr>
        <w:spacing w:line="440" w:lineRule="exact"/>
        <w:ind w:firstLine="359" w:firstLineChars="171"/>
        <w:rPr>
          <w:szCs w:val="21"/>
          <w:highlight w:val="none"/>
        </w:rPr>
      </w:pPr>
      <w:r>
        <w:rPr>
          <w:rFonts w:hint="eastAsia"/>
          <w:szCs w:val="21"/>
          <w:highlight w:val="none"/>
        </w:rPr>
        <w:t>2</w:t>
      </w:r>
      <w:r>
        <w:rPr>
          <w:rFonts w:hint="eastAsia"/>
          <w:szCs w:val="21"/>
          <w:highlight w:val="none"/>
          <w:lang w:eastAsia="zh-CN"/>
        </w:rPr>
        <w:t>、</w:t>
      </w:r>
      <w:r>
        <w:rPr>
          <w:rFonts w:hint="eastAsia"/>
          <w:szCs w:val="21"/>
          <w:highlight w:val="none"/>
          <w:lang w:val="en-US" w:eastAsia="zh-CN"/>
        </w:rPr>
        <w:t>乙方</w:t>
      </w:r>
      <w:r>
        <w:rPr>
          <w:rFonts w:hint="eastAsia"/>
          <w:szCs w:val="21"/>
          <w:highlight w:val="none"/>
        </w:rPr>
        <w:t>必须派专职人员现场取样，专项检测检测数量及频率不得低于安徽省住房城乡建设厅关于进一步加强工程质量检测市场管理的通知（建质函〔2017〕1949 号）要求以及国家、省市相关规范及管理办法和相关技术标准规定的应取样数量及频率且需满足工程质量验收要求，</w:t>
      </w:r>
      <w:r>
        <w:rPr>
          <w:rFonts w:hint="eastAsia"/>
          <w:highlight w:val="none"/>
        </w:rPr>
        <w:t>甲方</w:t>
      </w:r>
      <w:r>
        <w:rPr>
          <w:rFonts w:hint="eastAsia"/>
          <w:szCs w:val="21"/>
          <w:highlight w:val="none"/>
        </w:rPr>
        <w:t xml:space="preserve">对工程质量有怀疑的部位需要增加检测频率，但不再另行增加检测费用。 </w:t>
      </w:r>
    </w:p>
    <w:p w14:paraId="277E05CB">
      <w:pPr>
        <w:spacing w:line="440" w:lineRule="exact"/>
        <w:ind w:firstLine="359" w:firstLineChars="171"/>
        <w:rPr>
          <w:szCs w:val="21"/>
          <w:highlight w:val="none"/>
        </w:rPr>
      </w:pPr>
      <w:r>
        <w:rPr>
          <w:rFonts w:hint="eastAsia"/>
          <w:szCs w:val="21"/>
          <w:highlight w:val="none"/>
        </w:rPr>
        <w:t>3、</w:t>
      </w:r>
      <w:r>
        <w:rPr>
          <w:rFonts w:hint="eastAsia"/>
          <w:szCs w:val="21"/>
          <w:highlight w:val="none"/>
          <w:lang w:val="en-US" w:eastAsia="zh-CN"/>
        </w:rPr>
        <w:t>乙方</w:t>
      </w:r>
      <w:r>
        <w:rPr>
          <w:rFonts w:hint="eastAsia"/>
          <w:szCs w:val="21"/>
          <w:highlight w:val="none"/>
        </w:rPr>
        <w:t>必须派员随时随地跟踪检测，及时反馈检测结果，以确保施工工序正常开展及工期安排的总体需要。完成</w:t>
      </w:r>
      <w:r>
        <w:rPr>
          <w:rFonts w:hint="eastAsia"/>
          <w:highlight w:val="none"/>
        </w:rPr>
        <w:t>甲方</w:t>
      </w:r>
      <w:r>
        <w:rPr>
          <w:rFonts w:hint="eastAsia"/>
          <w:szCs w:val="21"/>
          <w:highlight w:val="none"/>
        </w:rPr>
        <w:t>指定的</w:t>
      </w:r>
      <w:r>
        <w:rPr>
          <w:rFonts w:hint="eastAsia"/>
          <w:szCs w:val="21"/>
          <w:highlight w:val="none"/>
          <w:lang w:val="en-US" w:eastAsia="zh-CN"/>
        </w:rPr>
        <w:t>工程</w:t>
      </w:r>
      <w:r>
        <w:rPr>
          <w:rFonts w:hint="eastAsia"/>
          <w:szCs w:val="21"/>
          <w:highlight w:val="none"/>
        </w:rPr>
        <w:t xml:space="preserve">检测项目的检测。 </w:t>
      </w:r>
    </w:p>
    <w:p w14:paraId="380F03BA">
      <w:pPr>
        <w:spacing w:line="440" w:lineRule="exact"/>
        <w:ind w:firstLine="359" w:firstLineChars="171"/>
        <w:rPr>
          <w:szCs w:val="21"/>
          <w:highlight w:val="none"/>
        </w:rPr>
      </w:pPr>
      <w:r>
        <w:rPr>
          <w:rFonts w:hint="eastAsia"/>
          <w:szCs w:val="21"/>
          <w:highlight w:val="none"/>
        </w:rPr>
        <w:t>4、</w:t>
      </w:r>
      <w:r>
        <w:rPr>
          <w:rFonts w:hint="eastAsia"/>
          <w:szCs w:val="21"/>
          <w:highlight w:val="none"/>
          <w:lang w:val="en-US" w:eastAsia="zh-CN"/>
        </w:rPr>
        <w:t>乙方</w:t>
      </w:r>
      <w:r>
        <w:rPr>
          <w:rFonts w:hint="eastAsia"/>
          <w:szCs w:val="21"/>
          <w:highlight w:val="none"/>
        </w:rPr>
        <w:t xml:space="preserve">的试验室须配备工程材料检测所需的所有检测仪器设备及工程实体检测的部分常用仪器设备，同时选派经验丰富并具有相应从业资格的试验检测人员。 </w:t>
      </w:r>
    </w:p>
    <w:p w14:paraId="626D047A">
      <w:pPr>
        <w:spacing w:line="440" w:lineRule="exact"/>
        <w:ind w:firstLine="359" w:firstLineChars="171"/>
        <w:rPr>
          <w:szCs w:val="21"/>
          <w:highlight w:val="none"/>
        </w:rPr>
      </w:pPr>
      <w:r>
        <w:rPr>
          <w:rFonts w:hint="eastAsia"/>
          <w:szCs w:val="21"/>
          <w:highlight w:val="none"/>
        </w:rPr>
        <w:t>5、</w:t>
      </w:r>
      <w:r>
        <w:rPr>
          <w:rFonts w:hint="eastAsia"/>
          <w:szCs w:val="21"/>
          <w:highlight w:val="none"/>
          <w:lang w:val="en-US" w:eastAsia="zh-CN"/>
        </w:rPr>
        <w:t>乙方</w:t>
      </w:r>
      <w:r>
        <w:rPr>
          <w:rFonts w:hint="eastAsia"/>
          <w:szCs w:val="21"/>
          <w:highlight w:val="none"/>
        </w:rPr>
        <w:t>须保证其出具的试验检测数据能够准确、及时、真实的反映工程实体质量，并对其出具的所有试验报告负法律责任。</w:t>
      </w:r>
      <w:r>
        <w:rPr>
          <w:rFonts w:hint="eastAsia"/>
          <w:szCs w:val="21"/>
          <w:highlight w:val="none"/>
          <w:lang w:val="en-US" w:eastAsia="zh-CN"/>
        </w:rPr>
        <w:t>乙方</w:t>
      </w:r>
      <w:r>
        <w:rPr>
          <w:rFonts w:hint="eastAsia"/>
          <w:szCs w:val="21"/>
          <w:highlight w:val="none"/>
        </w:rPr>
        <w:t>的检测结果，应立即以书面形式快报给</w:t>
      </w:r>
      <w:r>
        <w:rPr>
          <w:rFonts w:hint="eastAsia"/>
          <w:highlight w:val="none"/>
        </w:rPr>
        <w:t>甲方</w:t>
      </w:r>
      <w:r>
        <w:rPr>
          <w:rFonts w:hint="eastAsia"/>
          <w:szCs w:val="21"/>
          <w:highlight w:val="none"/>
        </w:rPr>
        <w:t xml:space="preserve">。 </w:t>
      </w:r>
    </w:p>
    <w:p w14:paraId="0D9B0F4F">
      <w:pPr>
        <w:spacing w:line="440" w:lineRule="exact"/>
        <w:ind w:firstLine="359" w:firstLineChars="171"/>
        <w:rPr>
          <w:szCs w:val="21"/>
          <w:highlight w:val="none"/>
        </w:rPr>
      </w:pPr>
      <w:r>
        <w:rPr>
          <w:rFonts w:hint="eastAsia"/>
          <w:szCs w:val="21"/>
          <w:highlight w:val="none"/>
        </w:rPr>
        <w:t>6、项目开工后，</w:t>
      </w:r>
      <w:r>
        <w:rPr>
          <w:rFonts w:hint="eastAsia"/>
          <w:szCs w:val="21"/>
          <w:highlight w:val="none"/>
          <w:lang w:val="en-US" w:eastAsia="zh-CN"/>
        </w:rPr>
        <w:t>乙方</w:t>
      </w:r>
      <w:r>
        <w:rPr>
          <w:rFonts w:hint="eastAsia"/>
          <w:szCs w:val="21"/>
          <w:highlight w:val="none"/>
        </w:rPr>
        <w:t>应根据施工、监理及</w:t>
      </w:r>
      <w:r>
        <w:rPr>
          <w:rFonts w:hint="eastAsia"/>
          <w:highlight w:val="none"/>
        </w:rPr>
        <w:t>甲方</w:t>
      </w:r>
      <w:r>
        <w:rPr>
          <w:rFonts w:hint="eastAsia"/>
          <w:szCs w:val="21"/>
          <w:highlight w:val="none"/>
        </w:rPr>
        <w:t>共同制定的详细进度计划，细化检测工作计划表，并严格执行；</w:t>
      </w:r>
      <w:r>
        <w:rPr>
          <w:rFonts w:hint="eastAsia"/>
          <w:szCs w:val="21"/>
          <w:highlight w:val="none"/>
          <w:lang w:val="en-US" w:eastAsia="zh-CN"/>
        </w:rPr>
        <w:t>乙方</w:t>
      </w:r>
      <w:r>
        <w:rPr>
          <w:rFonts w:hint="eastAsia"/>
          <w:szCs w:val="21"/>
          <w:highlight w:val="none"/>
        </w:rPr>
        <w:t>须每周向</w:t>
      </w:r>
      <w:r>
        <w:rPr>
          <w:rFonts w:hint="eastAsia"/>
          <w:highlight w:val="none"/>
        </w:rPr>
        <w:t>甲方</w:t>
      </w:r>
      <w:r>
        <w:rPr>
          <w:rFonts w:hint="eastAsia"/>
          <w:szCs w:val="21"/>
          <w:highlight w:val="none"/>
        </w:rPr>
        <w:t xml:space="preserve">汇报每周检测内容及下一步工作安排，并向各有关单位发送，以便试验检测工作更好地服务于工程施工。 </w:t>
      </w:r>
    </w:p>
    <w:p w14:paraId="34FA29F5">
      <w:pPr>
        <w:spacing w:line="440" w:lineRule="exact"/>
        <w:ind w:firstLine="359" w:firstLineChars="171"/>
        <w:rPr>
          <w:szCs w:val="21"/>
          <w:highlight w:val="none"/>
        </w:rPr>
      </w:pPr>
      <w:r>
        <w:rPr>
          <w:rFonts w:hint="eastAsia"/>
          <w:szCs w:val="21"/>
          <w:highlight w:val="none"/>
        </w:rPr>
        <w:t>7、</w:t>
      </w:r>
      <w:r>
        <w:rPr>
          <w:rFonts w:hint="eastAsia"/>
          <w:szCs w:val="21"/>
          <w:highlight w:val="none"/>
          <w:lang w:val="en-US" w:eastAsia="zh-CN"/>
        </w:rPr>
        <w:t>乙方</w:t>
      </w:r>
      <w:r>
        <w:rPr>
          <w:rFonts w:hint="eastAsia"/>
          <w:szCs w:val="21"/>
          <w:highlight w:val="none"/>
        </w:rPr>
        <w:t>相关人员须服从</w:t>
      </w:r>
      <w:r>
        <w:rPr>
          <w:rFonts w:hint="eastAsia"/>
          <w:highlight w:val="none"/>
        </w:rPr>
        <w:t>甲方</w:t>
      </w:r>
      <w:r>
        <w:rPr>
          <w:rFonts w:hint="eastAsia"/>
          <w:szCs w:val="21"/>
          <w:highlight w:val="none"/>
        </w:rPr>
        <w:t>的协调与安排，及时完成</w:t>
      </w:r>
      <w:r>
        <w:rPr>
          <w:rFonts w:hint="eastAsia"/>
          <w:highlight w:val="none"/>
        </w:rPr>
        <w:t>甲方</w:t>
      </w:r>
      <w:r>
        <w:rPr>
          <w:rFonts w:hint="eastAsia"/>
          <w:szCs w:val="21"/>
          <w:highlight w:val="none"/>
        </w:rPr>
        <w:t xml:space="preserve">临时指派的其他检测任务。 </w:t>
      </w:r>
    </w:p>
    <w:p w14:paraId="6E1730B5">
      <w:pPr>
        <w:spacing w:line="440" w:lineRule="exact"/>
        <w:ind w:firstLine="359" w:firstLineChars="171"/>
        <w:rPr>
          <w:szCs w:val="21"/>
          <w:highlight w:val="none"/>
        </w:rPr>
      </w:pPr>
      <w:r>
        <w:rPr>
          <w:rFonts w:hint="eastAsia"/>
          <w:szCs w:val="21"/>
          <w:highlight w:val="none"/>
        </w:rPr>
        <w:t>8、</w:t>
      </w:r>
      <w:r>
        <w:rPr>
          <w:rFonts w:hint="eastAsia"/>
          <w:szCs w:val="21"/>
          <w:highlight w:val="none"/>
          <w:lang w:val="en-US" w:eastAsia="zh-CN"/>
        </w:rPr>
        <w:t>乙方</w:t>
      </w:r>
      <w:r>
        <w:rPr>
          <w:rFonts w:hint="eastAsia"/>
          <w:szCs w:val="21"/>
          <w:highlight w:val="none"/>
        </w:rPr>
        <w:t>应成立专门的项目组织机构，保证检测范围内的施工现场至少有一名固定的检测人员负责，该人员须保证每日对该现场不少于一次的现场巡视，必须填写现场放置的第三方服务类单位工程日志，做好台账登记，及时完成现场检测和检查工作。项目负责人须保证每周对检测范围内的所有土建施工现场不少于一次的现场巡视，并填写工程日志，做好台账登记。</w:t>
      </w:r>
    </w:p>
    <w:p w14:paraId="738D8C26">
      <w:pPr>
        <w:spacing w:line="440" w:lineRule="exact"/>
        <w:ind w:firstLine="359" w:firstLineChars="171"/>
        <w:rPr>
          <w:rFonts w:hint="eastAsia"/>
          <w:szCs w:val="21"/>
          <w:highlight w:val="none"/>
        </w:rPr>
      </w:pPr>
      <w:r>
        <w:rPr>
          <w:rFonts w:hint="eastAsia"/>
          <w:szCs w:val="21"/>
          <w:highlight w:val="none"/>
        </w:rPr>
        <w:t>9、外地</w:t>
      </w:r>
      <w:r>
        <w:rPr>
          <w:rFonts w:hint="eastAsia"/>
          <w:szCs w:val="21"/>
          <w:highlight w:val="none"/>
          <w:lang w:val="en-US" w:eastAsia="zh-CN"/>
        </w:rPr>
        <w:t>企业</w:t>
      </w:r>
      <w:r>
        <w:rPr>
          <w:rFonts w:hint="eastAsia"/>
          <w:szCs w:val="21"/>
          <w:highlight w:val="none"/>
        </w:rPr>
        <w:t>中标后须在滁州市设立常</w:t>
      </w:r>
      <w:r>
        <w:rPr>
          <w:rFonts w:hint="eastAsia"/>
          <w:szCs w:val="21"/>
          <w:highlight w:val="none"/>
          <w:lang w:val="en-US" w:eastAsia="zh-CN"/>
        </w:rPr>
        <w:t>驻</w:t>
      </w:r>
      <w:r>
        <w:rPr>
          <w:rFonts w:hint="eastAsia"/>
          <w:szCs w:val="21"/>
          <w:highlight w:val="none"/>
        </w:rPr>
        <w:t>机构，按工程需要和投标文件承诺配备工程技术人员和设备仪器。建立第三方检测工作程序及管理制度，保持人员相对稳定，在</w:t>
      </w:r>
      <w:r>
        <w:rPr>
          <w:rFonts w:hint="eastAsia"/>
          <w:highlight w:val="none"/>
        </w:rPr>
        <w:t>甲方</w:t>
      </w:r>
      <w:r>
        <w:rPr>
          <w:rFonts w:hint="eastAsia"/>
          <w:szCs w:val="21"/>
          <w:highlight w:val="none"/>
        </w:rPr>
        <w:t>的统一领导下按工作计划开展工作。在本地没有试验室的</w:t>
      </w:r>
      <w:r>
        <w:rPr>
          <w:rFonts w:hint="eastAsia"/>
          <w:szCs w:val="21"/>
          <w:highlight w:val="none"/>
          <w:lang w:val="en-US" w:eastAsia="zh-CN"/>
        </w:rPr>
        <w:t>乙方</w:t>
      </w:r>
      <w:r>
        <w:rPr>
          <w:rFonts w:hint="eastAsia"/>
          <w:szCs w:val="21"/>
          <w:highlight w:val="none"/>
        </w:rPr>
        <w:t>须承诺在合同签订后40个日历日内建成满足本项目需要的工地试验室，配备满足项目所需的所有所需的仪器、设备，如为外地</w:t>
      </w:r>
      <w:r>
        <w:rPr>
          <w:rFonts w:hint="eastAsia"/>
          <w:szCs w:val="21"/>
          <w:highlight w:val="none"/>
          <w:lang w:val="en-US" w:eastAsia="zh-CN"/>
        </w:rPr>
        <w:t>企业</w:t>
      </w:r>
      <w:r>
        <w:rPr>
          <w:rFonts w:hint="eastAsia"/>
          <w:szCs w:val="21"/>
          <w:highlight w:val="none"/>
        </w:rPr>
        <w:t>中标，须由授权代表在中标后合同签订前书面承诺“我方承诺在合同签订后40个日历日内建成满足本项目检测内容需要的工地试验室，配备满足项目所需的所有所需的仪器、设备，否则愿承担由此带来的一切后果” 不承诺或不能承诺的视为</w:t>
      </w:r>
      <w:r>
        <w:rPr>
          <w:rFonts w:hint="eastAsia"/>
          <w:szCs w:val="21"/>
          <w:highlight w:val="none"/>
          <w:lang w:val="en-US" w:eastAsia="zh-CN"/>
        </w:rPr>
        <w:t>乙方</w:t>
      </w:r>
      <w:r>
        <w:rPr>
          <w:rFonts w:hint="eastAsia"/>
          <w:szCs w:val="21"/>
          <w:highlight w:val="none"/>
        </w:rPr>
        <w:t>违约，自愿放弃中标资格且须赔偿</w:t>
      </w:r>
      <w:r>
        <w:rPr>
          <w:rFonts w:hint="eastAsia"/>
          <w:highlight w:val="none"/>
        </w:rPr>
        <w:t>甲方</w:t>
      </w:r>
      <w:r>
        <w:rPr>
          <w:rFonts w:hint="eastAsia"/>
          <w:szCs w:val="21"/>
          <w:highlight w:val="none"/>
        </w:rPr>
        <w:t>因此带来的损失。</w:t>
      </w:r>
    </w:p>
    <w:p w14:paraId="42E55F00">
      <w:pPr>
        <w:spacing w:line="440" w:lineRule="exact"/>
        <w:ind w:firstLine="359" w:firstLineChars="171"/>
        <w:rPr>
          <w:szCs w:val="21"/>
          <w:highlight w:val="none"/>
        </w:rPr>
      </w:pPr>
      <w:r>
        <w:rPr>
          <w:rFonts w:hint="eastAsia"/>
          <w:szCs w:val="21"/>
          <w:highlight w:val="none"/>
          <w:lang w:val="en-US" w:eastAsia="zh-CN"/>
        </w:rPr>
        <w:t>10、乙方</w:t>
      </w:r>
      <w:r>
        <w:rPr>
          <w:rFonts w:hint="eastAsia"/>
          <w:szCs w:val="21"/>
          <w:highlight w:val="none"/>
        </w:rPr>
        <w:t>须配合</w:t>
      </w:r>
      <w:r>
        <w:rPr>
          <w:rFonts w:hint="eastAsia"/>
          <w:highlight w:val="none"/>
        </w:rPr>
        <w:t>甲方</w:t>
      </w:r>
      <w:r>
        <w:rPr>
          <w:rFonts w:hint="eastAsia"/>
          <w:szCs w:val="21"/>
          <w:highlight w:val="none"/>
        </w:rPr>
        <w:t xml:space="preserve">定期对各施工单位的质量检测行为进行监督管理，对施工单位的试验室、现场标养室、试验资料、试验结果等进行检查、分析和考核。 </w:t>
      </w:r>
    </w:p>
    <w:p w14:paraId="2D31605C">
      <w:pPr>
        <w:spacing w:line="440" w:lineRule="exact"/>
        <w:ind w:firstLine="359" w:firstLineChars="171"/>
        <w:rPr>
          <w:szCs w:val="21"/>
          <w:highlight w:val="none"/>
        </w:rPr>
      </w:pPr>
      <w:r>
        <w:rPr>
          <w:rFonts w:hint="eastAsia"/>
          <w:szCs w:val="21"/>
          <w:highlight w:val="none"/>
        </w:rPr>
        <w:t>1</w:t>
      </w:r>
      <w:r>
        <w:rPr>
          <w:rFonts w:hint="eastAsia"/>
          <w:szCs w:val="21"/>
          <w:highlight w:val="none"/>
          <w:lang w:val="en-US" w:eastAsia="zh-CN"/>
        </w:rPr>
        <w:t>1</w:t>
      </w:r>
      <w:r>
        <w:rPr>
          <w:rFonts w:hint="eastAsia"/>
          <w:szCs w:val="21"/>
          <w:highlight w:val="none"/>
        </w:rPr>
        <w:t>、</w:t>
      </w:r>
      <w:r>
        <w:rPr>
          <w:rFonts w:hint="eastAsia"/>
          <w:szCs w:val="21"/>
          <w:highlight w:val="none"/>
          <w:lang w:val="en-US" w:eastAsia="zh-CN"/>
        </w:rPr>
        <w:t>乙方</w:t>
      </w:r>
      <w:r>
        <w:rPr>
          <w:rFonts w:hint="eastAsia"/>
          <w:szCs w:val="21"/>
          <w:highlight w:val="none"/>
        </w:rPr>
        <w:t>须提供根据每月材料进场计划制定的抽检计划，并报</w:t>
      </w:r>
      <w:r>
        <w:rPr>
          <w:rFonts w:hint="eastAsia"/>
          <w:highlight w:val="none"/>
        </w:rPr>
        <w:t>甲方</w:t>
      </w:r>
      <w:r>
        <w:rPr>
          <w:rFonts w:hint="eastAsia"/>
          <w:szCs w:val="21"/>
          <w:highlight w:val="none"/>
        </w:rPr>
        <w:t xml:space="preserve">审批。 </w:t>
      </w:r>
    </w:p>
    <w:p w14:paraId="02A16649">
      <w:pPr>
        <w:spacing w:line="440" w:lineRule="exact"/>
        <w:ind w:firstLine="359" w:firstLineChars="171"/>
        <w:rPr>
          <w:szCs w:val="21"/>
          <w:highlight w:val="none"/>
        </w:rPr>
      </w:pPr>
      <w:r>
        <w:rPr>
          <w:rFonts w:hint="eastAsia"/>
          <w:szCs w:val="21"/>
          <w:highlight w:val="none"/>
        </w:rPr>
        <w:t>12、根据工程进度需要，确保各项试验检测工作正常开展，试验、检测工作从以下几个方面进行：</w:t>
      </w:r>
    </w:p>
    <w:p w14:paraId="54D413D0">
      <w:pPr>
        <w:spacing w:line="440" w:lineRule="exact"/>
        <w:ind w:firstLine="359" w:firstLineChars="171"/>
        <w:rPr>
          <w:szCs w:val="21"/>
          <w:highlight w:val="none"/>
        </w:rPr>
      </w:pPr>
      <w:r>
        <w:rPr>
          <w:rFonts w:hint="eastAsia"/>
          <w:szCs w:val="21"/>
          <w:highlight w:val="none"/>
        </w:rPr>
        <w:t>1）</w:t>
      </w:r>
      <w:r>
        <w:rPr>
          <w:rFonts w:hint="eastAsia"/>
          <w:szCs w:val="21"/>
          <w:highlight w:val="none"/>
          <w:lang w:val="en-US" w:eastAsia="zh-CN"/>
        </w:rPr>
        <w:t>乙方</w:t>
      </w:r>
      <w:r>
        <w:rPr>
          <w:rFonts w:hint="eastAsia"/>
          <w:szCs w:val="21"/>
          <w:highlight w:val="none"/>
        </w:rPr>
        <w:t>须在授权范围内开展检测工作；</w:t>
      </w:r>
    </w:p>
    <w:p w14:paraId="264A3515">
      <w:pPr>
        <w:spacing w:line="440" w:lineRule="exact"/>
        <w:ind w:firstLine="359" w:firstLineChars="171"/>
        <w:rPr>
          <w:szCs w:val="21"/>
          <w:highlight w:val="none"/>
        </w:rPr>
      </w:pPr>
      <w:r>
        <w:rPr>
          <w:rFonts w:hint="eastAsia"/>
          <w:szCs w:val="21"/>
          <w:highlight w:val="none"/>
        </w:rPr>
        <w:t>2）在接到</w:t>
      </w:r>
      <w:r>
        <w:rPr>
          <w:rFonts w:hint="eastAsia"/>
          <w:highlight w:val="none"/>
        </w:rPr>
        <w:t>甲方</w:t>
      </w:r>
      <w:r>
        <w:rPr>
          <w:rFonts w:hint="eastAsia"/>
          <w:szCs w:val="21"/>
          <w:highlight w:val="none"/>
        </w:rPr>
        <w:t>的指令后，</w:t>
      </w:r>
      <w:r>
        <w:rPr>
          <w:rFonts w:hint="eastAsia"/>
          <w:szCs w:val="21"/>
          <w:highlight w:val="none"/>
          <w:lang w:val="en-US" w:eastAsia="zh-CN"/>
        </w:rPr>
        <w:t>乙方</w:t>
      </w:r>
      <w:r>
        <w:rPr>
          <w:rFonts w:hint="eastAsia"/>
          <w:szCs w:val="21"/>
          <w:highlight w:val="none"/>
        </w:rPr>
        <w:t>应于24小时到场，并做好检测前的相应准备工作；</w:t>
      </w:r>
    </w:p>
    <w:p w14:paraId="740B39AE">
      <w:pPr>
        <w:spacing w:line="440" w:lineRule="exact"/>
        <w:ind w:firstLine="359" w:firstLineChars="171"/>
        <w:rPr>
          <w:szCs w:val="21"/>
          <w:highlight w:val="none"/>
        </w:rPr>
      </w:pPr>
      <w:r>
        <w:rPr>
          <w:rFonts w:hint="eastAsia"/>
          <w:szCs w:val="21"/>
          <w:highlight w:val="none"/>
        </w:rPr>
        <w:t>3）</w:t>
      </w:r>
      <w:r>
        <w:rPr>
          <w:rFonts w:hint="eastAsia"/>
          <w:szCs w:val="21"/>
          <w:highlight w:val="none"/>
          <w:lang w:val="en-US" w:eastAsia="zh-CN"/>
        </w:rPr>
        <w:t>乙方</w:t>
      </w:r>
      <w:r>
        <w:rPr>
          <w:rFonts w:hint="eastAsia"/>
          <w:szCs w:val="21"/>
          <w:highlight w:val="none"/>
        </w:rPr>
        <w:t>应按</w:t>
      </w:r>
      <w:r>
        <w:rPr>
          <w:rFonts w:hint="eastAsia"/>
          <w:highlight w:val="none"/>
        </w:rPr>
        <w:t>甲方</w:t>
      </w:r>
      <w:r>
        <w:rPr>
          <w:rFonts w:hint="eastAsia"/>
          <w:szCs w:val="21"/>
          <w:highlight w:val="none"/>
        </w:rPr>
        <w:t>的要求开展检测工作，在检测完成后24小时内出具检测报告；</w:t>
      </w:r>
    </w:p>
    <w:p w14:paraId="4748FC53">
      <w:pPr>
        <w:spacing w:line="440" w:lineRule="exact"/>
        <w:ind w:firstLine="359" w:firstLineChars="171"/>
        <w:rPr>
          <w:szCs w:val="21"/>
          <w:highlight w:val="none"/>
        </w:rPr>
      </w:pPr>
      <w:r>
        <w:rPr>
          <w:rFonts w:hint="eastAsia"/>
          <w:szCs w:val="21"/>
          <w:highlight w:val="none"/>
        </w:rPr>
        <w:t>4）对检测不合格的项目，</w:t>
      </w:r>
      <w:r>
        <w:rPr>
          <w:rFonts w:hint="eastAsia"/>
          <w:szCs w:val="21"/>
          <w:highlight w:val="none"/>
          <w:lang w:val="en-US" w:eastAsia="zh-CN"/>
        </w:rPr>
        <w:t>乙方</w:t>
      </w:r>
      <w:r>
        <w:rPr>
          <w:rFonts w:hint="eastAsia"/>
          <w:szCs w:val="21"/>
          <w:highlight w:val="none"/>
        </w:rPr>
        <w:t>应于6小时内报告</w:t>
      </w:r>
      <w:r>
        <w:rPr>
          <w:rFonts w:hint="eastAsia"/>
          <w:highlight w:val="none"/>
        </w:rPr>
        <w:t>甲方</w:t>
      </w:r>
      <w:r>
        <w:rPr>
          <w:rFonts w:hint="eastAsia"/>
          <w:szCs w:val="21"/>
          <w:highlight w:val="none"/>
        </w:rPr>
        <w:t>；</w:t>
      </w:r>
    </w:p>
    <w:p w14:paraId="3B37FDA6">
      <w:pPr>
        <w:spacing w:line="440" w:lineRule="exact"/>
        <w:ind w:firstLine="315" w:firstLineChars="150"/>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rPr>
        <w:t>13、</w:t>
      </w:r>
      <w:r>
        <w:rPr>
          <w:rFonts w:hint="eastAsia"/>
          <w:szCs w:val="21"/>
          <w:highlight w:val="none"/>
          <w:lang w:val="en-US" w:eastAsia="zh-CN"/>
        </w:rPr>
        <w:t>乙方</w:t>
      </w:r>
      <w:r>
        <w:rPr>
          <w:rFonts w:hint="eastAsia" w:ascii="Times New Roman" w:hAnsi="Times New Roman" w:eastAsia="宋体" w:cs="Times New Roman"/>
          <w:szCs w:val="21"/>
          <w:highlight w:val="none"/>
        </w:rPr>
        <w:t>须按工程需要和投标文件承诺配备工程技术人员和设备仪器，车辆不少于 2 辆，并为检测人员配备办公设备和用品。建立第三方专项检测工作程序及管理制度，保持人员相对稳定，在</w:t>
      </w:r>
      <w:r>
        <w:rPr>
          <w:rFonts w:hint="eastAsia"/>
          <w:highlight w:val="none"/>
        </w:rPr>
        <w:t>甲方</w:t>
      </w:r>
      <w:r>
        <w:rPr>
          <w:rFonts w:hint="eastAsia" w:ascii="Times New Roman" w:hAnsi="Times New Roman" w:eastAsia="宋体" w:cs="Times New Roman"/>
          <w:szCs w:val="21"/>
          <w:highlight w:val="none"/>
        </w:rPr>
        <w:t xml:space="preserve">的统一领导下按工作计划开展工作。  </w:t>
      </w:r>
    </w:p>
    <w:p w14:paraId="2ADFC488">
      <w:pPr>
        <w:spacing w:line="440" w:lineRule="exact"/>
        <w:ind w:firstLine="315" w:firstLineChars="15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14、</w:t>
      </w:r>
      <w:r>
        <w:rPr>
          <w:rFonts w:hint="eastAsia"/>
          <w:szCs w:val="21"/>
          <w:highlight w:val="none"/>
          <w:lang w:val="en-US" w:eastAsia="zh-CN"/>
        </w:rPr>
        <w:t>乙方</w:t>
      </w:r>
      <w:r>
        <w:rPr>
          <w:rFonts w:hint="eastAsia" w:ascii="Times New Roman" w:hAnsi="Times New Roman" w:eastAsia="宋体" w:cs="Times New Roman"/>
          <w:szCs w:val="21"/>
          <w:highlight w:val="none"/>
        </w:rPr>
        <w:t>所有的检测报告要及时归档、整理，并作为工程质量验收资料。确保配合完成土建施工等相关单位资料组卷、移交工作。</w:t>
      </w:r>
    </w:p>
    <w:p w14:paraId="66118600">
      <w:pPr>
        <w:spacing w:line="500" w:lineRule="exact"/>
        <w:ind w:firstLine="315" w:firstLineChars="150"/>
        <w:rPr>
          <w:szCs w:val="21"/>
          <w:highlight w:val="none"/>
        </w:rPr>
      </w:pPr>
      <w:r>
        <w:rPr>
          <w:rFonts w:hint="eastAsia" w:ascii="Times New Roman" w:hAnsi="Times New Roman" w:eastAsia="宋体" w:cs="Times New Roman"/>
          <w:szCs w:val="21"/>
          <w:highlight w:val="none"/>
          <w:lang w:val="en-US" w:eastAsia="zh-CN"/>
        </w:rPr>
        <w:t>15、</w:t>
      </w:r>
      <w:r>
        <w:rPr>
          <w:rFonts w:hint="eastAsia"/>
          <w:szCs w:val="21"/>
          <w:highlight w:val="none"/>
          <w:lang w:val="en-US" w:eastAsia="zh-CN"/>
        </w:rPr>
        <w:t>乙方</w:t>
      </w:r>
      <w:r>
        <w:rPr>
          <w:rFonts w:hint="eastAsia" w:ascii="Times New Roman" w:hAnsi="Times New Roman" w:eastAsia="宋体" w:cs="Times New Roman"/>
          <w:szCs w:val="21"/>
          <w:highlight w:val="none"/>
        </w:rPr>
        <w:t>须服从发包人的相关管理制度。</w:t>
      </w:r>
      <w:r>
        <w:rPr>
          <w:rFonts w:hint="eastAsia"/>
          <w:szCs w:val="21"/>
          <w:highlight w:val="none"/>
        </w:rPr>
        <w:t xml:space="preserve">  </w:t>
      </w:r>
    </w:p>
    <w:p w14:paraId="435C3127">
      <w:pPr>
        <w:spacing w:line="500" w:lineRule="exact"/>
        <w:ind w:firstLine="316" w:firstLineChars="150"/>
        <w:rPr>
          <w:b/>
          <w:highlight w:val="none"/>
        </w:rPr>
      </w:pPr>
      <w:r>
        <w:rPr>
          <w:rFonts w:hint="eastAsia"/>
          <w:b/>
          <w:highlight w:val="none"/>
        </w:rPr>
        <w:t>第二条  项目主要人员</w:t>
      </w:r>
    </w:p>
    <w:p w14:paraId="75A5B57A">
      <w:pPr>
        <w:spacing w:line="500" w:lineRule="exact"/>
        <w:ind w:firstLine="316" w:firstLineChars="150"/>
        <w:rPr>
          <w:b/>
          <w:highlight w:val="none"/>
        </w:rPr>
      </w:pPr>
      <w:r>
        <w:rPr>
          <w:rFonts w:hint="eastAsia"/>
          <w:b/>
          <w:highlight w:val="none"/>
        </w:rPr>
        <w:t>乙方承诺投入检测工作人员</w:t>
      </w:r>
    </w:p>
    <w:tbl>
      <w:tblPr>
        <w:tblStyle w:val="47"/>
        <w:tblW w:w="8312" w:type="dxa"/>
        <w:tblInd w:w="4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488"/>
        <w:gridCol w:w="2000"/>
        <w:gridCol w:w="2182"/>
        <w:gridCol w:w="1886"/>
      </w:tblGrid>
      <w:tr w14:paraId="373B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56" w:type="dxa"/>
            <w:noWrap w:val="0"/>
            <w:vAlign w:val="top"/>
          </w:tcPr>
          <w:p w14:paraId="5482DC78">
            <w:pPr>
              <w:keepNext w:val="0"/>
              <w:keepLines w:val="0"/>
              <w:suppressLineNumbers w:val="0"/>
              <w:spacing w:before="0" w:beforeAutospacing="0" w:after="0" w:afterAutospacing="0" w:line="500" w:lineRule="exact"/>
              <w:ind w:left="0" w:right="0"/>
              <w:rPr>
                <w:rFonts w:hint="default"/>
                <w:szCs w:val="21"/>
                <w:highlight w:val="none"/>
              </w:rPr>
            </w:pPr>
            <w:r>
              <w:rPr>
                <w:rFonts w:hint="eastAsia"/>
                <w:szCs w:val="21"/>
                <w:highlight w:val="none"/>
              </w:rPr>
              <w:t>序号</w:t>
            </w:r>
          </w:p>
        </w:tc>
        <w:tc>
          <w:tcPr>
            <w:tcW w:w="1488" w:type="dxa"/>
            <w:noWrap w:val="0"/>
            <w:vAlign w:val="top"/>
          </w:tcPr>
          <w:p w14:paraId="625F1865">
            <w:pPr>
              <w:keepNext w:val="0"/>
              <w:keepLines w:val="0"/>
              <w:suppressLineNumbers w:val="0"/>
              <w:spacing w:before="0" w:beforeAutospacing="0" w:after="0" w:afterAutospacing="0" w:line="500" w:lineRule="exact"/>
              <w:ind w:left="0" w:right="0" w:firstLine="359" w:firstLineChars="171"/>
              <w:rPr>
                <w:rFonts w:hint="default"/>
                <w:szCs w:val="21"/>
                <w:highlight w:val="none"/>
              </w:rPr>
            </w:pPr>
            <w:r>
              <w:rPr>
                <w:rFonts w:hint="eastAsia"/>
                <w:szCs w:val="21"/>
                <w:highlight w:val="none"/>
              </w:rPr>
              <w:t>姓名</w:t>
            </w:r>
          </w:p>
        </w:tc>
        <w:tc>
          <w:tcPr>
            <w:tcW w:w="2000" w:type="dxa"/>
            <w:noWrap w:val="0"/>
            <w:vAlign w:val="top"/>
          </w:tcPr>
          <w:p w14:paraId="0EA4D2DB">
            <w:pPr>
              <w:keepNext w:val="0"/>
              <w:keepLines w:val="0"/>
              <w:suppressLineNumbers w:val="0"/>
              <w:spacing w:before="0" w:beforeAutospacing="0" w:after="0" w:afterAutospacing="0" w:line="500" w:lineRule="exact"/>
              <w:ind w:left="0" w:right="0" w:firstLine="630" w:firstLineChars="300"/>
              <w:rPr>
                <w:rFonts w:hint="default"/>
                <w:szCs w:val="21"/>
                <w:highlight w:val="none"/>
              </w:rPr>
            </w:pPr>
            <w:r>
              <w:rPr>
                <w:rFonts w:hint="eastAsia"/>
                <w:szCs w:val="21"/>
                <w:highlight w:val="none"/>
              </w:rPr>
              <w:t>岗位</w:t>
            </w:r>
          </w:p>
        </w:tc>
        <w:tc>
          <w:tcPr>
            <w:tcW w:w="2182" w:type="dxa"/>
            <w:noWrap w:val="0"/>
            <w:vAlign w:val="top"/>
          </w:tcPr>
          <w:p w14:paraId="7BA0BE41">
            <w:pPr>
              <w:keepNext w:val="0"/>
              <w:keepLines w:val="0"/>
              <w:suppressLineNumbers w:val="0"/>
              <w:spacing w:before="0" w:beforeAutospacing="0" w:after="0" w:afterAutospacing="0" w:line="500" w:lineRule="exact"/>
              <w:ind w:left="0" w:right="0"/>
              <w:jc w:val="center"/>
              <w:rPr>
                <w:rFonts w:hint="default"/>
                <w:szCs w:val="21"/>
                <w:highlight w:val="none"/>
              </w:rPr>
            </w:pPr>
            <w:r>
              <w:rPr>
                <w:rFonts w:hint="eastAsia"/>
                <w:szCs w:val="21"/>
                <w:highlight w:val="none"/>
              </w:rPr>
              <w:t>资格</w:t>
            </w:r>
          </w:p>
        </w:tc>
        <w:tc>
          <w:tcPr>
            <w:tcW w:w="1886" w:type="dxa"/>
            <w:noWrap w:val="0"/>
            <w:vAlign w:val="top"/>
          </w:tcPr>
          <w:p w14:paraId="363D2BA1">
            <w:pPr>
              <w:keepNext w:val="0"/>
              <w:keepLines w:val="0"/>
              <w:suppressLineNumbers w:val="0"/>
              <w:spacing w:before="0" w:beforeAutospacing="0" w:after="0" w:afterAutospacing="0" w:line="500" w:lineRule="exact"/>
              <w:ind w:left="0" w:right="0"/>
              <w:jc w:val="center"/>
              <w:rPr>
                <w:rFonts w:hint="default"/>
                <w:szCs w:val="21"/>
                <w:highlight w:val="none"/>
              </w:rPr>
            </w:pPr>
            <w:r>
              <w:rPr>
                <w:rFonts w:hint="eastAsia"/>
                <w:szCs w:val="21"/>
                <w:highlight w:val="none"/>
              </w:rPr>
              <w:t>备注</w:t>
            </w:r>
          </w:p>
        </w:tc>
      </w:tr>
      <w:tr w14:paraId="0237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497CE672">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1</w:t>
            </w:r>
          </w:p>
        </w:tc>
        <w:tc>
          <w:tcPr>
            <w:tcW w:w="1488" w:type="dxa"/>
            <w:noWrap w:val="0"/>
            <w:vAlign w:val="center"/>
          </w:tcPr>
          <w:p w14:paraId="113A306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6797DD9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项目负责人</w:t>
            </w:r>
          </w:p>
        </w:tc>
        <w:tc>
          <w:tcPr>
            <w:tcW w:w="2182" w:type="dxa"/>
            <w:noWrap w:val="0"/>
            <w:vAlign w:val="center"/>
          </w:tcPr>
          <w:p w14:paraId="00AB00F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2306F6D4">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34FB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5EC49E90">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2</w:t>
            </w:r>
          </w:p>
        </w:tc>
        <w:tc>
          <w:tcPr>
            <w:tcW w:w="1488" w:type="dxa"/>
            <w:noWrap w:val="0"/>
            <w:vAlign w:val="center"/>
          </w:tcPr>
          <w:p w14:paraId="163E05FB">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15EFD0E6">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p>
        </w:tc>
        <w:tc>
          <w:tcPr>
            <w:tcW w:w="2182" w:type="dxa"/>
            <w:noWrap w:val="0"/>
            <w:vAlign w:val="center"/>
          </w:tcPr>
          <w:p w14:paraId="11786449">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3CDD7499">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617C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2F73BBCA">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3</w:t>
            </w:r>
          </w:p>
        </w:tc>
        <w:tc>
          <w:tcPr>
            <w:tcW w:w="1488" w:type="dxa"/>
            <w:noWrap w:val="0"/>
            <w:vAlign w:val="center"/>
          </w:tcPr>
          <w:p w14:paraId="5A61CAF3">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76947F13">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3EE33789">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30DBBC12">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274C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1FE44BC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4</w:t>
            </w:r>
          </w:p>
        </w:tc>
        <w:tc>
          <w:tcPr>
            <w:tcW w:w="1488" w:type="dxa"/>
            <w:noWrap w:val="0"/>
            <w:vAlign w:val="center"/>
          </w:tcPr>
          <w:p w14:paraId="0431E1FE">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2450136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24DB122A">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4D65ED5F">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0C11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4C4C4EC5">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5</w:t>
            </w:r>
          </w:p>
        </w:tc>
        <w:tc>
          <w:tcPr>
            <w:tcW w:w="1488" w:type="dxa"/>
            <w:noWrap w:val="0"/>
            <w:vAlign w:val="center"/>
          </w:tcPr>
          <w:p w14:paraId="48C97D96">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52A2276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4BB55D8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6DB9F3D4">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4047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6D241F57">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6</w:t>
            </w:r>
          </w:p>
        </w:tc>
        <w:tc>
          <w:tcPr>
            <w:tcW w:w="1488" w:type="dxa"/>
            <w:noWrap w:val="0"/>
            <w:vAlign w:val="center"/>
          </w:tcPr>
          <w:p w14:paraId="70FA32C8">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310BF9F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3EAF646B">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7B1DEBBA">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2161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5AF06A8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7</w:t>
            </w:r>
          </w:p>
        </w:tc>
        <w:tc>
          <w:tcPr>
            <w:tcW w:w="1488" w:type="dxa"/>
            <w:noWrap w:val="0"/>
            <w:vAlign w:val="center"/>
          </w:tcPr>
          <w:p w14:paraId="796A0C42">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2D52894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4F31CC3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5ABA5C5A">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50B6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1522589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8</w:t>
            </w:r>
          </w:p>
        </w:tc>
        <w:tc>
          <w:tcPr>
            <w:tcW w:w="1488" w:type="dxa"/>
            <w:noWrap w:val="0"/>
            <w:vAlign w:val="center"/>
          </w:tcPr>
          <w:p w14:paraId="101E3C3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2FC8C2A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2274514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32DD5B05">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1E3B6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0DDC6D3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9</w:t>
            </w:r>
          </w:p>
        </w:tc>
        <w:tc>
          <w:tcPr>
            <w:tcW w:w="1488" w:type="dxa"/>
            <w:noWrap w:val="0"/>
            <w:vAlign w:val="center"/>
          </w:tcPr>
          <w:p w14:paraId="66379FA9">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4B4E2A6B">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3E0B09C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73E24711">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bl>
    <w:p w14:paraId="38755367">
      <w:pPr>
        <w:spacing w:line="500" w:lineRule="exact"/>
        <w:ind w:firstLine="316" w:firstLineChars="150"/>
        <w:rPr>
          <w:b/>
          <w:highlight w:val="none"/>
        </w:rPr>
      </w:pPr>
      <w:r>
        <w:rPr>
          <w:rFonts w:hint="eastAsia"/>
          <w:b/>
          <w:highlight w:val="none"/>
        </w:rPr>
        <w:t>第三条 试验检测依据</w:t>
      </w:r>
    </w:p>
    <w:p w14:paraId="222280E0">
      <w:pPr>
        <w:spacing w:line="500" w:lineRule="exact"/>
        <w:ind w:firstLine="315" w:firstLineChars="150"/>
        <w:rPr>
          <w:highlight w:val="none"/>
        </w:rPr>
      </w:pPr>
      <w:r>
        <w:rPr>
          <w:rFonts w:hint="eastAsia"/>
          <w:highlight w:val="none"/>
        </w:rPr>
        <w:t>3.1 国家和相关行业现行有效的有关标准、规范、规程。</w:t>
      </w:r>
    </w:p>
    <w:p w14:paraId="2454DCEE">
      <w:pPr>
        <w:spacing w:line="500" w:lineRule="exact"/>
        <w:ind w:firstLine="315" w:firstLineChars="150"/>
        <w:rPr>
          <w:highlight w:val="none"/>
        </w:rPr>
      </w:pPr>
      <w:r>
        <w:rPr>
          <w:rFonts w:hint="eastAsia"/>
          <w:highlight w:val="none"/>
        </w:rPr>
        <w:t>3.2 设计文件及</w:t>
      </w:r>
      <w:r>
        <w:rPr>
          <w:rFonts w:hint="eastAsia"/>
          <w:highlight w:val="none"/>
          <w:lang w:eastAsia="zh-CN"/>
        </w:rPr>
        <w:t>甲方</w:t>
      </w:r>
      <w:r>
        <w:rPr>
          <w:rFonts w:hint="eastAsia"/>
          <w:highlight w:val="none"/>
        </w:rPr>
        <w:t>签认的有关技术文件、资料。</w:t>
      </w:r>
    </w:p>
    <w:p w14:paraId="0C1565E5">
      <w:pPr>
        <w:spacing w:line="500" w:lineRule="exact"/>
        <w:ind w:firstLine="315" w:firstLineChars="150"/>
        <w:rPr>
          <w:highlight w:val="none"/>
        </w:rPr>
      </w:pPr>
      <w:r>
        <w:rPr>
          <w:rFonts w:hint="eastAsia"/>
          <w:highlight w:val="none"/>
        </w:rPr>
        <w:t>3.3 上述依据若有不一致之处，以对试验检测质量要求最高者为准。</w:t>
      </w:r>
    </w:p>
    <w:p w14:paraId="734F6B6E">
      <w:pPr>
        <w:spacing w:line="500" w:lineRule="exact"/>
        <w:ind w:firstLine="316" w:firstLineChars="150"/>
        <w:rPr>
          <w:b/>
          <w:highlight w:val="none"/>
        </w:rPr>
      </w:pPr>
      <w:r>
        <w:rPr>
          <w:rFonts w:hint="eastAsia"/>
          <w:b/>
          <w:highlight w:val="none"/>
        </w:rPr>
        <w:t>第四条 履行期限、地点和方式</w:t>
      </w:r>
    </w:p>
    <w:p w14:paraId="4D6A2AFB">
      <w:pPr>
        <w:spacing w:line="500" w:lineRule="exact"/>
        <w:ind w:firstLine="315" w:firstLineChars="150"/>
        <w:rPr>
          <w:rFonts w:hint="default" w:eastAsia="宋体"/>
          <w:highlight w:val="none"/>
          <w:u w:val="single"/>
          <w:lang w:val="en-US" w:eastAsia="zh-CN"/>
        </w:rPr>
      </w:pPr>
      <w:r>
        <w:rPr>
          <w:rFonts w:hint="eastAsia"/>
          <w:highlight w:val="none"/>
        </w:rPr>
        <w:t>4.1本合同</w:t>
      </w:r>
      <w:r>
        <w:rPr>
          <w:rFonts w:hint="eastAsia"/>
          <w:highlight w:val="none"/>
          <w:lang w:val="en-US" w:eastAsia="zh-CN"/>
        </w:rPr>
        <w:t>履行期限</w:t>
      </w:r>
      <w:r>
        <w:rPr>
          <w:rFonts w:hint="eastAsia"/>
          <w:highlight w:val="none"/>
          <w:u w:val="none"/>
          <w:lang w:eastAsia="zh-CN"/>
        </w:rPr>
        <w:t>：</w:t>
      </w:r>
      <w:r>
        <w:rPr>
          <w:rFonts w:hint="eastAsia"/>
          <w:highlight w:val="none"/>
          <w:u w:val="single"/>
          <w:lang w:val="en-US" w:eastAsia="zh-CN"/>
        </w:rPr>
        <w:t xml:space="preserve">                      </w:t>
      </w:r>
      <w:r>
        <w:rPr>
          <w:rFonts w:hint="eastAsia"/>
          <w:highlight w:val="none"/>
          <w:u w:val="single"/>
        </w:rPr>
        <w:t xml:space="preserve"> </w:t>
      </w:r>
      <w:r>
        <w:rPr>
          <w:rFonts w:hint="eastAsia"/>
          <w:highlight w:val="none"/>
          <w:u w:val="single"/>
          <w:lang w:val="en-US" w:eastAsia="zh-CN"/>
        </w:rPr>
        <w:t xml:space="preserve">   </w:t>
      </w:r>
    </w:p>
    <w:p w14:paraId="7DCBC75E">
      <w:pPr>
        <w:spacing w:line="500" w:lineRule="exact"/>
        <w:ind w:firstLine="315" w:firstLineChars="150"/>
        <w:rPr>
          <w:highlight w:val="none"/>
          <w:u w:val="single"/>
        </w:rPr>
      </w:pPr>
      <w:r>
        <w:rPr>
          <w:rFonts w:hint="eastAsia"/>
          <w:highlight w:val="none"/>
        </w:rPr>
        <w:t>4.2本合同的履行方式：</w:t>
      </w:r>
    </w:p>
    <w:p w14:paraId="256E2EC0">
      <w:pPr>
        <w:numPr>
          <w:ilvl w:val="0"/>
          <w:numId w:val="3"/>
        </w:numPr>
        <w:spacing w:line="500" w:lineRule="exact"/>
        <w:ind w:firstLine="316" w:firstLineChars="150"/>
        <w:rPr>
          <w:b/>
          <w:highlight w:val="none"/>
        </w:rPr>
      </w:pPr>
      <w:r>
        <w:rPr>
          <w:rFonts w:hint="eastAsia"/>
          <w:b/>
          <w:highlight w:val="none"/>
        </w:rPr>
        <w:t>计价方式、报酬及支付方式</w:t>
      </w:r>
    </w:p>
    <w:p w14:paraId="55610779">
      <w:pPr>
        <w:snapToGrid w:val="0"/>
        <w:spacing w:line="500" w:lineRule="exact"/>
        <w:ind w:firstLine="420" w:firstLineChars="200"/>
        <w:rPr>
          <w:rFonts w:ascii="宋体"/>
          <w:szCs w:val="21"/>
          <w:highlight w:val="none"/>
        </w:rPr>
      </w:pPr>
      <w:r>
        <w:rPr>
          <w:rFonts w:hint="eastAsia"/>
          <w:szCs w:val="21"/>
          <w:highlight w:val="none"/>
        </w:rPr>
        <w:t>5.1 本项</w:t>
      </w:r>
      <w:r>
        <w:rPr>
          <w:rFonts w:hint="eastAsia" w:ascii="宋体" w:hAnsi="宋体" w:cs="宋体"/>
          <w:szCs w:val="21"/>
          <w:highlight w:val="none"/>
        </w:rPr>
        <w:t>目合同计价方式</w:t>
      </w:r>
      <w:r>
        <w:rPr>
          <w:rFonts w:hint="eastAsia"/>
          <w:szCs w:val="21"/>
          <w:highlight w:val="none"/>
        </w:rPr>
        <w:t>：</w:t>
      </w:r>
      <w:r>
        <w:rPr>
          <w:rFonts w:hint="eastAsia" w:ascii="宋体" w:hAnsi="宋体" w:cs="宋体"/>
          <w:b/>
          <w:bCs/>
          <w:szCs w:val="21"/>
          <w:highlight w:val="none"/>
          <w:u w:val="single"/>
        </w:rPr>
        <w:t>固定</w:t>
      </w:r>
      <w:r>
        <w:rPr>
          <w:rFonts w:hint="eastAsia" w:ascii="宋体" w:hAnsi="宋体" w:cs="宋体"/>
          <w:b/>
          <w:bCs/>
          <w:szCs w:val="21"/>
          <w:highlight w:val="none"/>
          <w:u w:val="single"/>
          <w:lang w:val="en-US" w:eastAsia="zh-CN"/>
        </w:rPr>
        <w:t>费率</w:t>
      </w:r>
      <w:r>
        <w:rPr>
          <w:rFonts w:hint="eastAsia" w:ascii="宋体" w:hAnsi="宋体" w:cs="宋体"/>
          <w:b/>
          <w:bCs/>
          <w:szCs w:val="21"/>
          <w:highlight w:val="none"/>
          <w:u w:val="single"/>
        </w:rPr>
        <w:t>。</w:t>
      </w:r>
    </w:p>
    <w:p w14:paraId="0683E744">
      <w:pPr>
        <w:pStyle w:val="24"/>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szCs w:val="21"/>
          <w:highlight w:val="none"/>
          <w:u w:val="single"/>
        </w:rPr>
      </w:pPr>
      <w:r>
        <w:rPr>
          <w:rFonts w:hint="eastAsia" w:ascii="Times New Roman" w:hAnsi="Times New Roman" w:eastAsia="宋体" w:cs="Times New Roman"/>
          <w:color w:val="auto"/>
          <w:kern w:val="2"/>
          <w:sz w:val="21"/>
          <w:szCs w:val="21"/>
          <w:highlight w:val="none"/>
          <w:u w:val="none"/>
          <w:lang w:val="en-US" w:eastAsia="zh-CN" w:bidi="ar-SA"/>
        </w:rPr>
        <w:t xml:space="preserve">5.2 </w:t>
      </w:r>
      <w:r>
        <w:rPr>
          <w:rFonts w:hint="eastAsia"/>
          <w:szCs w:val="21"/>
          <w:highlight w:val="none"/>
        </w:rPr>
        <w:t>本合同检测费</w:t>
      </w:r>
      <w:r>
        <w:rPr>
          <w:rFonts w:hint="eastAsia"/>
          <w:szCs w:val="21"/>
          <w:highlight w:val="none"/>
          <w:lang w:val="en-US" w:eastAsia="zh-CN"/>
        </w:rPr>
        <w:t>率</w:t>
      </w:r>
      <w:r>
        <w:rPr>
          <w:rFonts w:hint="eastAsia"/>
          <w:szCs w:val="21"/>
          <w:highlight w:val="none"/>
        </w:rPr>
        <w:t>为：</w:t>
      </w:r>
      <w:r>
        <w:rPr>
          <w:rFonts w:hint="eastAsia"/>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p>
    <w:p w14:paraId="4B0F2090">
      <w:pPr>
        <w:spacing w:line="440" w:lineRule="exact"/>
        <w:ind w:firstLine="359" w:firstLineChars="171"/>
        <w:rPr>
          <w:rFonts w:hint="eastAsia"/>
          <w:szCs w:val="21"/>
          <w:highlight w:val="none"/>
        </w:rPr>
      </w:pPr>
      <w:r>
        <w:rPr>
          <w:rFonts w:hint="eastAsia"/>
          <w:szCs w:val="21"/>
          <w:highlight w:val="none"/>
          <w:lang w:val="en-US" w:eastAsia="zh-CN"/>
        </w:rPr>
        <w:t>5.3</w:t>
      </w:r>
      <w:r>
        <w:rPr>
          <w:rFonts w:hint="eastAsia"/>
          <w:szCs w:val="21"/>
          <w:highlight w:val="none"/>
        </w:rPr>
        <w:t>支付方式：</w:t>
      </w:r>
      <w:r>
        <w:rPr>
          <w:rFonts w:hint="eastAsia" w:ascii="Times New Roman" w:hAnsi="Times New Roman" w:eastAsia="宋体" w:cs="Times New Roman"/>
          <w:highlight w:val="none"/>
          <w:lang w:val="en-US" w:eastAsia="zh-CN"/>
        </w:rPr>
        <w:t>服务期满且每个工程竣工验收合格、办理完工程结算及竣工资料，项目经审计且双方无异议后一次性付清</w:t>
      </w:r>
      <w:r>
        <w:rPr>
          <w:rFonts w:hint="eastAsia" w:cs="Times New Roman"/>
          <w:highlight w:val="none"/>
          <w:lang w:val="en-US" w:eastAsia="zh-CN"/>
        </w:rPr>
        <w:t>合同价款</w:t>
      </w:r>
      <w:r>
        <w:rPr>
          <w:rFonts w:hint="eastAsia" w:ascii="Times New Roman" w:hAnsi="Times New Roman" w:eastAsia="宋体" w:cs="Times New Roman"/>
          <w:highlight w:val="none"/>
          <w:lang w:val="en-US" w:eastAsia="zh-CN"/>
        </w:rPr>
        <w:t>。</w:t>
      </w:r>
      <w:r>
        <w:rPr>
          <w:rFonts w:hint="eastAsia" w:ascii="宋体" w:hAnsi="宋体" w:eastAsia="宋体" w:cs="宋体"/>
          <w:b/>
          <w:bCs/>
          <w:highlight w:val="none"/>
        </w:rPr>
        <w:t>中标人</w:t>
      </w:r>
      <w:r>
        <w:rPr>
          <w:rFonts w:hint="eastAsia" w:ascii="宋体" w:hAnsi="宋体" w:cs="宋体"/>
          <w:b/>
          <w:bCs/>
          <w:highlight w:val="none"/>
          <w:lang w:val="en-US" w:eastAsia="zh-CN"/>
        </w:rPr>
        <w:t>检测</w:t>
      </w:r>
      <w:r>
        <w:rPr>
          <w:rFonts w:hint="eastAsia" w:ascii="宋体" w:hAnsi="宋体" w:eastAsia="宋体" w:cs="宋体"/>
          <w:b/>
          <w:bCs/>
          <w:highlight w:val="none"/>
        </w:rPr>
        <w:t>费=</w:t>
      </w:r>
      <w:r>
        <w:rPr>
          <w:rFonts w:hint="eastAsia" w:ascii="宋体" w:hAnsi="宋体" w:eastAsia="宋体" w:cs="宋体"/>
          <w:b/>
          <w:bCs/>
          <w:highlight w:val="none"/>
          <w:lang w:val="en-US" w:eastAsia="zh-CN"/>
        </w:rPr>
        <w:t>各项目</w:t>
      </w:r>
      <w:r>
        <w:rPr>
          <w:rFonts w:hint="eastAsia" w:ascii="宋体" w:hAnsi="宋体" w:eastAsia="宋体" w:cs="宋体"/>
          <w:b/>
          <w:bCs/>
          <w:highlight w:val="none"/>
        </w:rPr>
        <w:t>工程结算造价×</w:t>
      </w:r>
      <w:r>
        <w:rPr>
          <w:rFonts w:hint="eastAsia" w:ascii="宋体" w:hAnsi="宋体" w:eastAsia="宋体" w:cs="宋体"/>
          <w:b/>
          <w:bCs/>
          <w:highlight w:val="none"/>
          <w:lang w:val="en-US" w:eastAsia="zh-CN"/>
        </w:rPr>
        <w:t>中标费率。</w:t>
      </w:r>
      <w:r>
        <w:rPr>
          <w:rFonts w:hint="eastAsia" w:ascii="宋体" w:hAnsi="宋体" w:cs="宋体"/>
          <w:b/>
          <w:bCs/>
          <w:highlight w:val="none"/>
          <w:lang w:val="en-US" w:eastAsia="zh-CN"/>
        </w:rPr>
        <w:t>合同履行期内各项目检测费用累计至28万元时，完成履约项目后合同终止，正在履约的项目不做费用增加</w:t>
      </w:r>
      <w:r>
        <w:rPr>
          <w:rFonts w:hint="eastAsia" w:ascii="宋体" w:hAnsi="宋体" w:eastAsia="宋体" w:cs="宋体"/>
          <w:b/>
          <w:bCs/>
          <w:highlight w:val="none"/>
          <w:lang w:val="en-US" w:eastAsia="zh-CN"/>
        </w:rPr>
        <w:t>。</w:t>
      </w:r>
    </w:p>
    <w:p w14:paraId="5FCE31AF">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第六条 合同组成部分</w:t>
      </w:r>
    </w:p>
    <w:p w14:paraId="07C32C8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下列文件均为本合同组成部分，是相互说明和相互补充的。如果合同文件之间出现歧</w:t>
      </w:r>
    </w:p>
    <w:p w14:paraId="372ACFC8">
      <w:pPr>
        <w:keepNext w:val="0"/>
        <w:keepLines w:val="0"/>
        <w:pageBreakBefore w:val="0"/>
        <w:widowControl w:val="0"/>
        <w:kinsoku/>
        <w:wordWrap/>
        <w:overflowPunct/>
        <w:topLinePunct w:val="0"/>
        <w:autoSpaceDE/>
        <w:autoSpaceDN/>
        <w:bidi w:val="0"/>
        <w:adjustRightInd/>
        <w:snapToGrid/>
        <w:spacing w:line="440" w:lineRule="exact"/>
        <w:textAlignment w:val="auto"/>
        <w:rPr>
          <w:highlight w:val="none"/>
        </w:rPr>
      </w:pPr>
      <w:r>
        <w:rPr>
          <w:rFonts w:hint="eastAsia"/>
          <w:highlight w:val="none"/>
        </w:rPr>
        <w:t>义或相互矛盾，按如下顺序进行解释：</w:t>
      </w:r>
    </w:p>
    <w:p w14:paraId="1ED13C0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（1）合同协议书；</w:t>
      </w:r>
    </w:p>
    <w:p w14:paraId="57A72B1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（2）中标通知书；</w:t>
      </w:r>
    </w:p>
    <w:p w14:paraId="532B843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（3）合同条款；</w:t>
      </w:r>
    </w:p>
    <w:p w14:paraId="77257FF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（4）招标文件及补疑文件；</w:t>
      </w:r>
    </w:p>
    <w:p w14:paraId="5E34A0C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（5）现行标准、规范及有关技术文件</w:t>
      </w:r>
    </w:p>
    <w:p w14:paraId="0C0E1E0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（6）施工图纸</w:t>
      </w:r>
    </w:p>
    <w:p w14:paraId="43E5B28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（7）合同附件</w:t>
      </w:r>
    </w:p>
    <w:p w14:paraId="1BA0D19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（8）投标文件及澄清文件</w:t>
      </w:r>
    </w:p>
    <w:p w14:paraId="533FD01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本合同如发生纠纷，当事人双方应当及时协商解决，协商不成时，提请滁州仲裁委员会进行仲裁。</w:t>
      </w:r>
    </w:p>
    <w:p w14:paraId="31F52815">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highlight w:val="none"/>
        </w:rPr>
      </w:pPr>
      <w:r>
        <w:rPr>
          <w:rFonts w:hint="eastAsia"/>
          <w:b/>
          <w:highlight w:val="none"/>
        </w:rPr>
        <w:t>第七条</w:t>
      </w:r>
      <w:r>
        <w:rPr>
          <w:rFonts w:hint="eastAsia"/>
          <w:highlight w:val="none"/>
        </w:rPr>
        <w:t xml:space="preserve"> 本合同经双方签字盖章后即生效。</w:t>
      </w:r>
    </w:p>
    <w:p w14:paraId="5D75D05A">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eastAsiaTheme="minorEastAsia"/>
          <w:highlight w:val="none"/>
          <w:lang w:val="zh-CN" w:eastAsia="zh-CN"/>
        </w:rPr>
      </w:pPr>
      <w:r>
        <w:rPr>
          <w:rFonts w:hint="eastAsia"/>
          <w:b/>
          <w:highlight w:val="none"/>
        </w:rPr>
        <w:t>第八条</w:t>
      </w:r>
      <w:r>
        <w:rPr>
          <w:rFonts w:hint="eastAsia"/>
          <w:b/>
          <w:highlight w:val="none"/>
          <w:lang w:val="en-US" w:eastAsia="zh-CN"/>
        </w:rPr>
        <w:t xml:space="preserve"> </w:t>
      </w:r>
      <w:r>
        <w:rPr>
          <w:rFonts w:hint="eastAsia"/>
          <w:highlight w:val="none"/>
        </w:rPr>
        <w:t>本合同正本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和</w:t>
      </w:r>
      <w:r>
        <w:rPr>
          <w:rFonts w:hint="eastAsia"/>
          <w:highlight w:val="none"/>
          <w:lang w:eastAsia="zh-CN"/>
        </w:rPr>
        <w:t>乙方</w:t>
      </w:r>
      <w:r>
        <w:rPr>
          <w:rFonts w:hint="eastAsia"/>
          <w:highlight w:val="none"/>
        </w:rPr>
        <w:t>各执</w:t>
      </w:r>
      <w:r>
        <w:rPr>
          <w:rFonts w:hint="eastAsia"/>
          <w:highlight w:val="none"/>
          <w:lang w:val="en-US" w:eastAsia="zh-CN"/>
        </w:rPr>
        <w:t xml:space="preserve">  </w:t>
      </w:r>
      <w:r>
        <w:rPr>
          <w:rFonts w:hint="eastAsia"/>
          <w:highlight w:val="none"/>
        </w:rPr>
        <w:t>份；副本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执</w:t>
      </w:r>
      <w:r>
        <w:rPr>
          <w:rFonts w:hint="eastAsia"/>
          <w:highlight w:val="none"/>
          <w:lang w:val="en-US" w:eastAsia="zh-CN"/>
        </w:rPr>
        <w:t xml:space="preserve">  </w:t>
      </w:r>
      <w:r>
        <w:rPr>
          <w:rFonts w:hint="eastAsia"/>
          <w:highlight w:val="none"/>
        </w:rPr>
        <w:t>份，</w:t>
      </w:r>
      <w:r>
        <w:rPr>
          <w:rFonts w:hint="eastAsia"/>
          <w:highlight w:val="none"/>
          <w:lang w:eastAsia="zh-CN"/>
        </w:rPr>
        <w:t>乙方</w:t>
      </w:r>
      <w:r>
        <w:rPr>
          <w:rFonts w:hint="eastAsia"/>
          <w:highlight w:val="none"/>
        </w:rPr>
        <w:t>执</w:t>
      </w:r>
      <w:r>
        <w:rPr>
          <w:rFonts w:hint="eastAsia"/>
          <w:highlight w:val="none"/>
          <w:lang w:val="en-US" w:eastAsia="zh-CN"/>
        </w:rPr>
        <w:t xml:space="preserve">  </w:t>
      </w:r>
      <w:r>
        <w:rPr>
          <w:rFonts w:hint="eastAsia"/>
          <w:highlight w:val="none"/>
        </w:rPr>
        <w:t>份</w:t>
      </w:r>
      <w:r>
        <w:rPr>
          <w:rFonts w:hint="eastAsia"/>
          <w:highlight w:val="none"/>
          <w:lang w:eastAsia="zh-CN"/>
        </w:rPr>
        <w:t>。</w:t>
      </w:r>
    </w:p>
    <w:p w14:paraId="6F7DD4DD">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highlight w:val="none"/>
          <w:lang w:eastAsia="zh-CN"/>
        </w:rPr>
      </w:pPr>
    </w:p>
    <w:p w14:paraId="0DB42D72">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lang w:eastAsia="zh-CN"/>
        </w:rPr>
        <w:t>甲方</w:t>
      </w:r>
      <w:r>
        <w:rPr>
          <w:rFonts w:hint="eastAsia"/>
          <w:highlight w:val="none"/>
        </w:rPr>
        <w:t xml:space="preserve">：(盖章)                                     </w:t>
      </w:r>
      <w:r>
        <w:rPr>
          <w:rFonts w:hint="eastAsia"/>
          <w:highlight w:val="none"/>
          <w:lang w:eastAsia="zh-CN"/>
        </w:rPr>
        <w:t>乙方</w:t>
      </w:r>
      <w:r>
        <w:rPr>
          <w:rFonts w:hint="eastAsia"/>
          <w:highlight w:val="none"/>
        </w:rPr>
        <w:t>：(盖章)</w:t>
      </w:r>
    </w:p>
    <w:p w14:paraId="7E822CF3">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 xml:space="preserve">法定代表人                                     </w:t>
      </w:r>
      <w:r>
        <w:rPr>
          <w:rFonts w:hint="eastAsia"/>
          <w:highlight w:val="none"/>
          <w:lang w:val="en-US" w:eastAsia="zh-CN"/>
        </w:rPr>
        <w:t xml:space="preserve"> </w:t>
      </w:r>
      <w:r>
        <w:rPr>
          <w:rFonts w:hint="eastAsia"/>
          <w:highlight w:val="none"/>
        </w:rPr>
        <w:t xml:space="preserve"> 法定代表人</w:t>
      </w:r>
    </w:p>
    <w:p w14:paraId="25097083">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 xml:space="preserve">或授权代理人：                                  </w:t>
      </w:r>
      <w:r>
        <w:rPr>
          <w:rFonts w:hint="eastAsia"/>
          <w:highlight w:val="none"/>
          <w:lang w:val="en-US" w:eastAsia="zh-CN"/>
        </w:rPr>
        <w:t xml:space="preserve"> </w:t>
      </w:r>
      <w:r>
        <w:rPr>
          <w:rFonts w:hint="eastAsia"/>
          <w:highlight w:val="none"/>
        </w:rPr>
        <w:t>或授权代理人：</w:t>
      </w:r>
    </w:p>
    <w:p w14:paraId="16E1AE76">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地址：                                           地址：</w:t>
      </w:r>
    </w:p>
    <w:p w14:paraId="432B86F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邮编：                                           邮编：</w:t>
      </w:r>
    </w:p>
    <w:p w14:paraId="04A82D1C">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电话：                                           电话：</w:t>
      </w:r>
    </w:p>
    <w:p w14:paraId="29EA865D">
      <w:pPr>
        <w:spacing w:line="360" w:lineRule="auto"/>
        <w:jc w:val="center"/>
        <w:rPr>
          <w:b/>
          <w:sz w:val="28"/>
          <w:szCs w:val="28"/>
          <w:highlight w:val="none"/>
        </w:rPr>
      </w:pPr>
      <w:r>
        <w:rPr>
          <w:rFonts w:hint="eastAsia"/>
          <w:b/>
          <w:sz w:val="28"/>
          <w:szCs w:val="28"/>
          <w:highlight w:val="none"/>
        </w:rPr>
        <w:br w:type="page"/>
      </w:r>
      <w:r>
        <w:rPr>
          <w:rFonts w:hint="eastAsia"/>
          <w:b/>
          <w:sz w:val="28"/>
          <w:szCs w:val="28"/>
          <w:highlight w:val="none"/>
        </w:rPr>
        <w:t xml:space="preserve">第 二 部 分 </w:t>
      </w:r>
      <w:r>
        <w:rPr>
          <w:rFonts w:hint="eastAsia"/>
          <w:b/>
          <w:sz w:val="28"/>
          <w:szCs w:val="28"/>
          <w:highlight w:val="none"/>
          <w:lang w:val="en-US" w:eastAsia="zh-CN"/>
        </w:rPr>
        <w:t xml:space="preserve"> </w:t>
      </w:r>
      <w:r>
        <w:rPr>
          <w:rFonts w:hint="eastAsia"/>
          <w:b/>
          <w:sz w:val="28"/>
          <w:szCs w:val="28"/>
          <w:highlight w:val="none"/>
        </w:rPr>
        <w:t>合 同 条 款</w:t>
      </w:r>
    </w:p>
    <w:p w14:paraId="4E1AF43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1  词语定义、适用语言和法律</w:t>
      </w:r>
    </w:p>
    <w:p w14:paraId="5AC4718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1.1 词语定义</w:t>
      </w:r>
    </w:p>
    <w:p w14:paraId="4DC992C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下列名称和用语，除上下文另有规定外，具有如下含义；</w:t>
      </w:r>
    </w:p>
    <w:p w14:paraId="14EC09F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u w:val="single"/>
        </w:rPr>
      </w:pPr>
      <w:r>
        <w:rPr>
          <w:rFonts w:hint="eastAsia"/>
          <w:highlight w:val="none"/>
        </w:rPr>
        <w:t xml:space="preserve">1.1.1 </w:t>
      </w:r>
      <w:r>
        <w:rPr>
          <w:rFonts w:hint="eastAsia"/>
          <w:highlight w:val="none"/>
          <w:lang w:val="en-US" w:eastAsia="zh-CN"/>
        </w:rPr>
        <w:t>甲方</w:t>
      </w:r>
      <w:r>
        <w:rPr>
          <w:rFonts w:hint="eastAsia"/>
          <w:highlight w:val="none"/>
        </w:rPr>
        <w:t>：</w:t>
      </w:r>
    </w:p>
    <w:p w14:paraId="0323C17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u w:val="single"/>
        </w:rPr>
      </w:pPr>
      <w:r>
        <w:rPr>
          <w:rFonts w:hint="eastAsia"/>
          <w:highlight w:val="none"/>
        </w:rPr>
        <w:t xml:space="preserve">1.1.2 </w:t>
      </w:r>
      <w:r>
        <w:rPr>
          <w:rFonts w:hint="eastAsia"/>
          <w:highlight w:val="none"/>
          <w:lang w:val="en-US" w:eastAsia="zh-CN"/>
        </w:rPr>
        <w:t>乙方</w:t>
      </w:r>
      <w:r>
        <w:rPr>
          <w:rFonts w:hint="eastAsia"/>
          <w:highlight w:val="none"/>
        </w:rPr>
        <w:t>：</w:t>
      </w:r>
    </w:p>
    <w:p w14:paraId="0099AD8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u w:val="single"/>
        </w:rPr>
      </w:pPr>
      <w:r>
        <w:rPr>
          <w:rFonts w:hint="eastAsia"/>
          <w:highlight w:val="none"/>
        </w:rPr>
        <w:t>1.1.3 本工程：</w:t>
      </w:r>
    </w:p>
    <w:p w14:paraId="59FF90F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1.1.4 服务期：</w:t>
      </w:r>
    </w:p>
    <w:p w14:paraId="6979C41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1.1.5 合同价：指承包人在服务期内为履行本合同应获得的酬金。</w:t>
      </w:r>
    </w:p>
    <w:p w14:paraId="471B732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1.2 本合同的书写、解释和说明的语言为汉语。</w:t>
      </w:r>
    </w:p>
    <w:p w14:paraId="22AB789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1.3 本合同适用《中华人民共和国</w:t>
      </w:r>
      <w:r>
        <w:rPr>
          <w:rFonts w:hint="eastAsia"/>
          <w:highlight w:val="none"/>
          <w:lang w:val="en-US" w:eastAsia="zh-CN"/>
        </w:rPr>
        <w:t>民法典</w:t>
      </w:r>
      <w:r>
        <w:rPr>
          <w:rFonts w:hint="eastAsia"/>
          <w:highlight w:val="none"/>
        </w:rPr>
        <w:t>》、《中华人民共和国建筑法》、《建设工程质量管理条例》等由国家、安徽省、滁州市颁发的关于检测的法律、法规及相关规定。</w:t>
      </w:r>
    </w:p>
    <w:p w14:paraId="14D63E2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1.4 如本合同当事人对本合同条件条款及其附件有关条款的理解有争议，应当按照合</w:t>
      </w:r>
    </w:p>
    <w:p w14:paraId="13F49A42">
      <w:pPr>
        <w:keepNext w:val="0"/>
        <w:keepLines w:val="0"/>
        <w:pageBreakBefore w:val="0"/>
        <w:widowControl w:val="0"/>
        <w:tabs>
          <w:tab w:val="left" w:pos="1380"/>
        </w:tabs>
        <w:kinsoku/>
        <w:wordWrap/>
        <w:overflowPunct/>
        <w:topLinePunct w:val="0"/>
        <w:autoSpaceDE/>
        <w:autoSpaceDN/>
        <w:bidi w:val="0"/>
        <w:adjustRightInd/>
        <w:snapToGrid/>
        <w:spacing w:line="440" w:lineRule="exact"/>
        <w:textAlignment w:val="auto"/>
        <w:rPr>
          <w:highlight w:val="none"/>
        </w:rPr>
      </w:pPr>
      <w:r>
        <w:rPr>
          <w:rFonts w:hint="eastAsia"/>
          <w:highlight w:val="none"/>
        </w:rPr>
        <w:t>同所使用的词句、合同的有关条款、合同的目的、惯例以及诚实信用原则，确定该条款的真实意思。</w:t>
      </w:r>
    </w:p>
    <w:p w14:paraId="64242A0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2  权利与义务</w:t>
      </w:r>
    </w:p>
    <w:p w14:paraId="7C468DD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 </w:t>
      </w:r>
      <w:r>
        <w:rPr>
          <w:rFonts w:hint="eastAsia"/>
          <w:highlight w:val="none"/>
          <w:lang w:eastAsia="zh-CN"/>
        </w:rPr>
        <w:t>甲方</w:t>
      </w:r>
      <w:r>
        <w:rPr>
          <w:rFonts w:hint="eastAsia"/>
          <w:highlight w:val="none"/>
        </w:rPr>
        <w:t>权利与义务</w:t>
      </w:r>
    </w:p>
    <w:p w14:paraId="7D71D1A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2.1.1 签订合同后向</w:t>
      </w:r>
      <w:r>
        <w:rPr>
          <w:rFonts w:hint="eastAsia"/>
          <w:highlight w:val="none"/>
          <w:lang w:eastAsia="zh-CN"/>
        </w:rPr>
        <w:t>乙方</w:t>
      </w:r>
      <w:r>
        <w:rPr>
          <w:rFonts w:hint="eastAsia"/>
          <w:highlight w:val="none"/>
        </w:rPr>
        <w:t>提供与本项目有关的图纸、文件及规定，</w:t>
      </w:r>
      <w:r>
        <w:rPr>
          <w:rFonts w:hint="eastAsia"/>
          <w:highlight w:val="none"/>
          <w:lang w:eastAsia="zh-CN"/>
        </w:rPr>
        <w:t>甲方</w:t>
      </w:r>
      <w:r>
        <w:rPr>
          <w:rFonts w:hint="eastAsia"/>
          <w:highlight w:val="none"/>
        </w:rPr>
        <w:t>应对自己所提供的资料的完整性、正确性及时限性负责；</w:t>
      </w:r>
    </w:p>
    <w:p w14:paraId="474F74E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2.1.2 </w:t>
      </w:r>
      <w:r>
        <w:rPr>
          <w:rFonts w:hint="eastAsia"/>
          <w:highlight w:val="none"/>
          <w:lang w:eastAsia="zh-CN"/>
        </w:rPr>
        <w:t>甲方</w:t>
      </w:r>
      <w:r>
        <w:rPr>
          <w:rFonts w:hint="eastAsia"/>
          <w:highlight w:val="none"/>
        </w:rPr>
        <w:t>应对</w:t>
      </w:r>
      <w:r>
        <w:rPr>
          <w:rFonts w:hint="eastAsia"/>
          <w:highlight w:val="none"/>
          <w:lang w:eastAsia="zh-CN"/>
        </w:rPr>
        <w:t>乙方</w:t>
      </w:r>
      <w:r>
        <w:rPr>
          <w:rFonts w:hint="eastAsia"/>
          <w:highlight w:val="none"/>
        </w:rPr>
        <w:t>与有关部门的协调工作提供必要的协助与配合；</w:t>
      </w:r>
    </w:p>
    <w:p w14:paraId="30C90B7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2.1.3 </w:t>
      </w:r>
      <w:r>
        <w:rPr>
          <w:rFonts w:hint="eastAsia"/>
          <w:highlight w:val="none"/>
          <w:lang w:eastAsia="zh-CN"/>
        </w:rPr>
        <w:t>甲方</w:t>
      </w:r>
      <w:r>
        <w:rPr>
          <w:rFonts w:hint="eastAsia"/>
          <w:highlight w:val="none"/>
          <w:lang w:val="en-US" w:eastAsia="zh-CN"/>
        </w:rPr>
        <w:t>对</w:t>
      </w:r>
      <w:r>
        <w:rPr>
          <w:rFonts w:hint="eastAsia"/>
          <w:highlight w:val="none"/>
          <w:lang w:eastAsia="zh-CN"/>
        </w:rPr>
        <w:t>乙方</w:t>
      </w:r>
      <w:r>
        <w:rPr>
          <w:rFonts w:hint="eastAsia"/>
          <w:highlight w:val="none"/>
        </w:rPr>
        <w:t>的投标文件、检测方案和检测报告</w:t>
      </w:r>
      <w:r>
        <w:rPr>
          <w:rFonts w:hint="eastAsia"/>
          <w:highlight w:val="none"/>
          <w:lang w:val="en-US" w:eastAsia="zh-CN"/>
        </w:rPr>
        <w:t>负有保密义务</w:t>
      </w:r>
      <w:r>
        <w:rPr>
          <w:rFonts w:hint="eastAsia"/>
          <w:highlight w:val="none"/>
        </w:rPr>
        <w:t>。未经</w:t>
      </w:r>
      <w:r>
        <w:rPr>
          <w:rFonts w:hint="eastAsia"/>
          <w:highlight w:val="none"/>
          <w:lang w:eastAsia="zh-CN"/>
        </w:rPr>
        <w:t>乙方</w:t>
      </w:r>
      <w:r>
        <w:rPr>
          <w:rFonts w:hint="eastAsia"/>
          <w:highlight w:val="none"/>
        </w:rPr>
        <w:t>同意，</w:t>
      </w:r>
      <w:r>
        <w:rPr>
          <w:rFonts w:hint="eastAsia"/>
          <w:highlight w:val="none"/>
          <w:lang w:eastAsia="zh-CN"/>
        </w:rPr>
        <w:t>甲方</w:t>
      </w:r>
      <w:r>
        <w:rPr>
          <w:rFonts w:hint="eastAsia"/>
          <w:highlight w:val="none"/>
        </w:rPr>
        <w:t>对</w:t>
      </w:r>
      <w:r>
        <w:rPr>
          <w:rFonts w:hint="eastAsia"/>
          <w:highlight w:val="none"/>
          <w:lang w:eastAsia="zh-CN"/>
        </w:rPr>
        <w:t>乙方</w:t>
      </w:r>
      <w:r>
        <w:rPr>
          <w:rFonts w:hint="eastAsia"/>
          <w:highlight w:val="none"/>
        </w:rPr>
        <w:t>交付的检测成果、资料及文件不得擅自修改复制或向第三方转让或用于本合同以外的项目；</w:t>
      </w:r>
    </w:p>
    <w:p w14:paraId="0BCFFCB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2.1.4 </w:t>
      </w:r>
      <w:r>
        <w:rPr>
          <w:rFonts w:hint="eastAsia"/>
          <w:highlight w:val="none"/>
          <w:lang w:eastAsia="zh-CN"/>
        </w:rPr>
        <w:t>甲方</w:t>
      </w:r>
      <w:r>
        <w:rPr>
          <w:rFonts w:hint="eastAsia"/>
          <w:highlight w:val="none"/>
        </w:rPr>
        <w:t>应按合同约定按时支付检测费用。</w:t>
      </w:r>
    </w:p>
    <w:p w14:paraId="0EFCBF8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2.1.5 </w:t>
      </w:r>
      <w:r>
        <w:rPr>
          <w:rFonts w:hint="eastAsia"/>
          <w:highlight w:val="none"/>
          <w:lang w:eastAsia="zh-CN"/>
        </w:rPr>
        <w:t>甲方</w:t>
      </w:r>
      <w:r>
        <w:rPr>
          <w:rFonts w:hint="eastAsia"/>
          <w:highlight w:val="none"/>
        </w:rPr>
        <w:t>如对检测试验工作和检验报告持有异议，可随时向</w:t>
      </w:r>
      <w:r>
        <w:rPr>
          <w:rFonts w:hint="eastAsia"/>
          <w:highlight w:val="none"/>
          <w:lang w:eastAsia="zh-CN"/>
        </w:rPr>
        <w:t>乙方</w:t>
      </w:r>
      <w:r>
        <w:rPr>
          <w:rFonts w:hint="eastAsia"/>
          <w:highlight w:val="none"/>
        </w:rPr>
        <w:t>书面提出，</w:t>
      </w:r>
      <w:r>
        <w:rPr>
          <w:rFonts w:hint="eastAsia"/>
          <w:highlight w:val="none"/>
          <w:lang w:eastAsia="zh-CN"/>
        </w:rPr>
        <w:t>乙方</w:t>
      </w:r>
      <w:r>
        <w:rPr>
          <w:rFonts w:hint="eastAsia"/>
          <w:highlight w:val="none"/>
        </w:rPr>
        <w:t>应组织复查。</w:t>
      </w:r>
    </w:p>
    <w:p w14:paraId="6F9E35F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2.1.6 </w:t>
      </w:r>
      <w:r>
        <w:rPr>
          <w:rFonts w:hint="eastAsia"/>
          <w:highlight w:val="none"/>
          <w:lang w:eastAsia="zh-CN"/>
        </w:rPr>
        <w:t>乙方</w:t>
      </w:r>
      <w:r>
        <w:rPr>
          <w:rFonts w:hint="eastAsia"/>
          <w:highlight w:val="none"/>
        </w:rPr>
        <w:t>派驻现场的工作人员提供工作生活及交通等条件，由</w:t>
      </w:r>
      <w:r>
        <w:rPr>
          <w:rFonts w:hint="eastAsia"/>
          <w:highlight w:val="none"/>
          <w:lang w:eastAsia="zh-CN"/>
        </w:rPr>
        <w:t>乙方</w:t>
      </w:r>
      <w:r>
        <w:rPr>
          <w:rFonts w:hint="eastAsia"/>
          <w:highlight w:val="none"/>
        </w:rPr>
        <w:t>自行解决，费用已含在投标报价内，不再另行计取支付。</w:t>
      </w:r>
    </w:p>
    <w:p w14:paraId="592F408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highlight w:val="none"/>
        </w:rPr>
      </w:pPr>
      <w:r>
        <w:rPr>
          <w:rFonts w:hint="eastAsia"/>
          <w:highlight w:val="none"/>
        </w:rPr>
        <w:t xml:space="preserve">2.2 </w:t>
      </w:r>
      <w:r>
        <w:rPr>
          <w:rFonts w:hint="eastAsia"/>
          <w:highlight w:val="none"/>
          <w:lang w:eastAsia="zh-CN"/>
        </w:rPr>
        <w:t>乙方</w:t>
      </w:r>
      <w:r>
        <w:rPr>
          <w:rFonts w:hint="eastAsia"/>
          <w:highlight w:val="none"/>
        </w:rPr>
        <w:t>权利与义务</w:t>
      </w:r>
    </w:p>
    <w:p w14:paraId="1CBA597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eastAsia="宋体" w:cs="Times New Roman"/>
          <w:highlight w:val="none"/>
        </w:rPr>
      </w:pPr>
      <w:r>
        <w:rPr>
          <w:rFonts w:hint="eastAsia"/>
          <w:highlight w:val="none"/>
        </w:rPr>
        <w:t xml:space="preserve">2.2.1 </w:t>
      </w:r>
      <w:r>
        <w:rPr>
          <w:rFonts w:hint="eastAsia" w:ascii="Times New Roman" w:hAnsi="Times New Roman" w:eastAsia="宋体" w:cs="Times New Roman"/>
          <w:highlight w:val="none"/>
        </w:rPr>
        <w:t>合同签订后40日内（或</w:t>
      </w:r>
      <w:r>
        <w:rPr>
          <w:rFonts w:hint="eastAsia" w:ascii="Times New Roman" w:hAnsi="Times New Roman" w:eastAsia="宋体" w:cs="Times New Roman"/>
          <w:highlight w:val="none"/>
          <w:lang w:eastAsia="zh-CN"/>
        </w:rPr>
        <w:t>甲方</w:t>
      </w:r>
      <w:r>
        <w:rPr>
          <w:rFonts w:hint="eastAsia" w:ascii="Times New Roman" w:hAnsi="Times New Roman" w:eastAsia="宋体" w:cs="Times New Roman"/>
          <w:highlight w:val="none"/>
        </w:rPr>
        <w:t>认可的其他时间）</w:t>
      </w:r>
      <w:r>
        <w:rPr>
          <w:rFonts w:hint="eastAsia" w:ascii="Times New Roman" w:hAnsi="Times New Roman" w:eastAsia="宋体" w:cs="Times New Roman"/>
          <w:highlight w:val="none"/>
          <w:lang w:eastAsia="zh-CN"/>
        </w:rPr>
        <w:t>乙方</w:t>
      </w:r>
      <w:r>
        <w:rPr>
          <w:rFonts w:hint="eastAsia" w:ascii="Times New Roman" w:hAnsi="Times New Roman" w:eastAsia="宋体" w:cs="Times New Roman"/>
          <w:highlight w:val="none"/>
        </w:rPr>
        <w:t>必须组建</w:t>
      </w:r>
      <w:r>
        <w:rPr>
          <w:rFonts w:hint="eastAsia"/>
          <w:highlight w:val="none"/>
        </w:rPr>
        <w:t>检测项目试验室，负责本工程的试验检测工作。</w:t>
      </w:r>
    </w:p>
    <w:p w14:paraId="3FC8C45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2.2.2 </w:t>
      </w:r>
      <w:r>
        <w:rPr>
          <w:rFonts w:hint="eastAsia"/>
          <w:highlight w:val="none"/>
          <w:lang w:eastAsia="zh-CN"/>
        </w:rPr>
        <w:t>乙方</w:t>
      </w:r>
      <w:r>
        <w:rPr>
          <w:rFonts w:hint="eastAsia"/>
          <w:highlight w:val="none"/>
        </w:rPr>
        <w:t>参与本工程第三方检测的人员必须是其单位正式职工，</w:t>
      </w:r>
      <w:r>
        <w:rPr>
          <w:rFonts w:hint="eastAsia"/>
          <w:highlight w:val="none"/>
          <w:lang w:eastAsia="zh-CN"/>
        </w:rPr>
        <w:t>乙方</w:t>
      </w:r>
      <w:r>
        <w:rPr>
          <w:rFonts w:hint="eastAsia"/>
          <w:highlight w:val="none"/>
        </w:rPr>
        <w:t>相关人员须服从</w:t>
      </w:r>
      <w:r>
        <w:rPr>
          <w:rFonts w:hint="eastAsia"/>
          <w:highlight w:val="none"/>
          <w:lang w:eastAsia="zh-CN"/>
        </w:rPr>
        <w:t>甲方</w:t>
      </w:r>
      <w:r>
        <w:rPr>
          <w:rFonts w:hint="eastAsia"/>
          <w:highlight w:val="none"/>
        </w:rPr>
        <w:t>的协调与安排，及时完成</w:t>
      </w:r>
      <w:r>
        <w:rPr>
          <w:rFonts w:hint="eastAsia"/>
          <w:highlight w:val="none"/>
          <w:lang w:eastAsia="zh-CN"/>
        </w:rPr>
        <w:t>甲方</w:t>
      </w:r>
      <w:r>
        <w:rPr>
          <w:rFonts w:hint="eastAsia"/>
          <w:highlight w:val="none"/>
        </w:rPr>
        <w:t>临时指派的其他检测任务，否则应向</w:t>
      </w:r>
      <w:r>
        <w:rPr>
          <w:rFonts w:hint="eastAsia"/>
          <w:highlight w:val="none"/>
          <w:lang w:eastAsia="zh-CN"/>
        </w:rPr>
        <w:t>甲方</w:t>
      </w:r>
      <w:r>
        <w:rPr>
          <w:rFonts w:hint="eastAsia"/>
          <w:highlight w:val="none"/>
        </w:rPr>
        <w:t>支付违约金 1 万元/次。</w:t>
      </w:r>
    </w:p>
    <w:p w14:paraId="7EF9B1E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2.2.3 </w:t>
      </w:r>
      <w:r>
        <w:rPr>
          <w:rFonts w:hint="eastAsia"/>
          <w:highlight w:val="none"/>
          <w:lang w:eastAsia="zh-CN"/>
        </w:rPr>
        <w:t>乙方</w:t>
      </w:r>
      <w:r>
        <w:rPr>
          <w:rFonts w:hint="eastAsia"/>
          <w:highlight w:val="none"/>
        </w:rPr>
        <w:t>须在项目正式开工前 7 个工作日内编制切实可行的检测方案报</w:t>
      </w:r>
      <w:r>
        <w:rPr>
          <w:rFonts w:hint="eastAsia"/>
          <w:highlight w:val="none"/>
          <w:lang w:eastAsia="zh-CN"/>
        </w:rPr>
        <w:t>甲方</w:t>
      </w:r>
      <w:r>
        <w:rPr>
          <w:rFonts w:hint="eastAsia"/>
          <w:highlight w:val="none"/>
        </w:rPr>
        <w:t>审批，严格按审批后的方案认真检测。</w:t>
      </w:r>
    </w:p>
    <w:p w14:paraId="276AA4D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2.2.4 </w:t>
      </w:r>
      <w:r>
        <w:rPr>
          <w:rFonts w:hint="eastAsia"/>
          <w:highlight w:val="none"/>
          <w:lang w:eastAsia="zh-CN"/>
        </w:rPr>
        <w:t>乙方</w:t>
      </w:r>
      <w:r>
        <w:rPr>
          <w:rFonts w:hint="eastAsia"/>
          <w:highlight w:val="none"/>
        </w:rPr>
        <w:t>应只对</w:t>
      </w:r>
      <w:r>
        <w:rPr>
          <w:rFonts w:hint="eastAsia"/>
          <w:highlight w:val="none"/>
          <w:lang w:eastAsia="zh-CN"/>
        </w:rPr>
        <w:t>甲方</w:t>
      </w:r>
      <w:r>
        <w:rPr>
          <w:rFonts w:hint="eastAsia"/>
          <w:highlight w:val="none"/>
        </w:rPr>
        <w:t>负责，否则应向</w:t>
      </w:r>
      <w:r>
        <w:rPr>
          <w:rFonts w:hint="eastAsia"/>
          <w:highlight w:val="none"/>
          <w:lang w:eastAsia="zh-CN"/>
        </w:rPr>
        <w:t>甲方</w:t>
      </w:r>
      <w:r>
        <w:rPr>
          <w:rFonts w:hint="eastAsia"/>
          <w:highlight w:val="none"/>
        </w:rPr>
        <w:t>支付违约金 1 万元/次，且</w:t>
      </w:r>
      <w:r>
        <w:rPr>
          <w:rFonts w:hint="eastAsia"/>
          <w:highlight w:val="none"/>
          <w:lang w:eastAsia="zh-CN"/>
        </w:rPr>
        <w:t>甲方</w:t>
      </w:r>
      <w:r>
        <w:rPr>
          <w:rFonts w:hint="eastAsia"/>
          <w:highlight w:val="none"/>
        </w:rPr>
        <w:t>有权随时单方解除合同并要求</w:t>
      </w:r>
      <w:r>
        <w:rPr>
          <w:rFonts w:hint="eastAsia"/>
          <w:highlight w:val="none"/>
          <w:lang w:eastAsia="zh-CN"/>
        </w:rPr>
        <w:t>乙方</w:t>
      </w:r>
      <w:r>
        <w:rPr>
          <w:rFonts w:hint="eastAsia"/>
          <w:highlight w:val="none"/>
        </w:rPr>
        <w:t>赔偿超过违约金数额的损失。</w:t>
      </w:r>
    </w:p>
    <w:p w14:paraId="19BFE64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2.2.5 </w:t>
      </w:r>
      <w:r>
        <w:rPr>
          <w:rFonts w:hint="eastAsia" w:ascii="宋体"/>
          <w:szCs w:val="21"/>
          <w:highlight w:val="none"/>
        </w:rPr>
        <w:t>检测数量及频率有规范和图纸按规范和图纸要求执行，如无按</w:t>
      </w:r>
      <w:r>
        <w:rPr>
          <w:rFonts w:hint="eastAsia" w:ascii="宋体"/>
          <w:szCs w:val="21"/>
          <w:highlight w:val="none"/>
          <w:lang w:eastAsia="zh-CN"/>
        </w:rPr>
        <w:t>甲方</w:t>
      </w:r>
      <w:r>
        <w:rPr>
          <w:rFonts w:hint="eastAsia" w:ascii="宋体"/>
          <w:szCs w:val="21"/>
          <w:highlight w:val="none"/>
        </w:rPr>
        <w:t>要求执行</w:t>
      </w:r>
      <w:r>
        <w:rPr>
          <w:rFonts w:hint="eastAsia"/>
          <w:highlight w:val="none"/>
        </w:rPr>
        <w:t>。如因</w:t>
      </w:r>
      <w:r>
        <w:rPr>
          <w:rFonts w:hint="eastAsia"/>
          <w:highlight w:val="none"/>
          <w:lang w:eastAsia="zh-CN"/>
        </w:rPr>
        <w:t>乙方</w:t>
      </w:r>
      <w:r>
        <w:rPr>
          <w:rFonts w:hint="eastAsia"/>
          <w:highlight w:val="none"/>
        </w:rPr>
        <w:t>原因造成实际取样数量低于约定比例的，每发现一项，</w:t>
      </w:r>
      <w:r>
        <w:rPr>
          <w:rFonts w:hint="eastAsia"/>
          <w:highlight w:val="none"/>
          <w:lang w:eastAsia="zh-CN"/>
        </w:rPr>
        <w:t>甲方</w:t>
      </w:r>
      <w:r>
        <w:rPr>
          <w:rFonts w:hint="eastAsia"/>
          <w:highlight w:val="none"/>
        </w:rPr>
        <w:t>将收取</w:t>
      </w:r>
      <w:r>
        <w:rPr>
          <w:rFonts w:hint="eastAsia"/>
          <w:highlight w:val="none"/>
          <w:lang w:eastAsia="zh-CN"/>
        </w:rPr>
        <w:t>乙方</w:t>
      </w:r>
      <w:r>
        <w:rPr>
          <w:rFonts w:hint="eastAsia"/>
          <w:highlight w:val="none"/>
        </w:rPr>
        <w:t>违约金 5000 元。</w:t>
      </w:r>
    </w:p>
    <w:p w14:paraId="4B69F20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2.2.6 </w:t>
      </w:r>
      <w:r>
        <w:rPr>
          <w:rFonts w:hint="eastAsia"/>
          <w:highlight w:val="none"/>
          <w:lang w:eastAsia="zh-CN"/>
        </w:rPr>
        <w:t>乙方</w:t>
      </w:r>
      <w:r>
        <w:rPr>
          <w:rFonts w:hint="eastAsia"/>
          <w:highlight w:val="none"/>
        </w:rPr>
        <w:t>必须派员随时随地跟踪检测，及时反馈检测结果，以确保施工工序正常开展及工期安排的总体需要。完成</w:t>
      </w:r>
      <w:r>
        <w:rPr>
          <w:rFonts w:hint="eastAsia"/>
          <w:highlight w:val="none"/>
          <w:lang w:eastAsia="zh-CN"/>
        </w:rPr>
        <w:t>甲方</w:t>
      </w:r>
      <w:r>
        <w:rPr>
          <w:rFonts w:hint="eastAsia"/>
          <w:highlight w:val="none"/>
        </w:rPr>
        <w:t>指定的检测项目的检测。</w:t>
      </w:r>
    </w:p>
    <w:p w14:paraId="391AD4B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2.2.7 第三方检测单位须配备工程材料检测所需的检测仪器设备及工程实体检测的部分常用仪器设备，同时选派经验丰富并具有相应从业资格的试验检测人员。</w:t>
      </w:r>
    </w:p>
    <w:p w14:paraId="0462C98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highlight w:val="none"/>
        </w:rPr>
      </w:pPr>
      <w:r>
        <w:rPr>
          <w:rFonts w:hint="eastAsia"/>
          <w:highlight w:val="none"/>
        </w:rPr>
        <w:t xml:space="preserve">2.2.8 </w:t>
      </w:r>
      <w:r>
        <w:rPr>
          <w:rFonts w:hint="eastAsia"/>
          <w:highlight w:val="none"/>
          <w:lang w:eastAsia="zh-CN"/>
        </w:rPr>
        <w:t>乙方</w:t>
      </w:r>
      <w:r>
        <w:rPr>
          <w:rFonts w:hint="eastAsia"/>
          <w:highlight w:val="none"/>
        </w:rPr>
        <w:t>须保证其出具的试验检测数据能够准确、及时、真实的反映工程实体质量，并对其出具的所有试验报告负法律责任。</w:t>
      </w:r>
      <w:r>
        <w:rPr>
          <w:rFonts w:hint="eastAsia"/>
          <w:highlight w:val="none"/>
          <w:lang w:eastAsia="zh-CN"/>
        </w:rPr>
        <w:t>乙方</w:t>
      </w:r>
      <w:r>
        <w:rPr>
          <w:rFonts w:hint="eastAsia"/>
          <w:highlight w:val="none"/>
        </w:rPr>
        <w:t>的检测结果，应立即以书面形式快报给</w:t>
      </w:r>
      <w:r>
        <w:rPr>
          <w:rFonts w:hint="eastAsia"/>
          <w:highlight w:val="none"/>
          <w:lang w:eastAsia="zh-CN"/>
        </w:rPr>
        <w:t>甲方</w:t>
      </w:r>
      <w:r>
        <w:rPr>
          <w:rFonts w:hint="eastAsia"/>
          <w:highlight w:val="none"/>
        </w:rPr>
        <w:t>。</w:t>
      </w:r>
    </w:p>
    <w:p w14:paraId="3B0D352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lang w:val="en-US" w:eastAsia="zh-CN"/>
        </w:rPr>
        <w:t>2.2.9</w:t>
      </w:r>
      <w:r>
        <w:rPr>
          <w:rFonts w:hint="eastAsia"/>
          <w:highlight w:val="none"/>
          <w:lang w:eastAsia="zh-CN"/>
        </w:rPr>
        <w:t>乙方</w:t>
      </w:r>
      <w:r>
        <w:rPr>
          <w:rFonts w:hint="eastAsia"/>
          <w:highlight w:val="none"/>
        </w:rPr>
        <w:t>须保证其出具的试验检测数据能够准确、及时、真实的反映工程实体质量，并对其出具的所有试验报告负法律责任。</w:t>
      </w:r>
    </w:p>
    <w:p w14:paraId="675D82D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2.2.10 项目开工后，</w:t>
      </w:r>
      <w:r>
        <w:rPr>
          <w:rFonts w:hint="eastAsia"/>
          <w:highlight w:val="none"/>
          <w:lang w:eastAsia="zh-CN"/>
        </w:rPr>
        <w:t>乙方</w:t>
      </w:r>
      <w:r>
        <w:rPr>
          <w:rFonts w:hint="eastAsia"/>
          <w:highlight w:val="none"/>
        </w:rPr>
        <w:t>应根据施工、监理及</w:t>
      </w:r>
      <w:r>
        <w:rPr>
          <w:rFonts w:hint="eastAsia"/>
          <w:highlight w:val="none"/>
          <w:lang w:eastAsia="zh-CN"/>
        </w:rPr>
        <w:t>甲方</w:t>
      </w:r>
      <w:r>
        <w:rPr>
          <w:rFonts w:hint="eastAsia"/>
          <w:highlight w:val="none"/>
        </w:rPr>
        <w:t>共同制定的详细进度计划，细化检测工作计划表，并严格执行；</w:t>
      </w:r>
      <w:r>
        <w:rPr>
          <w:rFonts w:hint="eastAsia"/>
          <w:highlight w:val="none"/>
          <w:lang w:eastAsia="zh-CN"/>
        </w:rPr>
        <w:t>乙方</w:t>
      </w:r>
      <w:r>
        <w:rPr>
          <w:rFonts w:hint="eastAsia"/>
          <w:highlight w:val="none"/>
        </w:rPr>
        <w:t>须按月向</w:t>
      </w:r>
      <w:r>
        <w:rPr>
          <w:rFonts w:hint="eastAsia"/>
          <w:highlight w:val="none"/>
          <w:lang w:eastAsia="zh-CN"/>
        </w:rPr>
        <w:t>甲方</w:t>
      </w:r>
      <w:r>
        <w:rPr>
          <w:rFonts w:hint="eastAsia"/>
          <w:highlight w:val="none"/>
        </w:rPr>
        <w:t>汇报月度检测内容及下一步工作安排，并向各有关单位发送，以便试验检测工作更好地服务于工程施工。</w:t>
      </w:r>
    </w:p>
    <w:p w14:paraId="1DF1EAC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2.2.11 </w:t>
      </w:r>
      <w:r>
        <w:rPr>
          <w:rFonts w:hint="eastAsia"/>
          <w:highlight w:val="none"/>
          <w:lang w:eastAsia="zh-CN"/>
        </w:rPr>
        <w:t>乙方</w:t>
      </w:r>
      <w:r>
        <w:rPr>
          <w:rFonts w:hint="eastAsia"/>
          <w:highlight w:val="none"/>
        </w:rPr>
        <w:t>相关人员须服从</w:t>
      </w:r>
      <w:r>
        <w:rPr>
          <w:rFonts w:hint="eastAsia"/>
          <w:highlight w:val="none"/>
          <w:lang w:eastAsia="zh-CN"/>
        </w:rPr>
        <w:t>甲方</w:t>
      </w:r>
      <w:r>
        <w:rPr>
          <w:rFonts w:hint="eastAsia"/>
          <w:highlight w:val="none"/>
        </w:rPr>
        <w:t>的协调与安排，及时完成</w:t>
      </w:r>
      <w:r>
        <w:rPr>
          <w:rFonts w:hint="eastAsia"/>
          <w:highlight w:val="none"/>
          <w:lang w:eastAsia="zh-CN"/>
        </w:rPr>
        <w:t>甲方</w:t>
      </w:r>
      <w:r>
        <w:rPr>
          <w:rFonts w:hint="eastAsia"/>
          <w:highlight w:val="none"/>
        </w:rPr>
        <w:t>临时指派的其他检测任务。</w:t>
      </w:r>
    </w:p>
    <w:p w14:paraId="3C06CB6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2.2.12 </w:t>
      </w:r>
      <w:r>
        <w:rPr>
          <w:rFonts w:hint="eastAsia"/>
          <w:highlight w:val="none"/>
          <w:lang w:eastAsia="zh-CN"/>
        </w:rPr>
        <w:t>乙方</w:t>
      </w:r>
      <w:r>
        <w:rPr>
          <w:rFonts w:hint="eastAsia"/>
          <w:highlight w:val="none"/>
        </w:rPr>
        <w:t>应成立专门的项目组织机构，保证检测范围内的每个标段至少有一名固定的检测人员负责，及时完成现场检测和检查工作。项目主要人员须保证每天不少于一次的现场巡视。</w:t>
      </w:r>
    </w:p>
    <w:p w14:paraId="0AB1D8D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2.2.13 </w:t>
      </w:r>
      <w:r>
        <w:rPr>
          <w:rFonts w:hint="eastAsia"/>
          <w:highlight w:val="none"/>
          <w:lang w:eastAsia="zh-CN"/>
        </w:rPr>
        <w:t>乙方</w:t>
      </w:r>
      <w:r>
        <w:rPr>
          <w:rFonts w:hint="eastAsia"/>
          <w:highlight w:val="none"/>
        </w:rPr>
        <w:t>须配合</w:t>
      </w:r>
      <w:r>
        <w:rPr>
          <w:rFonts w:hint="eastAsia"/>
          <w:highlight w:val="none"/>
          <w:lang w:eastAsia="zh-CN"/>
        </w:rPr>
        <w:t>甲方</w:t>
      </w:r>
      <w:r>
        <w:rPr>
          <w:rFonts w:hint="eastAsia"/>
          <w:highlight w:val="none"/>
        </w:rPr>
        <w:t>定期对各施工单位的质量检测行为进行监督管理，对施工单位的试验室、试验资料、试验结果进行检查、分析和考核。</w:t>
      </w:r>
    </w:p>
    <w:p w14:paraId="77789CE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2.2.14 </w:t>
      </w:r>
      <w:r>
        <w:rPr>
          <w:rFonts w:hint="eastAsia"/>
          <w:highlight w:val="none"/>
          <w:lang w:eastAsia="zh-CN"/>
        </w:rPr>
        <w:t>乙方</w:t>
      </w:r>
      <w:r>
        <w:rPr>
          <w:rFonts w:hint="eastAsia"/>
          <w:highlight w:val="none"/>
        </w:rPr>
        <w:t>须提供根据每月材料进场计划制定的抽检计划，并报</w:t>
      </w:r>
      <w:r>
        <w:rPr>
          <w:rFonts w:hint="eastAsia"/>
          <w:highlight w:val="none"/>
          <w:lang w:eastAsia="zh-CN"/>
        </w:rPr>
        <w:t>甲方</w:t>
      </w:r>
      <w:r>
        <w:rPr>
          <w:rFonts w:hint="eastAsia"/>
          <w:highlight w:val="none"/>
        </w:rPr>
        <w:t>审批。</w:t>
      </w:r>
    </w:p>
    <w:p w14:paraId="4335940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2.2.15 </w:t>
      </w:r>
      <w:r>
        <w:rPr>
          <w:rFonts w:hint="eastAsia"/>
          <w:highlight w:val="none"/>
          <w:lang w:eastAsia="zh-CN"/>
        </w:rPr>
        <w:t>乙方</w:t>
      </w:r>
      <w:r>
        <w:rPr>
          <w:rFonts w:hint="eastAsia"/>
          <w:highlight w:val="none"/>
        </w:rPr>
        <w:t>须建立原材料质量和工程实体质量的评估机制，加强分析总结。每月根据抽检结果和工程实体质量检查结果编写试验检测工作分析报告，重点对各标段的专项检测合格率、不合格品处理情况、实体质量缺陷及处理等进行分析。通过汇总有关试验检测数据分析各标段材料质量、施工质量稳定情况和存在问题，根据实际情况在分析报告中提出解决建议。</w:t>
      </w:r>
    </w:p>
    <w:p w14:paraId="52C2378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2.2.16 </w:t>
      </w:r>
      <w:r>
        <w:rPr>
          <w:rFonts w:hint="eastAsia"/>
          <w:highlight w:val="none"/>
          <w:lang w:eastAsia="zh-CN"/>
        </w:rPr>
        <w:t>乙方</w:t>
      </w:r>
      <w:r>
        <w:rPr>
          <w:rFonts w:hint="eastAsia"/>
          <w:highlight w:val="none"/>
        </w:rPr>
        <w:t>应保护</w:t>
      </w:r>
      <w:r>
        <w:rPr>
          <w:rFonts w:hint="eastAsia"/>
          <w:highlight w:val="none"/>
          <w:lang w:eastAsia="zh-CN"/>
        </w:rPr>
        <w:t>甲方</w:t>
      </w:r>
      <w:r>
        <w:rPr>
          <w:rFonts w:hint="eastAsia"/>
          <w:highlight w:val="none"/>
        </w:rPr>
        <w:t>可能有的知识产权，不得向第三人泄露、转让</w:t>
      </w:r>
      <w:r>
        <w:rPr>
          <w:rFonts w:hint="eastAsia"/>
          <w:highlight w:val="none"/>
          <w:lang w:eastAsia="zh-CN"/>
        </w:rPr>
        <w:t>甲方</w:t>
      </w:r>
      <w:r>
        <w:rPr>
          <w:rFonts w:hint="eastAsia"/>
          <w:highlight w:val="none"/>
        </w:rPr>
        <w:t>提交的产品图纸等技术经济资料。如发生以上情况给</w:t>
      </w:r>
      <w:r>
        <w:rPr>
          <w:rFonts w:hint="eastAsia"/>
          <w:highlight w:val="none"/>
          <w:lang w:eastAsia="zh-CN"/>
        </w:rPr>
        <w:t>甲方</w:t>
      </w:r>
      <w:r>
        <w:rPr>
          <w:rFonts w:hint="eastAsia"/>
          <w:highlight w:val="none"/>
        </w:rPr>
        <w:t>造成经济损失的，</w:t>
      </w:r>
      <w:r>
        <w:rPr>
          <w:rFonts w:hint="eastAsia"/>
          <w:highlight w:val="none"/>
          <w:lang w:eastAsia="zh-CN"/>
        </w:rPr>
        <w:t>甲方</w:t>
      </w:r>
      <w:r>
        <w:rPr>
          <w:rFonts w:hint="eastAsia"/>
          <w:highlight w:val="none"/>
        </w:rPr>
        <w:t>有权向</w:t>
      </w:r>
      <w:r>
        <w:rPr>
          <w:rFonts w:hint="eastAsia"/>
          <w:highlight w:val="none"/>
          <w:lang w:eastAsia="zh-CN"/>
        </w:rPr>
        <w:t>乙方</w:t>
      </w:r>
      <w:r>
        <w:rPr>
          <w:rFonts w:hint="eastAsia"/>
          <w:highlight w:val="none"/>
        </w:rPr>
        <w:t>索赔。</w:t>
      </w:r>
    </w:p>
    <w:p w14:paraId="6D3080D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3  违约责任</w:t>
      </w:r>
    </w:p>
    <w:p w14:paraId="23C2689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3.1 </w:t>
      </w:r>
      <w:r>
        <w:rPr>
          <w:rFonts w:hint="eastAsia"/>
          <w:highlight w:val="none"/>
          <w:lang w:eastAsia="zh-CN"/>
        </w:rPr>
        <w:t>甲方</w:t>
      </w:r>
      <w:r>
        <w:rPr>
          <w:rFonts w:hint="eastAsia"/>
          <w:highlight w:val="none"/>
        </w:rPr>
        <w:t>违约责任</w:t>
      </w:r>
    </w:p>
    <w:p w14:paraId="53F11A59">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3.1.1 </w:t>
      </w:r>
      <w:r>
        <w:rPr>
          <w:rFonts w:hint="eastAsia"/>
          <w:highlight w:val="none"/>
          <w:lang w:eastAsia="zh-CN"/>
        </w:rPr>
        <w:t>甲方</w:t>
      </w:r>
      <w:r>
        <w:rPr>
          <w:rFonts w:hint="eastAsia"/>
          <w:highlight w:val="none"/>
        </w:rPr>
        <w:t>不按本合同支付合同价款，按照逾期支付当日中国人民银行的同期限档次贷款基准利率支付利息，以应付未付金额为基数，该项违约金累计最高不超过合同价款的 1%。</w:t>
      </w:r>
    </w:p>
    <w:p w14:paraId="110354C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3.2 </w:t>
      </w:r>
      <w:r>
        <w:rPr>
          <w:rFonts w:hint="eastAsia"/>
          <w:highlight w:val="none"/>
          <w:lang w:eastAsia="zh-CN"/>
        </w:rPr>
        <w:t>乙方</w:t>
      </w:r>
      <w:r>
        <w:rPr>
          <w:rFonts w:hint="eastAsia"/>
          <w:highlight w:val="none"/>
        </w:rPr>
        <w:t>违约责任</w:t>
      </w:r>
    </w:p>
    <w:p w14:paraId="5CA7202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default"/>
          <w:highlight w:val="none"/>
          <w:lang w:val="en-US" w:eastAsia="zh-CN"/>
        </w:rPr>
      </w:pPr>
      <w:r>
        <w:rPr>
          <w:rFonts w:hint="eastAsia"/>
          <w:highlight w:val="none"/>
          <w:lang w:val="en-US" w:eastAsia="zh-CN"/>
        </w:rPr>
        <w:t>按《</w:t>
      </w:r>
      <w:r>
        <w:rPr>
          <w:rFonts w:hint="eastAsia"/>
          <w:highlight w:val="none"/>
        </w:rPr>
        <w:t>第三方检测单位履约考核扣款细则</w:t>
      </w:r>
      <w:r>
        <w:rPr>
          <w:rFonts w:hint="eastAsia"/>
          <w:highlight w:val="none"/>
          <w:lang w:eastAsia="zh-CN"/>
        </w:rPr>
        <w:t>》</w:t>
      </w:r>
      <w:r>
        <w:rPr>
          <w:rFonts w:hint="eastAsia"/>
          <w:highlight w:val="none"/>
          <w:lang w:val="en-US" w:eastAsia="zh-CN"/>
        </w:rPr>
        <w:t>执行，详见附件3。</w:t>
      </w:r>
    </w:p>
    <w:p w14:paraId="074B418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4  解决合同纠纷方式</w:t>
      </w:r>
    </w:p>
    <w:p w14:paraId="4C34195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eastAsia="宋体"/>
          <w:highlight w:val="none"/>
          <w:lang w:val="en-US" w:eastAsia="zh-CN"/>
        </w:rPr>
      </w:pPr>
      <w:r>
        <w:rPr>
          <w:rFonts w:hint="eastAsia"/>
          <w:highlight w:val="none"/>
        </w:rPr>
        <w:t>本合同如发生纠纷，当事人双方应当及时协商解决，协商不成时，</w:t>
      </w:r>
      <w:r>
        <w:rPr>
          <w:color w:val="000000"/>
          <w:spacing w:val="6"/>
          <w:szCs w:val="21"/>
          <w:highlight w:val="none"/>
        </w:rPr>
        <w:t>双方约定通过仲裁解决，仲裁机构为：</w:t>
      </w:r>
      <w:r>
        <w:rPr>
          <w:color w:val="000000"/>
          <w:szCs w:val="21"/>
          <w:highlight w:val="none"/>
          <w:u w:val="single"/>
        </w:rPr>
        <w:t xml:space="preserve">  </w:t>
      </w:r>
      <w:r>
        <w:rPr>
          <w:rFonts w:hint="eastAsia"/>
          <w:color w:val="000000"/>
          <w:szCs w:val="21"/>
          <w:highlight w:val="none"/>
          <w:u w:val="single"/>
        </w:rPr>
        <w:t>滁州仲裁委员会</w:t>
      </w:r>
      <w:r>
        <w:rPr>
          <w:color w:val="000000"/>
          <w:szCs w:val="21"/>
          <w:highlight w:val="none"/>
          <w:u w:val="single"/>
        </w:rPr>
        <w:t xml:space="preserve">  </w:t>
      </w:r>
      <w:r>
        <w:rPr>
          <w:rFonts w:hint="eastAsia"/>
          <w:color w:val="000000"/>
          <w:szCs w:val="21"/>
          <w:highlight w:val="none"/>
          <w:u w:val="single"/>
          <w:lang w:eastAsia="zh-CN"/>
        </w:rPr>
        <w:t>。</w:t>
      </w:r>
    </w:p>
    <w:p w14:paraId="355A30C9">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5  不可抗力</w:t>
      </w:r>
    </w:p>
    <w:p w14:paraId="1BB2450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5.1 除非合同另有约定，不可抗力系指</w:t>
      </w:r>
      <w:r>
        <w:rPr>
          <w:rFonts w:hint="eastAsia"/>
          <w:highlight w:val="none"/>
          <w:lang w:eastAsia="zh-CN"/>
        </w:rPr>
        <w:t>甲方</w:t>
      </w:r>
      <w:r>
        <w:rPr>
          <w:rFonts w:hint="eastAsia"/>
          <w:highlight w:val="none"/>
        </w:rPr>
        <w:t>和</w:t>
      </w:r>
      <w:r>
        <w:rPr>
          <w:rFonts w:hint="eastAsia"/>
          <w:highlight w:val="none"/>
          <w:lang w:eastAsia="zh-CN"/>
        </w:rPr>
        <w:t>乙方</w:t>
      </w:r>
      <w:r>
        <w:rPr>
          <w:rFonts w:hint="eastAsia"/>
          <w:highlight w:val="none"/>
        </w:rPr>
        <w:t>都不可预见、不可避免、不能克服的超出认识控制和防范能力的事件。这类事件使合同一方的履约己变得不可能。不可抗力可以包括(但不限于)下列情况；</w:t>
      </w:r>
    </w:p>
    <w:p w14:paraId="54DD2E2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（1）战争、敌对行动(不论宣战与否)、入侵、外敌行动；</w:t>
      </w:r>
    </w:p>
    <w:p w14:paraId="13618BE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（2）叛乱、革命、暴动或军事政变或篡夺政权，或内战；</w:t>
      </w:r>
    </w:p>
    <w:p w14:paraId="12EE0F1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（3）暴乱、骚乱或混乱，但对于完全局限在</w:t>
      </w:r>
      <w:r>
        <w:rPr>
          <w:rFonts w:hint="eastAsia"/>
          <w:highlight w:val="none"/>
          <w:lang w:eastAsia="zh-CN"/>
        </w:rPr>
        <w:t>乙方</w:t>
      </w:r>
      <w:r>
        <w:rPr>
          <w:rFonts w:hint="eastAsia"/>
          <w:highlight w:val="none"/>
        </w:rPr>
        <w:t>雇用人员内部并且是由于从事本工程而发生的事件除外；</w:t>
      </w:r>
    </w:p>
    <w:p w14:paraId="187B023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（4）离子辐射或放射性污染；</w:t>
      </w:r>
    </w:p>
    <w:p w14:paraId="0F360E2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（5）自然灾害(地震、洪水、海啸、飓风、超强台风、雷击等)。</w:t>
      </w:r>
    </w:p>
    <w:p w14:paraId="2A84F6D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（6）以音速或超音速飞行的飞机或其他飞行装置产生的压力波，飞行器坠落。</w:t>
      </w:r>
    </w:p>
    <w:p w14:paraId="53402AC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5.2 遇有不可抗力事件的一方因此影响合同执行时，应在不可抗力事件发生后立即以书面形式通知对方，并应在不可抗力事件发生后 15 天内，提供事件详情及合同不能履行、或者部分不能履行、或者需要延期履行的理由的有效证明文件。按照事件对履行合同的影响程度，由双方协商解决是否解除合同，或者部分免除履行合同的责任，或者延期履行合同。</w:t>
      </w:r>
    </w:p>
    <w:p w14:paraId="13C6E9C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5.3 因合同一方拖延履行合同后发生不可抗力的，不能免除拖延履行方的相应责任。</w:t>
      </w:r>
    </w:p>
    <w:p w14:paraId="0CB549B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6  转包与分包</w:t>
      </w:r>
    </w:p>
    <w:p w14:paraId="2ED16B1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6.1 本工程不得转包或分包，</w:t>
      </w:r>
      <w:r>
        <w:rPr>
          <w:rFonts w:hint="eastAsia"/>
          <w:highlight w:val="none"/>
          <w:lang w:eastAsia="zh-CN"/>
        </w:rPr>
        <w:t>乙方</w:t>
      </w:r>
      <w:r>
        <w:rPr>
          <w:rFonts w:hint="eastAsia"/>
          <w:highlight w:val="none"/>
        </w:rPr>
        <w:t>不得将本合同规定的义务、责任和权利转让给第三方。</w:t>
      </w:r>
    </w:p>
    <w:p w14:paraId="55959F3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6.2 </w:t>
      </w:r>
      <w:r>
        <w:rPr>
          <w:rFonts w:hint="eastAsia"/>
          <w:highlight w:val="none"/>
          <w:lang w:eastAsia="zh-CN"/>
        </w:rPr>
        <w:t>乙方</w:t>
      </w:r>
      <w:r>
        <w:rPr>
          <w:rFonts w:hint="eastAsia"/>
          <w:highlight w:val="none"/>
        </w:rPr>
        <w:t>实施本工程第三方检测的所有人员，必须是</w:t>
      </w:r>
      <w:r>
        <w:rPr>
          <w:rFonts w:hint="eastAsia"/>
          <w:highlight w:val="none"/>
          <w:lang w:eastAsia="zh-CN"/>
        </w:rPr>
        <w:t>乙方</w:t>
      </w:r>
      <w:r>
        <w:rPr>
          <w:rFonts w:hint="eastAsia"/>
          <w:highlight w:val="none"/>
        </w:rPr>
        <w:t>单位正式职工，否则，每发现一次</w:t>
      </w:r>
      <w:r>
        <w:rPr>
          <w:rFonts w:hint="eastAsia"/>
          <w:highlight w:val="none"/>
          <w:lang w:eastAsia="zh-CN"/>
        </w:rPr>
        <w:t>乙方</w:t>
      </w:r>
      <w:r>
        <w:rPr>
          <w:rFonts w:hint="eastAsia"/>
          <w:highlight w:val="none"/>
        </w:rPr>
        <w:t>支付</w:t>
      </w:r>
      <w:r>
        <w:rPr>
          <w:rFonts w:hint="eastAsia"/>
          <w:highlight w:val="none"/>
          <w:lang w:eastAsia="zh-CN"/>
        </w:rPr>
        <w:t>甲方</w:t>
      </w:r>
      <w:r>
        <w:rPr>
          <w:rFonts w:hint="eastAsia"/>
          <w:highlight w:val="none"/>
        </w:rPr>
        <w:t>违约金</w:t>
      </w:r>
      <w:r>
        <w:rPr>
          <w:rFonts w:hint="eastAsia"/>
          <w:highlight w:val="none"/>
          <w:lang w:val="en-US" w:eastAsia="zh-CN"/>
        </w:rPr>
        <w:t>0.2</w:t>
      </w:r>
      <w:r>
        <w:rPr>
          <w:rFonts w:hint="eastAsia"/>
          <w:highlight w:val="none"/>
        </w:rPr>
        <w:t>万元，发现三次（含）以上的</w:t>
      </w:r>
      <w:r>
        <w:rPr>
          <w:rFonts w:hint="eastAsia"/>
          <w:highlight w:val="none"/>
          <w:lang w:eastAsia="zh-CN"/>
        </w:rPr>
        <w:t>甲方</w:t>
      </w:r>
      <w:r>
        <w:rPr>
          <w:rFonts w:hint="eastAsia"/>
          <w:highlight w:val="none"/>
        </w:rPr>
        <w:t>有权单方解除合同。</w:t>
      </w:r>
    </w:p>
    <w:p w14:paraId="7DFA867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6.3本项目不得违法分包、转包，如需委外</w:t>
      </w:r>
      <w:r>
        <w:rPr>
          <w:highlight w:val="none"/>
        </w:rPr>
        <w:t>需选择具有相应资质的单位并经业主同意，由中标单位对其负总责</w:t>
      </w:r>
      <w:r>
        <w:rPr>
          <w:rFonts w:hint="eastAsia"/>
          <w:highlight w:val="none"/>
        </w:rPr>
        <w:t>。</w:t>
      </w:r>
    </w:p>
    <w:p w14:paraId="66D34EB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7  索赔</w:t>
      </w:r>
    </w:p>
    <w:p w14:paraId="1C5F48A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7.1 当一方提出索赔时，要有正当索赔理由，且有索赔事件发生时的有效证据。</w:t>
      </w:r>
    </w:p>
    <w:p w14:paraId="3475E31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7.2 </w:t>
      </w:r>
      <w:r>
        <w:rPr>
          <w:rFonts w:hint="eastAsia"/>
          <w:highlight w:val="none"/>
          <w:lang w:eastAsia="zh-CN"/>
        </w:rPr>
        <w:t>甲方</w:t>
      </w:r>
      <w:r>
        <w:rPr>
          <w:rFonts w:hint="eastAsia"/>
          <w:highlight w:val="none"/>
        </w:rPr>
        <w:t>未能按合同约定履行自己的各项义务或发生错误以及应由</w:t>
      </w:r>
      <w:r>
        <w:rPr>
          <w:rFonts w:hint="eastAsia"/>
          <w:highlight w:val="none"/>
          <w:lang w:eastAsia="zh-CN"/>
        </w:rPr>
        <w:t>甲方</w:t>
      </w:r>
      <w:r>
        <w:rPr>
          <w:rFonts w:hint="eastAsia"/>
          <w:highlight w:val="none"/>
        </w:rPr>
        <w:t>承担责任的其他情况，造成</w:t>
      </w:r>
      <w:r>
        <w:rPr>
          <w:rFonts w:hint="eastAsia"/>
          <w:highlight w:val="none"/>
          <w:lang w:eastAsia="zh-CN"/>
        </w:rPr>
        <w:t>乙方</w:t>
      </w:r>
      <w:r>
        <w:rPr>
          <w:rFonts w:hint="eastAsia"/>
          <w:highlight w:val="none"/>
        </w:rPr>
        <w:t>的经济损失，</w:t>
      </w:r>
      <w:r>
        <w:rPr>
          <w:rFonts w:hint="eastAsia"/>
          <w:highlight w:val="none"/>
          <w:lang w:eastAsia="zh-CN"/>
        </w:rPr>
        <w:t>乙方</w:t>
      </w:r>
      <w:r>
        <w:rPr>
          <w:rFonts w:hint="eastAsia"/>
          <w:highlight w:val="none"/>
        </w:rPr>
        <w:t>可按下列程序以书面形式向</w:t>
      </w:r>
      <w:r>
        <w:rPr>
          <w:rFonts w:hint="eastAsia"/>
          <w:highlight w:val="none"/>
          <w:lang w:eastAsia="zh-CN"/>
        </w:rPr>
        <w:t>甲方</w:t>
      </w:r>
      <w:r>
        <w:rPr>
          <w:rFonts w:hint="eastAsia"/>
          <w:highlight w:val="none"/>
        </w:rPr>
        <w:t>索赔：</w:t>
      </w:r>
    </w:p>
    <w:p w14:paraId="0493E71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（1）索赔事件发生后 28 日内，发出索赔意向通知；</w:t>
      </w:r>
    </w:p>
    <w:p w14:paraId="7E4D8AD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w:t>
      </w:r>
      <w:r>
        <w:rPr>
          <w:rFonts w:hint="eastAsia"/>
          <w:highlight w:val="none"/>
          <w:lang w:eastAsia="zh-CN"/>
        </w:rPr>
        <w:t>甲方</w:t>
      </w:r>
      <w:r>
        <w:rPr>
          <w:rFonts w:hint="eastAsia"/>
          <w:highlight w:val="none"/>
        </w:rPr>
        <w:t>在收到</w:t>
      </w:r>
      <w:r>
        <w:rPr>
          <w:rFonts w:hint="eastAsia"/>
          <w:highlight w:val="none"/>
          <w:lang w:eastAsia="zh-CN"/>
        </w:rPr>
        <w:t>乙方</w:t>
      </w:r>
      <w:r>
        <w:rPr>
          <w:rFonts w:hint="eastAsia"/>
          <w:highlight w:val="none"/>
        </w:rPr>
        <w:t>送交的索赔报告和有关资料后，于 28 日内给予答复，或要求</w:t>
      </w:r>
      <w:r>
        <w:rPr>
          <w:rFonts w:hint="eastAsia"/>
          <w:highlight w:val="none"/>
          <w:lang w:eastAsia="zh-CN"/>
        </w:rPr>
        <w:t>乙方</w:t>
      </w:r>
      <w:r>
        <w:rPr>
          <w:rFonts w:hint="eastAsia"/>
          <w:highlight w:val="none"/>
        </w:rPr>
        <w:t>进一步补充索赔理由和证据；</w:t>
      </w:r>
    </w:p>
    <w:p w14:paraId="0AEF7469">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（3）当该索赔事件持续进行时，</w:t>
      </w:r>
      <w:r>
        <w:rPr>
          <w:rFonts w:hint="eastAsia"/>
          <w:highlight w:val="none"/>
          <w:lang w:eastAsia="zh-CN"/>
        </w:rPr>
        <w:t>乙方</w:t>
      </w:r>
      <w:r>
        <w:rPr>
          <w:rFonts w:hint="eastAsia"/>
          <w:highlight w:val="none"/>
        </w:rPr>
        <w:t>应当阶段性向</w:t>
      </w:r>
      <w:r>
        <w:rPr>
          <w:rFonts w:hint="eastAsia"/>
          <w:highlight w:val="none"/>
          <w:lang w:eastAsia="zh-CN"/>
        </w:rPr>
        <w:t>甲方</w:t>
      </w:r>
      <w:r>
        <w:rPr>
          <w:rFonts w:hint="eastAsia"/>
          <w:highlight w:val="none"/>
        </w:rPr>
        <w:t>发出索赔意向，在索赔事件终了后 28 日内，向</w:t>
      </w:r>
      <w:r>
        <w:rPr>
          <w:rFonts w:hint="eastAsia"/>
          <w:highlight w:val="none"/>
          <w:lang w:eastAsia="zh-CN"/>
        </w:rPr>
        <w:t>甲方</w:t>
      </w:r>
      <w:r>
        <w:rPr>
          <w:rFonts w:hint="eastAsia"/>
          <w:highlight w:val="none"/>
        </w:rPr>
        <w:t>送交索赔的有关资料和最终索赔报告。索赔答复程序与(2)规定相同。</w:t>
      </w:r>
    </w:p>
    <w:p w14:paraId="31212EB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7.3 </w:t>
      </w:r>
      <w:r>
        <w:rPr>
          <w:rFonts w:hint="eastAsia"/>
          <w:highlight w:val="none"/>
          <w:lang w:eastAsia="zh-CN"/>
        </w:rPr>
        <w:t>乙方</w:t>
      </w:r>
      <w:r>
        <w:rPr>
          <w:rFonts w:hint="eastAsia"/>
          <w:highlight w:val="none"/>
        </w:rPr>
        <w:t>未能按合同约定履行自己的各项义务或发生错误以及应由</w:t>
      </w:r>
      <w:r>
        <w:rPr>
          <w:rFonts w:hint="eastAsia"/>
          <w:highlight w:val="none"/>
          <w:lang w:eastAsia="zh-CN"/>
        </w:rPr>
        <w:t>乙方</w:t>
      </w:r>
      <w:r>
        <w:rPr>
          <w:rFonts w:hint="eastAsia"/>
          <w:highlight w:val="none"/>
        </w:rPr>
        <w:t>承担责任的其他情况，造成工期延误和(或)对</w:t>
      </w:r>
      <w:r>
        <w:rPr>
          <w:rFonts w:hint="eastAsia"/>
          <w:highlight w:val="none"/>
          <w:lang w:eastAsia="zh-CN"/>
        </w:rPr>
        <w:t>甲方</w:t>
      </w:r>
      <w:r>
        <w:rPr>
          <w:rFonts w:hint="eastAsia"/>
          <w:highlight w:val="none"/>
        </w:rPr>
        <w:t>造成其它经济损失，</w:t>
      </w:r>
      <w:r>
        <w:rPr>
          <w:rFonts w:hint="eastAsia"/>
          <w:highlight w:val="none"/>
          <w:lang w:eastAsia="zh-CN"/>
        </w:rPr>
        <w:t>甲方</w:t>
      </w:r>
      <w:r>
        <w:rPr>
          <w:rFonts w:hint="eastAsia"/>
          <w:highlight w:val="none"/>
        </w:rPr>
        <w:t>可按本合同第 7.2款确定的时限和方式向</w:t>
      </w:r>
      <w:r>
        <w:rPr>
          <w:rFonts w:hint="eastAsia"/>
          <w:highlight w:val="none"/>
          <w:lang w:eastAsia="zh-CN"/>
        </w:rPr>
        <w:t>乙方</w:t>
      </w:r>
      <w:r>
        <w:rPr>
          <w:rFonts w:hint="eastAsia"/>
          <w:highlight w:val="none"/>
        </w:rPr>
        <w:t>提出索赔。</w:t>
      </w:r>
    </w:p>
    <w:p w14:paraId="77598EC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8  合同生效、变更、中止、解除和终止</w:t>
      </w:r>
    </w:p>
    <w:p w14:paraId="28EB504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8.1 合同经双方签字盖章后生效。</w:t>
      </w:r>
    </w:p>
    <w:p w14:paraId="04D416D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8.2 双方履行完合同全部义务，合同价款支付完毕，本合同即告终止。</w:t>
      </w:r>
    </w:p>
    <w:p w14:paraId="1A9B17A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8.3 对本合同条款的任何变更、修改或增减，须经双方协商同意后由法定代表人或授权代理人签署书面补充协议，作为本合同的组成部分。</w:t>
      </w:r>
    </w:p>
    <w:p w14:paraId="3C76ACD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8.4 </w:t>
      </w:r>
      <w:r>
        <w:rPr>
          <w:rFonts w:hint="eastAsia"/>
          <w:highlight w:val="none"/>
          <w:lang w:eastAsia="zh-CN"/>
        </w:rPr>
        <w:t>甲方</w:t>
      </w:r>
      <w:r>
        <w:rPr>
          <w:rFonts w:hint="eastAsia"/>
          <w:highlight w:val="none"/>
        </w:rPr>
        <w:t>如果要求</w:t>
      </w:r>
      <w:r>
        <w:rPr>
          <w:rFonts w:hint="eastAsia"/>
          <w:highlight w:val="none"/>
          <w:lang w:eastAsia="zh-CN"/>
        </w:rPr>
        <w:t>乙方</w:t>
      </w:r>
      <w:r>
        <w:rPr>
          <w:rFonts w:hint="eastAsia"/>
          <w:highlight w:val="none"/>
        </w:rPr>
        <w:t>全部或部分中止或终止合同，则应当至少提前 14 日通知</w:t>
      </w:r>
      <w:r>
        <w:rPr>
          <w:rFonts w:hint="eastAsia"/>
          <w:highlight w:val="none"/>
          <w:lang w:eastAsia="zh-CN"/>
        </w:rPr>
        <w:t>乙方</w:t>
      </w:r>
      <w:r>
        <w:rPr>
          <w:rFonts w:hint="eastAsia"/>
          <w:highlight w:val="none"/>
        </w:rPr>
        <w:t>，</w:t>
      </w:r>
      <w:r>
        <w:rPr>
          <w:rFonts w:hint="eastAsia"/>
          <w:highlight w:val="none"/>
          <w:lang w:eastAsia="zh-CN"/>
        </w:rPr>
        <w:t>乙方</w:t>
      </w:r>
      <w:r>
        <w:rPr>
          <w:rFonts w:hint="eastAsia"/>
          <w:highlight w:val="none"/>
        </w:rPr>
        <w:t>应当立即停止执行检测工作。</w:t>
      </w:r>
    </w:p>
    <w:p w14:paraId="5D1FDD4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8.5 因不可抗力致使合同无法履行，双方可以解除合同。</w:t>
      </w:r>
    </w:p>
    <w:p w14:paraId="3F6CCA3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8.6 一方根据本合同约定要求解除合同的，应以书面形式向对方发出解除合同的通知，并在发出通知前 14 日告知对方，通知达到对方时合同解除。对解除合同有争议的，按本合同条款第 4 条处理。</w:t>
      </w:r>
    </w:p>
    <w:p w14:paraId="18BD04B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8.7 合同解除后，不影响双方在合同中约定的结算、清理和损害赔偿条款及争议的效力。</w:t>
      </w:r>
    </w:p>
    <w:p w14:paraId="4681F82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9 其它</w:t>
      </w:r>
    </w:p>
    <w:p w14:paraId="7B6BC96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9.</w:t>
      </w:r>
      <w:r>
        <w:rPr>
          <w:rFonts w:hint="eastAsia"/>
          <w:highlight w:val="none"/>
          <w:lang w:val="en-US" w:eastAsia="zh-CN"/>
        </w:rPr>
        <w:t>1</w:t>
      </w:r>
      <w:r>
        <w:rPr>
          <w:rFonts w:hint="eastAsia"/>
          <w:highlight w:val="none"/>
        </w:rPr>
        <w:t xml:space="preserve"> </w:t>
      </w:r>
      <w:r>
        <w:rPr>
          <w:rFonts w:hint="eastAsia"/>
          <w:highlight w:val="none"/>
          <w:lang w:eastAsia="zh-CN"/>
        </w:rPr>
        <w:t>乙方</w:t>
      </w:r>
      <w:r>
        <w:rPr>
          <w:rFonts w:hint="eastAsia"/>
          <w:highlight w:val="none"/>
        </w:rPr>
        <w:t>对其编制的所有文件包括投标文件、工程方案、工程报告、图纸、数据、专利技术等拥有版权，</w:t>
      </w:r>
      <w:r>
        <w:rPr>
          <w:rFonts w:hint="eastAsia"/>
          <w:highlight w:val="none"/>
          <w:lang w:eastAsia="zh-CN"/>
        </w:rPr>
        <w:t>甲方</w:t>
      </w:r>
      <w:r>
        <w:rPr>
          <w:rFonts w:hint="eastAsia"/>
          <w:highlight w:val="none"/>
        </w:rPr>
        <w:t>拥有无偿的使用权。</w:t>
      </w:r>
      <w:r>
        <w:rPr>
          <w:rFonts w:hint="eastAsia"/>
          <w:highlight w:val="none"/>
          <w:lang w:eastAsia="zh-CN"/>
        </w:rPr>
        <w:t>甲方</w:t>
      </w:r>
      <w:r>
        <w:rPr>
          <w:rFonts w:hint="eastAsia"/>
          <w:highlight w:val="none"/>
        </w:rPr>
        <w:t>为本项目的实施，有权使用、复制此类文件，在此情况下不需取得</w:t>
      </w:r>
      <w:r>
        <w:rPr>
          <w:rFonts w:hint="eastAsia"/>
          <w:highlight w:val="none"/>
          <w:lang w:eastAsia="zh-CN"/>
        </w:rPr>
        <w:t>乙方</w:t>
      </w:r>
      <w:r>
        <w:rPr>
          <w:rFonts w:hint="eastAsia"/>
          <w:highlight w:val="none"/>
        </w:rPr>
        <w:t>的许可。</w:t>
      </w:r>
      <w:r>
        <w:rPr>
          <w:rFonts w:hint="eastAsia"/>
          <w:highlight w:val="none"/>
          <w:lang w:eastAsia="zh-CN"/>
        </w:rPr>
        <w:t>乙方</w:t>
      </w:r>
      <w:r>
        <w:rPr>
          <w:rFonts w:hint="eastAsia"/>
          <w:highlight w:val="none"/>
        </w:rPr>
        <w:t>不得以知识产权为由，向</w:t>
      </w:r>
      <w:r>
        <w:rPr>
          <w:rFonts w:hint="eastAsia"/>
          <w:highlight w:val="none"/>
          <w:lang w:eastAsia="zh-CN"/>
        </w:rPr>
        <w:t>甲方</w:t>
      </w:r>
      <w:r>
        <w:rPr>
          <w:rFonts w:hint="eastAsia"/>
          <w:highlight w:val="none"/>
        </w:rPr>
        <w:t>索取报酬或提出索赔。</w:t>
      </w:r>
    </w:p>
    <w:p w14:paraId="229F8D9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9.</w:t>
      </w:r>
      <w:r>
        <w:rPr>
          <w:rFonts w:hint="eastAsia"/>
          <w:highlight w:val="none"/>
          <w:lang w:val="en-US" w:eastAsia="zh-CN"/>
        </w:rPr>
        <w:t>2</w:t>
      </w:r>
      <w:r>
        <w:rPr>
          <w:rFonts w:hint="eastAsia"/>
          <w:highlight w:val="none"/>
        </w:rPr>
        <w:t xml:space="preserve"> 本合同正本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和</w:t>
      </w:r>
      <w:r>
        <w:rPr>
          <w:rFonts w:hint="eastAsia"/>
          <w:highlight w:val="none"/>
          <w:lang w:eastAsia="zh-CN"/>
        </w:rPr>
        <w:t>乙方</w:t>
      </w:r>
      <w:r>
        <w:rPr>
          <w:rFonts w:hint="eastAsia"/>
          <w:highlight w:val="none"/>
        </w:rPr>
        <w:t>各执</w:t>
      </w:r>
      <w:r>
        <w:rPr>
          <w:rFonts w:hint="eastAsia"/>
          <w:highlight w:val="none"/>
          <w:lang w:val="en-US" w:eastAsia="zh-CN"/>
        </w:rPr>
        <w:t xml:space="preserve">  </w:t>
      </w:r>
      <w:r>
        <w:rPr>
          <w:rFonts w:hint="eastAsia"/>
          <w:highlight w:val="none"/>
        </w:rPr>
        <w:t>份；副本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执</w:t>
      </w:r>
      <w:r>
        <w:rPr>
          <w:rFonts w:hint="eastAsia"/>
          <w:highlight w:val="none"/>
          <w:lang w:val="en-US" w:eastAsia="zh-CN"/>
        </w:rPr>
        <w:t xml:space="preserve">  </w:t>
      </w:r>
      <w:r>
        <w:rPr>
          <w:rFonts w:hint="eastAsia"/>
          <w:highlight w:val="none"/>
        </w:rPr>
        <w:t>份，</w:t>
      </w:r>
      <w:r>
        <w:rPr>
          <w:rFonts w:hint="eastAsia"/>
          <w:highlight w:val="none"/>
          <w:lang w:eastAsia="zh-CN"/>
        </w:rPr>
        <w:t>乙方</w:t>
      </w:r>
      <w:r>
        <w:rPr>
          <w:rFonts w:hint="eastAsia"/>
          <w:highlight w:val="none"/>
        </w:rPr>
        <w:t>执</w:t>
      </w:r>
      <w:r>
        <w:rPr>
          <w:rFonts w:hint="eastAsia"/>
          <w:highlight w:val="none"/>
          <w:lang w:val="en-US" w:eastAsia="zh-CN"/>
        </w:rPr>
        <w:t xml:space="preserve">  </w:t>
      </w:r>
      <w:r>
        <w:rPr>
          <w:rFonts w:hint="eastAsia"/>
          <w:highlight w:val="none"/>
        </w:rPr>
        <w:t>份。</w:t>
      </w:r>
    </w:p>
    <w:p w14:paraId="6AF27BC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9.</w:t>
      </w:r>
      <w:r>
        <w:rPr>
          <w:rFonts w:hint="eastAsia"/>
          <w:highlight w:val="none"/>
          <w:lang w:val="en-US" w:eastAsia="zh-CN"/>
        </w:rPr>
        <w:t>3</w:t>
      </w:r>
      <w:r>
        <w:rPr>
          <w:rFonts w:hint="eastAsia"/>
          <w:highlight w:val="none"/>
        </w:rPr>
        <w:t xml:space="preserve"> 双方根据有关法律、行政法规规定，结合工程实际，经协商一致后，可对本合同条款进行补充或修改，并另行签订补充协议，作为合同的组成部分。</w:t>
      </w:r>
    </w:p>
    <w:p w14:paraId="2C0E6A97">
      <w:pPr>
        <w:rPr>
          <w:rFonts w:hint="eastAsia"/>
          <w:bCs/>
          <w:szCs w:val="32"/>
          <w:highlight w:val="none"/>
        </w:rPr>
      </w:pPr>
    </w:p>
    <w:p w14:paraId="215D21AA">
      <w:pPr>
        <w:pStyle w:val="2"/>
        <w:spacing w:before="156" w:beforeLines="50" w:after="156" w:afterLines="50"/>
        <w:jc w:val="center"/>
        <w:rPr>
          <w:rFonts w:hint="eastAsia"/>
          <w:sz w:val="32"/>
          <w:szCs w:val="32"/>
        </w:rPr>
      </w:pPr>
      <w:bookmarkStart w:id="879" w:name="_Toc484173788"/>
      <w:bookmarkStart w:id="880" w:name="_Toc21849"/>
      <w:bookmarkStart w:id="881" w:name="_Toc23466"/>
      <w:bookmarkStart w:id="882" w:name="_Toc506107339"/>
    </w:p>
    <w:p w14:paraId="7CA08600">
      <w:pPr>
        <w:rPr>
          <w:rFonts w:hint="eastAsia"/>
          <w:sz w:val="32"/>
          <w:szCs w:val="32"/>
        </w:rPr>
      </w:pPr>
      <w:r>
        <w:rPr>
          <w:rFonts w:hint="eastAsia"/>
          <w:sz w:val="32"/>
          <w:szCs w:val="32"/>
        </w:rPr>
        <w:br w:type="page"/>
      </w:r>
    </w:p>
    <w:p w14:paraId="3A322DD2">
      <w:pPr>
        <w:pStyle w:val="214"/>
        <w:keepNext w:val="0"/>
        <w:keepLines w:val="0"/>
        <w:pageBreakBefore w:val="0"/>
        <w:widowControl w:val="0"/>
        <w:kinsoku/>
        <w:wordWrap/>
        <w:overflowPunct/>
        <w:topLinePunct w:val="0"/>
        <w:autoSpaceDE w:val="0"/>
        <w:autoSpaceDN w:val="0"/>
        <w:bidi w:val="0"/>
        <w:adjustRightInd w:val="0"/>
        <w:snapToGrid/>
        <w:spacing w:line="380" w:lineRule="exact"/>
        <w:ind w:firstLine="0" w:firstLineChars="0"/>
        <w:jc w:val="left"/>
        <w:rPr>
          <w:rFonts w:eastAsia="黑体" w:cs="Times New Roman"/>
          <w:b w:val="0"/>
          <w:szCs w:val="24"/>
          <w:highlight w:val="none"/>
        </w:rPr>
      </w:pPr>
    </w:p>
    <w:p w14:paraId="695CCCD5">
      <w:pPr>
        <w:pStyle w:val="214"/>
        <w:keepNext w:val="0"/>
        <w:keepLines w:val="0"/>
        <w:pageBreakBefore w:val="0"/>
        <w:widowControl w:val="0"/>
        <w:kinsoku/>
        <w:wordWrap/>
        <w:overflowPunct/>
        <w:topLinePunct w:val="0"/>
        <w:autoSpaceDE w:val="0"/>
        <w:autoSpaceDN w:val="0"/>
        <w:bidi w:val="0"/>
        <w:adjustRightInd w:val="0"/>
        <w:snapToGrid/>
        <w:spacing w:line="380" w:lineRule="exact"/>
        <w:ind w:firstLine="0" w:firstLineChars="0"/>
        <w:jc w:val="left"/>
        <w:rPr>
          <w:rFonts w:eastAsia="黑体" w:cs="Times New Roman"/>
          <w:b w:val="0"/>
          <w:szCs w:val="24"/>
          <w:highlight w:val="none"/>
        </w:rPr>
      </w:pPr>
      <w:r>
        <w:rPr>
          <w:rFonts w:eastAsia="黑体" w:cs="Times New Roman"/>
          <w:b w:val="0"/>
          <w:szCs w:val="24"/>
          <w:highlight w:val="none"/>
        </w:rPr>
        <w:t>附件</w:t>
      </w:r>
      <w:r>
        <w:rPr>
          <w:rFonts w:hint="eastAsia" w:eastAsia="黑体" w:cs="Times New Roman"/>
          <w:b w:val="0"/>
          <w:szCs w:val="24"/>
          <w:highlight w:val="none"/>
          <w:lang w:val="en-US" w:eastAsia="zh-CN"/>
        </w:rPr>
        <w:t xml:space="preserve">1：                          </w:t>
      </w:r>
      <w:r>
        <w:rPr>
          <w:rFonts w:eastAsia="黑体" w:cs="Times New Roman"/>
          <w:b w:val="0"/>
          <w:szCs w:val="24"/>
          <w:highlight w:val="none"/>
        </w:rPr>
        <w:t>廉政协议</w:t>
      </w:r>
    </w:p>
    <w:p w14:paraId="6643D0F4">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u w:val="single"/>
        </w:rPr>
      </w:pPr>
      <w:r>
        <w:rPr>
          <w:rFonts w:hint="eastAsia" w:ascii="宋体" w:hAnsi="宋体" w:cs="宋体"/>
          <w:highlight w:val="none"/>
        </w:rPr>
        <w:t>委托人：</w:t>
      </w:r>
      <w:r>
        <w:rPr>
          <w:rFonts w:hint="eastAsia" w:ascii="宋体" w:hAnsi="宋体" w:cs="宋体"/>
          <w:highlight w:val="none"/>
          <w:u w:val="single"/>
        </w:rPr>
        <w:t xml:space="preserve">                 </w:t>
      </w:r>
    </w:p>
    <w:p w14:paraId="47AC074D">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u w:val="single"/>
        </w:rPr>
      </w:pPr>
      <w:r>
        <w:rPr>
          <w:rFonts w:hint="eastAsia" w:ascii="宋体" w:hAnsi="宋体" w:cs="宋体"/>
          <w:highlight w:val="none"/>
          <w:lang w:val="en-US" w:eastAsia="zh-CN"/>
        </w:rPr>
        <w:t>受托</w:t>
      </w:r>
      <w:r>
        <w:rPr>
          <w:rFonts w:hint="eastAsia" w:ascii="宋体" w:hAnsi="宋体" w:cs="宋体"/>
          <w:highlight w:val="none"/>
        </w:rPr>
        <w:t xml:space="preserve">人： </w:t>
      </w:r>
      <w:r>
        <w:rPr>
          <w:rFonts w:hint="eastAsia" w:ascii="宋体" w:hAnsi="宋体" w:cs="宋体"/>
          <w:highlight w:val="none"/>
          <w:u w:val="single"/>
        </w:rPr>
        <w:t xml:space="preserve">                </w:t>
      </w:r>
    </w:p>
    <w:p w14:paraId="2B3F7C94">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为了在工程建设中保持廉政自律的工作作风，防止各种不正当行为的发生，根据国家和市有关建设项目</w:t>
      </w:r>
      <w:r>
        <w:rPr>
          <w:rFonts w:hint="eastAsia" w:ascii="宋体" w:hAnsi="宋体" w:cs="宋体"/>
          <w:position w:val="-1"/>
          <w:highlight w:val="none"/>
        </w:rPr>
        <w:t>承发包和廉政建设的各项规定，结合项目的特点，特订立本协议如下：</w:t>
      </w:r>
    </w:p>
    <w:p w14:paraId="7FF1DF11">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 xml:space="preserve">一、双方应当自觉遵守国家和市关于项目承发包工作规则以及有关廉政建设的各项规定。 </w:t>
      </w:r>
    </w:p>
    <w:p w14:paraId="7CCBC29F">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二、委托人及其工作人员不得以任何形式向</w:t>
      </w:r>
      <w:r>
        <w:rPr>
          <w:rFonts w:hint="eastAsia" w:ascii="宋体" w:hAnsi="宋体" w:cs="宋体"/>
          <w:highlight w:val="none"/>
          <w:lang w:val="en-US" w:eastAsia="zh-CN"/>
        </w:rPr>
        <w:t>受托人</w:t>
      </w:r>
      <w:r>
        <w:rPr>
          <w:rFonts w:hint="eastAsia" w:ascii="宋体" w:hAnsi="宋体" w:cs="宋体"/>
          <w:highlight w:val="none"/>
        </w:rPr>
        <w:t xml:space="preserve">索要和收受回扣等好处费。 </w:t>
      </w:r>
    </w:p>
    <w:p w14:paraId="472D3B1A">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三、委托人工作人员应当保持与</w:t>
      </w:r>
      <w:r>
        <w:rPr>
          <w:rFonts w:hint="eastAsia" w:ascii="宋体" w:hAnsi="宋体" w:cs="宋体"/>
          <w:highlight w:val="none"/>
          <w:lang w:val="en-US" w:eastAsia="zh-CN"/>
        </w:rPr>
        <w:t>受托人</w:t>
      </w:r>
      <w:r>
        <w:rPr>
          <w:rFonts w:hint="eastAsia" w:ascii="宋体" w:hAnsi="宋体" w:cs="宋体"/>
          <w:highlight w:val="none"/>
        </w:rPr>
        <w:t>的正常业务交往，不得接受</w:t>
      </w:r>
      <w:r>
        <w:rPr>
          <w:rFonts w:hint="eastAsia" w:ascii="宋体" w:hAnsi="宋体" w:cs="宋体"/>
          <w:highlight w:val="none"/>
          <w:lang w:eastAsia="zh-CN"/>
        </w:rPr>
        <w:t>受托人</w:t>
      </w:r>
      <w:r>
        <w:rPr>
          <w:rFonts w:hint="eastAsia" w:ascii="宋体" w:hAnsi="宋体" w:cs="宋体"/>
          <w:highlight w:val="none"/>
        </w:rPr>
        <w:t>的现金、有价证券和贵重物</w:t>
      </w:r>
      <w:r>
        <w:rPr>
          <w:rFonts w:hint="eastAsia" w:ascii="宋体" w:hAnsi="宋体" w:cs="宋体"/>
          <w:position w:val="-1"/>
          <w:highlight w:val="none"/>
        </w:rPr>
        <w:t>品，不得在</w:t>
      </w:r>
      <w:r>
        <w:rPr>
          <w:rFonts w:hint="eastAsia" w:ascii="宋体" w:hAnsi="宋体" w:cs="宋体"/>
          <w:position w:val="-1"/>
          <w:highlight w:val="none"/>
          <w:lang w:eastAsia="zh-CN"/>
        </w:rPr>
        <w:t>受托人</w:t>
      </w:r>
      <w:r>
        <w:rPr>
          <w:rFonts w:hint="eastAsia" w:ascii="宋体" w:hAnsi="宋体" w:cs="宋体"/>
          <w:position w:val="-1"/>
          <w:highlight w:val="none"/>
        </w:rPr>
        <w:t>报销任何应有个人支付的费用。</w:t>
      </w:r>
    </w:p>
    <w:p w14:paraId="23C299C1">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 xml:space="preserve">四、委托人工作人员不得参加可能对公正执行公务有影响的宴请和娱乐活动。 </w:t>
      </w:r>
    </w:p>
    <w:p w14:paraId="5477EA4A">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五、委托人工作人员不得要求接受</w:t>
      </w:r>
      <w:r>
        <w:rPr>
          <w:rFonts w:hint="eastAsia" w:ascii="宋体" w:hAnsi="宋体" w:cs="宋体"/>
          <w:highlight w:val="none"/>
          <w:lang w:eastAsia="zh-CN"/>
        </w:rPr>
        <w:t>受托人</w:t>
      </w:r>
      <w:r>
        <w:rPr>
          <w:rFonts w:hint="eastAsia" w:ascii="宋体" w:hAnsi="宋体" w:cs="宋体"/>
          <w:highlight w:val="none"/>
        </w:rPr>
        <w:t>为其住房装修、婚丧嫁娶、家属和子女的工作安排以及出国</w:t>
      </w:r>
      <w:r>
        <w:rPr>
          <w:rFonts w:hint="eastAsia" w:ascii="宋体" w:hAnsi="宋体" w:cs="宋体"/>
          <w:position w:val="-1"/>
          <w:highlight w:val="none"/>
        </w:rPr>
        <w:t>等提供方便。</w:t>
      </w:r>
    </w:p>
    <w:p w14:paraId="65DD4125">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六、委托人工作人员不得向</w:t>
      </w:r>
      <w:r>
        <w:rPr>
          <w:rFonts w:hint="eastAsia" w:ascii="宋体" w:hAnsi="宋体" w:cs="宋体"/>
          <w:highlight w:val="none"/>
          <w:lang w:eastAsia="zh-CN"/>
        </w:rPr>
        <w:t>受托人</w:t>
      </w:r>
      <w:r>
        <w:rPr>
          <w:rFonts w:hint="eastAsia" w:ascii="宋体" w:hAnsi="宋体" w:cs="宋体"/>
          <w:highlight w:val="none"/>
        </w:rPr>
        <w:t>介绍家属或者亲友从事与委托人工程有关的材料设备供应、工程分 包等经济活动。</w:t>
      </w:r>
    </w:p>
    <w:p w14:paraId="3F082181">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position w:val="-1"/>
          <w:highlight w:val="none"/>
        </w:rPr>
        <w:t>七、</w:t>
      </w:r>
      <w:r>
        <w:rPr>
          <w:rFonts w:hint="eastAsia" w:ascii="宋体" w:hAnsi="宋体" w:cs="宋体"/>
          <w:position w:val="-1"/>
          <w:highlight w:val="none"/>
          <w:lang w:eastAsia="zh-CN"/>
        </w:rPr>
        <w:t>受托人</w:t>
      </w:r>
      <w:r>
        <w:rPr>
          <w:rFonts w:hint="eastAsia" w:ascii="宋体" w:hAnsi="宋体" w:cs="宋体"/>
          <w:position w:val="-1"/>
          <w:highlight w:val="none"/>
        </w:rPr>
        <w:t>应当通过正常途径开展相对业务工作，不得为获取某些不正当利益而向委托人工作人员赠</w:t>
      </w:r>
      <w:r>
        <w:rPr>
          <w:rFonts w:hint="eastAsia" w:ascii="宋体" w:hAnsi="宋体" w:cs="宋体"/>
          <w:highlight w:val="none"/>
        </w:rPr>
        <w:t xml:space="preserve">送礼金、有价证券和贵重物品等。 </w:t>
      </w:r>
    </w:p>
    <w:p w14:paraId="2E1AB189">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八、</w:t>
      </w:r>
      <w:r>
        <w:rPr>
          <w:rFonts w:hint="eastAsia" w:ascii="宋体" w:hAnsi="宋体" w:cs="宋体"/>
          <w:highlight w:val="none"/>
          <w:lang w:eastAsia="zh-CN"/>
        </w:rPr>
        <w:t>受托人</w:t>
      </w:r>
      <w:r>
        <w:rPr>
          <w:rFonts w:hint="eastAsia" w:ascii="宋体" w:hAnsi="宋体" w:cs="宋体"/>
          <w:highlight w:val="none"/>
        </w:rPr>
        <w:t>不得为谋取私利擅自与委托人工作人员就工程承包、工程费用、材料设备供应、工程量变</w:t>
      </w:r>
      <w:r>
        <w:rPr>
          <w:rFonts w:hint="eastAsia" w:ascii="宋体" w:hAnsi="宋体" w:cs="宋体"/>
          <w:position w:val="-1"/>
          <w:highlight w:val="none"/>
        </w:rPr>
        <w:t>动、工程验收、工程质量问题处理等进行私下商谈或者达成默契。</w:t>
      </w:r>
    </w:p>
    <w:p w14:paraId="040ABACF">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九、</w:t>
      </w:r>
      <w:r>
        <w:rPr>
          <w:rFonts w:hint="eastAsia" w:ascii="宋体" w:hAnsi="宋体" w:cs="宋体"/>
          <w:highlight w:val="none"/>
          <w:lang w:eastAsia="zh-CN"/>
        </w:rPr>
        <w:t>受托人</w:t>
      </w:r>
      <w:r>
        <w:rPr>
          <w:rFonts w:hint="eastAsia" w:ascii="宋体" w:hAnsi="宋体" w:cs="宋体"/>
          <w:highlight w:val="none"/>
        </w:rPr>
        <w:t>不得以洽谈业务、签订经济合同为借口，邀请委托人工作人员外出旅游和进入高档娱乐性场所。</w:t>
      </w:r>
    </w:p>
    <w:p w14:paraId="1FC1ED1A">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position w:val="-1"/>
          <w:highlight w:val="none"/>
        </w:rPr>
        <w:t>十、</w:t>
      </w:r>
      <w:r>
        <w:rPr>
          <w:rFonts w:hint="eastAsia" w:ascii="宋体" w:hAnsi="宋体" w:cs="宋体"/>
          <w:position w:val="-1"/>
          <w:highlight w:val="none"/>
          <w:lang w:eastAsia="zh-CN"/>
        </w:rPr>
        <w:t>受托人</w:t>
      </w:r>
      <w:r>
        <w:rPr>
          <w:rFonts w:hint="eastAsia" w:ascii="宋体" w:hAnsi="宋体" w:cs="宋体"/>
          <w:position w:val="-1"/>
          <w:highlight w:val="none"/>
        </w:rPr>
        <w:t>不得为委托人和个人购置或者提供通讯工具、家电、高档办公用品等物品。</w:t>
      </w:r>
    </w:p>
    <w:p w14:paraId="6ED1956B">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十一、</w:t>
      </w:r>
      <w:r>
        <w:rPr>
          <w:rFonts w:hint="eastAsia" w:ascii="宋体" w:hAnsi="宋体" w:cs="宋体"/>
          <w:highlight w:val="none"/>
          <w:lang w:eastAsia="zh-CN"/>
        </w:rPr>
        <w:t>受托人</w:t>
      </w:r>
      <w:r>
        <w:rPr>
          <w:rFonts w:hint="eastAsia" w:ascii="宋体" w:hAnsi="宋体" w:cs="宋体"/>
          <w:highlight w:val="none"/>
        </w:rPr>
        <w:t>如发现委托人工作人员有违反上述协议者，应向委托人领导或者委托人上级单位举报。 委托人不得找任何借口对</w:t>
      </w:r>
      <w:r>
        <w:rPr>
          <w:rFonts w:hint="eastAsia" w:ascii="宋体" w:hAnsi="宋体" w:cs="宋体"/>
          <w:highlight w:val="none"/>
          <w:lang w:eastAsia="zh-CN"/>
        </w:rPr>
        <w:t>受托人</w:t>
      </w:r>
      <w:r>
        <w:rPr>
          <w:rFonts w:hint="eastAsia" w:ascii="宋体" w:hAnsi="宋体" w:cs="宋体"/>
          <w:highlight w:val="none"/>
        </w:rPr>
        <w:t>进行报复。委托人对举报属实和严格遵守廉政协议的</w:t>
      </w:r>
      <w:r>
        <w:rPr>
          <w:rFonts w:hint="eastAsia" w:ascii="宋体" w:hAnsi="宋体" w:cs="宋体"/>
          <w:highlight w:val="none"/>
          <w:lang w:eastAsia="zh-CN"/>
        </w:rPr>
        <w:t>受托人</w:t>
      </w:r>
      <w:r>
        <w:rPr>
          <w:rFonts w:hint="eastAsia" w:ascii="宋体" w:hAnsi="宋体" w:cs="宋体"/>
          <w:highlight w:val="none"/>
        </w:rPr>
        <w:t>，在同等条件</w:t>
      </w:r>
      <w:r>
        <w:rPr>
          <w:rFonts w:hint="eastAsia" w:ascii="宋体" w:hAnsi="宋体" w:cs="宋体"/>
          <w:position w:val="-1"/>
          <w:highlight w:val="none"/>
        </w:rPr>
        <w:t>下给予承接后续工程的优先邀请投标权。</w:t>
      </w:r>
    </w:p>
    <w:p w14:paraId="779AFA09">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十二、委托人发现</w:t>
      </w:r>
      <w:r>
        <w:rPr>
          <w:rFonts w:hint="eastAsia" w:ascii="宋体" w:hAnsi="宋体" w:cs="宋体"/>
          <w:highlight w:val="none"/>
          <w:lang w:eastAsia="zh-CN"/>
        </w:rPr>
        <w:t>受托人</w:t>
      </w:r>
      <w:r>
        <w:rPr>
          <w:rFonts w:hint="eastAsia" w:ascii="宋体" w:hAnsi="宋体" w:cs="宋体"/>
          <w:highlight w:val="none"/>
        </w:rPr>
        <w:t>有违反本协议或者采用不正当的手段行贿委托人工作人员，委托人根据具体情节和造成的后果追究</w:t>
      </w:r>
      <w:r>
        <w:rPr>
          <w:rFonts w:hint="eastAsia" w:ascii="宋体" w:hAnsi="宋体" w:cs="宋体"/>
          <w:highlight w:val="none"/>
          <w:lang w:eastAsia="zh-CN"/>
        </w:rPr>
        <w:t>受托人</w:t>
      </w:r>
      <w:r>
        <w:rPr>
          <w:rFonts w:hint="eastAsia" w:ascii="宋体" w:hAnsi="宋体" w:cs="宋体"/>
          <w:highlight w:val="none"/>
        </w:rPr>
        <w:t>合同总价1%—5%的违</w:t>
      </w:r>
      <w:r>
        <w:rPr>
          <w:rFonts w:hint="eastAsia" w:ascii="宋体" w:hAnsi="宋体" w:cs="宋体"/>
          <w:spacing w:val="-1"/>
          <w:highlight w:val="none"/>
        </w:rPr>
        <w:t>约</w:t>
      </w:r>
      <w:r>
        <w:rPr>
          <w:rFonts w:hint="eastAsia" w:ascii="宋体" w:hAnsi="宋体" w:cs="宋体"/>
          <w:highlight w:val="none"/>
        </w:rPr>
        <w:t>金，由此给委托人造成的损失均由</w:t>
      </w:r>
      <w:r>
        <w:rPr>
          <w:rFonts w:hint="eastAsia" w:ascii="宋体" w:hAnsi="宋体" w:cs="宋体"/>
          <w:highlight w:val="none"/>
          <w:lang w:eastAsia="zh-CN"/>
        </w:rPr>
        <w:t>受托人</w:t>
      </w:r>
      <w:r>
        <w:rPr>
          <w:rFonts w:hint="eastAsia" w:ascii="宋体" w:hAnsi="宋体" w:cs="宋体"/>
          <w:highlight w:val="none"/>
        </w:rPr>
        <w:t>承担，</w:t>
      </w:r>
      <w:r>
        <w:rPr>
          <w:rFonts w:hint="eastAsia" w:ascii="宋体" w:hAnsi="宋体" w:cs="宋体"/>
          <w:position w:val="-1"/>
          <w:highlight w:val="none"/>
          <w:lang w:eastAsia="zh-CN"/>
        </w:rPr>
        <w:t>受托人</w:t>
      </w:r>
      <w:r>
        <w:rPr>
          <w:rFonts w:hint="eastAsia" w:ascii="宋体" w:hAnsi="宋体" w:cs="宋体"/>
          <w:position w:val="-1"/>
          <w:highlight w:val="none"/>
        </w:rPr>
        <w:t>用不正当手段获取的非法所得由委托人单位予以追缴。</w:t>
      </w:r>
    </w:p>
    <w:p w14:paraId="537471D8">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十三、严格执行纪委、监察委下发的文件要求，并严格执行审计“八不准制度”。</w:t>
      </w:r>
    </w:p>
    <w:p w14:paraId="1F5A65FE">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position w:val="-1"/>
          <w:highlight w:val="none"/>
        </w:rPr>
        <w:t>十四、本廉政协议作为项目承发包合同的附件，与工程承发包合同具有同等法律效力，经协议双方签</w:t>
      </w:r>
      <w:r>
        <w:rPr>
          <w:rFonts w:hint="eastAsia" w:ascii="宋体" w:hAnsi="宋体" w:cs="宋体"/>
          <w:highlight w:val="none"/>
        </w:rPr>
        <w:t>署后立即生效。</w:t>
      </w:r>
    </w:p>
    <w:p w14:paraId="57E214A9">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sz w:val="20"/>
          <w:highlight w:val="none"/>
        </w:rPr>
      </w:pPr>
      <w:r>
        <w:rPr>
          <w:rFonts w:hint="eastAsia" w:ascii="宋体" w:hAnsi="宋体" w:cs="宋体"/>
          <w:highlight w:val="none"/>
        </w:rPr>
        <w:t xml:space="preserve"> 十五、本协议一式</w:t>
      </w:r>
      <w:r>
        <w:rPr>
          <w:rFonts w:hint="eastAsia" w:ascii="宋体" w:hAnsi="宋体" w:cs="宋体"/>
          <w:highlight w:val="none"/>
          <w:lang w:val="en-US" w:eastAsia="zh-CN"/>
        </w:rPr>
        <w:t>二</w:t>
      </w:r>
      <w:r>
        <w:rPr>
          <w:rFonts w:hint="eastAsia" w:ascii="宋体" w:hAnsi="宋体" w:cs="宋体"/>
          <w:highlight w:val="none"/>
        </w:rPr>
        <w:t>份，双方各执一份。</w:t>
      </w:r>
    </w:p>
    <w:p w14:paraId="7F921357">
      <w:pPr>
        <w:keepNext w:val="0"/>
        <w:keepLines w:val="0"/>
        <w:pageBreakBefore w:val="0"/>
        <w:widowControl w:val="0"/>
        <w:tabs>
          <w:tab w:val="left" w:pos="5760"/>
        </w:tabs>
        <w:kinsoku/>
        <w:wordWrap/>
        <w:overflowPunct/>
        <w:topLinePunct w:val="0"/>
        <w:autoSpaceDE w:val="0"/>
        <w:autoSpaceDN w:val="0"/>
        <w:bidi w:val="0"/>
        <w:adjustRightInd w:val="0"/>
        <w:snapToGrid/>
        <w:spacing w:line="380" w:lineRule="exact"/>
        <w:ind w:firstLine="11"/>
        <w:jc w:val="left"/>
        <w:rPr>
          <w:rFonts w:hint="eastAsia" w:ascii="宋体" w:hAnsi="宋体" w:cs="宋体"/>
          <w:highlight w:val="none"/>
        </w:rPr>
      </w:pPr>
      <w:r>
        <w:rPr>
          <w:rFonts w:hint="eastAsia" w:ascii="宋体" w:hAnsi="宋体" w:cs="宋体"/>
          <w:highlight w:val="none"/>
        </w:rPr>
        <w:t>委托人（公章</w:t>
      </w:r>
      <w:r>
        <w:rPr>
          <w:rFonts w:hint="eastAsia" w:ascii="宋体" w:hAnsi="宋体" w:cs="宋体"/>
          <w:spacing w:val="-104"/>
          <w:highlight w:val="none"/>
        </w:rPr>
        <w:t>）</w:t>
      </w:r>
      <w:r>
        <w:rPr>
          <w:rFonts w:hint="eastAsia" w:ascii="宋体" w:hAnsi="宋体" w:cs="宋体"/>
          <w:highlight w:val="none"/>
        </w:rPr>
        <w:t>）</w:t>
      </w:r>
      <w:r>
        <w:rPr>
          <w:rFonts w:hint="eastAsia" w:ascii="宋体" w:hAnsi="宋体" w:cs="宋体"/>
          <w:highlight w:val="none"/>
        </w:rPr>
        <w:tab/>
      </w:r>
      <w:r>
        <w:rPr>
          <w:rFonts w:hint="eastAsia" w:ascii="宋体" w:hAnsi="宋体" w:cs="宋体"/>
          <w:w w:val="32"/>
          <w:highlight w:val="none"/>
        </w:rPr>
        <w:t xml:space="preserve"> </w:t>
      </w:r>
      <w:r>
        <w:rPr>
          <w:rFonts w:hint="eastAsia" w:ascii="宋体" w:hAnsi="宋体" w:cs="宋体"/>
          <w:highlight w:val="none"/>
          <w:lang w:eastAsia="zh-CN"/>
        </w:rPr>
        <w:t>受托人</w:t>
      </w:r>
      <w:r>
        <w:rPr>
          <w:rFonts w:hint="eastAsia" w:ascii="宋体" w:hAnsi="宋体" w:cs="宋体"/>
          <w:highlight w:val="none"/>
        </w:rPr>
        <w:t>（公章</w:t>
      </w:r>
      <w:r>
        <w:rPr>
          <w:rFonts w:hint="eastAsia" w:ascii="宋体" w:hAnsi="宋体" w:cs="宋体"/>
          <w:spacing w:val="-104"/>
          <w:highlight w:val="none"/>
        </w:rPr>
        <w:t>）</w:t>
      </w:r>
      <w:r>
        <w:rPr>
          <w:rFonts w:hint="eastAsia" w:ascii="宋体" w:hAnsi="宋体" w:cs="宋体"/>
          <w:highlight w:val="none"/>
        </w:rPr>
        <w:t xml:space="preserve">） </w:t>
      </w:r>
    </w:p>
    <w:p w14:paraId="76B61985">
      <w:pPr>
        <w:keepNext w:val="0"/>
        <w:keepLines w:val="0"/>
        <w:pageBreakBefore w:val="0"/>
        <w:widowControl w:val="0"/>
        <w:tabs>
          <w:tab w:val="left" w:pos="5760"/>
        </w:tabs>
        <w:kinsoku/>
        <w:wordWrap/>
        <w:overflowPunct/>
        <w:topLinePunct w:val="0"/>
        <w:autoSpaceDE w:val="0"/>
        <w:autoSpaceDN w:val="0"/>
        <w:bidi w:val="0"/>
        <w:adjustRightInd w:val="0"/>
        <w:snapToGrid/>
        <w:spacing w:line="380" w:lineRule="exact"/>
        <w:ind w:firstLine="11"/>
        <w:jc w:val="left"/>
        <w:rPr>
          <w:rFonts w:hint="eastAsia" w:ascii="宋体" w:hAnsi="宋体" w:cs="宋体"/>
          <w:highlight w:val="none"/>
        </w:rPr>
      </w:pPr>
      <w:r>
        <w:rPr>
          <w:rFonts w:hint="eastAsia" w:ascii="宋体" w:hAnsi="宋体" w:cs="宋体"/>
          <w:highlight w:val="none"/>
        </w:rPr>
        <w:t>法定代表人：</w:t>
      </w:r>
      <w:r>
        <w:rPr>
          <w:rFonts w:hint="eastAsia" w:ascii="宋体" w:hAnsi="宋体" w:cs="宋体"/>
          <w:highlight w:val="none"/>
        </w:rPr>
        <w:tab/>
      </w:r>
      <w:r>
        <w:rPr>
          <w:rFonts w:hint="eastAsia" w:ascii="宋体" w:hAnsi="宋体" w:cs="宋体"/>
          <w:highlight w:val="none"/>
        </w:rPr>
        <w:t>法</w:t>
      </w:r>
      <w:r>
        <w:rPr>
          <w:rFonts w:hint="eastAsia" w:ascii="宋体" w:hAnsi="宋体" w:cs="宋体"/>
          <w:spacing w:val="-1"/>
          <w:highlight w:val="none"/>
        </w:rPr>
        <w:t>定</w:t>
      </w:r>
      <w:r>
        <w:rPr>
          <w:rFonts w:hint="eastAsia" w:ascii="宋体" w:hAnsi="宋体" w:cs="宋体"/>
          <w:highlight w:val="none"/>
        </w:rPr>
        <w:t>代表人：</w:t>
      </w:r>
    </w:p>
    <w:p w14:paraId="34506816">
      <w:pPr>
        <w:keepNext w:val="0"/>
        <w:keepLines w:val="0"/>
        <w:pageBreakBefore w:val="0"/>
        <w:widowControl w:val="0"/>
        <w:tabs>
          <w:tab w:val="left" w:pos="5760"/>
        </w:tabs>
        <w:kinsoku/>
        <w:wordWrap/>
        <w:overflowPunct/>
        <w:topLinePunct w:val="0"/>
        <w:autoSpaceDE w:val="0"/>
        <w:autoSpaceDN w:val="0"/>
        <w:bidi w:val="0"/>
        <w:adjustRightInd w:val="0"/>
        <w:snapToGrid/>
        <w:spacing w:line="380" w:lineRule="exact"/>
        <w:ind w:firstLine="11"/>
        <w:jc w:val="left"/>
        <w:rPr>
          <w:rFonts w:hint="eastAsia" w:ascii="宋体" w:hAnsi="宋体" w:cs="宋体"/>
          <w:highlight w:val="none"/>
        </w:rPr>
      </w:pPr>
      <w:r>
        <w:rPr>
          <w:rFonts w:hint="eastAsia" w:ascii="宋体" w:hAnsi="宋体" w:cs="宋体"/>
          <w:highlight w:val="none"/>
        </w:rPr>
        <w:t>或委托代表人：                                         或</w:t>
      </w:r>
      <w:r>
        <w:rPr>
          <w:rFonts w:hint="eastAsia" w:ascii="宋体" w:hAnsi="宋体" w:cs="宋体"/>
          <w:spacing w:val="-1"/>
          <w:highlight w:val="none"/>
        </w:rPr>
        <w:t>委</w:t>
      </w:r>
      <w:r>
        <w:rPr>
          <w:rFonts w:hint="eastAsia" w:ascii="宋体" w:hAnsi="宋体" w:cs="宋体"/>
          <w:highlight w:val="none"/>
        </w:rPr>
        <w:t>托代表人：</w:t>
      </w:r>
    </w:p>
    <w:p w14:paraId="48F29563">
      <w:pPr>
        <w:pStyle w:val="34"/>
        <w:ind w:left="420" w:leftChars="200" w:firstLine="0" w:firstLineChars="0"/>
        <w:rPr>
          <w:rFonts w:hint="eastAsia"/>
          <w:color w:val="000000"/>
          <w:szCs w:val="21"/>
          <w:highlight w:val="none"/>
          <w:u w:val="single"/>
          <w:lang w:val="en-US" w:eastAsia="zh-CN"/>
        </w:rPr>
      </w:pPr>
    </w:p>
    <w:p w14:paraId="49860476">
      <w:pPr>
        <w:pStyle w:val="214"/>
        <w:ind w:firstLine="0" w:firstLineChars="0"/>
        <w:rPr>
          <w:rFonts w:eastAsia="黑体" w:cs="Times New Roman"/>
          <w:b w:val="0"/>
          <w:szCs w:val="24"/>
          <w:highlight w:val="none"/>
        </w:rPr>
      </w:pPr>
      <w:bookmarkStart w:id="883" w:name="_Toc22474"/>
      <w:bookmarkStart w:id="884" w:name="_Toc532292059"/>
    </w:p>
    <w:p w14:paraId="6C68C035">
      <w:pPr>
        <w:pStyle w:val="214"/>
        <w:ind w:firstLine="0" w:firstLineChars="0"/>
        <w:rPr>
          <w:rFonts w:eastAsia="黑体" w:cs="Times New Roman"/>
          <w:b w:val="0"/>
          <w:szCs w:val="24"/>
          <w:highlight w:val="none"/>
        </w:rPr>
      </w:pPr>
      <w:r>
        <w:rPr>
          <w:rFonts w:eastAsia="黑体" w:cs="Times New Roman"/>
          <w:b w:val="0"/>
          <w:szCs w:val="24"/>
          <w:highlight w:val="none"/>
        </w:rPr>
        <w:t>附件</w:t>
      </w:r>
      <w:r>
        <w:rPr>
          <w:rFonts w:hint="eastAsia" w:eastAsia="黑体" w:cs="Times New Roman"/>
          <w:b w:val="0"/>
          <w:szCs w:val="24"/>
          <w:highlight w:val="none"/>
          <w:lang w:val="en-US" w:eastAsia="zh-CN"/>
        </w:rPr>
        <w:t>2</w:t>
      </w:r>
      <w:r>
        <w:rPr>
          <w:rFonts w:eastAsia="黑体" w:cs="Times New Roman"/>
          <w:b w:val="0"/>
          <w:szCs w:val="24"/>
          <w:highlight w:val="none"/>
        </w:rPr>
        <w:t xml:space="preserve">                </w:t>
      </w:r>
      <w:r>
        <w:rPr>
          <w:rFonts w:hint="eastAsia" w:eastAsia="黑体" w:cs="Times New Roman"/>
          <w:b w:val="0"/>
          <w:szCs w:val="24"/>
          <w:highlight w:val="none"/>
          <w:lang w:val="en-US" w:eastAsia="zh-CN"/>
        </w:rPr>
        <w:t xml:space="preserve">          </w:t>
      </w:r>
      <w:r>
        <w:rPr>
          <w:rFonts w:eastAsia="黑体" w:cs="Times New Roman"/>
          <w:b w:val="0"/>
          <w:szCs w:val="24"/>
          <w:highlight w:val="none"/>
        </w:rPr>
        <w:t>保密承诺书</w:t>
      </w:r>
      <w:bookmarkEnd w:id="883"/>
      <w:bookmarkEnd w:id="884"/>
    </w:p>
    <w:p w14:paraId="63313A33">
      <w:pPr>
        <w:jc w:val="center"/>
        <w:rPr>
          <w:b/>
          <w:color w:val="000000"/>
          <w:sz w:val="30"/>
          <w:szCs w:val="30"/>
          <w:highlight w:val="none"/>
        </w:rPr>
      </w:pPr>
    </w:p>
    <w:p w14:paraId="62E938ED">
      <w:pPr>
        <w:spacing w:line="400" w:lineRule="exact"/>
        <w:rPr>
          <w:color w:val="000000"/>
          <w:szCs w:val="21"/>
          <w:highlight w:val="none"/>
        </w:rPr>
      </w:pPr>
      <w:r>
        <w:rPr>
          <w:color w:val="000000"/>
          <w:szCs w:val="21"/>
          <w:highlight w:val="none"/>
        </w:rPr>
        <w:t>________________（委托人全称）：</w:t>
      </w:r>
    </w:p>
    <w:p w14:paraId="798004F7">
      <w:pPr>
        <w:spacing w:line="400" w:lineRule="exact"/>
        <w:ind w:firstLine="420" w:firstLineChars="200"/>
        <w:rPr>
          <w:color w:val="000000"/>
          <w:szCs w:val="21"/>
          <w:highlight w:val="none"/>
        </w:rPr>
      </w:pPr>
      <w:r>
        <w:rPr>
          <w:color w:val="000000"/>
          <w:szCs w:val="21"/>
          <w:highlight w:val="none"/>
        </w:rPr>
        <w:t>我方</w:t>
      </w:r>
      <w:r>
        <w:rPr>
          <w:color w:val="000000"/>
          <w:szCs w:val="21"/>
          <w:highlight w:val="none"/>
          <w:u w:val="single"/>
        </w:rPr>
        <w:t xml:space="preserve">           </w:t>
      </w:r>
      <w:r>
        <w:rPr>
          <w:color w:val="000000"/>
          <w:szCs w:val="21"/>
          <w:highlight w:val="none"/>
        </w:rPr>
        <w:t>（</w:t>
      </w:r>
      <w:r>
        <w:rPr>
          <w:rFonts w:hint="eastAsia"/>
          <w:color w:val="000000"/>
          <w:szCs w:val="21"/>
          <w:highlight w:val="none"/>
          <w:lang w:val="en-US" w:eastAsia="zh-CN"/>
        </w:rPr>
        <w:t>受托人</w:t>
      </w:r>
      <w:r>
        <w:rPr>
          <w:color w:val="000000"/>
          <w:szCs w:val="21"/>
          <w:highlight w:val="none"/>
        </w:rPr>
        <w:t>全称）受贵方委托履行____________（项目名称）</w:t>
      </w:r>
      <w:r>
        <w:rPr>
          <w:rFonts w:hint="eastAsia" w:ascii="Times New Roman" w:hAnsi="Times New Roman" w:eastAsia="宋体" w:cs="Times New Roman"/>
          <w:color w:val="000000"/>
          <w:szCs w:val="21"/>
          <w:highlight w:val="none"/>
          <w:lang w:eastAsia="zh-CN"/>
        </w:rPr>
        <w:t>工程检测（含见证取样检测）</w:t>
      </w:r>
      <w:r>
        <w:rPr>
          <w:rFonts w:hint="eastAsia" w:ascii="Times New Roman" w:hAnsi="Times New Roman" w:eastAsia="宋体" w:cs="Times New Roman"/>
          <w:color w:val="000000"/>
          <w:szCs w:val="21"/>
          <w:highlight w:val="none"/>
          <w:lang w:val="en-US" w:eastAsia="zh-CN"/>
        </w:rPr>
        <w:t>工作</w:t>
      </w:r>
      <w:r>
        <w:rPr>
          <w:rFonts w:ascii="Times New Roman" w:hAnsi="Times New Roman" w:eastAsia="宋体" w:cs="Times New Roman"/>
          <w:color w:val="000000"/>
          <w:szCs w:val="21"/>
          <w:highlight w:val="none"/>
        </w:rPr>
        <w:t>。现就有关保密事宜承</w:t>
      </w:r>
      <w:r>
        <w:rPr>
          <w:color w:val="000000"/>
          <w:szCs w:val="21"/>
          <w:highlight w:val="none"/>
        </w:rPr>
        <w:t>诺如下：</w:t>
      </w:r>
    </w:p>
    <w:p w14:paraId="7E88D0BB">
      <w:pPr>
        <w:spacing w:line="400" w:lineRule="exact"/>
        <w:ind w:firstLine="420" w:firstLineChars="200"/>
        <w:rPr>
          <w:color w:val="000000"/>
          <w:szCs w:val="21"/>
          <w:highlight w:val="none"/>
        </w:rPr>
      </w:pPr>
      <w:r>
        <w:rPr>
          <w:color w:val="000000"/>
          <w:szCs w:val="21"/>
          <w:highlight w:val="none"/>
        </w:rPr>
        <w:t>1. 我方在签订合同、履行合同过程中、履行合同后均将严格遵守《中华人民共和国保密法》及其它相关法律法规，认真履行合同中审核人的保密义务，否则自行承担相应的法律责任。</w:t>
      </w:r>
    </w:p>
    <w:p w14:paraId="426C5EA5">
      <w:pPr>
        <w:spacing w:line="400" w:lineRule="exact"/>
        <w:ind w:firstLine="420" w:firstLineChars="200"/>
        <w:rPr>
          <w:color w:val="000000"/>
          <w:szCs w:val="21"/>
          <w:highlight w:val="none"/>
        </w:rPr>
      </w:pPr>
      <w:r>
        <w:rPr>
          <w:color w:val="000000"/>
          <w:szCs w:val="21"/>
          <w:highlight w:val="none"/>
        </w:rPr>
        <w:t>2. 未经委托人允许，保证不擅自将本项目的各种图纸资料、文件等一切技术资料和商业秘密泄露给第三方。</w:t>
      </w:r>
    </w:p>
    <w:p w14:paraId="28349398">
      <w:pPr>
        <w:spacing w:line="400" w:lineRule="exact"/>
        <w:ind w:firstLine="420" w:firstLineChars="200"/>
        <w:rPr>
          <w:color w:val="000000"/>
          <w:szCs w:val="21"/>
          <w:highlight w:val="none"/>
        </w:rPr>
      </w:pPr>
      <w:r>
        <w:rPr>
          <w:color w:val="000000"/>
          <w:szCs w:val="21"/>
          <w:highlight w:val="none"/>
        </w:rPr>
        <w:t>3. 不进行任何有损于委托人等项目建设各方的声誉和利益的活动。</w:t>
      </w:r>
    </w:p>
    <w:p w14:paraId="0276FB3D">
      <w:pPr>
        <w:spacing w:line="400" w:lineRule="exact"/>
        <w:ind w:firstLine="420" w:firstLineChars="200"/>
        <w:rPr>
          <w:color w:val="000000"/>
          <w:szCs w:val="21"/>
          <w:highlight w:val="none"/>
        </w:rPr>
      </w:pPr>
      <w:r>
        <w:rPr>
          <w:color w:val="000000"/>
          <w:szCs w:val="21"/>
          <w:highlight w:val="none"/>
        </w:rPr>
        <w:t>4. 我方将遵守合同约定的有关专利技术保密及使用要求。</w:t>
      </w:r>
    </w:p>
    <w:p w14:paraId="635CBAA5">
      <w:pPr>
        <w:spacing w:line="400" w:lineRule="exact"/>
        <w:ind w:firstLine="420" w:firstLineChars="200"/>
        <w:rPr>
          <w:color w:val="000000"/>
          <w:szCs w:val="21"/>
          <w:highlight w:val="none"/>
        </w:rPr>
      </w:pPr>
      <w:r>
        <w:rPr>
          <w:color w:val="000000"/>
          <w:szCs w:val="21"/>
          <w:highlight w:val="none"/>
        </w:rPr>
        <w:t>5.合同变更、解除或终止，我方承诺合同保密条款不受限制而继续有效，承担保密义务。</w:t>
      </w:r>
    </w:p>
    <w:p w14:paraId="21FADFFB">
      <w:pPr>
        <w:spacing w:line="400" w:lineRule="exact"/>
        <w:ind w:firstLine="420" w:firstLineChars="200"/>
        <w:rPr>
          <w:color w:val="000000"/>
          <w:szCs w:val="21"/>
          <w:highlight w:val="none"/>
        </w:rPr>
      </w:pPr>
      <w:r>
        <w:rPr>
          <w:color w:val="000000"/>
          <w:szCs w:val="21"/>
          <w:highlight w:val="none"/>
        </w:rPr>
        <w:t>6. 本承诺书是本项目合同的组成部分，与合同具有同等法律效力。</w:t>
      </w:r>
    </w:p>
    <w:p w14:paraId="0F0AF240">
      <w:pPr>
        <w:spacing w:line="400" w:lineRule="exact"/>
        <w:ind w:firstLine="420" w:firstLineChars="200"/>
        <w:rPr>
          <w:color w:val="000000"/>
          <w:szCs w:val="21"/>
          <w:highlight w:val="none"/>
        </w:rPr>
      </w:pPr>
    </w:p>
    <w:p w14:paraId="1226EDBC">
      <w:pPr>
        <w:spacing w:line="400" w:lineRule="exact"/>
        <w:ind w:firstLine="420" w:firstLineChars="200"/>
        <w:rPr>
          <w:color w:val="000000"/>
          <w:szCs w:val="21"/>
          <w:highlight w:val="none"/>
        </w:rPr>
      </w:pPr>
    </w:p>
    <w:p w14:paraId="43C72AFE">
      <w:pPr>
        <w:spacing w:line="400" w:lineRule="exact"/>
        <w:rPr>
          <w:color w:val="000000"/>
          <w:szCs w:val="21"/>
          <w:highlight w:val="none"/>
          <w:u w:val="single"/>
        </w:rPr>
      </w:pPr>
      <w:r>
        <w:rPr>
          <w:rFonts w:hint="eastAsia"/>
          <w:color w:val="000000"/>
          <w:szCs w:val="21"/>
          <w:highlight w:val="none"/>
        </w:rPr>
        <w:t xml:space="preserve">                                 </w:t>
      </w:r>
      <w:r>
        <w:rPr>
          <w:rFonts w:hint="eastAsia"/>
          <w:color w:val="000000"/>
          <w:szCs w:val="21"/>
          <w:highlight w:val="none"/>
          <w:lang w:val="en-US" w:eastAsia="zh-CN"/>
        </w:rPr>
        <w:t>受托</w:t>
      </w:r>
      <w:r>
        <w:rPr>
          <w:color w:val="000000"/>
          <w:szCs w:val="21"/>
          <w:highlight w:val="none"/>
        </w:rPr>
        <w:t>人：</w:t>
      </w:r>
      <w:r>
        <w:rPr>
          <w:color w:val="000000"/>
          <w:szCs w:val="21"/>
          <w:highlight w:val="none"/>
          <w:u w:val="single"/>
        </w:rPr>
        <w:t xml:space="preserve">     </w:t>
      </w:r>
      <w:r>
        <w:rPr>
          <w:rFonts w:hint="eastAsia"/>
          <w:color w:val="000000"/>
          <w:szCs w:val="21"/>
          <w:highlight w:val="none"/>
          <w:u w:val="single"/>
        </w:rPr>
        <w:t xml:space="preserve">        </w:t>
      </w:r>
      <w:r>
        <w:rPr>
          <w:color w:val="000000"/>
          <w:szCs w:val="21"/>
          <w:highlight w:val="none"/>
          <w:u w:val="single"/>
        </w:rPr>
        <w:t xml:space="preserve">              </w:t>
      </w:r>
      <w:r>
        <w:rPr>
          <w:color w:val="000000"/>
          <w:szCs w:val="21"/>
          <w:highlight w:val="none"/>
        </w:rPr>
        <w:t>（盖章）</w:t>
      </w:r>
    </w:p>
    <w:p w14:paraId="30E247BF">
      <w:pPr>
        <w:spacing w:line="400" w:lineRule="exact"/>
        <w:ind w:firstLine="3465" w:firstLineChars="1650"/>
        <w:rPr>
          <w:color w:val="000000"/>
          <w:szCs w:val="21"/>
          <w:highlight w:val="none"/>
          <w:u w:val="single"/>
        </w:rPr>
      </w:pPr>
      <w:r>
        <w:rPr>
          <w:color w:val="000000"/>
          <w:szCs w:val="21"/>
          <w:highlight w:val="none"/>
        </w:rPr>
        <w:t>法定代表人或授权代理人：</w:t>
      </w:r>
      <w:r>
        <w:rPr>
          <w:color w:val="000000"/>
          <w:szCs w:val="21"/>
          <w:highlight w:val="none"/>
          <w:u w:val="single"/>
        </w:rPr>
        <w:t xml:space="preserve">           </w:t>
      </w:r>
      <w:r>
        <w:rPr>
          <w:color w:val="000000"/>
          <w:szCs w:val="21"/>
          <w:highlight w:val="none"/>
        </w:rPr>
        <w:t>（签字）</w:t>
      </w:r>
    </w:p>
    <w:p w14:paraId="6538C932">
      <w:pPr>
        <w:spacing w:line="400" w:lineRule="exact"/>
        <w:ind w:firstLine="3465" w:firstLineChars="1650"/>
        <w:rPr>
          <w:color w:val="000000"/>
          <w:szCs w:val="21"/>
          <w:highlight w:val="none"/>
        </w:rPr>
      </w:pPr>
      <w:r>
        <w:rPr>
          <w:color w:val="000000"/>
          <w:szCs w:val="21"/>
          <w:highlight w:val="none"/>
        </w:rPr>
        <w:t>地址：</w:t>
      </w:r>
      <w:r>
        <w:rPr>
          <w:color w:val="000000"/>
          <w:szCs w:val="21"/>
          <w:highlight w:val="none"/>
          <w:u w:val="single"/>
        </w:rPr>
        <w:t xml:space="preserve">                                   </w:t>
      </w:r>
    </w:p>
    <w:p w14:paraId="754D6B6F">
      <w:pPr>
        <w:spacing w:line="400" w:lineRule="exact"/>
        <w:ind w:firstLine="3465" w:firstLineChars="1650"/>
        <w:rPr>
          <w:color w:val="000000"/>
          <w:kern w:val="24"/>
          <w:highlight w:val="none"/>
        </w:rPr>
      </w:pPr>
      <w:r>
        <w:rPr>
          <w:color w:val="000000"/>
          <w:szCs w:val="21"/>
          <w:highlight w:val="none"/>
        </w:rPr>
        <w:t>日期：</w:t>
      </w:r>
      <w:r>
        <w:rPr>
          <w:color w:val="000000"/>
          <w:szCs w:val="21"/>
          <w:highlight w:val="none"/>
          <w:u w:val="single"/>
        </w:rPr>
        <w:t xml:space="preserve">        </w:t>
      </w:r>
      <w:r>
        <w:rPr>
          <w:color w:val="000000"/>
          <w:szCs w:val="21"/>
          <w:highlight w:val="none"/>
        </w:rPr>
        <w:t xml:space="preserve">年 </w:t>
      </w:r>
      <w:r>
        <w:rPr>
          <w:color w:val="000000"/>
          <w:szCs w:val="21"/>
          <w:highlight w:val="none"/>
          <w:u w:val="single"/>
        </w:rPr>
        <w:t xml:space="preserve">      </w:t>
      </w:r>
      <w:r>
        <w:rPr>
          <w:color w:val="000000"/>
          <w:szCs w:val="21"/>
          <w:highlight w:val="none"/>
        </w:rPr>
        <w:t xml:space="preserve"> 月</w:t>
      </w:r>
      <w:r>
        <w:rPr>
          <w:color w:val="000000"/>
          <w:szCs w:val="21"/>
          <w:highlight w:val="none"/>
          <w:u w:val="single"/>
        </w:rPr>
        <w:t xml:space="preserve">      </w:t>
      </w:r>
      <w:r>
        <w:rPr>
          <w:color w:val="000000"/>
          <w:szCs w:val="21"/>
          <w:highlight w:val="none"/>
        </w:rPr>
        <w:t>日</w:t>
      </w:r>
    </w:p>
    <w:p w14:paraId="0C16049B">
      <w:pPr>
        <w:rPr>
          <w:rFonts w:hint="eastAsia" w:eastAsia="黑体" w:cs="Times New Roman"/>
          <w:b w:val="0"/>
          <w:szCs w:val="24"/>
          <w:highlight w:val="none"/>
          <w:lang w:val="en-US" w:eastAsia="zh-CN"/>
        </w:rPr>
      </w:pPr>
      <w:r>
        <w:rPr>
          <w:rFonts w:hint="eastAsia" w:eastAsia="黑体" w:cs="Times New Roman"/>
          <w:b w:val="0"/>
          <w:szCs w:val="24"/>
          <w:highlight w:val="none"/>
          <w:lang w:val="en-US" w:eastAsia="zh-CN"/>
        </w:rPr>
        <w:br w:type="page"/>
      </w:r>
    </w:p>
    <w:p w14:paraId="2091873F">
      <w:pPr>
        <w:pStyle w:val="214"/>
        <w:ind w:firstLine="0" w:firstLineChars="0"/>
        <w:rPr>
          <w:rFonts w:hint="eastAsia" w:eastAsia="黑体" w:cs="Times New Roman"/>
          <w:b w:val="0"/>
          <w:szCs w:val="24"/>
          <w:highlight w:val="none"/>
          <w:lang w:val="en-US" w:eastAsia="zh-CN"/>
        </w:rPr>
      </w:pPr>
      <w:r>
        <w:rPr>
          <w:rFonts w:hint="eastAsia" w:eastAsia="黑体" w:cs="Times New Roman"/>
          <w:b w:val="0"/>
          <w:szCs w:val="24"/>
          <w:highlight w:val="none"/>
          <w:lang w:val="en-US" w:eastAsia="zh-CN"/>
        </w:rPr>
        <w:t>附件3</w:t>
      </w:r>
    </w:p>
    <w:p w14:paraId="13A37CD8">
      <w:pPr>
        <w:pStyle w:val="214"/>
        <w:ind w:firstLine="0" w:firstLineChars="0"/>
        <w:jc w:val="center"/>
        <w:rPr>
          <w:rFonts w:eastAsia="黑体" w:cs="Times New Roman"/>
          <w:b w:val="0"/>
          <w:szCs w:val="24"/>
          <w:highlight w:val="none"/>
        </w:rPr>
      </w:pPr>
      <w:r>
        <w:rPr>
          <w:rFonts w:eastAsia="黑体" w:cs="Times New Roman"/>
          <w:b w:val="0"/>
          <w:szCs w:val="24"/>
          <w:highlight w:val="none"/>
        </w:rPr>
        <w:t>第三方检测单位履约考核扣款细则</w:t>
      </w:r>
    </w:p>
    <w:p w14:paraId="3D25AA73">
      <w:pPr>
        <w:spacing w:line="400" w:lineRule="exact"/>
        <w:ind w:firstLine="422" w:firstLineChars="200"/>
        <w:rPr>
          <w:color w:val="000000"/>
          <w:szCs w:val="21"/>
          <w:highlight w:val="none"/>
        </w:rPr>
      </w:pPr>
      <w:bookmarkStart w:id="885" w:name="heading_18"/>
      <w:r>
        <w:rPr>
          <w:b/>
          <w:bCs/>
          <w:color w:val="000000"/>
          <w:szCs w:val="21"/>
          <w:highlight w:val="none"/>
        </w:rPr>
        <w:t>1. 总则</w:t>
      </w:r>
      <w:bookmarkEnd w:id="885"/>
    </w:p>
    <w:p w14:paraId="5FCE7F96">
      <w:pPr>
        <w:spacing w:line="400" w:lineRule="exact"/>
        <w:ind w:firstLine="420" w:firstLineChars="200"/>
        <w:rPr>
          <w:color w:val="000000"/>
          <w:szCs w:val="21"/>
          <w:highlight w:val="none"/>
        </w:rPr>
      </w:pPr>
      <w:r>
        <w:rPr>
          <w:color w:val="000000"/>
          <w:szCs w:val="21"/>
          <w:highlight w:val="none"/>
        </w:rPr>
        <w:t>本细则适用于</w:t>
      </w:r>
      <w:r>
        <w:rPr>
          <w:rFonts w:hint="eastAsia"/>
          <w:color w:val="000000"/>
          <w:szCs w:val="21"/>
          <w:highlight w:val="none"/>
          <w:lang w:val="en-US" w:eastAsia="zh-CN"/>
        </w:rPr>
        <w:t>翼然公司新能源项目</w:t>
      </w:r>
      <w:r>
        <w:rPr>
          <w:color w:val="000000"/>
          <w:szCs w:val="21"/>
          <w:highlight w:val="none"/>
        </w:rPr>
        <w:t>工程第三方见证取样、专项检测、复检核验、质量核查等检测服务履约管理。所有违规扣款均从当期检测服务费中直接扣除，作为单位履约评级、费用结算、续聘及清退的依据。</w:t>
      </w:r>
    </w:p>
    <w:p w14:paraId="58F20972">
      <w:pPr>
        <w:spacing w:line="400" w:lineRule="exact"/>
        <w:ind w:firstLine="422" w:firstLineChars="200"/>
        <w:rPr>
          <w:b/>
          <w:bCs/>
          <w:color w:val="000000"/>
          <w:szCs w:val="21"/>
          <w:highlight w:val="none"/>
        </w:rPr>
      </w:pPr>
      <w:bookmarkStart w:id="886" w:name="heading_19"/>
      <w:r>
        <w:rPr>
          <w:b/>
          <w:bCs/>
          <w:color w:val="000000"/>
          <w:szCs w:val="21"/>
          <w:highlight w:val="none"/>
        </w:rPr>
        <w:t>2. 会议工作违规扣款</w:t>
      </w:r>
      <w:bookmarkEnd w:id="886"/>
    </w:p>
    <w:p w14:paraId="1E93BE55">
      <w:pPr>
        <w:spacing w:line="400" w:lineRule="exact"/>
        <w:ind w:firstLine="420" w:firstLineChars="200"/>
        <w:rPr>
          <w:color w:val="000000"/>
          <w:szCs w:val="21"/>
          <w:highlight w:val="none"/>
        </w:rPr>
      </w:pPr>
      <w:r>
        <w:rPr>
          <w:color w:val="000000"/>
          <w:szCs w:val="21"/>
          <w:highlight w:val="none"/>
        </w:rPr>
        <w:t>项目工程例会、质量专项会、检测评审会、业主调度会，须由检测项目负责人或专项技术负责人本人参会。无故缺席，单次扣款500元；迟到、早退超15分钟或委托无授权人员代为参会，单次扣款300元；年度累计3次无故缺席，额外加扣2000元并约谈整改。</w:t>
      </w:r>
    </w:p>
    <w:p w14:paraId="201A6EB5">
      <w:pPr>
        <w:spacing w:line="400" w:lineRule="exact"/>
        <w:ind w:firstLine="420" w:firstLineChars="200"/>
        <w:rPr>
          <w:color w:val="000000"/>
          <w:szCs w:val="21"/>
          <w:highlight w:val="none"/>
        </w:rPr>
      </w:pPr>
      <w:r>
        <w:rPr>
          <w:color w:val="000000"/>
          <w:szCs w:val="21"/>
          <w:highlight w:val="none"/>
        </w:rPr>
        <w:t>未按期报送检测周报、月度汇总、取样台账、不合格项统计、质量风险分析及待检计划的，逾期未报单次扣款300元；报送资料缺项失真、统计遗漏、内容敷衍，未提前排查预判现场质量隐患的，按单项问题扣款200元。</w:t>
      </w:r>
    </w:p>
    <w:p w14:paraId="13C6D48B">
      <w:pPr>
        <w:spacing w:line="400" w:lineRule="exact"/>
        <w:ind w:firstLine="420" w:firstLineChars="200"/>
        <w:rPr>
          <w:color w:val="000000"/>
          <w:szCs w:val="21"/>
          <w:highlight w:val="none"/>
        </w:rPr>
      </w:pPr>
      <w:r>
        <w:rPr>
          <w:color w:val="000000"/>
          <w:szCs w:val="21"/>
          <w:highlight w:val="none"/>
        </w:rPr>
        <w:t>未按期完成会议明确的专项抽检、复检核验、不合格项复核等工作，存在漏办、拖延的，单次扣款400元；检测复核不到位、问题未闭环销项的，单次扣款300元；存在虚假复核、瞒报工程质量不合格问题的，单次扣款1000元，并承担相应质量溯源责任。</w:t>
      </w:r>
    </w:p>
    <w:p w14:paraId="683784FA">
      <w:pPr>
        <w:spacing w:line="400" w:lineRule="exact"/>
        <w:ind w:firstLine="422" w:firstLineChars="200"/>
        <w:rPr>
          <w:color w:val="000000"/>
          <w:szCs w:val="21"/>
          <w:highlight w:val="none"/>
        </w:rPr>
      </w:pPr>
      <w:bookmarkStart w:id="887" w:name="heading_20"/>
      <w:r>
        <w:rPr>
          <w:b/>
          <w:bCs/>
          <w:color w:val="000000"/>
          <w:szCs w:val="21"/>
          <w:highlight w:val="none"/>
        </w:rPr>
        <w:t>3. 检测人员履职违规扣款</w:t>
      </w:r>
      <w:bookmarkEnd w:id="887"/>
    </w:p>
    <w:p w14:paraId="5B86DB74">
      <w:pPr>
        <w:spacing w:line="400" w:lineRule="exact"/>
        <w:ind w:firstLine="420" w:firstLineChars="200"/>
        <w:rPr>
          <w:color w:val="000000"/>
          <w:szCs w:val="21"/>
          <w:highlight w:val="none"/>
        </w:rPr>
      </w:pPr>
      <w:r>
        <w:rPr>
          <w:color w:val="000000"/>
          <w:szCs w:val="21"/>
          <w:highlight w:val="none"/>
        </w:rPr>
        <w:t>现场检测人员资质、专业能力不满足合同及规范要求，存在无证检测、专业不匹配的，按人次扣款800元；检测人员擅自离岗、驻场不足，无法满足现场取样及检测需求的，单次扣款500元；未经业主同意，擅自更换核心技术人员的，按人次扣款1500元。</w:t>
      </w:r>
    </w:p>
    <w:p w14:paraId="6A16F97B">
      <w:pPr>
        <w:spacing w:line="400" w:lineRule="exact"/>
        <w:ind w:firstLine="422" w:firstLineChars="200"/>
        <w:rPr>
          <w:b/>
          <w:bCs/>
          <w:color w:val="000000"/>
          <w:szCs w:val="21"/>
          <w:highlight w:val="none"/>
        </w:rPr>
      </w:pPr>
      <w:bookmarkStart w:id="888" w:name="heading_21"/>
      <w:r>
        <w:rPr>
          <w:b/>
          <w:bCs/>
          <w:color w:val="000000"/>
          <w:szCs w:val="21"/>
          <w:highlight w:val="none"/>
        </w:rPr>
        <w:t>4. 现场取样与检测作业违规扣款</w:t>
      </w:r>
      <w:bookmarkEnd w:id="888"/>
    </w:p>
    <w:p w14:paraId="179BB9D3">
      <w:pPr>
        <w:spacing w:line="400" w:lineRule="exact"/>
        <w:ind w:firstLine="420" w:firstLineChars="200"/>
        <w:rPr>
          <w:color w:val="000000"/>
          <w:szCs w:val="21"/>
          <w:highlight w:val="none"/>
        </w:rPr>
      </w:pPr>
      <w:r>
        <w:rPr>
          <w:color w:val="000000"/>
          <w:szCs w:val="21"/>
          <w:highlight w:val="none"/>
        </w:rPr>
        <w:t>未按规范及业主要求开展见证取样，存在漏取、少取、取样不规范的，单次扣款500元；关键工序、核心材料未及时取样检测，滞后检测影响工程验收的，单次扣款800元；检测操作不规范、流程随意，造成检测数据失真、结果无效的，单次扣款1200元。</w:t>
      </w:r>
    </w:p>
    <w:p w14:paraId="2F6FEE21">
      <w:pPr>
        <w:spacing w:line="400" w:lineRule="exact"/>
        <w:ind w:firstLine="422" w:firstLineChars="200"/>
        <w:rPr>
          <w:color w:val="000000"/>
          <w:szCs w:val="21"/>
          <w:highlight w:val="none"/>
        </w:rPr>
      </w:pPr>
      <w:bookmarkStart w:id="889" w:name="heading_22"/>
      <w:r>
        <w:rPr>
          <w:b/>
          <w:bCs/>
          <w:color w:val="000000"/>
          <w:szCs w:val="21"/>
          <w:highlight w:val="none"/>
        </w:rPr>
        <w:t>5. 检测报告管理违规扣款</w:t>
      </w:r>
      <w:bookmarkEnd w:id="889"/>
    </w:p>
    <w:p w14:paraId="67481931">
      <w:pPr>
        <w:spacing w:line="400" w:lineRule="exact"/>
        <w:ind w:firstLine="420" w:firstLineChars="200"/>
        <w:rPr>
          <w:color w:val="000000"/>
          <w:szCs w:val="21"/>
          <w:highlight w:val="none"/>
        </w:rPr>
      </w:pPr>
      <w:r>
        <w:rPr>
          <w:color w:val="000000"/>
          <w:szCs w:val="21"/>
          <w:highlight w:val="none"/>
        </w:rPr>
        <w:t>检测报告出具、归档超期延误的，按单份报告扣款400元；报告存在数据错误、结论偏差、签章不全、格式不规范的，按单份报告扣款500元；出具虚假报告、篡改原始数据、刻意瞒报不合格项的，单次扣款3000元，直接判定年度履约不合格，业主保留追责权利。</w:t>
      </w:r>
    </w:p>
    <w:p w14:paraId="5A377DF7">
      <w:pPr>
        <w:spacing w:line="400" w:lineRule="exact"/>
        <w:ind w:firstLine="422" w:firstLineChars="200"/>
        <w:rPr>
          <w:b/>
          <w:bCs/>
          <w:color w:val="000000"/>
          <w:szCs w:val="21"/>
          <w:highlight w:val="none"/>
        </w:rPr>
      </w:pPr>
      <w:bookmarkStart w:id="890" w:name="heading_23"/>
      <w:r>
        <w:rPr>
          <w:b/>
          <w:bCs/>
          <w:color w:val="000000"/>
          <w:szCs w:val="21"/>
          <w:highlight w:val="none"/>
        </w:rPr>
        <w:t>6. 不合格项管控与整改配合违规扣款</w:t>
      </w:r>
      <w:bookmarkEnd w:id="890"/>
    </w:p>
    <w:p w14:paraId="243E1D1E">
      <w:pPr>
        <w:spacing w:line="400" w:lineRule="exact"/>
        <w:ind w:firstLine="420" w:firstLineChars="200"/>
        <w:rPr>
          <w:color w:val="000000"/>
          <w:szCs w:val="21"/>
          <w:highlight w:val="none"/>
        </w:rPr>
      </w:pPr>
      <w:r>
        <w:rPr>
          <w:color w:val="000000"/>
          <w:szCs w:val="21"/>
          <w:highlight w:val="none"/>
        </w:rPr>
        <w:t>检测发现工程质量不合格项，未及时上报业主、未建立不合格项台账的，单次扣款500元；消极配合整改复检、导致问题无法闭环的，单次扣款400元；拒不配合业主、监理开展专项复核、抽检核查工作的，单次扣款800元。</w:t>
      </w:r>
    </w:p>
    <w:p w14:paraId="4D07BB0F">
      <w:pPr>
        <w:spacing w:line="400" w:lineRule="exact"/>
        <w:ind w:firstLine="422" w:firstLineChars="200"/>
        <w:rPr>
          <w:b/>
          <w:bCs/>
          <w:color w:val="000000"/>
          <w:szCs w:val="21"/>
          <w:highlight w:val="none"/>
        </w:rPr>
      </w:pPr>
      <w:bookmarkStart w:id="891" w:name="heading_24"/>
      <w:r>
        <w:rPr>
          <w:b/>
          <w:bCs/>
          <w:color w:val="000000"/>
          <w:szCs w:val="21"/>
          <w:highlight w:val="none"/>
        </w:rPr>
        <w:t>7. 综合履约配合违规扣款</w:t>
      </w:r>
      <w:bookmarkEnd w:id="891"/>
    </w:p>
    <w:p w14:paraId="2664B82F">
      <w:pPr>
        <w:spacing w:line="400" w:lineRule="exact"/>
        <w:ind w:firstLine="420" w:firstLineChars="200"/>
        <w:rPr>
          <w:color w:val="000000"/>
          <w:szCs w:val="21"/>
          <w:highlight w:val="none"/>
        </w:rPr>
      </w:pPr>
      <w:r>
        <w:rPr>
          <w:color w:val="000000"/>
          <w:szCs w:val="21"/>
          <w:highlight w:val="none"/>
        </w:rPr>
        <w:t>拒不配合项目竣工验收、并网专项检测、工程督查、资料移交等工作，履职消极、推诿拖沓的，视情节轻重，单次扣款500至1000元。</w:t>
      </w:r>
    </w:p>
    <w:p w14:paraId="293561B5">
      <w:pPr>
        <w:pStyle w:val="214"/>
        <w:ind w:firstLine="0" w:firstLineChars="0"/>
        <w:jc w:val="left"/>
        <w:rPr>
          <w:rFonts w:eastAsia="黑体" w:cs="Times New Roman"/>
          <w:b w:val="0"/>
          <w:szCs w:val="24"/>
          <w:highlight w:val="none"/>
        </w:rPr>
      </w:pPr>
    </w:p>
    <w:p w14:paraId="48F06C9D">
      <w:pPr>
        <w:pStyle w:val="214"/>
        <w:ind w:firstLine="0" w:firstLineChars="0"/>
        <w:rPr>
          <w:rFonts w:hint="eastAsia"/>
          <w:sz w:val="32"/>
          <w:szCs w:val="32"/>
        </w:rPr>
      </w:pPr>
    </w:p>
    <w:p w14:paraId="25F33252">
      <w:pPr>
        <w:pStyle w:val="2"/>
        <w:spacing w:before="156" w:beforeLines="50" w:after="156" w:afterLines="50"/>
        <w:jc w:val="center"/>
        <w:rPr>
          <w:rFonts w:hint="eastAsia"/>
          <w:sz w:val="32"/>
          <w:szCs w:val="32"/>
        </w:rPr>
      </w:pPr>
      <w:r>
        <w:rPr>
          <w:rFonts w:hint="eastAsia"/>
          <w:sz w:val="32"/>
          <w:szCs w:val="32"/>
        </w:rPr>
        <w:t>第五章  技术标准和要求</w:t>
      </w:r>
      <w:bookmarkEnd w:id="879"/>
      <w:bookmarkEnd w:id="880"/>
      <w:bookmarkEnd w:id="881"/>
      <w:bookmarkEnd w:id="882"/>
    </w:p>
    <w:p w14:paraId="2BF70AE2">
      <w:pPr>
        <w:spacing w:line="400" w:lineRule="exact"/>
        <w:ind w:firstLine="422" w:firstLineChars="200"/>
        <w:rPr>
          <w:b/>
          <w:bCs/>
          <w:color w:val="000000"/>
          <w:szCs w:val="21"/>
          <w:highlight w:val="none"/>
        </w:rPr>
      </w:pPr>
      <w:bookmarkStart w:id="892" w:name="heading_0"/>
      <w:r>
        <w:rPr>
          <w:b/>
          <w:bCs/>
          <w:color w:val="000000"/>
          <w:szCs w:val="21"/>
          <w:highlight w:val="none"/>
        </w:rPr>
        <w:t>一、技术标准</w:t>
      </w:r>
      <w:bookmarkEnd w:id="892"/>
    </w:p>
    <w:p w14:paraId="5B251F49">
      <w:pPr>
        <w:spacing w:line="400" w:lineRule="exact"/>
        <w:ind w:firstLine="420" w:firstLineChars="200"/>
        <w:rPr>
          <w:color w:val="000000"/>
          <w:szCs w:val="21"/>
          <w:highlight w:val="none"/>
        </w:rPr>
      </w:pPr>
      <w:r>
        <w:rPr>
          <w:color w:val="000000"/>
          <w:szCs w:val="21"/>
          <w:highlight w:val="none"/>
        </w:rPr>
        <w:t>本项目所有检测工作须严格遵照国家、地方、行业现行有效标准、规范、规程及招标人管理制度执行，检测范围全面覆盖光伏、储能系统、箱式变压器、充电桩、外送及配套线路、土建结构等全部工程内容，所有检测成果需合规、完整、可溯源。</w:t>
      </w:r>
    </w:p>
    <w:p w14:paraId="6DD49CFE">
      <w:pPr>
        <w:spacing w:line="400" w:lineRule="exact"/>
        <w:ind w:firstLine="422" w:firstLineChars="200"/>
        <w:rPr>
          <w:b/>
          <w:bCs/>
          <w:color w:val="000000"/>
          <w:szCs w:val="21"/>
          <w:highlight w:val="none"/>
        </w:rPr>
      </w:pPr>
      <w:bookmarkStart w:id="893" w:name="heading_1"/>
      <w:r>
        <w:rPr>
          <w:b/>
          <w:bCs/>
          <w:color w:val="000000"/>
          <w:szCs w:val="21"/>
          <w:highlight w:val="none"/>
        </w:rPr>
        <w:t>二、检测总体要求</w:t>
      </w:r>
      <w:bookmarkEnd w:id="893"/>
    </w:p>
    <w:p w14:paraId="101C3B7C">
      <w:pPr>
        <w:spacing w:line="400" w:lineRule="exact"/>
        <w:ind w:firstLine="420" w:firstLineChars="200"/>
        <w:rPr>
          <w:color w:val="000000"/>
          <w:szCs w:val="21"/>
          <w:highlight w:val="none"/>
        </w:rPr>
      </w:pPr>
      <w:r>
        <w:rPr>
          <w:color w:val="000000"/>
          <w:szCs w:val="21"/>
          <w:highlight w:val="none"/>
        </w:rPr>
        <w:t>检测单位须具备对应检测资质及能力，对项目所有原材料、设备、系统、构筑物开展全覆盖检测。对于自身资质无法覆盖、不能自主出具合规检测报告的参数及项目，可委托具备合法有效资质的第三方检测机构实施，所有外协检测方案、受托单位资质资料须提前报招标人审核，经招标人书面同意后方可开展检测工作。</w:t>
      </w:r>
    </w:p>
    <w:p w14:paraId="02787DD7">
      <w:pPr>
        <w:spacing w:line="400" w:lineRule="exact"/>
        <w:ind w:firstLine="422" w:firstLineChars="200"/>
        <w:rPr>
          <w:b/>
          <w:bCs/>
          <w:color w:val="000000"/>
          <w:szCs w:val="21"/>
          <w:highlight w:val="none"/>
        </w:rPr>
      </w:pPr>
      <w:bookmarkStart w:id="894" w:name="heading_2"/>
      <w:r>
        <w:rPr>
          <w:b/>
          <w:bCs/>
          <w:color w:val="000000"/>
          <w:szCs w:val="21"/>
          <w:highlight w:val="none"/>
        </w:rPr>
        <w:t>（一）常规原材料检测</w:t>
      </w:r>
      <w:bookmarkEnd w:id="894"/>
    </w:p>
    <w:p w14:paraId="367DEE5A">
      <w:pPr>
        <w:spacing w:line="400" w:lineRule="exact"/>
        <w:ind w:firstLine="420" w:firstLineChars="200"/>
        <w:rPr>
          <w:color w:val="000000"/>
          <w:szCs w:val="21"/>
          <w:highlight w:val="none"/>
        </w:rPr>
      </w:pPr>
      <w:r>
        <w:rPr>
          <w:color w:val="000000"/>
          <w:szCs w:val="21"/>
          <w:highlight w:val="none"/>
        </w:rPr>
        <w:t>本项覆盖项目土建、电气、储能、充电、线路工程所有进场原辅材料、构配件及辅件，确保材料质量合规、性能达标。</w:t>
      </w:r>
    </w:p>
    <w:p w14:paraId="48CF8A95">
      <w:pPr>
        <w:spacing w:line="400" w:lineRule="exact"/>
        <w:ind w:firstLine="420" w:firstLineChars="200"/>
        <w:rPr>
          <w:color w:val="000000"/>
          <w:szCs w:val="21"/>
          <w:highlight w:val="none"/>
        </w:rPr>
      </w:pPr>
      <w:r>
        <w:rPr>
          <w:color w:val="000000"/>
          <w:szCs w:val="21"/>
          <w:highlight w:val="none"/>
        </w:rPr>
        <w:t>1. 检测对象：普通电线电缆、储能专用电缆、充电桩配套线缆、光伏支架及结构材料、螺栓连接件、高强螺栓、混凝土预制块、钢筋原材料、压块（边压、中压）、夹具、防水材料（防水涂料、防水砂浆）、各类型钢、钢材、电缆桥架、电缆保护管、消防管件、供水管件、接地扁铁、线路金具、输电杆塔材料、绝缘材料、设备基础预埋构件等。</w:t>
      </w:r>
    </w:p>
    <w:p w14:paraId="1A16A7C1">
      <w:pPr>
        <w:spacing w:line="400" w:lineRule="exact"/>
        <w:ind w:firstLine="420" w:firstLineChars="200"/>
        <w:rPr>
          <w:color w:val="000000"/>
          <w:szCs w:val="21"/>
          <w:highlight w:val="none"/>
        </w:rPr>
      </w:pPr>
      <w:r>
        <w:rPr>
          <w:color w:val="000000"/>
          <w:szCs w:val="21"/>
          <w:highlight w:val="none"/>
        </w:rPr>
        <w:t>2. 检测项目及指标：外形尺寸、厚度、公差偏差、屈服强度、抗拉强度、伸长率、硬度、材质成分、防腐涂层厚度、镀锌层质量、耐候性能、防水等级、防火性能、燃烧性能、氧指数、抗压强度、混凝土强度回弹、地基承载力、回填压实系数、钢结构焊缝探伤、构件拉拔试验、绝缘电阻、导体电阻、接地电阻、阻燃性能等全部常规材料性能指标。</w:t>
      </w:r>
    </w:p>
    <w:p w14:paraId="3283CC91">
      <w:pPr>
        <w:spacing w:line="400" w:lineRule="exact"/>
        <w:ind w:firstLine="422" w:firstLineChars="200"/>
        <w:rPr>
          <w:b/>
          <w:bCs/>
          <w:color w:val="000000"/>
          <w:szCs w:val="21"/>
          <w:highlight w:val="none"/>
        </w:rPr>
      </w:pPr>
      <w:bookmarkStart w:id="895" w:name="heading_3"/>
      <w:r>
        <w:rPr>
          <w:b/>
          <w:bCs/>
          <w:color w:val="000000"/>
          <w:szCs w:val="21"/>
          <w:highlight w:val="none"/>
        </w:rPr>
        <w:t>（二）电气设备专项检测</w:t>
      </w:r>
      <w:bookmarkEnd w:id="895"/>
    </w:p>
    <w:p w14:paraId="55DA751F">
      <w:pPr>
        <w:spacing w:line="400" w:lineRule="exact"/>
        <w:ind w:firstLine="420" w:firstLineChars="200"/>
        <w:rPr>
          <w:color w:val="000000"/>
          <w:szCs w:val="21"/>
          <w:highlight w:val="none"/>
        </w:rPr>
      </w:pPr>
      <w:r>
        <w:rPr>
          <w:color w:val="000000"/>
          <w:szCs w:val="21"/>
          <w:highlight w:val="none"/>
        </w:rPr>
        <w:t>针对项目所有电气一次、二次主设备开展性能、功能、安全及可靠性全维度检测，覆盖并网、发电、储能、变电、充电全链条设备。</w:t>
      </w:r>
    </w:p>
    <w:p w14:paraId="16E8985A">
      <w:pPr>
        <w:spacing w:line="400" w:lineRule="exact"/>
        <w:ind w:firstLine="420" w:firstLineChars="200"/>
        <w:rPr>
          <w:color w:val="000000"/>
          <w:szCs w:val="21"/>
          <w:highlight w:val="none"/>
        </w:rPr>
      </w:pPr>
      <w:bookmarkStart w:id="896" w:name="heading_4"/>
      <w:r>
        <w:rPr>
          <w:color w:val="000000"/>
          <w:szCs w:val="21"/>
          <w:highlight w:val="none"/>
        </w:rPr>
        <w:t>1. 光伏组件检测</w:t>
      </w:r>
      <w:bookmarkEnd w:id="896"/>
    </w:p>
    <w:p w14:paraId="49537CE1">
      <w:pPr>
        <w:spacing w:line="400" w:lineRule="exact"/>
        <w:ind w:firstLine="420" w:firstLineChars="200"/>
        <w:rPr>
          <w:color w:val="000000"/>
          <w:szCs w:val="21"/>
          <w:highlight w:val="none"/>
        </w:rPr>
      </w:pPr>
      <w:r>
        <w:rPr>
          <w:color w:val="000000"/>
          <w:szCs w:val="21"/>
          <w:highlight w:val="none"/>
        </w:rPr>
        <w:t>检测内容包含组件外观质量（整体、玻璃、电池片、焊带、背板、接线盒、边框、绝缘距离、密封硅胶、标识标签完整性）、开路电压偏差、组件串短路电流、组件串电缆温度、转换效率、EL电致发光隐裂检测、组件功率衰减性能、组件整体绝缘性能、组件适配并网工况稳定性检测。</w:t>
      </w:r>
    </w:p>
    <w:p w14:paraId="05F88A60">
      <w:pPr>
        <w:spacing w:line="400" w:lineRule="exact"/>
        <w:ind w:firstLine="420" w:firstLineChars="200"/>
        <w:rPr>
          <w:color w:val="000000"/>
          <w:szCs w:val="21"/>
          <w:highlight w:val="none"/>
        </w:rPr>
      </w:pPr>
      <w:bookmarkStart w:id="897" w:name="heading_5"/>
      <w:r>
        <w:rPr>
          <w:color w:val="000000"/>
          <w:szCs w:val="21"/>
          <w:highlight w:val="none"/>
        </w:rPr>
        <w:t>2. 光伏逆变器性能、功能及安全性检测</w:t>
      </w:r>
      <w:bookmarkEnd w:id="897"/>
    </w:p>
    <w:p w14:paraId="1BE27A98">
      <w:pPr>
        <w:spacing w:line="400" w:lineRule="exact"/>
        <w:ind w:firstLine="420" w:firstLineChars="200"/>
        <w:rPr>
          <w:color w:val="000000"/>
          <w:szCs w:val="21"/>
          <w:highlight w:val="none"/>
        </w:rPr>
      </w:pPr>
      <w:r>
        <w:rPr>
          <w:color w:val="000000"/>
          <w:szCs w:val="21"/>
          <w:highlight w:val="none"/>
        </w:rPr>
        <w:t>性能检测：额定输出电压、三相/单相电压允许偏差、负载功率因数、额定输出效率、工作频率、电流谐波畸变限值、输出有功功率、最大功率运行效率。</w:t>
      </w:r>
    </w:p>
    <w:p w14:paraId="30614DAE">
      <w:pPr>
        <w:spacing w:line="400" w:lineRule="exact"/>
        <w:ind w:firstLine="420" w:firstLineChars="200"/>
        <w:rPr>
          <w:color w:val="000000"/>
          <w:szCs w:val="21"/>
          <w:highlight w:val="none"/>
        </w:rPr>
      </w:pPr>
      <w:r>
        <w:rPr>
          <w:color w:val="000000"/>
          <w:szCs w:val="21"/>
          <w:highlight w:val="none"/>
        </w:rPr>
        <w:t>功能检测：直流输入电压、输入电流、交流输出电压、输出电流、功率因数等参数显示准确性；正常运行、电网过压、电网失压、过频、欠频、孤岛等故障代码显示功能；设备通讯、数据采集、后台上传功能核查。</w:t>
      </w:r>
    </w:p>
    <w:p w14:paraId="4745677D">
      <w:pPr>
        <w:spacing w:line="400" w:lineRule="exact"/>
        <w:ind w:firstLine="420" w:firstLineChars="200"/>
        <w:rPr>
          <w:color w:val="000000"/>
          <w:szCs w:val="21"/>
          <w:highlight w:val="none"/>
        </w:rPr>
      </w:pPr>
      <w:r>
        <w:rPr>
          <w:color w:val="000000"/>
          <w:szCs w:val="21"/>
          <w:highlight w:val="none"/>
        </w:rPr>
        <w:t>安全检测：输入欠压/过压保护、过流保护、短路保护、极性接反保护、直流电弧防护、防雷及浪涌保护、绝缘电阻、绝缘强度、工频耐压、接地连续性检测。</w:t>
      </w:r>
    </w:p>
    <w:p w14:paraId="3D72466F">
      <w:pPr>
        <w:spacing w:line="400" w:lineRule="exact"/>
        <w:ind w:firstLine="420" w:firstLineChars="200"/>
        <w:rPr>
          <w:color w:val="000000"/>
          <w:szCs w:val="21"/>
          <w:highlight w:val="none"/>
        </w:rPr>
      </w:pPr>
      <w:bookmarkStart w:id="898" w:name="heading_6"/>
      <w:r>
        <w:rPr>
          <w:color w:val="000000"/>
          <w:szCs w:val="21"/>
          <w:highlight w:val="none"/>
        </w:rPr>
        <w:t>3. 储能系统设备检测</w:t>
      </w:r>
      <w:bookmarkEnd w:id="898"/>
    </w:p>
    <w:p w14:paraId="62AF1330">
      <w:pPr>
        <w:spacing w:line="400" w:lineRule="exact"/>
        <w:ind w:firstLine="420" w:firstLineChars="200"/>
        <w:rPr>
          <w:color w:val="000000"/>
          <w:szCs w:val="21"/>
          <w:highlight w:val="none"/>
        </w:rPr>
      </w:pPr>
      <w:r>
        <w:rPr>
          <w:color w:val="000000"/>
          <w:szCs w:val="21"/>
          <w:highlight w:val="none"/>
        </w:rPr>
        <w:t>覆盖电池模组、电池簇、电池柜、储能变流器（PCS）、电池管理系统（BMS）、储能温控系统、储能消防系统全设备检测。主要内容：电池单体及模组电压、内阻、容量、充放电一致性、温度采集精度；PCS交直流转换效率、稳压稳流精度、谐波控制、动态响应速度；BMS数据采集、故障告警、电池均衡、保护逻辑有效性；储能系统整体绝缘、接地可靠性、充放电切换功能、并网适配性、故障保护联动、消防联动、温控运行效能检测。</w:t>
      </w:r>
    </w:p>
    <w:p w14:paraId="7DCA4819">
      <w:pPr>
        <w:spacing w:line="400" w:lineRule="exact"/>
        <w:ind w:firstLine="420" w:firstLineChars="200"/>
        <w:rPr>
          <w:color w:val="000000"/>
          <w:szCs w:val="21"/>
          <w:highlight w:val="none"/>
        </w:rPr>
      </w:pPr>
      <w:bookmarkStart w:id="899" w:name="heading_7"/>
      <w:r>
        <w:rPr>
          <w:color w:val="000000"/>
          <w:szCs w:val="21"/>
          <w:highlight w:val="none"/>
        </w:rPr>
        <w:t>4. 箱式变压器（箱变）检测</w:t>
      </w:r>
      <w:bookmarkEnd w:id="899"/>
    </w:p>
    <w:p w14:paraId="5E65DE55">
      <w:pPr>
        <w:spacing w:line="400" w:lineRule="exact"/>
        <w:ind w:firstLine="420" w:firstLineChars="200"/>
        <w:rPr>
          <w:color w:val="000000"/>
          <w:szCs w:val="21"/>
          <w:highlight w:val="none"/>
        </w:rPr>
      </w:pPr>
      <w:r>
        <w:rPr>
          <w:color w:val="000000"/>
          <w:szCs w:val="21"/>
          <w:highlight w:val="none"/>
        </w:rPr>
        <w:t>包含设备外观、密封防潮性能、绝缘电阻、绕组直流电阻、变比误差、接线组别、工频及感应耐压试验、空载损耗、负载损耗、短路阻抗、温升性能、局部放电、接地电阻、箱体防护等级、端子紧固性、线缆敷设工艺、温控及风机运行性能、保护装置定值校验、分合闸动作可靠性、防凝露防潮性能检测。</w:t>
      </w:r>
    </w:p>
    <w:p w14:paraId="3E33D9F5">
      <w:pPr>
        <w:spacing w:line="400" w:lineRule="exact"/>
        <w:ind w:firstLine="420" w:firstLineChars="200"/>
        <w:rPr>
          <w:color w:val="000000"/>
          <w:szCs w:val="21"/>
          <w:highlight w:val="none"/>
        </w:rPr>
      </w:pPr>
      <w:bookmarkStart w:id="900" w:name="heading_8"/>
      <w:r>
        <w:rPr>
          <w:color w:val="000000"/>
          <w:szCs w:val="21"/>
          <w:highlight w:val="none"/>
        </w:rPr>
        <w:t>5. 充电桩、充电主机及充电枪机检测</w:t>
      </w:r>
      <w:bookmarkEnd w:id="900"/>
    </w:p>
    <w:p w14:paraId="77969F69">
      <w:pPr>
        <w:spacing w:line="400" w:lineRule="exact"/>
        <w:ind w:firstLine="420" w:firstLineChars="200"/>
        <w:rPr>
          <w:color w:val="000000"/>
          <w:szCs w:val="21"/>
          <w:highlight w:val="none"/>
        </w:rPr>
      </w:pPr>
      <w:r>
        <w:rPr>
          <w:color w:val="000000"/>
          <w:szCs w:val="21"/>
          <w:highlight w:val="none"/>
        </w:rPr>
        <w:t>覆盖交直流充电桩、一体式充电主机、充电控制柜、充电枪机全套设备。常规性能：输入输出电压电流精度、恒压恒流控制、充电功率、转换效率、功率因数、电能质量、谐波抑制能力。功能检测：设备启停、扫码/刷卡启动、通讯上传、远程运维、计量精度校验。安全检测：绝缘耐压、漏电保护、过压欠压保护、过流短路保护、浪涌保护、急停保护、设备接地、外壳防护、阻燃耐温、高低温适应性。枪机专项：插拔耐久性能、机械锁止可靠性、枪头温升、接触电阻、防水防尘、防误插保护、高压通断安全、断电解锁功能、充电连接稳定性检测。</w:t>
      </w:r>
    </w:p>
    <w:p w14:paraId="450F6DAD">
      <w:pPr>
        <w:spacing w:line="400" w:lineRule="exact"/>
        <w:ind w:firstLine="422" w:firstLineChars="200"/>
        <w:rPr>
          <w:b/>
          <w:bCs/>
          <w:color w:val="000000"/>
          <w:szCs w:val="21"/>
          <w:highlight w:val="none"/>
        </w:rPr>
      </w:pPr>
      <w:bookmarkStart w:id="901" w:name="heading_9"/>
      <w:r>
        <w:rPr>
          <w:b/>
          <w:bCs/>
          <w:color w:val="000000"/>
          <w:szCs w:val="21"/>
          <w:highlight w:val="none"/>
        </w:rPr>
        <w:t>（三）光伏、储能并网柜及配套柜体检测</w:t>
      </w:r>
      <w:bookmarkEnd w:id="901"/>
    </w:p>
    <w:p w14:paraId="121DF831">
      <w:pPr>
        <w:spacing w:line="400" w:lineRule="exact"/>
        <w:ind w:firstLine="420" w:firstLineChars="200"/>
        <w:rPr>
          <w:color w:val="000000"/>
          <w:szCs w:val="21"/>
          <w:highlight w:val="none"/>
        </w:rPr>
      </w:pPr>
      <w:bookmarkStart w:id="902" w:name="heading_10"/>
      <w:r>
        <w:rPr>
          <w:color w:val="000000"/>
          <w:szCs w:val="21"/>
          <w:highlight w:val="none"/>
        </w:rPr>
        <w:t>1. 柜体整体性能检测</w:t>
      </w:r>
      <w:bookmarkEnd w:id="902"/>
    </w:p>
    <w:p w14:paraId="5702D862">
      <w:pPr>
        <w:spacing w:line="400" w:lineRule="exact"/>
        <w:ind w:firstLine="420" w:firstLineChars="200"/>
        <w:rPr>
          <w:color w:val="000000"/>
          <w:szCs w:val="21"/>
          <w:highlight w:val="none"/>
        </w:rPr>
      </w:pPr>
      <w:r>
        <w:rPr>
          <w:color w:val="000000"/>
          <w:szCs w:val="21"/>
          <w:highlight w:val="none"/>
        </w:rPr>
        <w:t>对光伏并网柜、储能并网柜及配套控制柜开展整体检测，包含柜体外观、密封防潮、防凝露性能、外壳防护等级、电气间隙与爬电距离、绝缘电阻、工频耐受电压、保护电路有效性、柜体接地可靠性、内部线缆排布规范性、设备标识完整性、接线工艺合规性检测。</w:t>
      </w:r>
    </w:p>
    <w:p w14:paraId="13B5F8AA">
      <w:pPr>
        <w:spacing w:line="400" w:lineRule="exact"/>
        <w:ind w:firstLine="420" w:firstLineChars="200"/>
        <w:rPr>
          <w:color w:val="000000"/>
          <w:szCs w:val="21"/>
          <w:highlight w:val="none"/>
        </w:rPr>
      </w:pPr>
      <w:bookmarkStart w:id="903" w:name="heading_11"/>
      <w:r>
        <w:rPr>
          <w:color w:val="000000"/>
          <w:szCs w:val="21"/>
          <w:highlight w:val="none"/>
        </w:rPr>
        <w:t>2. 柜内元器件及成套系统检测</w:t>
      </w:r>
      <w:bookmarkEnd w:id="903"/>
    </w:p>
    <w:p w14:paraId="5A611770">
      <w:pPr>
        <w:spacing w:line="400" w:lineRule="exact"/>
        <w:ind w:firstLine="420" w:firstLineChars="200"/>
        <w:rPr>
          <w:color w:val="000000"/>
          <w:szCs w:val="21"/>
          <w:highlight w:val="none"/>
        </w:rPr>
      </w:pPr>
      <w:r>
        <w:rPr>
          <w:color w:val="000000"/>
          <w:szCs w:val="21"/>
          <w:highlight w:val="none"/>
        </w:rPr>
        <w:t>柜内元器件包含光伏专用断路器、隔离开关、浪涌保护器、塑壳断路器、防孤岛装置、电能质量监测装置、储能并网专用开关、充电保护器件、并网联动模块等，所有元器件组装前按规范取样送检；柜体组装完成后，开展成套通电试验、并网/离网切换逻辑、保护联动、回路校验、并网时序匹配、故障模拟动作、系统联动可靠性检测。</w:t>
      </w:r>
    </w:p>
    <w:p w14:paraId="7EC1C83D">
      <w:pPr>
        <w:spacing w:line="400" w:lineRule="exact"/>
        <w:ind w:firstLine="422" w:firstLineChars="200"/>
        <w:rPr>
          <w:b/>
          <w:bCs/>
          <w:color w:val="000000"/>
          <w:szCs w:val="21"/>
          <w:highlight w:val="none"/>
        </w:rPr>
      </w:pPr>
      <w:bookmarkStart w:id="904" w:name="heading_12"/>
      <w:r>
        <w:rPr>
          <w:b/>
          <w:bCs/>
          <w:color w:val="000000"/>
          <w:szCs w:val="21"/>
          <w:highlight w:val="none"/>
        </w:rPr>
        <w:t>（四）场外线路及配套工程检测</w:t>
      </w:r>
      <w:bookmarkEnd w:id="904"/>
    </w:p>
    <w:p w14:paraId="06CF1BB2">
      <w:pPr>
        <w:spacing w:line="400" w:lineRule="exact"/>
        <w:ind w:firstLine="420" w:firstLineChars="200"/>
        <w:rPr>
          <w:color w:val="000000"/>
          <w:szCs w:val="21"/>
          <w:highlight w:val="none"/>
        </w:rPr>
      </w:pPr>
      <w:r>
        <w:rPr>
          <w:color w:val="000000"/>
          <w:szCs w:val="21"/>
          <w:highlight w:val="none"/>
        </w:rPr>
        <w:t>适用于项目外部送出线路、配电电缆线路、架空线路、电缆通道、杆塔及接地网等配套工程全覆盖检测。</w:t>
      </w:r>
    </w:p>
    <w:p w14:paraId="644D6ABF">
      <w:pPr>
        <w:spacing w:line="400" w:lineRule="exact"/>
        <w:ind w:firstLine="420" w:firstLineChars="200"/>
        <w:rPr>
          <w:color w:val="000000"/>
          <w:szCs w:val="21"/>
          <w:highlight w:val="none"/>
        </w:rPr>
      </w:pPr>
      <w:r>
        <w:rPr>
          <w:color w:val="000000"/>
          <w:szCs w:val="21"/>
          <w:highlight w:val="none"/>
        </w:rPr>
        <w:t>主要检测内容：导线、电缆、地线绝缘性能、导体电阻、屏蔽层性能；线路绝缘子、金具、避雷器外观及电气性能；杆塔基础混凝土强度、基础尺寸、地基承载力、回填压实质量；架空线路弧垂、相间距离、对地安全距离、架设工艺；电缆敷设深度、曲率半径、通道封堵、防火封堵质量；全线接地网接地电阻、接地扁铁焊接、防腐、搭接工艺；线路工频参数、相位核对、耐压试验、故障模拟、保护联动适配性检测。</w:t>
      </w:r>
    </w:p>
    <w:p w14:paraId="5149237F">
      <w:pPr>
        <w:spacing w:line="400" w:lineRule="exact"/>
        <w:ind w:firstLine="422" w:firstLineChars="200"/>
        <w:rPr>
          <w:b/>
          <w:bCs/>
          <w:color w:val="000000"/>
          <w:szCs w:val="21"/>
          <w:highlight w:val="none"/>
        </w:rPr>
      </w:pPr>
      <w:bookmarkStart w:id="905" w:name="heading_13"/>
      <w:r>
        <w:rPr>
          <w:b/>
          <w:bCs/>
          <w:color w:val="000000"/>
          <w:szCs w:val="21"/>
          <w:highlight w:val="none"/>
        </w:rPr>
        <w:t>（五）综合专项检测项目</w:t>
      </w:r>
      <w:bookmarkEnd w:id="905"/>
    </w:p>
    <w:p w14:paraId="54009DC3">
      <w:pPr>
        <w:spacing w:line="400" w:lineRule="exact"/>
        <w:ind w:firstLine="420" w:firstLineChars="200"/>
        <w:rPr>
          <w:color w:val="000000"/>
          <w:szCs w:val="21"/>
          <w:highlight w:val="none"/>
        </w:rPr>
      </w:pPr>
      <w:r>
        <w:rPr>
          <w:color w:val="000000"/>
          <w:szCs w:val="21"/>
          <w:highlight w:val="none"/>
        </w:rPr>
        <w:t>1. 土建结构专项检测：构筑物结构承载力安全鉴定、地基承载力、回填压实系数、高强螺栓摩擦系数、钢结构焊缝无损探伤、防腐涂层厚度、构件抗拉拔承载力、混凝土强度复核、结构尺寸偏差检测、基础沉降观测。</w:t>
      </w:r>
    </w:p>
    <w:p w14:paraId="244D031E">
      <w:pPr>
        <w:spacing w:line="400" w:lineRule="exact"/>
        <w:ind w:firstLine="420" w:firstLineChars="200"/>
        <w:rPr>
          <w:color w:val="000000"/>
          <w:szCs w:val="21"/>
          <w:highlight w:val="none"/>
        </w:rPr>
      </w:pPr>
      <w:r>
        <w:rPr>
          <w:color w:val="000000"/>
          <w:szCs w:val="21"/>
          <w:highlight w:val="none"/>
        </w:rPr>
        <w:t>2. 光伏系统专项检测：电站整体绝缘电阻、防雷接地电阻、全站电能质量（电压、电流、谐波、电压波动与闪变、有功无功功率）、逆变器效率、防孤岛性能、过压/过流/短路等系统保护功能、通讯及监控系统稳定性、组件EL隐裂检测、无功补偿及功率因数调节性能。</w:t>
      </w:r>
    </w:p>
    <w:p w14:paraId="2B62E7CF">
      <w:pPr>
        <w:spacing w:line="400" w:lineRule="exact"/>
        <w:ind w:firstLine="420" w:firstLineChars="200"/>
        <w:rPr>
          <w:color w:val="000000"/>
          <w:szCs w:val="21"/>
          <w:highlight w:val="none"/>
        </w:rPr>
      </w:pPr>
      <w:r>
        <w:rPr>
          <w:color w:val="000000"/>
          <w:szCs w:val="21"/>
          <w:highlight w:val="none"/>
        </w:rPr>
        <w:t>3. 储能系统专项检测：储能系统整体绝缘与接地可靠性、电池簇运行一致性、充放电循环稳定性、储能并网电能质量、系统动态响应速率、多级保护联动、消防与温控系统联动效能、BMS数据准确性；储能并网柜并网离网切换逻辑、并网点适配性、保护定值校验、柜内成套联动控制可靠性。</w:t>
      </w:r>
    </w:p>
    <w:p w14:paraId="1F45882E">
      <w:pPr>
        <w:spacing w:line="400" w:lineRule="exact"/>
        <w:ind w:firstLine="420" w:firstLineChars="200"/>
        <w:rPr>
          <w:color w:val="000000"/>
          <w:szCs w:val="21"/>
          <w:highlight w:val="none"/>
        </w:rPr>
      </w:pPr>
      <w:r>
        <w:rPr>
          <w:color w:val="000000"/>
          <w:szCs w:val="21"/>
          <w:highlight w:val="none"/>
        </w:rPr>
        <w:t>4. 充电设备系统专项检测：充电系统全站电能质量、多设备并联运行稳定性、计量精准度、通讯协议一致性、远程监控及故障上报功能、整机安全防护性能；充电枪机机械耐久、高压安全、接触性能、防水防尘、解锁保护等专项可靠性检测。</w:t>
      </w:r>
    </w:p>
    <w:p w14:paraId="257CA382">
      <w:pPr>
        <w:spacing w:line="400" w:lineRule="exact"/>
        <w:ind w:firstLine="420" w:firstLineChars="200"/>
        <w:rPr>
          <w:rFonts w:hint="eastAsia"/>
          <w:color w:val="000000"/>
          <w:szCs w:val="21"/>
          <w:highlight w:val="none"/>
        </w:rPr>
      </w:pPr>
      <w:r>
        <w:rPr>
          <w:color w:val="000000"/>
          <w:szCs w:val="21"/>
          <w:highlight w:val="none"/>
        </w:rPr>
        <w:t>5. 变电及线路系统专项检测：箱变全套保护定值校验、联动试验、满载温升及负载适应性；外送线路全线绝缘、耐压、工频参数、接地导通、防雷性能、线路保护匹配性专项检测。</w:t>
      </w:r>
    </w:p>
    <w:p w14:paraId="018CA20F">
      <w:pPr>
        <w:rPr>
          <w:rFonts w:hint="eastAsia"/>
          <w:bCs/>
          <w:szCs w:val="32"/>
          <w:highlight w:val="none"/>
        </w:rPr>
      </w:pPr>
      <w:r>
        <w:rPr>
          <w:rFonts w:hint="eastAsia"/>
          <w:bCs/>
          <w:szCs w:val="32"/>
          <w:highlight w:val="none"/>
        </w:rPr>
        <w:br w:type="page"/>
      </w:r>
    </w:p>
    <w:p w14:paraId="3A3DFD1F">
      <w:pPr>
        <w:pStyle w:val="44"/>
        <w:spacing w:beforeLines="50" w:afterLines="50" w:line="440" w:lineRule="exact"/>
        <w:rPr>
          <w:bCs/>
          <w:szCs w:val="32"/>
          <w:highlight w:val="none"/>
        </w:rPr>
      </w:pPr>
      <w:r>
        <w:rPr>
          <w:rFonts w:hint="eastAsia"/>
          <w:bCs/>
          <w:szCs w:val="32"/>
          <w:highlight w:val="none"/>
        </w:rPr>
        <w:t>第</w:t>
      </w:r>
      <w:r>
        <w:rPr>
          <w:rFonts w:hint="eastAsia"/>
          <w:bCs/>
          <w:szCs w:val="32"/>
          <w:highlight w:val="none"/>
          <w:lang w:val="en-US" w:eastAsia="zh-CN"/>
        </w:rPr>
        <w:t>六</w:t>
      </w:r>
      <w:r>
        <w:rPr>
          <w:rFonts w:hint="eastAsia"/>
          <w:bCs/>
          <w:szCs w:val="32"/>
          <w:highlight w:val="none"/>
        </w:rPr>
        <w:t>章  投标文件格式</w:t>
      </w:r>
      <w:bookmarkEnd w:id="866"/>
      <w:bookmarkEnd w:id="867"/>
      <w:bookmarkEnd w:id="868"/>
      <w:bookmarkEnd w:id="869"/>
      <w:bookmarkEnd w:id="870"/>
      <w:bookmarkEnd w:id="871"/>
      <w:bookmarkEnd w:id="872"/>
      <w:bookmarkEnd w:id="873"/>
      <w:bookmarkEnd w:id="874"/>
      <w:bookmarkEnd w:id="875"/>
      <w:bookmarkEnd w:id="876"/>
      <w:bookmarkEnd w:id="877"/>
      <w:bookmarkEnd w:id="878"/>
    </w:p>
    <w:p w14:paraId="7B05D42C">
      <w:pPr>
        <w:rPr>
          <w:highlight w:val="none"/>
        </w:rPr>
      </w:pPr>
    </w:p>
    <w:p w14:paraId="082E4B32">
      <w:pPr>
        <w:rPr>
          <w:highlight w:val="none"/>
        </w:rPr>
      </w:pPr>
    </w:p>
    <w:p w14:paraId="5069B979">
      <w:pPr>
        <w:rPr>
          <w:highlight w:val="none"/>
        </w:rPr>
      </w:pPr>
    </w:p>
    <w:p w14:paraId="56143D65">
      <w:pPr>
        <w:jc w:val="center"/>
        <w:rPr>
          <w:rFonts w:eastAsia="黑体"/>
          <w:sz w:val="20"/>
          <w:szCs w:val="20"/>
          <w:highlight w:val="none"/>
        </w:rPr>
      </w:pPr>
      <w:r>
        <w:rPr>
          <w:rFonts w:eastAsia="黑体"/>
          <w:sz w:val="28"/>
          <w:szCs w:val="28"/>
          <w:highlight w:val="none"/>
        </w:rPr>
        <w:t>（项目名称）</w:t>
      </w:r>
    </w:p>
    <w:p w14:paraId="7576ABA9">
      <w:pPr>
        <w:jc w:val="center"/>
        <w:rPr>
          <w:rFonts w:eastAsia="黑体"/>
          <w:sz w:val="20"/>
          <w:szCs w:val="20"/>
          <w:highlight w:val="none"/>
        </w:rPr>
      </w:pPr>
    </w:p>
    <w:p w14:paraId="7FF06958">
      <w:pPr>
        <w:jc w:val="center"/>
        <w:rPr>
          <w:rFonts w:eastAsia="黑体"/>
          <w:sz w:val="20"/>
          <w:szCs w:val="20"/>
          <w:highlight w:val="none"/>
        </w:rPr>
      </w:pPr>
    </w:p>
    <w:p w14:paraId="3165CB1E">
      <w:pPr>
        <w:jc w:val="center"/>
        <w:rPr>
          <w:rFonts w:eastAsia="黑体"/>
          <w:sz w:val="20"/>
          <w:szCs w:val="20"/>
          <w:highlight w:val="none"/>
        </w:rPr>
      </w:pPr>
    </w:p>
    <w:p w14:paraId="75BA9D51">
      <w:pPr>
        <w:rPr>
          <w:rFonts w:eastAsia="黑体"/>
          <w:sz w:val="20"/>
          <w:szCs w:val="20"/>
          <w:highlight w:val="none"/>
        </w:rPr>
      </w:pPr>
    </w:p>
    <w:p w14:paraId="347DEE05">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一</w:t>
      </w:r>
    </w:p>
    <w:p w14:paraId="4404D72F">
      <w:pPr>
        <w:jc w:val="center"/>
        <w:rPr>
          <w:rFonts w:eastAsia="黑体"/>
          <w:sz w:val="44"/>
          <w:szCs w:val="44"/>
          <w:highlight w:val="none"/>
        </w:rPr>
      </w:pPr>
      <w:r>
        <w:rPr>
          <w:rFonts w:hint="eastAsia" w:eastAsia="黑体"/>
          <w:sz w:val="44"/>
          <w:szCs w:val="44"/>
          <w:highlight w:val="none"/>
        </w:rPr>
        <w:t>（资信证明文件）</w:t>
      </w:r>
    </w:p>
    <w:p w14:paraId="69FD5586">
      <w:pPr>
        <w:rPr>
          <w:rFonts w:eastAsia="黑体"/>
          <w:sz w:val="28"/>
          <w:szCs w:val="28"/>
          <w:highlight w:val="none"/>
        </w:rPr>
      </w:pPr>
    </w:p>
    <w:p w14:paraId="61671114">
      <w:pPr>
        <w:rPr>
          <w:rFonts w:eastAsia="黑体"/>
          <w:sz w:val="28"/>
          <w:szCs w:val="28"/>
          <w:highlight w:val="none"/>
        </w:rPr>
      </w:pPr>
    </w:p>
    <w:p w14:paraId="7707CE46">
      <w:pPr>
        <w:rPr>
          <w:rFonts w:eastAsia="黑体"/>
          <w:sz w:val="28"/>
          <w:szCs w:val="28"/>
          <w:highlight w:val="none"/>
        </w:rPr>
      </w:pPr>
    </w:p>
    <w:p w14:paraId="3E29662A">
      <w:pPr>
        <w:rPr>
          <w:rFonts w:eastAsia="黑体"/>
          <w:sz w:val="28"/>
          <w:szCs w:val="28"/>
          <w:highlight w:val="none"/>
        </w:rPr>
      </w:pPr>
    </w:p>
    <w:p w14:paraId="69D02104">
      <w:pPr>
        <w:pStyle w:val="14"/>
        <w:ind w:firstLine="420"/>
        <w:rPr>
          <w:rFonts w:ascii="Times New Roman"/>
          <w:szCs w:val="24"/>
          <w:highlight w:val="none"/>
        </w:rPr>
      </w:pPr>
    </w:p>
    <w:p w14:paraId="3062FE47">
      <w:pPr>
        <w:rPr>
          <w:rFonts w:ascii="Times New Roman"/>
          <w:szCs w:val="24"/>
          <w:highlight w:val="none"/>
        </w:rPr>
      </w:pPr>
    </w:p>
    <w:p w14:paraId="78F93F73">
      <w:pPr>
        <w:pStyle w:val="14"/>
        <w:rPr>
          <w:rFonts w:ascii="Times New Roman"/>
          <w:szCs w:val="24"/>
          <w:highlight w:val="none"/>
        </w:rPr>
      </w:pPr>
    </w:p>
    <w:p w14:paraId="1E9D0BD8">
      <w:pPr>
        <w:rPr>
          <w:rFonts w:ascii="Times New Roman"/>
          <w:szCs w:val="24"/>
          <w:highlight w:val="none"/>
        </w:rPr>
      </w:pPr>
    </w:p>
    <w:p w14:paraId="13AFD6AD">
      <w:pPr>
        <w:pStyle w:val="14"/>
      </w:pPr>
    </w:p>
    <w:p w14:paraId="0799C826">
      <w:pPr>
        <w:pStyle w:val="14"/>
        <w:ind w:firstLine="420"/>
        <w:rPr>
          <w:highlight w:val="none"/>
        </w:rPr>
      </w:pPr>
    </w:p>
    <w:p w14:paraId="63F5BB9B">
      <w:pPr>
        <w:rPr>
          <w:rFonts w:eastAsia="黑体"/>
          <w:sz w:val="28"/>
          <w:szCs w:val="28"/>
          <w:highlight w:val="none"/>
        </w:rPr>
      </w:pPr>
    </w:p>
    <w:p w14:paraId="6ECEBDFF">
      <w:pPr>
        <w:rPr>
          <w:rFonts w:eastAsia="黑体"/>
          <w:sz w:val="28"/>
          <w:szCs w:val="28"/>
          <w:highlight w:val="none"/>
        </w:rPr>
      </w:pPr>
    </w:p>
    <w:p w14:paraId="62522776">
      <w:pPr>
        <w:jc w:val="center"/>
        <w:rPr>
          <w:rFonts w:eastAsia="黑体"/>
          <w:sz w:val="28"/>
          <w:szCs w:val="28"/>
          <w:u w:val="single"/>
        </w:rPr>
      </w:pPr>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097218CB">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211A5DCF">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7802AEA0">
      <w:pPr>
        <w:rPr>
          <w:highlight w:val="none"/>
        </w:rPr>
      </w:pPr>
      <w:bookmarkStart w:id="906" w:name="_Toc12683"/>
      <w:bookmarkStart w:id="907" w:name="_Toc35424971"/>
      <w:bookmarkStart w:id="908" w:name="_Toc35425137"/>
    </w:p>
    <w:p w14:paraId="0EBCA57C">
      <w:pPr>
        <w:spacing w:beforeLines="50" w:afterLines="50" w:line="440" w:lineRule="exact"/>
        <w:ind w:firstLine="643" w:firstLineChars="200"/>
        <w:jc w:val="left"/>
        <w:rPr>
          <w:rFonts w:ascii="宋体" w:hAnsi="宋体" w:cs="宋体"/>
          <w:b/>
          <w:sz w:val="28"/>
          <w:szCs w:val="28"/>
          <w:highlight w:val="none"/>
        </w:rPr>
      </w:pPr>
      <w:bookmarkStart w:id="909" w:name="_Toc78803399"/>
      <w:r>
        <w:rPr>
          <w:rStyle w:val="120"/>
          <w:rFonts w:hint="eastAsia" w:ascii="宋体" w:hAnsi="宋体" w:cs="宋体"/>
          <w:sz w:val="32"/>
          <w:highlight w:val="none"/>
        </w:rPr>
        <w:br w:type="page"/>
      </w:r>
      <w:r>
        <w:rPr>
          <w:rStyle w:val="120"/>
          <w:rFonts w:hint="eastAsia" w:ascii="宋体" w:hAnsi="宋体" w:cs="宋体"/>
          <w:sz w:val="32"/>
          <w:highlight w:val="none"/>
        </w:rPr>
        <w:t>投标文件一</w:t>
      </w:r>
      <w:bookmarkEnd w:id="906"/>
      <w:bookmarkEnd w:id="907"/>
      <w:bookmarkEnd w:id="908"/>
      <w:bookmarkEnd w:id="909"/>
      <w:r>
        <w:rPr>
          <w:rFonts w:hint="eastAsia" w:ascii="宋体" w:hAnsi="宋体" w:cs="宋体"/>
          <w:b/>
          <w:sz w:val="28"/>
          <w:szCs w:val="28"/>
          <w:highlight w:val="none"/>
        </w:rPr>
        <w:t>：资信证明文件目录</w:t>
      </w:r>
    </w:p>
    <w:p w14:paraId="70F505C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（1）法定代表人身份证明文件和本人有效身份证(或法定代表人授权委托书和委托代理人有效身份证)；</w:t>
      </w:r>
    </w:p>
    <w:p w14:paraId="1296EE8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577438A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095377A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w:t>
      </w:r>
      <w:r>
        <w:rPr>
          <w:rFonts w:hint="eastAsia" w:ascii="宋体" w:hAnsi="宋体" w:eastAsia="宋体" w:cs="宋体"/>
          <w:szCs w:val="21"/>
          <w:highlight w:val="none"/>
          <w:lang w:val="en-US" w:eastAsia="zh-CN"/>
        </w:rPr>
        <w:t>具有有效的计量认证证书（CMA）</w:t>
      </w:r>
      <w:r>
        <w:rPr>
          <w:rFonts w:hint="eastAsia" w:ascii="宋体" w:hAnsi="宋体" w:eastAsia="宋体" w:cs="宋体"/>
          <w:szCs w:val="21"/>
          <w:highlight w:val="none"/>
        </w:rPr>
        <w:t>；</w:t>
      </w:r>
    </w:p>
    <w:p w14:paraId="5A4F3AE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（5）</w:t>
      </w:r>
      <w:r>
        <w:rPr>
          <w:rFonts w:hint="eastAsia" w:ascii="宋体"/>
          <w:szCs w:val="21"/>
          <w:highlight w:val="none"/>
          <w:lang w:val="en-US" w:eastAsia="zh-CN"/>
        </w:rPr>
        <w:t>服务承诺书</w:t>
      </w:r>
      <w:r>
        <w:rPr>
          <w:rFonts w:hint="eastAsia" w:ascii="宋体" w:hAnsi="宋体" w:cs="宋体"/>
          <w:szCs w:val="21"/>
          <w:highlight w:val="none"/>
        </w:rPr>
        <w:t>；</w:t>
      </w:r>
    </w:p>
    <w:p w14:paraId="2737E4A6">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6</w:t>
      </w:r>
      <w:r>
        <w:rPr>
          <w:rFonts w:hint="eastAsia" w:ascii="宋体" w:hAnsi="宋体" w:cs="宋体"/>
          <w:szCs w:val="21"/>
          <w:highlight w:val="none"/>
          <w:lang w:eastAsia="zh-CN"/>
        </w:rPr>
        <w:t>）</w:t>
      </w:r>
      <w:r>
        <w:rPr>
          <w:rFonts w:hint="eastAsia" w:ascii="宋体" w:hAnsi="宋体" w:cs="宋体"/>
          <w:szCs w:val="21"/>
          <w:highlight w:val="none"/>
          <w:lang w:val="en-US" w:eastAsia="zh-CN"/>
        </w:rPr>
        <w:t>资信</w:t>
      </w:r>
      <w:r>
        <w:rPr>
          <w:rFonts w:hint="eastAsia" w:ascii="宋体" w:hAnsi="宋体" w:cs="宋体"/>
          <w:szCs w:val="21"/>
          <w:highlight w:val="none"/>
        </w:rPr>
        <w:t>评分细则中需要提供的所有证明材料</w:t>
      </w:r>
      <w:r>
        <w:rPr>
          <w:rFonts w:hint="eastAsia" w:ascii="宋体" w:hAnsi="宋体" w:cs="宋体"/>
          <w:szCs w:val="21"/>
          <w:highlight w:val="none"/>
          <w:lang w:eastAsia="zh-CN"/>
        </w:rPr>
        <w:t>。</w:t>
      </w:r>
    </w:p>
    <w:p w14:paraId="59163E6F">
      <w:pPr>
        <w:spacing w:line="360" w:lineRule="auto"/>
        <w:jc w:val="center"/>
        <w:rPr>
          <w:rFonts w:ascii="宋体"/>
          <w:b/>
          <w:sz w:val="28"/>
          <w:szCs w:val="28"/>
          <w:highlight w:val="none"/>
        </w:rPr>
      </w:pPr>
      <w:r>
        <w:rPr>
          <w:rFonts w:hint="eastAsia"/>
          <w:b/>
          <w:sz w:val="28"/>
          <w:szCs w:val="28"/>
          <w:highlight w:val="none"/>
        </w:rPr>
        <w:br w:type="page"/>
      </w:r>
      <w:r>
        <w:rPr>
          <w:rFonts w:hint="eastAsia"/>
          <w:b/>
          <w:sz w:val="28"/>
          <w:szCs w:val="28"/>
          <w:highlight w:val="none"/>
        </w:rPr>
        <w:t>（1）法定代表人身份证明或授权委托书</w:t>
      </w:r>
    </w:p>
    <w:p w14:paraId="1618991E">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b/>
          <w:color w:val="auto"/>
          <w:sz w:val="24"/>
          <w:szCs w:val="24"/>
          <w:highlight w:val="none"/>
        </w:rPr>
      </w:pPr>
      <w:bookmarkStart w:id="910" w:name="_Toc503196197"/>
      <w:bookmarkStart w:id="911" w:name="_Toc26598"/>
      <w:bookmarkStart w:id="912" w:name="_Toc506107356"/>
      <w:r>
        <w:rPr>
          <w:rFonts w:hint="eastAsia" w:ascii="宋体"/>
          <w:color w:val="auto"/>
          <w:sz w:val="24"/>
          <w:szCs w:val="24"/>
          <w:highlight w:val="none"/>
        </w:rPr>
        <w:t>1、法定代表人身份证明</w:t>
      </w:r>
    </w:p>
    <w:p w14:paraId="5CD0926A">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投标人名称：</w:t>
      </w:r>
      <w:r>
        <w:rPr>
          <w:rFonts w:hint="eastAsia" w:ascii="宋体"/>
          <w:sz w:val="24"/>
          <w:highlight w:val="none"/>
          <w:u w:val="single"/>
        </w:rPr>
        <w:t xml:space="preserve">                            </w:t>
      </w:r>
    </w:p>
    <w:p w14:paraId="30E6B7AC">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单位性质：</w:t>
      </w:r>
      <w:r>
        <w:rPr>
          <w:rFonts w:hint="eastAsia" w:ascii="宋体"/>
          <w:sz w:val="24"/>
          <w:highlight w:val="none"/>
          <w:u w:val="single"/>
        </w:rPr>
        <w:t xml:space="preserve">                              </w:t>
      </w:r>
    </w:p>
    <w:p w14:paraId="2B53194B">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地    址：</w:t>
      </w:r>
      <w:r>
        <w:rPr>
          <w:rFonts w:hint="eastAsia" w:ascii="宋体"/>
          <w:sz w:val="24"/>
          <w:highlight w:val="none"/>
          <w:u w:val="single"/>
        </w:rPr>
        <w:t xml:space="preserve">                              </w:t>
      </w:r>
    </w:p>
    <w:p w14:paraId="2672DE77">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成立时间：</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56E18266">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经营期限：</w:t>
      </w:r>
      <w:r>
        <w:rPr>
          <w:rFonts w:hint="eastAsia" w:ascii="宋体"/>
          <w:sz w:val="24"/>
          <w:highlight w:val="none"/>
          <w:u w:val="single"/>
        </w:rPr>
        <w:t xml:space="preserve">                              </w:t>
      </w:r>
    </w:p>
    <w:p w14:paraId="7220154A">
      <w:pPr>
        <w:keepNext w:val="0"/>
        <w:keepLines w:val="0"/>
        <w:pageBreakBefore w:val="0"/>
        <w:kinsoku/>
        <w:wordWrap/>
        <w:overflowPunct/>
        <w:topLinePunct w:val="0"/>
        <w:autoSpaceDE/>
        <w:autoSpaceDN/>
        <w:bidi w:val="0"/>
        <w:adjustRightInd/>
        <w:snapToGrid/>
        <w:spacing w:line="440" w:lineRule="exact"/>
        <w:jc w:val="left"/>
        <w:rPr>
          <w:rFonts w:ascii="宋体"/>
          <w:sz w:val="24"/>
          <w:highlight w:val="none"/>
          <w:u w:val="single"/>
        </w:rPr>
      </w:pPr>
      <w:r>
        <w:rPr>
          <w:rFonts w:hint="eastAsia" w:ascii="宋体"/>
          <w:spacing w:val="240"/>
          <w:sz w:val="24"/>
          <w:highlight w:val="none"/>
        </w:rPr>
        <w:t>姓</w:t>
      </w:r>
      <w:r>
        <w:rPr>
          <w:rFonts w:hint="eastAsia" w:ascii="宋体"/>
          <w:sz w:val="24"/>
          <w:highlight w:val="none"/>
        </w:rPr>
        <w:t>名：</w:t>
      </w:r>
      <w:r>
        <w:rPr>
          <w:rFonts w:hint="eastAsia" w:ascii="宋体"/>
          <w:sz w:val="24"/>
          <w:highlight w:val="none"/>
          <w:u w:val="single"/>
        </w:rPr>
        <w:t xml:space="preserve">     </w:t>
      </w:r>
      <w:r>
        <w:rPr>
          <w:rFonts w:hint="eastAsia" w:ascii="宋体"/>
          <w:sz w:val="24"/>
          <w:highlight w:val="none"/>
        </w:rPr>
        <w:t>身份证号码：</w:t>
      </w:r>
      <w:r>
        <w:rPr>
          <w:rFonts w:hint="eastAsia" w:ascii="宋体"/>
          <w:sz w:val="24"/>
          <w:highlight w:val="none"/>
          <w:u w:val="single"/>
        </w:rPr>
        <w:t xml:space="preserve">     </w:t>
      </w:r>
      <w:r>
        <w:rPr>
          <w:rFonts w:hint="eastAsia" w:ascii="宋体"/>
          <w:sz w:val="24"/>
          <w:highlight w:val="none"/>
        </w:rPr>
        <w:t>性别</w:t>
      </w:r>
      <w:r>
        <w:rPr>
          <w:rFonts w:hint="eastAsia" w:ascii="宋体"/>
          <w:sz w:val="24"/>
          <w:highlight w:val="none"/>
          <w:u w:val="single"/>
        </w:rPr>
        <w:t xml:space="preserve">：    </w:t>
      </w:r>
      <w:r>
        <w:rPr>
          <w:rFonts w:hint="eastAsia" w:ascii="宋体"/>
          <w:sz w:val="24"/>
          <w:highlight w:val="none"/>
        </w:rPr>
        <w:t>年龄：</w:t>
      </w:r>
      <w:r>
        <w:rPr>
          <w:rFonts w:hint="eastAsia" w:ascii="宋体"/>
          <w:sz w:val="24"/>
          <w:highlight w:val="none"/>
          <w:u w:val="single"/>
        </w:rPr>
        <w:t xml:space="preserve">＿  </w:t>
      </w: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rPr>
        <w:t>，系</w:t>
      </w:r>
      <w:r>
        <w:rPr>
          <w:rFonts w:hint="eastAsia" w:ascii="宋体"/>
          <w:sz w:val="24"/>
          <w:highlight w:val="none"/>
          <w:u w:val="single"/>
        </w:rPr>
        <w:t xml:space="preserve">     （投标人名称）</w:t>
      </w:r>
      <w:r>
        <w:rPr>
          <w:rFonts w:hint="eastAsia" w:ascii="宋体"/>
          <w:sz w:val="24"/>
          <w:highlight w:val="none"/>
        </w:rPr>
        <w:t>的法定代表人。</w:t>
      </w:r>
    </w:p>
    <w:p w14:paraId="13BA0D93">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特此证明。</w:t>
      </w:r>
    </w:p>
    <w:p w14:paraId="5AB38E67">
      <w:pPr>
        <w:keepNext w:val="0"/>
        <w:keepLines w:val="0"/>
        <w:pageBreakBefore w:val="0"/>
        <w:kinsoku/>
        <w:wordWrap/>
        <w:overflowPunct/>
        <w:topLinePunct w:val="0"/>
        <w:autoSpaceDE/>
        <w:autoSpaceDN/>
        <w:bidi w:val="0"/>
        <w:adjustRightInd/>
        <w:snapToGrid/>
        <w:spacing w:line="440" w:lineRule="exact"/>
        <w:ind w:firstLine="480" w:firstLineChars="200"/>
        <w:rPr>
          <w:highlight w:val="none"/>
        </w:rPr>
      </w:pPr>
      <w:r>
        <w:rPr>
          <w:rFonts w:hint="eastAsia" w:ascii="宋体"/>
          <w:sz w:val="24"/>
          <w:highlight w:val="none"/>
        </w:rPr>
        <w:t>附：</w:t>
      </w:r>
      <w:r>
        <w:rPr>
          <w:rFonts w:hint="eastAsia" w:ascii="宋体"/>
          <w:b/>
          <w:sz w:val="24"/>
          <w:highlight w:val="none"/>
        </w:rPr>
        <w:t>法定代表人有效身份证扫描件</w:t>
      </w:r>
    </w:p>
    <w:p w14:paraId="3089C1AB">
      <w:pPr>
        <w:keepNext w:val="0"/>
        <w:keepLines w:val="0"/>
        <w:pageBreakBefore w:val="0"/>
        <w:kinsoku/>
        <w:wordWrap/>
        <w:overflowPunct/>
        <w:topLinePunct w:val="0"/>
        <w:autoSpaceDE/>
        <w:autoSpaceDN/>
        <w:bidi w:val="0"/>
        <w:adjustRightInd/>
        <w:snapToGrid/>
        <w:spacing w:line="440" w:lineRule="exact"/>
        <w:ind w:firstLine="3720" w:firstLineChars="1550"/>
        <w:rPr>
          <w:rFonts w:ascii="宋体"/>
          <w:sz w:val="24"/>
          <w:highlight w:val="none"/>
        </w:rPr>
      </w:pPr>
      <w:r>
        <w:rPr>
          <w:rFonts w:hint="eastAsia" w:ascii="宋体"/>
          <w:sz w:val="24"/>
          <w:highlight w:val="none"/>
        </w:rPr>
        <w:t>投标人：</w:t>
      </w:r>
      <w:r>
        <w:rPr>
          <w:rFonts w:hint="eastAsia" w:ascii="宋体"/>
          <w:sz w:val="24"/>
          <w:highlight w:val="none"/>
          <w:u w:val="single"/>
        </w:rPr>
        <w:t xml:space="preserve">            （</w:t>
      </w:r>
      <w:r>
        <w:rPr>
          <w:rFonts w:hint="eastAsia" w:ascii="宋体"/>
          <w:sz w:val="24"/>
          <w:highlight w:val="none"/>
          <w:u w:val="single"/>
          <w:lang w:val="en-US" w:eastAsia="zh-CN"/>
        </w:rPr>
        <w:t>盖</w:t>
      </w:r>
      <w:r>
        <w:rPr>
          <w:rFonts w:hint="eastAsia" w:ascii="宋体"/>
          <w:sz w:val="24"/>
          <w:highlight w:val="none"/>
          <w:u w:val="single"/>
        </w:rPr>
        <w:t>章）</w:t>
      </w:r>
    </w:p>
    <w:p w14:paraId="34409C45">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 xml:space="preserve">                                        年    月     日</w:t>
      </w:r>
    </w:p>
    <w:p w14:paraId="2F0B7B0C">
      <w:pPr>
        <w:keepNext w:val="0"/>
        <w:keepLines w:val="0"/>
        <w:pageBreakBefore w:val="0"/>
        <w:kinsoku/>
        <w:wordWrap/>
        <w:overflowPunct/>
        <w:topLinePunct w:val="0"/>
        <w:autoSpaceDE/>
        <w:autoSpaceDN/>
        <w:bidi w:val="0"/>
        <w:adjustRightInd/>
        <w:snapToGrid/>
        <w:spacing w:line="440" w:lineRule="exact"/>
        <w:rPr>
          <w:highlight w:val="none"/>
        </w:rPr>
      </w:pPr>
    </w:p>
    <w:p w14:paraId="1550066F">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color w:val="auto"/>
          <w:sz w:val="24"/>
          <w:szCs w:val="24"/>
          <w:highlight w:val="none"/>
        </w:rPr>
      </w:pPr>
      <w:r>
        <w:rPr>
          <w:rFonts w:hint="eastAsia" w:ascii="宋体"/>
          <w:color w:val="auto"/>
          <w:sz w:val="24"/>
          <w:szCs w:val="24"/>
          <w:highlight w:val="none"/>
        </w:rPr>
        <w:t>或1、授权委托书</w:t>
      </w:r>
    </w:p>
    <w:p w14:paraId="00E2E773">
      <w:pPr>
        <w:keepNext w:val="0"/>
        <w:keepLines w:val="0"/>
        <w:pageBreakBefore w:val="0"/>
        <w:kinsoku/>
        <w:wordWrap/>
        <w:overflowPunct/>
        <w:topLinePunct w:val="0"/>
        <w:autoSpaceDE/>
        <w:autoSpaceDN/>
        <w:bidi w:val="0"/>
        <w:adjustRightInd/>
        <w:snapToGrid/>
        <w:spacing w:line="440" w:lineRule="exact"/>
        <w:ind w:firstLine="480" w:firstLineChars="200"/>
        <w:jc w:val="left"/>
        <w:rPr>
          <w:rFonts w:ascii="宋体"/>
          <w:sz w:val="24"/>
          <w:highlight w:val="none"/>
        </w:rPr>
      </w:pPr>
      <w:r>
        <w:rPr>
          <w:rFonts w:hint="eastAsia" w:ascii="宋体"/>
          <w:sz w:val="24"/>
          <w:highlight w:val="none"/>
        </w:rPr>
        <w:t>本人</w:t>
      </w:r>
      <w:r>
        <w:rPr>
          <w:rFonts w:hint="eastAsia" w:ascii="宋体"/>
          <w:sz w:val="24"/>
          <w:highlight w:val="none"/>
          <w:u w:val="single"/>
        </w:rPr>
        <w:t xml:space="preserve"> （姓名）</w:t>
      </w:r>
      <w:r>
        <w:rPr>
          <w:rFonts w:hint="eastAsia" w:ascii="宋体"/>
          <w:sz w:val="24"/>
          <w:highlight w:val="none"/>
        </w:rPr>
        <w:t>系</w:t>
      </w:r>
      <w:r>
        <w:rPr>
          <w:rFonts w:hint="eastAsia" w:ascii="宋体"/>
          <w:sz w:val="24"/>
          <w:highlight w:val="none"/>
          <w:u w:val="single"/>
        </w:rPr>
        <w:t>（投标人）</w:t>
      </w:r>
      <w:r>
        <w:rPr>
          <w:rFonts w:hint="eastAsia" w:ascii="宋体"/>
          <w:sz w:val="24"/>
          <w:highlight w:val="none"/>
        </w:rPr>
        <w:t>的法定代表人，现委托</w:t>
      </w:r>
      <w:r>
        <w:rPr>
          <w:rFonts w:hint="eastAsia" w:ascii="宋体"/>
          <w:sz w:val="24"/>
          <w:highlight w:val="none"/>
          <w:u w:val="single"/>
        </w:rPr>
        <w:t>（姓名）</w:t>
      </w:r>
      <w:r>
        <w:rPr>
          <w:rFonts w:hint="eastAsia" w:ascii="宋体"/>
          <w:sz w:val="24"/>
          <w:highlight w:val="none"/>
        </w:rPr>
        <w:t>为我方代理人。代理人根据授权，以我方名义签署、澄清、说明、补正、递交、撤回、修改</w:t>
      </w:r>
      <w:r>
        <w:rPr>
          <w:rFonts w:hint="eastAsia" w:ascii="宋体"/>
          <w:sz w:val="24"/>
          <w:highlight w:val="none"/>
          <w:u w:val="single"/>
        </w:rPr>
        <w:t xml:space="preserve"> “   ”(项目名称）</w:t>
      </w:r>
      <w:r>
        <w:rPr>
          <w:rFonts w:hint="eastAsia" w:ascii="宋体"/>
          <w:sz w:val="24"/>
          <w:highlight w:val="none"/>
        </w:rPr>
        <w:t>投标文件，全权处理与该项目投标、评审答疑、签订合同以及与合同执行有关的一切事务，其法律后果由我方承担。</w:t>
      </w:r>
    </w:p>
    <w:p w14:paraId="104BA12E">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委托期限：</w:t>
      </w:r>
      <w:r>
        <w:rPr>
          <w:rFonts w:hint="eastAsia" w:ascii="宋体"/>
          <w:sz w:val="24"/>
          <w:highlight w:val="none"/>
          <w:u w:val="single"/>
          <w:lang w:val="en-US" w:eastAsia="zh-CN"/>
        </w:rPr>
        <w:t xml:space="preserve">              </w:t>
      </w:r>
      <w:r>
        <w:rPr>
          <w:rFonts w:hint="eastAsia" w:ascii="宋体" w:cs="宋体"/>
          <w:sz w:val="24"/>
          <w:highlight w:val="none"/>
        </w:rPr>
        <w:t>。</w:t>
      </w:r>
    </w:p>
    <w:p w14:paraId="5334BA4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代理人无转委托权。</w:t>
      </w:r>
    </w:p>
    <w:p w14:paraId="0A2C1F2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b/>
          <w:sz w:val="24"/>
          <w:highlight w:val="none"/>
        </w:rPr>
      </w:pPr>
      <w:r>
        <w:rPr>
          <w:rFonts w:hint="eastAsia" w:ascii="宋体"/>
          <w:sz w:val="24"/>
          <w:highlight w:val="none"/>
        </w:rPr>
        <w:t>附：</w:t>
      </w:r>
      <w:r>
        <w:rPr>
          <w:rFonts w:hint="eastAsia" w:ascii="宋体"/>
          <w:b/>
          <w:sz w:val="24"/>
          <w:highlight w:val="none"/>
        </w:rPr>
        <w:t>委托代理人有效身份证扫描件</w:t>
      </w:r>
    </w:p>
    <w:p w14:paraId="3E1AE668">
      <w:pPr>
        <w:keepNext w:val="0"/>
        <w:keepLines w:val="0"/>
        <w:pageBreakBefore w:val="0"/>
        <w:kinsoku/>
        <w:wordWrap/>
        <w:overflowPunct/>
        <w:topLinePunct w:val="0"/>
        <w:autoSpaceDE/>
        <w:autoSpaceDN/>
        <w:bidi w:val="0"/>
        <w:adjustRightInd/>
        <w:snapToGrid/>
        <w:spacing w:line="440" w:lineRule="exact"/>
        <w:ind w:firstLine="964" w:firstLineChars="400"/>
        <w:rPr>
          <w:rFonts w:ascii="宋体"/>
          <w:b/>
          <w:sz w:val="24"/>
          <w:highlight w:val="none"/>
        </w:rPr>
      </w:pPr>
      <w:r>
        <w:rPr>
          <w:rFonts w:hint="eastAsia" w:ascii="宋体"/>
          <w:b/>
          <w:sz w:val="24"/>
          <w:highlight w:val="none"/>
        </w:rPr>
        <w:t>法定代表人有效身份证扫描件</w:t>
      </w:r>
    </w:p>
    <w:p w14:paraId="3DC4B743">
      <w:pPr>
        <w:keepNext w:val="0"/>
        <w:keepLines w:val="0"/>
        <w:pageBreakBefore w:val="0"/>
        <w:kinsoku/>
        <w:wordWrap/>
        <w:overflowPunct/>
        <w:topLinePunct w:val="0"/>
        <w:autoSpaceDE/>
        <w:autoSpaceDN/>
        <w:bidi w:val="0"/>
        <w:adjustRightInd/>
        <w:snapToGrid/>
        <w:spacing w:line="440" w:lineRule="exact"/>
        <w:ind w:firstLine="833" w:firstLineChars="397"/>
        <w:rPr>
          <w:highlight w:val="none"/>
        </w:rPr>
      </w:pPr>
    </w:p>
    <w:p w14:paraId="4D108BBB">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 xml:space="preserve"> 投标人（盖章）：</w:t>
      </w:r>
    </w:p>
    <w:p w14:paraId="63FE0C4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法定代表人（身份证号码）：    （签字或盖章）</w:t>
      </w:r>
    </w:p>
    <w:p w14:paraId="3BE5CF0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委托代理人（身份证号码）：    （签字或盖章）</w:t>
      </w:r>
    </w:p>
    <w:p w14:paraId="0FCD3FA1">
      <w:pPr>
        <w:keepNext w:val="0"/>
        <w:keepLines w:val="0"/>
        <w:pageBreakBefore w:val="0"/>
        <w:kinsoku/>
        <w:wordWrap/>
        <w:overflowPunct/>
        <w:topLinePunct w:val="0"/>
        <w:autoSpaceDE/>
        <w:autoSpaceDN/>
        <w:bidi w:val="0"/>
        <w:adjustRightInd/>
        <w:snapToGrid/>
        <w:spacing w:line="440" w:lineRule="exact"/>
        <w:ind w:firstLine="5040" w:firstLineChars="2100"/>
        <w:rPr>
          <w:rFonts w:ascii="宋体"/>
          <w:sz w:val="24"/>
          <w:highlight w:val="none"/>
        </w:rPr>
      </w:pPr>
      <w:r>
        <w:rPr>
          <w:rFonts w:hint="eastAsia" w:ascii="宋体"/>
          <w:sz w:val="24"/>
          <w:highlight w:val="none"/>
        </w:rPr>
        <w:t xml:space="preserve">   </w:t>
      </w:r>
    </w:p>
    <w:p w14:paraId="0F4784B3">
      <w:pPr>
        <w:keepNext w:val="0"/>
        <w:keepLines w:val="0"/>
        <w:pageBreakBefore w:val="0"/>
        <w:kinsoku/>
        <w:wordWrap/>
        <w:overflowPunct/>
        <w:topLinePunct w:val="0"/>
        <w:autoSpaceDE/>
        <w:autoSpaceDN/>
        <w:bidi w:val="0"/>
        <w:adjustRightInd/>
        <w:snapToGrid/>
        <w:spacing w:line="440" w:lineRule="exact"/>
        <w:ind w:firstLine="5700" w:firstLineChars="2375"/>
        <w:rPr>
          <w:rFonts w:ascii="宋体"/>
          <w:sz w:val="24"/>
          <w:highlight w:val="none"/>
        </w:rPr>
      </w:pPr>
      <w:r>
        <w:rPr>
          <w:rFonts w:hint="eastAsia" w:ascii="宋体"/>
          <w:sz w:val="24"/>
          <w:highlight w:val="none"/>
        </w:rPr>
        <w:t>年    月    日</w:t>
      </w:r>
    </w:p>
    <w:p w14:paraId="528761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sz w:val="28"/>
          <w:szCs w:val="28"/>
          <w:highlight w:val="none"/>
        </w:rPr>
      </w:pPr>
      <w:r>
        <w:rPr>
          <w:rFonts w:hint="eastAsia"/>
          <w:b/>
          <w:sz w:val="28"/>
          <w:szCs w:val="28"/>
          <w:highlight w:val="none"/>
        </w:rPr>
        <w:t>（2）诚信投标承诺书</w:t>
      </w:r>
      <w:bookmarkEnd w:id="910"/>
      <w:bookmarkEnd w:id="911"/>
      <w:bookmarkEnd w:id="912"/>
    </w:p>
    <w:p w14:paraId="4F449F9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szCs w:val="21"/>
          <w:highlight w:val="none"/>
        </w:rPr>
      </w:pPr>
      <w:r>
        <w:rPr>
          <w:rFonts w:hint="eastAsia" w:ascii="宋体" w:hAnsi="宋体"/>
          <w:szCs w:val="21"/>
          <w:highlight w:val="none"/>
        </w:rPr>
        <w:t>本人以企业法定代表人的身份郑重承诺：</w:t>
      </w:r>
    </w:p>
    <w:p w14:paraId="65F7576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一、将遵循公开、公正和诚实信用的原则自愿参加</w:t>
      </w:r>
      <w:r>
        <w:rPr>
          <w:rFonts w:hint="eastAsia" w:ascii="宋体" w:hAnsi="宋体"/>
          <w:szCs w:val="21"/>
          <w:highlight w:val="none"/>
          <w:u w:val="single"/>
        </w:rPr>
        <w:t xml:space="preserve">       （项目名称）        </w:t>
      </w:r>
      <w:r>
        <w:rPr>
          <w:rFonts w:hint="eastAsia" w:ascii="宋体" w:hAnsi="宋体"/>
          <w:szCs w:val="21"/>
          <w:highlight w:val="none"/>
        </w:rPr>
        <w:t>项目的投标；</w:t>
      </w:r>
    </w:p>
    <w:p w14:paraId="01C34A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二、所提供的一切材料都是真实、有效、合法的；</w:t>
      </w:r>
    </w:p>
    <w:p w14:paraId="72E8418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三、不出借、转让资质证书，不让他人挂靠投标，不以他人名义投标或者以其他方式弄虚作假，骗取中标；</w:t>
      </w:r>
    </w:p>
    <w:p w14:paraId="12874A6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四、不与其他投标人相互串通投标报价，不排挤其他投标人的公平竞争、损害招标人的合法权益；</w:t>
      </w:r>
    </w:p>
    <w:p w14:paraId="5E82D77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五、不与招标人、招标代理机构或其他投标人串通投标，损害国家利益、社会公共利益或者他人的合法权益；</w:t>
      </w:r>
    </w:p>
    <w:p w14:paraId="394C33C1">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六、</w:t>
      </w:r>
      <w:r>
        <w:rPr>
          <w:rFonts w:hint="eastAsia" w:ascii="宋体" w:hAnsi="宋体" w:eastAsia="宋体" w:cs="Times New Roman"/>
          <w:szCs w:val="21"/>
          <w:highlight w:val="none"/>
          <w:lang w:eastAsia="zh-CN"/>
        </w:rPr>
        <w:t>我公司</w:t>
      </w:r>
      <w:r>
        <w:rPr>
          <w:rFonts w:hint="eastAsia" w:ascii="宋体" w:hAnsi="宋体" w:eastAsia="宋体" w:cs="Times New Roman"/>
          <w:szCs w:val="21"/>
          <w:highlight w:val="none"/>
        </w:rPr>
        <w:t>没有下列情形：</w:t>
      </w:r>
      <w:bookmarkStart w:id="913" w:name="OLE_LINK133"/>
      <w:bookmarkStart w:id="914" w:name="OLE_LINK134"/>
      <w:r>
        <w:rPr>
          <w:rFonts w:hint="eastAsia" w:ascii="宋体" w:hAnsi="宋体" w:eastAsia="宋体" w:cs="Times New Roman"/>
          <w:szCs w:val="21"/>
          <w:highlight w:val="none"/>
        </w:rPr>
        <w:t>①被列入“信用中国”网站“失信被执行人”的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②被列入“信用中国”网站“重大税收违法失信主体”的；③被列入“信用中国”网站“拖欠农民工工资失信联合惩戒对象名单”的；④被列入“信用中国”网站“</w:t>
      </w:r>
      <w:r>
        <w:rPr>
          <w:rFonts w:hint="eastAsia" w:ascii="宋体" w:hAnsi="宋体" w:eastAsia="宋体" w:cs="Times New Roman"/>
          <w:szCs w:val="21"/>
          <w:highlight w:val="none"/>
          <w:lang w:eastAsia="zh-CN"/>
        </w:rPr>
        <w:t>安全生产严重失信主体名单</w:t>
      </w:r>
      <w:r>
        <w:rPr>
          <w:rFonts w:hint="eastAsia" w:ascii="宋体" w:hAnsi="宋体" w:eastAsia="宋体" w:cs="Times New Roman"/>
          <w:szCs w:val="21"/>
          <w:highlight w:val="none"/>
        </w:rPr>
        <w:t>”的；⑤被列入国家企业信用信息公示系统网站“严重违法失信名单”的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w:t>
      </w:r>
      <w:bookmarkEnd w:id="913"/>
      <w:bookmarkEnd w:id="914"/>
      <w:r>
        <w:rPr>
          <w:rFonts w:hint="eastAsia" w:ascii="宋体" w:hAnsi="宋体" w:eastAsia="宋体" w:cs="Times New Roman"/>
          <w:szCs w:val="21"/>
          <w:highlight w:val="none"/>
        </w:rPr>
        <w:t>若招标文件对投标人（包括联合体各成员）所属分公司、办事处等分支机构有上述1-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项信誉要求，在此一并承诺我公司（包括联合体各成员）所属分公司、办事处等分支机构没有上述1-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项情形）</w:t>
      </w:r>
    </w:p>
    <w:p w14:paraId="007134E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七</w:t>
      </w:r>
      <w:r>
        <w:rPr>
          <w:rFonts w:hint="eastAsia" w:ascii="宋体" w:hAnsi="宋体"/>
          <w:szCs w:val="21"/>
          <w:highlight w:val="none"/>
        </w:rPr>
        <w:t>、保证中标后不转包及使用挂靠队伍，若有分包征得建设单位同意；</w:t>
      </w:r>
    </w:p>
    <w:p w14:paraId="63C6B49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八、保证中标之后，按照投标文件承诺派驻管理人员及投入机械设备，如有违反，同意接受建设单位违约处罚；</w:t>
      </w:r>
    </w:p>
    <w:p w14:paraId="775E18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九</w:t>
      </w:r>
      <w:r>
        <w:rPr>
          <w:rFonts w:hint="eastAsia" w:ascii="宋体" w:hAnsi="宋体"/>
          <w:szCs w:val="21"/>
          <w:highlight w:val="none"/>
        </w:rPr>
        <w:t>、保证企业及所属相关人员在本次投标中无行贿等犯罪行为；</w:t>
      </w:r>
    </w:p>
    <w:p w14:paraId="3DF19E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3E2175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w:t>
      </w:r>
      <w:r>
        <w:rPr>
          <w:rFonts w:hint="eastAsia" w:ascii="宋体" w:hAnsi="宋体"/>
          <w:szCs w:val="21"/>
          <w:highlight w:val="none"/>
          <w:lang w:val="en-US" w:eastAsia="zh-CN"/>
        </w:rPr>
        <w:t>一</w:t>
      </w:r>
      <w:r>
        <w:rPr>
          <w:rFonts w:hint="eastAsia" w:ascii="宋体" w:hAnsi="宋体"/>
          <w:szCs w:val="21"/>
          <w:highlight w:val="none"/>
        </w:rPr>
        <w:t>、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437149D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以上内容我已仔细阅读，本公司若有违反承诺内容的行为，自愿接受取消投标或者中标资格、记入不良行为记录、投标保证金不予退还等有关处理，愿意承担法律责任，给招标人造成损失的，依法承担赔偿责任。</w:t>
      </w:r>
    </w:p>
    <w:p w14:paraId="53E84A0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p>
    <w:p w14:paraId="635156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开户银行：                          基本账户：</w:t>
      </w:r>
    </w:p>
    <w:p w14:paraId="5608ECA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投标人（盖章）：              法定代表人（签字或</w:t>
      </w:r>
      <w:r>
        <w:rPr>
          <w:rFonts w:hint="eastAsia" w:ascii="宋体" w:hAnsi="宋体"/>
          <w:szCs w:val="21"/>
          <w:highlight w:val="none"/>
          <w:lang w:val="en-US" w:eastAsia="zh-CN"/>
        </w:rPr>
        <w:t>盖</w:t>
      </w:r>
      <w:r>
        <w:rPr>
          <w:rFonts w:hint="eastAsia" w:ascii="宋体" w:hAnsi="宋体"/>
          <w:szCs w:val="21"/>
          <w:highlight w:val="none"/>
        </w:rPr>
        <w:t>章）：</w:t>
      </w:r>
    </w:p>
    <w:p w14:paraId="71174728">
      <w:pPr>
        <w:keepNext w:val="0"/>
        <w:keepLines w:val="0"/>
        <w:pageBreakBefore w:val="0"/>
        <w:widowControl w:val="0"/>
        <w:kinsoku/>
        <w:wordWrap/>
        <w:overflowPunct/>
        <w:topLinePunct w:val="0"/>
        <w:autoSpaceDE/>
        <w:autoSpaceDN/>
        <w:bidi w:val="0"/>
        <w:adjustRightInd/>
        <w:snapToGrid/>
        <w:spacing w:line="360" w:lineRule="exact"/>
        <w:ind w:firstLine="5250" w:firstLineChars="2500"/>
        <w:textAlignment w:val="auto"/>
        <w:rPr>
          <w:rFonts w:hint="eastAsia" w:ascii="宋体" w:hAnsi="宋体"/>
          <w:szCs w:val="21"/>
          <w:highlight w:val="none"/>
        </w:rPr>
      </w:pPr>
      <w:r>
        <w:rPr>
          <w:rFonts w:hint="eastAsia" w:ascii="宋体" w:hAnsi="宋体"/>
          <w:szCs w:val="21"/>
          <w:highlight w:val="none"/>
        </w:rPr>
        <w:t>日期：    年   月   日</w:t>
      </w:r>
    </w:p>
    <w:p w14:paraId="3617905E">
      <w:pPr>
        <w:rPr>
          <w:rFonts w:hint="eastAsia" w:ascii="宋体" w:hAnsi="宋体"/>
          <w:szCs w:val="21"/>
          <w:highlight w:val="none"/>
        </w:rPr>
      </w:pPr>
      <w:r>
        <w:rPr>
          <w:rFonts w:hint="eastAsia" w:ascii="宋体" w:hAnsi="宋体"/>
          <w:szCs w:val="21"/>
          <w:highlight w:val="none"/>
        </w:rPr>
        <w:br w:type="page"/>
      </w:r>
    </w:p>
    <w:p w14:paraId="7CE77392">
      <w:pPr>
        <w:keepNext/>
        <w:keepLines/>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b/>
          <w:bCs/>
          <w:sz w:val="28"/>
          <w:szCs w:val="28"/>
          <w:highlight w:val="none"/>
          <w:lang w:eastAsia="zh-CN"/>
        </w:rPr>
      </w:pPr>
    </w:p>
    <w:p w14:paraId="2BCAD308">
      <w:pPr>
        <w:keepNext/>
        <w:keepLines/>
        <w:pageBreakBefore w:val="0"/>
        <w:widowControl w:val="0"/>
        <w:kinsoku/>
        <w:wordWrap/>
        <w:overflowPunct/>
        <w:topLinePunct w:val="0"/>
        <w:autoSpaceDE/>
        <w:autoSpaceDN/>
        <w:bidi w:val="0"/>
        <w:adjustRightInd/>
        <w:snapToGrid/>
        <w:spacing w:line="360" w:lineRule="auto"/>
        <w:jc w:val="center"/>
        <w:textAlignment w:val="auto"/>
        <w:outlineLvl w:val="2"/>
        <w:rPr>
          <w:b/>
          <w:bCs/>
          <w:sz w:val="28"/>
          <w:szCs w:val="28"/>
          <w:highlight w:val="none"/>
        </w:rPr>
      </w:pPr>
      <w:r>
        <w:rPr>
          <w:rFonts w:hint="eastAsia"/>
          <w:b/>
          <w:bCs/>
          <w:sz w:val="28"/>
          <w:szCs w:val="28"/>
          <w:highlight w:val="none"/>
          <w:lang w:eastAsia="zh-CN"/>
        </w:rPr>
        <w:t>（</w:t>
      </w:r>
      <w:r>
        <w:rPr>
          <w:rFonts w:hint="eastAsia"/>
          <w:b/>
          <w:bCs/>
          <w:sz w:val="28"/>
          <w:szCs w:val="28"/>
          <w:highlight w:val="none"/>
          <w:lang w:val="en-US" w:eastAsia="zh-CN"/>
        </w:rPr>
        <w:t>3）</w:t>
      </w:r>
      <w:r>
        <w:rPr>
          <w:rFonts w:hint="eastAsia"/>
          <w:b/>
          <w:bCs/>
          <w:sz w:val="28"/>
          <w:szCs w:val="28"/>
          <w:highlight w:val="none"/>
        </w:rPr>
        <w:t>服务承诺书</w:t>
      </w:r>
    </w:p>
    <w:p w14:paraId="1D12B5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
          <w:color w:val="000000"/>
          <w:sz w:val="24"/>
          <w:highlight w:val="none"/>
        </w:rPr>
      </w:pPr>
      <w:r>
        <w:rPr>
          <w:rFonts w:hint="eastAsia" w:ascii="宋体" w:hAnsi="宋体"/>
          <w:color w:val="000000"/>
          <w:sz w:val="24"/>
          <w:highlight w:val="none"/>
        </w:rPr>
        <w:t>致：</w:t>
      </w:r>
      <w:r>
        <w:rPr>
          <w:rFonts w:hint="eastAsia" w:ascii="宋体" w:hAnsi="宋体"/>
          <w:color w:val="000000"/>
          <w:sz w:val="24"/>
          <w:highlight w:val="none"/>
          <w:u w:val="single"/>
        </w:rPr>
        <w:t xml:space="preserve">          （招标人）     ：</w:t>
      </w:r>
    </w:p>
    <w:p w14:paraId="316BC5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000000"/>
          <w:sz w:val="24"/>
          <w:highlight w:val="none"/>
          <w:lang w:val="en-US" w:eastAsia="zh-CN"/>
        </w:rPr>
      </w:pPr>
      <w:r>
        <w:rPr>
          <w:rFonts w:hint="eastAsia" w:ascii="宋体" w:hAnsi="宋体"/>
          <w:color w:val="000000"/>
          <w:sz w:val="24"/>
          <w:highlight w:val="none"/>
        </w:rPr>
        <w:t>本承诺声明：（投标人名称</w:t>
      </w:r>
      <w:r>
        <w:rPr>
          <w:rFonts w:hint="eastAsia" w:ascii="宋体" w:hAnsi="宋体"/>
          <w:color w:val="000000"/>
          <w:sz w:val="24"/>
          <w:highlight w:val="none"/>
          <w:lang w:eastAsia="zh-CN"/>
        </w:rPr>
        <w:t>）</w:t>
      </w:r>
      <w:r>
        <w:rPr>
          <w:rFonts w:hint="eastAsia" w:ascii="宋体" w:hAnsi="宋体"/>
          <w:color w:val="000000"/>
          <w:sz w:val="24"/>
          <w:highlight w:val="none"/>
        </w:rPr>
        <w:t>对本招标文件所有要求完全响应</w:t>
      </w:r>
      <w:r>
        <w:rPr>
          <w:rFonts w:hint="eastAsia" w:ascii="宋体" w:hAnsi="宋体"/>
          <w:color w:val="000000"/>
          <w:sz w:val="24"/>
          <w:highlight w:val="none"/>
          <w:lang w:eastAsia="zh-CN"/>
        </w:rPr>
        <w:t>，</w:t>
      </w:r>
      <w:r>
        <w:rPr>
          <w:rFonts w:hint="eastAsia" w:ascii="宋体" w:hAnsi="宋体"/>
          <w:color w:val="000000"/>
          <w:sz w:val="24"/>
          <w:highlight w:val="none"/>
        </w:rPr>
        <w:t>若有幸中标将严格按照以上承诺进行服务。</w:t>
      </w:r>
      <w:r>
        <w:rPr>
          <w:rFonts w:hint="eastAsia" w:ascii="宋体" w:hAnsi="宋体"/>
          <w:color w:val="000000"/>
          <w:sz w:val="24"/>
          <w:highlight w:val="none"/>
          <w:lang w:val="en-US" w:eastAsia="zh-CN"/>
        </w:rPr>
        <w:t>若发现有偏离且不能按招标人要求调整的，招标人有权终止合同重新招标，我方承担因此产生的所有经济及工期责任。</w:t>
      </w:r>
    </w:p>
    <w:p w14:paraId="41CF2A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highlight w:val="none"/>
          <w:lang w:eastAsia="zh-CN"/>
        </w:rPr>
      </w:pPr>
      <w:r>
        <w:rPr>
          <w:rFonts w:hint="eastAsia" w:ascii="宋体" w:hAnsi="宋体"/>
          <w:color w:val="000000"/>
          <w:sz w:val="24"/>
          <w:highlight w:val="none"/>
        </w:rPr>
        <w:t>特此声明</w:t>
      </w:r>
      <w:r>
        <w:rPr>
          <w:rFonts w:hint="eastAsia" w:ascii="宋体" w:hAnsi="宋体"/>
          <w:color w:val="000000"/>
          <w:sz w:val="24"/>
          <w:highlight w:val="none"/>
          <w:lang w:eastAsia="zh-CN"/>
        </w:rPr>
        <w:t>。</w:t>
      </w:r>
    </w:p>
    <w:p w14:paraId="23FD6E7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w:t>
      </w:r>
    </w:p>
    <w:p w14:paraId="7D89124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xml:space="preserve">                                    法定代表人：</w:t>
      </w:r>
      <w:r>
        <w:rPr>
          <w:rFonts w:hint="eastAsia" w:ascii="宋体" w:hAnsi="宋体"/>
          <w:color w:val="000000"/>
          <w:sz w:val="24"/>
          <w:highlight w:val="none"/>
          <w:u w:val="single"/>
        </w:rPr>
        <w:t xml:space="preserve">          （签字或签章）       </w:t>
      </w:r>
    </w:p>
    <w:p w14:paraId="32130CE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u w:val="single"/>
        </w:rPr>
      </w:pPr>
      <w:r>
        <w:rPr>
          <w:rFonts w:hint="eastAsia" w:ascii="宋体" w:hAnsi="宋体"/>
          <w:color w:val="000000"/>
          <w:sz w:val="24"/>
          <w:highlight w:val="none"/>
        </w:rPr>
        <w:t xml:space="preserve">                                     </w:t>
      </w:r>
    </w:p>
    <w:p w14:paraId="74F2F4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sz w:val="24"/>
          <w:highlight w:val="none"/>
          <w:u w:val="single"/>
        </w:rPr>
      </w:pPr>
      <w:r>
        <w:rPr>
          <w:rFonts w:hint="eastAsia" w:ascii="宋体" w:hAnsi="宋体"/>
          <w:color w:val="000000"/>
          <w:sz w:val="24"/>
          <w:highlight w:val="none"/>
        </w:rPr>
        <w:t xml:space="preserve">                                    投标单位名称：</w:t>
      </w:r>
      <w:r>
        <w:rPr>
          <w:rFonts w:hint="eastAsia" w:ascii="宋体" w:hAnsi="宋体"/>
          <w:color w:val="000000"/>
          <w:sz w:val="24"/>
          <w:highlight w:val="none"/>
          <w:u w:val="single"/>
        </w:rPr>
        <w:t xml:space="preserve">        （盖章）    </w:t>
      </w:r>
    </w:p>
    <w:p w14:paraId="025AD2B8">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rPr>
      </w:pPr>
    </w:p>
    <w:p w14:paraId="609C27D4">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52EBBB3E">
      <w:pPr>
        <w:spacing w:line="400" w:lineRule="exact"/>
        <w:ind w:firstLine="482" w:firstLineChars="200"/>
        <w:rPr>
          <w:rFonts w:ascii="宋体" w:hAnsi="宋体"/>
          <w:b/>
          <w:color w:val="000000"/>
          <w:sz w:val="24"/>
          <w:highlight w:val="none"/>
        </w:rPr>
      </w:pPr>
    </w:p>
    <w:p w14:paraId="216D8F5D">
      <w:pPr>
        <w:pStyle w:val="14"/>
      </w:pPr>
    </w:p>
    <w:p w14:paraId="364DDAFB">
      <w:pPr>
        <w:rPr>
          <w:rFonts w:eastAsia="黑体"/>
          <w:sz w:val="28"/>
          <w:szCs w:val="28"/>
          <w:highlight w:val="none"/>
          <w:u w:val="single"/>
        </w:rPr>
      </w:pPr>
      <w:r>
        <w:rPr>
          <w:rFonts w:hint="eastAsia" w:ascii="宋体" w:hAnsi="宋体"/>
          <w:b/>
          <w:sz w:val="32"/>
          <w:szCs w:val="32"/>
          <w:highlight w:val="none"/>
        </w:rPr>
        <w:br w:type="page"/>
      </w:r>
    </w:p>
    <w:p w14:paraId="53EA3DAC">
      <w:pPr>
        <w:jc w:val="center"/>
        <w:rPr>
          <w:rFonts w:eastAsia="黑体"/>
          <w:sz w:val="28"/>
          <w:szCs w:val="28"/>
          <w:highlight w:val="none"/>
        </w:rPr>
      </w:pPr>
    </w:p>
    <w:p w14:paraId="1AD168EA">
      <w:pPr>
        <w:jc w:val="center"/>
        <w:rPr>
          <w:rFonts w:eastAsia="黑体"/>
          <w:sz w:val="28"/>
          <w:szCs w:val="28"/>
          <w:highlight w:val="none"/>
        </w:rPr>
      </w:pPr>
    </w:p>
    <w:p w14:paraId="20447F5C">
      <w:pPr>
        <w:jc w:val="center"/>
        <w:rPr>
          <w:rFonts w:eastAsia="黑体"/>
          <w:sz w:val="20"/>
          <w:szCs w:val="20"/>
          <w:highlight w:val="none"/>
        </w:rPr>
      </w:pPr>
      <w:r>
        <w:rPr>
          <w:rFonts w:eastAsia="黑体"/>
          <w:sz w:val="28"/>
          <w:szCs w:val="28"/>
          <w:highlight w:val="none"/>
        </w:rPr>
        <w:t>（项目名称）</w:t>
      </w:r>
    </w:p>
    <w:p w14:paraId="66B855F2">
      <w:pPr>
        <w:jc w:val="center"/>
        <w:rPr>
          <w:rFonts w:eastAsia="黑体"/>
          <w:sz w:val="20"/>
          <w:szCs w:val="20"/>
          <w:highlight w:val="none"/>
        </w:rPr>
      </w:pPr>
    </w:p>
    <w:p w14:paraId="792DB5BC">
      <w:pPr>
        <w:rPr>
          <w:rFonts w:eastAsia="黑体"/>
          <w:sz w:val="20"/>
          <w:szCs w:val="20"/>
          <w:highlight w:val="none"/>
        </w:rPr>
      </w:pPr>
    </w:p>
    <w:p w14:paraId="60025CC7">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二</w:t>
      </w:r>
    </w:p>
    <w:p w14:paraId="11881936">
      <w:pPr>
        <w:jc w:val="center"/>
        <w:rPr>
          <w:rFonts w:eastAsia="黑体"/>
          <w:sz w:val="44"/>
          <w:szCs w:val="44"/>
          <w:highlight w:val="none"/>
        </w:rPr>
      </w:pPr>
      <w:r>
        <w:rPr>
          <w:rFonts w:hint="eastAsia" w:eastAsia="黑体"/>
          <w:sz w:val="44"/>
          <w:szCs w:val="44"/>
          <w:highlight w:val="none"/>
        </w:rPr>
        <w:t>（技术标文件）</w:t>
      </w:r>
    </w:p>
    <w:p w14:paraId="78C47936">
      <w:pPr>
        <w:rPr>
          <w:rFonts w:eastAsia="黑体"/>
          <w:sz w:val="28"/>
          <w:szCs w:val="28"/>
          <w:highlight w:val="none"/>
        </w:rPr>
      </w:pPr>
    </w:p>
    <w:p w14:paraId="13EF90FD">
      <w:pPr>
        <w:rPr>
          <w:rFonts w:eastAsia="黑体"/>
          <w:sz w:val="28"/>
          <w:szCs w:val="28"/>
          <w:highlight w:val="none"/>
        </w:rPr>
      </w:pPr>
    </w:p>
    <w:p w14:paraId="4307D5B0">
      <w:pPr>
        <w:rPr>
          <w:rFonts w:eastAsia="黑体"/>
          <w:sz w:val="28"/>
          <w:szCs w:val="28"/>
          <w:highlight w:val="none"/>
        </w:rPr>
      </w:pPr>
    </w:p>
    <w:p w14:paraId="6B2C05F0">
      <w:pPr>
        <w:pStyle w:val="14"/>
        <w:ind w:firstLine="560"/>
        <w:rPr>
          <w:rFonts w:eastAsia="黑体"/>
          <w:sz w:val="28"/>
          <w:szCs w:val="28"/>
          <w:highlight w:val="none"/>
        </w:rPr>
      </w:pPr>
    </w:p>
    <w:p w14:paraId="1D0BEC5C">
      <w:pPr>
        <w:rPr>
          <w:rFonts w:eastAsia="黑体"/>
          <w:sz w:val="28"/>
          <w:szCs w:val="28"/>
          <w:highlight w:val="none"/>
        </w:rPr>
      </w:pPr>
    </w:p>
    <w:p w14:paraId="28D93157">
      <w:pPr>
        <w:pStyle w:val="14"/>
        <w:ind w:firstLine="560"/>
        <w:rPr>
          <w:rFonts w:eastAsia="黑体"/>
          <w:sz w:val="28"/>
          <w:szCs w:val="28"/>
          <w:highlight w:val="none"/>
        </w:rPr>
      </w:pPr>
    </w:p>
    <w:p w14:paraId="1FFAD3CF">
      <w:pPr>
        <w:rPr>
          <w:highlight w:val="none"/>
        </w:rPr>
      </w:pPr>
    </w:p>
    <w:p w14:paraId="0D2C3844">
      <w:pPr>
        <w:rPr>
          <w:rFonts w:eastAsia="黑体"/>
          <w:sz w:val="28"/>
          <w:szCs w:val="28"/>
          <w:highlight w:val="none"/>
        </w:rPr>
      </w:pPr>
    </w:p>
    <w:p w14:paraId="3D9426D8">
      <w:pPr>
        <w:rPr>
          <w:rFonts w:eastAsia="黑体"/>
          <w:sz w:val="28"/>
          <w:szCs w:val="28"/>
          <w:highlight w:val="none"/>
        </w:rPr>
      </w:pPr>
    </w:p>
    <w:p w14:paraId="21A6EBE5">
      <w:pPr>
        <w:rPr>
          <w:rFonts w:eastAsia="黑体"/>
          <w:sz w:val="28"/>
          <w:szCs w:val="28"/>
          <w:highlight w:val="none"/>
        </w:rPr>
      </w:pPr>
    </w:p>
    <w:p w14:paraId="02F825C3">
      <w:pPr>
        <w:rPr>
          <w:rFonts w:eastAsia="黑体"/>
          <w:sz w:val="28"/>
          <w:szCs w:val="28"/>
          <w:highlight w:val="none"/>
        </w:rPr>
      </w:pPr>
    </w:p>
    <w:p w14:paraId="65C29CBB">
      <w:pPr>
        <w:rPr>
          <w:rFonts w:eastAsia="黑体"/>
          <w:sz w:val="28"/>
          <w:szCs w:val="28"/>
          <w:highlight w:val="none"/>
        </w:rPr>
      </w:pPr>
    </w:p>
    <w:p w14:paraId="10883D19">
      <w:pPr>
        <w:jc w:val="center"/>
        <w:rPr>
          <w:rFonts w:eastAsia="黑体"/>
          <w:sz w:val="28"/>
          <w:szCs w:val="28"/>
          <w:u w:val="single"/>
        </w:rPr>
      </w:pPr>
      <w:bookmarkStart w:id="915" w:name="_Toc3395"/>
      <w:bookmarkStart w:id="916" w:name="_Toc35424972"/>
      <w:bookmarkStart w:id="917" w:name="_Toc35425138"/>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3B6C62B9">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1FCEEEFE">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01D43AA9">
      <w:pPr>
        <w:spacing w:line="540" w:lineRule="exact"/>
        <w:rPr>
          <w:rStyle w:val="120"/>
          <w:rFonts w:ascii="宋体" w:hAnsi="宋体" w:cs="宋体"/>
          <w:sz w:val="32"/>
          <w:highlight w:val="none"/>
        </w:rPr>
      </w:pPr>
    </w:p>
    <w:p w14:paraId="43AB31C5">
      <w:pPr>
        <w:spacing w:beforeLines="50" w:afterLines="50" w:line="440" w:lineRule="exact"/>
        <w:ind w:firstLine="643" w:firstLineChars="200"/>
        <w:jc w:val="left"/>
        <w:rPr>
          <w:rStyle w:val="120"/>
          <w:rFonts w:ascii="宋体" w:hAnsi="宋体" w:cs="宋体"/>
          <w:sz w:val="32"/>
          <w:highlight w:val="none"/>
        </w:rPr>
      </w:pPr>
      <w:bookmarkStart w:id="918" w:name="_Toc78803400"/>
      <w:r>
        <w:rPr>
          <w:rStyle w:val="120"/>
          <w:rFonts w:hint="eastAsia" w:ascii="宋体" w:hAnsi="宋体" w:cs="宋体"/>
          <w:sz w:val="32"/>
          <w:highlight w:val="none"/>
        </w:rPr>
        <w:br w:type="page"/>
      </w:r>
      <w:r>
        <w:rPr>
          <w:rStyle w:val="120"/>
          <w:rFonts w:hint="eastAsia" w:ascii="宋体" w:hAnsi="宋体" w:cs="宋体"/>
          <w:sz w:val="32"/>
          <w:highlight w:val="none"/>
        </w:rPr>
        <w:t>投标文件二</w:t>
      </w:r>
      <w:bookmarkEnd w:id="915"/>
      <w:bookmarkEnd w:id="916"/>
      <w:bookmarkEnd w:id="917"/>
      <w:r>
        <w:rPr>
          <w:rStyle w:val="120"/>
          <w:rFonts w:hint="eastAsia" w:ascii="宋体" w:hAnsi="宋体" w:cs="宋体"/>
          <w:sz w:val="32"/>
          <w:highlight w:val="none"/>
        </w:rPr>
        <w:t>：技术标目录</w:t>
      </w:r>
      <w:bookmarkEnd w:id="918"/>
    </w:p>
    <w:p w14:paraId="69C85CB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（1）检测实施组织计划；</w:t>
      </w:r>
    </w:p>
    <w:p w14:paraId="4E9828D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（2）检测和试验质量保障方案。</w:t>
      </w:r>
    </w:p>
    <w:p w14:paraId="7E4500DC">
      <w:pPr>
        <w:spacing w:line="360" w:lineRule="auto"/>
        <w:ind w:firstLine="420" w:firstLineChars="200"/>
        <w:rPr>
          <w:rFonts w:ascii="宋体" w:hAnsi="宋体"/>
          <w:szCs w:val="21"/>
          <w:highlight w:val="none"/>
        </w:rPr>
      </w:pPr>
    </w:p>
    <w:p w14:paraId="69D4CBBC">
      <w:pPr>
        <w:rPr>
          <w:highlight w:val="none"/>
        </w:rPr>
      </w:pPr>
    </w:p>
    <w:p w14:paraId="21D31989">
      <w:pPr>
        <w:rPr>
          <w:highlight w:val="none"/>
        </w:rPr>
      </w:pPr>
    </w:p>
    <w:p w14:paraId="213E9083">
      <w:pPr>
        <w:pStyle w:val="30"/>
        <w:rPr>
          <w:highlight w:val="none"/>
        </w:rPr>
      </w:pPr>
      <w:r>
        <w:rPr>
          <w:highlight w:val="none"/>
        </w:rPr>
        <w:br w:type="page"/>
      </w:r>
    </w:p>
    <w:p w14:paraId="7E41CCC7">
      <w:pPr>
        <w:rPr>
          <w:highlight w:val="none"/>
        </w:rPr>
      </w:pPr>
    </w:p>
    <w:p w14:paraId="52F921F7">
      <w:pPr>
        <w:jc w:val="center"/>
        <w:rPr>
          <w:rFonts w:eastAsia="黑体"/>
          <w:sz w:val="20"/>
          <w:szCs w:val="20"/>
          <w:highlight w:val="none"/>
        </w:rPr>
      </w:pPr>
      <w:r>
        <w:rPr>
          <w:rFonts w:eastAsia="黑体"/>
          <w:sz w:val="28"/>
          <w:szCs w:val="28"/>
          <w:highlight w:val="none"/>
        </w:rPr>
        <w:t>（项目名称）</w:t>
      </w:r>
    </w:p>
    <w:p w14:paraId="1CB3AF7F">
      <w:pPr>
        <w:jc w:val="center"/>
        <w:rPr>
          <w:rFonts w:eastAsia="黑体"/>
          <w:sz w:val="20"/>
          <w:szCs w:val="20"/>
          <w:highlight w:val="none"/>
        </w:rPr>
      </w:pPr>
    </w:p>
    <w:p w14:paraId="7F67D925">
      <w:pPr>
        <w:rPr>
          <w:rFonts w:eastAsia="黑体"/>
          <w:sz w:val="20"/>
          <w:szCs w:val="20"/>
          <w:highlight w:val="none"/>
        </w:rPr>
      </w:pPr>
    </w:p>
    <w:p w14:paraId="5AE9D7EA">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三</w:t>
      </w:r>
    </w:p>
    <w:p w14:paraId="4D9A83AD">
      <w:pPr>
        <w:jc w:val="center"/>
        <w:rPr>
          <w:rFonts w:eastAsia="黑体"/>
          <w:sz w:val="44"/>
          <w:szCs w:val="44"/>
          <w:highlight w:val="none"/>
        </w:rPr>
      </w:pPr>
      <w:r>
        <w:rPr>
          <w:rFonts w:hint="eastAsia" w:eastAsia="黑体"/>
          <w:sz w:val="44"/>
          <w:szCs w:val="44"/>
          <w:highlight w:val="none"/>
        </w:rPr>
        <w:t>（商务标文件）</w:t>
      </w:r>
    </w:p>
    <w:p w14:paraId="00AD4571">
      <w:pPr>
        <w:rPr>
          <w:rFonts w:eastAsia="黑体"/>
          <w:sz w:val="28"/>
          <w:szCs w:val="28"/>
          <w:highlight w:val="none"/>
        </w:rPr>
      </w:pPr>
    </w:p>
    <w:p w14:paraId="03FF9373">
      <w:pPr>
        <w:rPr>
          <w:rFonts w:eastAsia="黑体"/>
          <w:sz w:val="28"/>
          <w:szCs w:val="28"/>
          <w:highlight w:val="none"/>
        </w:rPr>
      </w:pPr>
    </w:p>
    <w:p w14:paraId="6F4198FD">
      <w:pPr>
        <w:rPr>
          <w:rFonts w:eastAsia="黑体"/>
          <w:sz w:val="28"/>
          <w:szCs w:val="28"/>
          <w:highlight w:val="none"/>
        </w:rPr>
      </w:pPr>
    </w:p>
    <w:p w14:paraId="18D553B1">
      <w:pPr>
        <w:rPr>
          <w:rFonts w:eastAsia="黑体"/>
          <w:sz w:val="28"/>
          <w:szCs w:val="28"/>
          <w:highlight w:val="none"/>
        </w:rPr>
      </w:pPr>
    </w:p>
    <w:p w14:paraId="0E5FE50F">
      <w:pPr>
        <w:rPr>
          <w:rFonts w:eastAsia="黑体"/>
          <w:sz w:val="28"/>
          <w:szCs w:val="28"/>
          <w:highlight w:val="none"/>
        </w:rPr>
      </w:pPr>
    </w:p>
    <w:p w14:paraId="74AFA9E2">
      <w:pPr>
        <w:rPr>
          <w:rFonts w:eastAsia="黑体"/>
          <w:sz w:val="28"/>
          <w:szCs w:val="28"/>
          <w:highlight w:val="none"/>
        </w:rPr>
      </w:pPr>
    </w:p>
    <w:p w14:paraId="078AB10D">
      <w:pPr>
        <w:rPr>
          <w:rFonts w:eastAsia="黑体"/>
          <w:sz w:val="28"/>
          <w:szCs w:val="28"/>
          <w:highlight w:val="none"/>
        </w:rPr>
      </w:pPr>
    </w:p>
    <w:p w14:paraId="5C03182B">
      <w:pPr>
        <w:rPr>
          <w:rFonts w:eastAsia="黑体"/>
          <w:sz w:val="28"/>
          <w:szCs w:val="28"/>
          <w:highlight w:val="none"/>
        </w:rPr>
      </w:pPr>
    </w:p>
    <w:p w14:paraId="50FB798D">
      <w:pPr>
        <w:rPr>
          <w:rFonts w:eastAsia="黑体"/>
          <w:sz w:val="28"/>
          <w:szCs w:val="28"/>
          <w:highlight w:val="none"/>
        </w:rPr>
      </w:pPr>
    </w:p>
    <w:p w14:paraId="0682BFC9">
      <w:pPr>
        <w:rPr>
          <w:rFonts w:eastAsia="黑体"/>
          <w:sz w:val="28"/>
          <w:szCs w:val="28"/>
          <w:highlight w:val="none"/>
        </w:rPr>
      </w:pPr>
    </w:p>
    <w:p w14:paraId="68117E32">
      <w:pPr>
        <w:rPr>
          <w:rFonts w:eastAsia="黑体"/>
          <w:sz w:val="28"/>
          <w:szCs w:val="28"/>
          <w:highlight w:val="none"/>
        </w:rPr>
      </w:pPr>
    </w:p>
    <w:p w14:paraId="038F9E36">
      <w:pPr>
        <w:jc w:val="center"/>
        <w:rPr>
          <w:rFonts w:eastAsia="黑体"/>
          <w:sz w:val="28"/>
          <w:szCs w:val="28"/>
          <w:u w:val="single"/>
        </w:rPr>
      </w:pPr>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4CAB06D8">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350C1BB2">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2EE77B13">
      <w:pPr>
        <w:rPr>
          <w:highlight w:val="none"/>
        </w:rPr>
      </w:pPr>
    </w:p>
    <w:p w14:paraId="2F4494A4">
      <w:pPr>
        <w:pStyle w:val="14"/>
        <w:ind w:firstLine="420"/>
        <w:rPr>
          <w:highlight w:val="none"/>
        </w:rPr>
      </w:pPr>
    </w:p>
    <w:p w14:paraId="3AB72A24">
      <w:pPr>
        <w:rPr>
          <w:highlight w:val="none"/>
        </w:rPr>
      </w:pPr>
    </w:p>
    <w:p w14:paraId="60A767E1">
      <w:pPr>
        <w:spacing w:beforeLines="50" w:afterLines="50" w:line="440" w:lineRule="exact"/>
        <w:ind w:firstLine="643" w:firstLineChars="200"/>
        <w:jc w:val="left"/>
        <w:rPr>
          <w:rStyle w:val="120"/>
          <w:rFonts w:ascii="宋体" w:hAnsi="宋体" w:cs="宋体"/>
          <w:sz w:val="32"/>
          <w:highlight w:val="none"/>
        </w:rPr>
      </w:pPr>
      <w:bookmarkStart w:id="919" w:name="_Toc19174"/>
      <w:bookmarkStart w:id="920" w:name="_Toc35425139"/>
      <w:bookmarkStart w:id="921" w:name="_Toc35424973"/>
      <w:bookmarkStart w:id="922" w:name="_Toc78803401"/>
      <w:r>
        <w:rPr>
          <w:rStyle w:val="120"/>
          <w:rFonts w:hint="eastAsia" w:ascii="宋体" w:hAnsi="宋体" w:cs="宋体"/>
          <w:sz w:val="32"/>
          <w:highlight w:val="none"/>
        </w:rPr>
        <w:br w:type="page"/>
      </w:r>
      <w:r>
        <w:rPr>
          <w:rStyle w:val="120"/>
          <w:rFonts w:hint="eastAsia" w:ascii="宋体" w:hAnsi="宋体" w:cs="宋体"/>
          <w:sz w:val="32"/>
          <w:highlight w:val="none"/>
        </w:rPr>
        <w:t>投标文件三</w:t>
      </w:r>
      <w:bookmarkEnd w:id="919"/>
      <w:bookmarkEnd w:id="920"/>
      <w:bookmarkEnd w:id="921"/>
      <w:r>
        <w:rPr>
          <w:rStyle w:val="120"/>
          <w:rFonts w:hint="eastAsia" w:ascii="宋体" w:hAnsi="宋体" w:cs="宋体"/>
          <w:sz w:val="32"/>
          <w:highlight w:val="none"/>
        </w:rPr>
        <w:t>：商务标目录</w:t>
      </w:r>
      <w:bookmarkEnd w:id="922"/>
    </w:p>
    <w:p w14:paraId="74D94105">
      <w:pPr>
        <w:spacing w:line="440" w:lineRule="exact"/>
        <w:ind w:firstLine="420" w:firstLineChars="200"/>
        <w:jc w:val="left"/>
        <w:rPr>
          <w:rFonts w:ascii="宋体" w:hAnsi="宋体" w:cs="宋体"/>
          <w:highlight w:val="none"/>
        </w:rPr>
      </w:pPr>
      <w:r>
        <w:rPr>
          <w:rFonts w:hint="eastAsia" w:ascii="宋体" w:hAnsi="宋体" w:cs="宋体"/>
          <w:highlight w:val="none"/>
        </w:rPr>
        <w:t>（1）投标函（格式见附件）</w:t>
      </w:r>
      <w:r>
        <w:rPr>
          <w:rFonts w:hint="eastAsia" w:ascii="宋体" w:hAnsi="宋体" w:cs="宋体"/>
          <w:highlight w:val="none"/>
          <w:lang w:eastAsia="zh-CN"/>
        </w:rPr>
        <w:t>。</w:t>
      </w:r>
      <w:r>
        <w:rPr>
          <w:rFonts w:hint="eastAsia" w:ascii="宋体" w:hAnsi="宋体" w:cs="宋体"/>
          <w:highlight w:val="none"/>
        </w:rPr>
        <w:t xml:space="preserve">  </w:t>
      </w:r>
    </w:p>
    <w:p w14:paraId="15662A50">
      <w:pPr>
        <w:spacing w:line="540" w:lineRule="exact"/>
        <w:rPr>
          <w:highlight w:val="none"/>
        </w:rPr>
      </w:pPr>
    </w:p>
    <w:p w14:paraId="03122088">
      <w:pPr>
        <w:spacing w:line="540" w:lineRule="exact"/>
        <w:rPr>
          <w:rFonts w:eastAsia="黑体"/>
          <w:sz w:val="20"/>
          <w:szCs w:val="20"/>
          <w:highlight w:val="none"/>
        </w:rPr>
      </w:pPr>
    </w:p>
    <w:p w14:paraId="3338FC9F">
      <w:pPr>
        <w:spacing w:line="540" w:lineRule="exact"/>
        <w:rPr>
          <w:rFonts w:eastAsia="黑体"/>
          <w:sz w:val="20"/>
          <w:szCs w:val="20"/>
          <w:highlight w:val="none"/>
        </w:rPr>
      </w:pPr>
    </w:p>
    <w:p w14:paraId="3D5F9903">
      <w:pPr>
        <w:spacing w:line="540" w:lineRule="exact"/>
        <w:rPr>
          <w:rFonts w:eastAsia="黑体"/>
          <w:sz w:val="20"/>
          <w:szCs w:val="20"/>
          <w:highlight w:val="none"/>
        </w:rPr>
      </w:pPr>
    </w:p>
    <w:p w14:paraId="6FEF5B0D">
      <w:pPr>
        <w:spacing w:line="360" w:lineRule="auto"/>
        <w:ind w:firstLine="420" w:firstLineChars="200"/>
        <w:jc w:val="right"/>
        <w:rPr>
          <w:szCs w:val="21"/>
          <w:highlight w:val="none"/>
          <w:u w:val="single"/>
        </w:rPr>
      </w:pPr>
    </w:p>
    <w:p w14:paraId="70F20168">
      <w:pPr>
        <w:spacing w:line="360" w:lineRule="auto"/>
        <w:ind w:firstLine="420" w:firstLineChars="200"/>
        <w:jc w:val="right"/>
        <w:rPr>
          <w:szCs w:val="21"/>
          <w:highlight w:val="none"/>
          <w:u w:val="single"/>
        </w:rPr>
      </w:pPr>
    </w:p>
    <w:p w14:paraId="5BDCA848">
      <w:pPr>
        <w:spacing w:line="360" w:lineRule="auto"/>
        <w:ind w:firstLine="420" w:firstLineChars="200"/>
        <w:jc w:val="right"/>
        <w:rPr>
          <w:szCs w:val="21"/>
          <w:highlight w:val="none"/>
          <w:u w:val="single"/>
        </w:rPr>
      </w:pPr>
    </w:p>
    <w:p w14:paraId="5B4A47D5">
      <w:pPr>
        <w:spacing w:line="360" w:lineRule="auto"/>
        <w:ind w:firstLine="420" w:firstLineChars="200"/>
        <w:jc w:val="right"/>
        <w:rPr>
          <w:szCs w:val="21"/>
          <w:highlight w:val="none"/>
          <w:u w:val="single"/>
        </w:rPr>
      </w:pPr>
    </w:p>
    <w:p w14:paraId="6AF87BBA">
      <w:pPr>
        <w:spacing w:line="360" w:lineRule="auto"/>
        <w:ind w:firstLine="420" w:firstLineChars="200"/>
        <w:jc w:val="right"/>
        <w:rPr>
          <w:szCs w:val="21"/>
          <w:highlight w:val="none"/>
          <w:u w:val="single"/>
        </w:rPr>
      </w:pPr>
    </w:p>
    <w:p w14:paraId="49A7FE35">
      <w:pPr>
        <w:spacing w:line="360" w:lineRule="auto"/>
        <w:ind w:firstLine="420" w:firstLineChars="200"/>
        <w:jc w:val="right"/>
        <w:rPr>
          <w:szCs w:val="21"/>
          <w:highlight w:val="none"/>
          <w:u w:val="single"/>
        </w:rPr>
      </w:pPr>
    </w:p>
    <w:p w14:paraId="7EAE036F">
      <w:pPr>
        <w:spacing w:line="360" w:lineRule="auto"/>
        <w:ind w:firstLine="420" w:firstLineChars="200"/>
        <w:jc w:val="right"/>
        <w:rPr>
          <w:szCs w:val="21"/>
          <w:highlight w:val="none"/>
          <w:u w:val="single"/>
        </w:rPr>
      </w:pPr>
    </w:p>
    <w:p w14:paraId="39D3A8B9">
      <w:pPr>
        <w:spacing w:line="360" w:lineRule="auto"/>
        <w:ind w:firstLine="420" w:firstLineChars="200"/>
        <w:jc w:val="right"/>
        <w:rPr>
          <w:szCs w:val="21"/>
          <w:highlight w:val="none"/>
          <w:u w:val="single"/>
        </w:rPr>
      </w:pPr>
    </w:p>
    <w:p w14:paraId="042B576F">
      <w:pPr>
        <w:jc w:val="center"/>
        <w:rPr>
          <w:b/>
          <w:sz w:val="32"/>
          <w:szCs w:val="32"/>
          <w:highlight w:val="none"/>
        </w:rPr>
      </w:pPr>
    </w:p>
    <w:p w14:paraId="29EE3D81">
      <w:pPr>
        <w:jc w:val="center"/>
        <w:rPr>
          <w:b/>
          <w:sz w:val="32"/>
          <w:szCs w:val="32"/>
          <w:highlight w:val="none"/>
        </w:rPr>
      </w:pPr>
      <w:bookmarkStart w:id="928" w:name="_GoBack"/>
      <w:bookmarkEnd w:id="928"/>
    </w:p>
    <w:p w14:paraId="569DA32B">
      <w:pPr>
        <w:jc w:val="center"/>
        <w:rPr>
          <w:b/>
          <w:sz w:val="32"/>
          <w:szCs w:val="32"/>
          <w:highlight w:val="none"/>
        </w:rPr>
      </w:pPr>
    </w:p>
    <w:p w14:paraId="30415CF4">
      <w:pPr>
        <w:jc w:val="center"/>
        <w:rPr>
          <w:b/>
          <w:sz w:val="32"/>
          <w:szCs w:val="32"/>
          <w:highlight w:val="none"/>
        </w:rPr>
      </w:pPr>
    </w:p>
    <w:p w14:paraId="1AAF50B0">
      <w:pPr>
        <w:jc w:val="center"/>
        <w:rPr>
          <w:b/>
          <w:sz w:val="32"/>
          <w:szCs w:val="32"/>
          <w:highlight w:val="none"/>
        </w:rPr>
      </w:pPr>
    </w:p>
    <w:p w14:paraId="5BCCA520">
      <w:pPr>
        <w:jc w:val="center"/>
        <w:rPr>
          <w:b/>
          <w:sz w:val="32"/>
          <w:szCs w:val="32"/>
          <w:highlight w:val="none"/>
        </w:rPr>
      </w:pPr>
    </w:p>
    <w:p w14:paraId="194A658F">
      <w:pPr>
        <w:jc w:val="center"/>
        <w:rPr>
          <w:b/>
          <w:sz w:val="32"/>
          <w:szCs w:val="32"/>
          <w:highlight w:val="none"/>
        </w:rPr>
      </w:pPr>
    </w:p>
    <w:p w14:paraId="3F1030A3">
      <w:pPr>
        <w:spacing w:line="360" w:lineRule="auto"/>
        <w:rPr>
          <w:b/>
          <w:bCs/>
          <w:sz w:val="32"/>
          <w:szCs w:val="32"/>
          <w:highlight w:val="none"/>
        </w:rPr>
      </w:pPr>
    </w:p>
    <w:p w14:paraId="5D358DCD">
      <w:pPr>
        <w:jc w:val="center"/>
        <w:rPr>
          <w:rFonts w:ascii="宋体" w:hAnsi="宋体"/>
          <w:b/>
          <w:sz w:val="32"/>
          <w:szCs w:val="32"/>
          <w:highlight w:val="none"/>
        </w:rPr>
      </w:pPr>
      <w:r>
        <w:rPr>
          <w:rFonts w:hint="eastAsia" w:ascii="宋体" w:hAnsi="宋体"/>
          <w:b/>
          <w:sz w:val="32"/>
          <w:szCs w:val="32"/>
          <w:highlight w:val="none"/>
        </w:rPr>
        <w:br w:type="page"/>
      </w:r>
      <w:r>
        <w:rPr>
          <w:rFonts w:hint="eastAsia" w:ascii="宋体" w:hAnsi="宋体"/>
          <w:b/>
          <w:sz w:val="32"/>
          <w:szCs w:val="32"/>
          <w:highlight w:val="none"/>
        </w:rPr>
        <w:t>（1）投 标 函</w:t>
      </w:r>
    </w:p>
    <w:p w14:paraId="246EE23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rPr>
      </w:pPr>
      <w:bookmarkStart w:id="923" w:name="_Toc35424974"/>
      <w:bookmarkStart w:id="924" w:name="_Toc506107366"/>
      <w:bookmarkStart w:id="925" w:name="_Toc15058950"/>
      <w:bookmarkStart w:id="926" w:name="_Toc35425140"/>
      <w:r>
        <w:rPr>
          <w:rFonts w:hint="eastAsia" w:ascii="宋体" w:hAnsi="宋体" w:eastAsia="宋体" w:cs="宋体"/>
          <w:b/>
          <w:bCs/>
          <w:color w:val="auto"/>
        </w:rPr>
        <w:t>致 ：</w:t>
      </w:r>
      <w:r>
        <w:rPr>
          <w:rFonts w:hint="eastAsia" w:ascii="宋体" w:hAnsi="宋体" w:eastAsia="宋体" w:cs="宋体"/>
          <w:b/>
          <w:bCs/>
          <w:color w:val="auto"/>
          <w:u w:val="single"/>
          <w:lang w:val="en-US" w:eastAsia="zh-CN"/>
        </w:rPr>
        <w:t xml:space="preserve">       （招标人） </w:t>
      </w:r>
      <w:r>
        <w:rPr>
          <w:rFonts w:hint="eastAsia" w:ascii="宋体" w:hAnsi="宋体" w:eastAsia="宋体" w:cs="宋体"/>
          <w:color w:val="auto"/>
        </w:rPr>
        <w:t xml:space="preserve">：  </w:t>
      </w:r>
    </w:p>
    <w:p w14:paraId="34202DD2">
      <w:pPr>
        <w:keepNext w:val="0"/>
        <w:keepLines w:val="0"/>
        <w:pageBreakBefore w:val="0"/>
        <w:widowControl w:val="0"/>
        <w:kinsoku/>
        <w:wordWrap/>
        <w:overflowPunct/>
        <w:topLinePunct w:val="0"/>
        <w:autoSpaceDE/>
        <w:autoSpaceDN/>
        <w:bidi w:val="0"/>
        <w:adjustRightInd/>
        <w:snapToGrid/>
        <w:spacing w:line="460" w:lineRule="exact"/>
        <w:ind w:firstLine="525" w:firstLineChars="250"/>
        <w:jc w:val="left"/>
        <w:textAlignment w:val="auto"/>
        <w:rPr>
          <w:rFonts w:hint="eastAsia" w:ascii="宋体" w:hAnsi="宋体" w:eastAsia="宋体" w:cs="宋体"/>
          <w:color w:val="auto"/>
          <w:lang w:eastAsia="zh-CN"/>
        </w:rPr>
      </w:pPr>
      <w:r>
        <w:rPr>
          <w:rFonts w:hint="eastAsia" w:ascii="宋体" w:hAnsi="宋体" w:eastAsia="宋体" w:cs="宋体"/>
          <w:color w:val="auto"/>
        </w:rPr>
        <w:t>我们决定参加贵单位组织的“</w:t>
      </w:r>
      <w:r>
        <w:rPr>
          <w:rFonts w:hint="eastAsia" w:ascii="宋体" w:hAnsi="宋体" w:eastAsia="宋体" w:cs="宋体"/>
          <w:color w:val="auto"/>
          <w:u w:val="single"/>
          <w:lang w:val="en-US" w:eastAsia="zh-CN"/>
        </w:rPr>
        <w:t xml:space="preserve">                   （项目名称）</w:t>
      </w:r>
      <w:r>
        <w:rPr>
          <w:rFonts w:hint="eastAsia" w:ascii="宋体" w:hAnsi="宋体" w:eastAsia="宋体" w:cs="宋体"/>
          <w:color w:val="auto"/>
        </w:rPr>
        <w:t xml:space="preserve">”的项目。我方授权 </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color w:val="auto"/>
          <w:u w:val="none"/>
        </w:rPr>
        <w:t>姓名和职务</w:t>
      </w:r>
      <w:r>
        <w:rPr>
          <w:rFonts w:hint="eastAsia" w:ascii="宋体" w:hAnsi="宋体" w:eastAsia="宋体" w:cs="宋体"/>
          <w:color w:val="auto"/>
        </w:rPr>
        <w:t xml:space="preserve">)代表我方 </w:t>
      </w:r>
      <w:r>
        <w:rPr>
          <w:rFonts w:hint="eastAsia" w:ascii="宋体" w:hAnsi="宋体" w:eastAsia="宋体" w:cs="宋体"/>
          <w:color w:val="auto"/>
          <w:u w:val="single"/>
        </w:rPr>
        <w:t xml:space="preserve">             </w:t>
      </w:r>
      <w:r>
        <w:rPr>
          <w:rFonts w:hint="eastAsia" w:ascii="宋体" w:hAnsi="宋体" w:eastAsia="宋体" w:cs="宋体"/>
          <w:color w:val="auto"/>
        </w:rPr>
        <w:t xml:space="preserve">（投标单位的名称）全权处理本项目投标的有关事宜 </w:t>
      </w:r>
      <w:r>
        <w:rPr>
          <w:rFonts w:hint="eastAsia" w:ascii="宋体" w:hAnsi="宋体" w:eastAsia="宋体" w:cs="宋体"/>
          <w:color w:val="auto"/>
          <w:lang w:eastAsia="zh-CN"/>
        </w:rPr>
        <w:t>。</w:t>
      </w:r>
    </w:p>
    <w:p w14:paraId="77B3882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lang w:val="en-US"/>
        </w:rPr>
      </w:pPr>
      <w:r>
        <w:rPr>
          <w:rFonts w:hint="eastAsia" w:ascii="宋体" w:hAnsi="宋体" w:cs="宋体"/>
          <w:color w:val="auto"/>
          <w:lang w:val="en-US" w:eastAsia="zh-CN"/>
        </w:rPr>
        <w:t>1、</w:t>
      </w:r>
      <w:r>
        <w:rPr>
          <w:rFonts w:hint="eastAsia" w:ascii="宋体" w:hAnsi="宋体" w:eastAsia="宋体" w:cs="宋体"/>
          <w:color w:val="auto"/>
        </w:rPr>
        <w:t>我们已仔细地研究了</w:t>
      </w:r>
      <w:r>
        <w:rPr>
          <w:rFonts w:hint="eastAsia" w:ascii="宋体" w:hAnsi="宋体" w:eastAsia="宋体" w:cs="宋体"/>
          <w:color w:val="auto"/>
          <w:u w:val="single"/>
          <w:lang w:val="en-US" w:eastAsia="zh-CN"/>
        </w:rPr>
        <w:t xml:space="preserve">                （项目名称）</w:t>
      </w:r>
      <w:r>
        <w:rPr>
          <w:rFonts w:hint="eastAsia" w:ascii="宋体" w:hAnsi="宋体" w:eastAsia="宋体" w:cs="宋体"/>
          <w:color w:val="auto"/>
        </w:rPr>
        <w:t>招标文件的全部内容，包括但不限于承包人须知合同条件、工作要求，以及全部补遗和澄清文件。我们已了解和审核了全部招标文件，并完全理解了招标文件</w:t>
      </w:r>
      <w:r>
        <w:rPr>
          <w:rFonts w:hint="eastAsia" w:ascii="宋体" w:hAnsi="宋体" w:eastAsia="宋体" w:cs="宋体"/>
          <w:color w:val="auto"/>
          <w:spacing w:val="-1"/>
        </w:rPr>
        <w:t>规定的合同范围，工作要求，并考虑到了潜在所有风险。据此我方愿以费率：</w:t>
      </w:r>
      <w:r>
        <w:rPr>
          <w:rFonts w:hint="eastAsia" w:ascii="宋体" w:hAnsi="宋体" w:eastAsia="宋体" w:cs="宋体"/>
          <w:color w:val="auto"/>
          <w:spacing w:val="-1"/>
          <w:u w:val="single"/>
        </w:rPr>
        <w:t>大写百分之</w:t>
      </w:r>
      <w:r>
        <w:rPr>
          <w:rFonts w:hint="eastAsia" w:ascii="宋体" w:hAnsi="宋体" w:eastAsia="宋体" w:cs="宋体"/>
          <w:color w:val="auto"/>
          <w:spacing w:val="56"/>
          <w:u w:val="single"/>
        </w:rPr>
        <w:t xml:space="preserve">   </w:t>
      </w:r>
      <w:r>
        <w:rPr>
          <w:rFonts w:hint="eastAsia" w:ascii="宋体" w:hAnsi="宋体" w:eastAsia="宋体" w:cs="宋体"/>
          <w:color w:val="auto"/>
          <w:spacing w:val="-1"/>
          <w:u w:val="single"/>
        </w:rPr>
        <w:t>小写</w:t>
      </w:r>
      <w:r>
        <w:rPr>
          <w:rFonts w:hint="eastAsia" w:ascii="宋体" w:hAnsi="宋体" w:eastAsia="宋体" w:cs="宋体"/>
          <w:color w:val="auto"/>
          <w:spacing w:val="56"/>
          <w:u w:val="single"/>
        </w:rPr>
        <w:t xml:space="preserve">  </w:t>
      </w:r>
      <w:r>
        <w:rPr>
          <w:rFonts w:hint="eastAsia" w:ascii="宋体" w:hAnsi="宋体" w:eastAsia="宋体" w:cs="宋体"/>
          <w:color w:val="auto"/>
        </w:rPr>
        <w:t>%（小数点后保留2位）为报价，作为本项目</w:t>
      </w:r>
      <w:r>
        <w:rPr>
          <w:rFonts w:hint="eastAsia" w:ascii="宋体" w:hAnsi="宋体" w:cs="宋体"/>
          <w:color w:val="auto"/>
          <w:lang w:val="en-US" w:eastAsia="zh-CN"/>
        </w:rPr>
        <w:t>检测</w:t>
      </w:r>
      <w:r>
        <w:rPr>
          <w:rFonts w:hint="eastAsia" w:ascii="宋体" w:hAnsi="宋体" w:eastAsia="宋体" w:cs="宋体"/>
          <w:color w:val="auto"/>
        </w:rPr>
        <w:t>工作所需的全部费用。</w:t>
      </w:r>
    </w:p>
    <w:p w14:paraId="07FC35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rPr>
        <w:t>2、一旦我方中标，我方将按招标文件的要求承担本工程的</w:t>
      </w:r>
      <w:r>
        <w:rPr>
          <w:rFonts w:hint="eastAsia" w:ascii="宋体" w:hAnsi="宋体" w:cs="宋体"/>
          <w:color w:val="auto"/>
          <w:lang w:val="en-US" w:eastAsia="zh-CN"/>
        </w:rPr>
        <w:t>检测</w:t>
      </w:r>
      <w:r>
        <w:rPr>
          <w:rFonts w:hint="eastAsia" w:ascii="宋体" w:hAnsi="宋体" w:eastAsia="宋体" w:cs="宋体"/>
          <w:color w:val="auto"/>
        </w:rPr>
        <w:t>工作。</w:t>
      </w:r>
      <w:r>
        <w:rPr>
          <w:rFonts w:hint="eastAsia" w:ascii="宋体" w:hAnsi="宋体" w:eastAsia="宋体" w:cs="宋体"/>
          <w:color w:val="auto"/>
          <w:lang w:val="en-US" w:eastAsia="zh-CN"/>
        </w:rPr>
        <w:t>服务期：从合同签订之日起至工程缺陷责任期满28天止，总体服务期一年。</w:t>
      </w:r>
    </w:p>
    <w:p w14:paraId="3D4AE92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3、如果贵方接受我单位中标，我单位保证在承包人须知规定的期限内，按本投标配备的人员及时开展工作，否则，贵方有权单方面终止合同，并令我单位立即退场，工程项目另行处理，由此造成的一切损失由我单位负责赔偿。</w:t>
      </w:r>
    </w:p>
    <w:p w14:paraId="4621521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4、我们声明，本投标文件的全部内容我公司已了解和熟悉，并承诺中标后严格按此投标文件执行。</w:t>
      </w:r>
    </w:p>
    <w:p w14:paraId="65BC97B4">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5、单位提供如下通讯地址：</w:t>
      </w:r>
      <w:r>
        <w:rPr>
          <w:rFonts w:hint="eastAsia" w:ascii="宋体" w:hAnsi="宋体" w:eastAsia="宋体" w:cs="宋体"/>
          <w:color w:val="auto"/>
          <w:u w:val="single"/>
        </w:rPr>
        <w:t xml:space="preserve">          </w:t>
      </w:r>
      <w:r>
        <w:rPr>
          <w:rFonts w:hint="eastAsia" w:ascii="宋体" w:hAnsi="宋体" w:eastAsia="宋体" w:cs="宋体"/>
          <w:color w:val="auto"/>
        </w:rPr>
        <w:t>电子邮箱（地址），确认本项目相关法律文书均通过提供的以上地址送达，相关文书只要发送至以上电子邮箱（地址）即视为送达，投标人愿意承担一切法律后果。</w:t>
      </w:r>
    </w:p>
    <w:p w14:paraId="32AA8FA5">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lang w:val="en-US" w:eastAsia="zh-CN"/>
        </w:rPr>
        <w:t>6</w:t>
      </w:r>
      <w:r>
        <w:rPr>
          <w:rFonts w:hint="eastAsia" w:ascii="宋体" w:hAnsi="宋体" w:eastAsia="宋体" w:cs="宋体"/>
          <w:color w:val="auto"/>
        </w:rPr>
        <w:t>、投标有效期为 90 日历天（从投标截止之日算起）。</w:t>
      </w:r>
    </w:p>
    <w:p w14:paraId="016CE0F7">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Cs w:val="21"/>
        </w:rPr>
      </w:pPr>
      <w:r>
        <w:rPr>
          <w:rFonts w:hint="eastAsia" w:ascii="宋体" w:hAnsi="宋体" w:cs="宋体"/>
          <w:color w:val="auto"/>
          <w:szCs w:val="21"/>
          <w:lang w:val="en-US" w:eastAsia="zh-CN"/>
        </w:rPr>
        <w:t>7、</w:t>
      </w:r>
      <w:r>
        <w:rPr>
          <w:rFonts w:hint="eastAsia" w:ascii="宋体" w:hAnsi="宋体" w:eastAsia="宋体" w:cs="宋体"/>
          <w:color w:val="auto"/>
          <w:szCs w:val="21"/>
        </w:rPr>
        <w:t>对本招标文件的所有条款进行承诺。</w:t>
      </w:r>
    </w:p>
    <w:p w14:paraId="58D9FF6D">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p>
    <w:p w14:paraId="7B092613">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u w:val="single"/>
        </w:rPr>
      </w:pPr>
      <w:r>
        <w:rPr>
          <w:rFonts w:hint="eastAsia" w:ascii="宋体" w:hAnsi="宋体" w:eastAsia="宋体" w:cs="宋体"/>
          <w:color w:val="auto"/>
          <w:szCs w:val="21"/>
        </w:rPr>
        <w:t>投标人：</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盖</w:t>
      </w:r>
      <w:r>
        <w:rPr>
          <w:rFonts w:hint="eastAsia" w:ascii="宋体" w:hAnsi="宋体" w:eastAsia="宋体" w:cs="宋体"/>
          <w:color w:val="auto"/>
          <w:szCs w:val="21"/>
          <w:u w:val="single"/>
        </w:rPr>
        <w:t xml:space="preserve">章）   </w:t>
      </w:r>
    </w:p>
    <w:p w14:paraId="6586A80F">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法定代表人：</w:t>
      </w:r>
      <w:r>
        <w:rPr>
          <w:rFonts w:hint="eastAsia" w:ascii="宋体" w:hAnsi="宋体" w:eastAsia="宋体" w:cs="宋体"/>
          <w:color w:val="auto"/>
          <w:szCs w:val="21"/>
          <w:u w:val="single"/>
        </w:rPr>
        <w:t xml:space="preserve">                         （签</w:t>
      </w:r>
      <w:r>
        <w:rPr>
          <w:rFonts w:hint="eastAsia" w:ascii="宋体" w:hAnsi="宋体" w:cs="宋体"/>
          <w:color w:val="auto"/>
          <w:szCs w:val="21"/>
          <w:u w:val="single"/>
          <w:lang w:val="en-US" w:eastAsia="zh-CN"/>
        </w:rPr>
        <w:t>字或盖</w:t>
      </w:r>
      <w:r>
        <w:rPr>
          <w:rFonts w:hint="eastAsia" w:ascii="宋体" w:hAnsi="宋体" w:eastAsia="宋体" w:cs="宋体"/>
          <w:color w:val="auto"/>
          <w:szCs w:val="21"/>
          <w:u w:val="single"/>
        </w:rPr>
        <w:t>章）</w:t>
      </w:r>
    </w:p>
    <w:p w14:paraId="75BF44E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单位地址：</w:t>
      </w:r>
      <w:r>
        <w:rPr>
          <w:rFonts w:hint="eastAsia" w:ascii="宋体" w:hAnsi="宋体" w:eastAsia="宋体" w:cs="宋体"/>
          <w:color w:val="auto"/>
          <w:szCs w:val="21"/>
          <w:u w:val="single"/>
        </w:rPr>
        <w:t xml:space="preserve">                                       </w:t>
      </w:r>
    </w:p>
    <w:p w14:paraId="152985B8">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u w:val="single"/>
        </w:rPr>
      </w:pPr>
      <w:r>
        <w:rPr>
          <w:rFonts w:hint="eastAsia" w:ascii="宋体" w:hAnsi="宋体" w:eastAsia="宋体" w:cs="宋体"/>
          <w:color w:val="auto"/>
          <w:szCs w:val="21"/>
        </w:rPr>
        <w:t>邮政编码：</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电话：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传真：</w:t>
      </w:r>
      <w:r>
        <w:rPr>
          <w:rFonts w:hint="eastAsia" w:ascii="宋体" w:hAnsi="宋体" w:eastAsia="宋体" w:cs="宋体"/>
          <w:color w:val="auto"/>
          <w:szCs w:val="21"/>
          <w:u w:val="single"/>
        </w:rPr>
        <w:t xml:space="preserve">       </w:t>
      </w:r>
    </w:p>
    <w:p w14:paraId="2636742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年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月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172B3F58">
      <w:pPr>
        <w:pStyle w:val="44"/>
        <w:spacing w:beforeLines="50" w:afterLines="50" w:line="440" w:lineRule="exact"/>
        <w:rPr>
          <w:bCs/>
          <w:szCs w:val="32"/>
          <w:highlight w:val="none"/>
        </w:rPr>
      </w:pPr>
      <w:r>
        <w:rPr>
          <w:rFonts w:hint="eastAsia"/>
          <w:sz w:val="32"/>
          <w:szCs w:val="32"/>
          <w:highlight w:val="none"/>
        </w:rPr>
        <w:br w:type="page"/>
      </w:r>
      <w:bookmarkEnd w:id="7"/>
      <w:bookmarkEnd w:id="8"/>
      <w:bookmarkEnd w:id="9"/>
      <w:bookmarkEnd w:id="10"/>
      <w:bookmarkEnd w:id="11"/>
      <w:bookmarkEnd w:id="923"/>
      <w:bookmarkEnd w:id="924"/>
      <w:bookmarkEnd w:id="925"/>
      <w:bookmarkEnd w:id="926"/>
      <w:bookmarkStart w:id="927" w:name="_Toc78803402"/>
      <w:r>
        <w:rPr>
          <w:rFonts w:hint="eastAsia"/>
          <w:bCs/>
          <w:szCs w:val="32"/>
          <w:highlight w:val="none"/>
        </w:rPr>
        <w:t>第</w:t>
      </w:r>
      <w:r>
        <w:rPr>
          <w:rFonts w:hint="eastAsia"/>
          <w:bCs/>
          <w:szCs w:val="32"/>
          <w:highlight w:val="none"/>
          <w:lang w:val="en-US" w:eastAsia="zh-CN"/>
        </w:rPr>
        <w:t>七</w:t>
      </w:r>
      <w:r>
        <w:rPr>
          <w:rFonts w:hint="eastAsia"/>
          <w:bCs/>
          <w:szCs w:val="32"/>
          <w:highlight w:val="none"/>
        </w:rPr>
        <w:t>章  招标单位、招标代理机构对本招标文件的确认</w:t>
      </w:r>
      <w:bookmarkEnd w:id="927"/>
    </w:p>
    <w:p w14:paraId="7D391125">
      <w:pPr>
        <w:pStyle w:val="20"/>
        <w:rPr>
          <w:highlight w:val="none"/>
        </w:rPr>
      </w:pPr>
    </w:p>
    <w:tbl>
      <w:tblPr>
        <w:tblStyle w:val="47"/>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28B5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9" w:hRule="atLeast"/>
          <w:jc w:val="center"/>
        </w:trPr>
        <w:tc>
          <w:tcPr>
            <w:tcW w:w="9580" w:type="dxa"/>
            <w:noWrap/>
          </w:tcPr>
          <w:p w14:paraId="45DC8EDB">
            <w:pPr>
              <w:wordWrap w:val="0"/>
              <w:adjustRightInd w:val="0"/>
              <w:snapToGrid w:val="0"/>
              <w:spacing w:line="560" w:lineRule="exact"/>
              <w:rPr>
                <w:sz w:val="30"/>
                <w:highlight w:val="none"/>
              </w:rPr>
            </w:pPr>
          </w:p>
          <w:p w14:paraId="3CB446EA">
            <w:pPr>
              <w:wordWrap w:val="0"/>
              <w:spacing w:line="560" w:lineRule="exact"/>
              <w:ind w:firstLine="560" w:firstLineChars="200"/>
              <w:rPr>
                <w:sz w:val="28"/>
                <w:szCs w:val="28"/>
                <w:highlight w:val="none"/>
              </w:rPr>
            </w:pPr>
            <w:r>
              <w:rPr>
                <w:rFonts w:hint="eastAsia"/>
                <w:sz w:val="28"/>
                <w:szCs w:val="28"/>
                <w:highlight w:val="none"/>
              </w:rPr>
              <w:t>我单位对</w:t>
            </w:r>
            <w:r>
              <w:rPr>
                <w:rFonts w:hint="eastAsia"/>
                <w:sz w:val="28"/>
                <w:szCs w:val="28"/>
                <w:highlight w:val="none"/>
                <w:u w:val="single"/>
              </w:rPr>
              <w:t xml:space="preserve"> </w:t>
            </w:r>
            <w:r>
              <w:rPr>
                <w:rFonts w:hint="eastAsia"/>
                <w:sz w:val="28"/>
                <w:szCs w:val="28"/>
                <w:highlight w:val="none"/>
                <w:u w:val="single"/>
                <w:lang w:eastAsia="zh-CN"/>
              </w:rPr>
              <w:t>2026年度新能源工程检测（含见证取样检测）项目</w:t>
            </w:r>
            <w:r>
              <w:rPr>
                <w:rFonts w:hint="eastAsia"/>
                <w:sz w:val="28"/>
                <w:szCs w:val="28"/>
                <w:highlight w:val="none"/>
                <w:u w:val="single"/>
              </w:rPr>
              <w:t xml:space="preserve"> </w:t>
            </w:r>
            <w:r>
              <w:rPr>
                <w:rFonts w:hint="eastAsia"/>
                <w:sz w:val="28"/>
                <w:szCs w:val="28"/>
                <w:highlight w:val="none"/>
              </w:rPr>
              <w:t>的招标文件进行确认。</w:t>
            </w:r>
          </w:p>
          <w:p w14:paraId="71A0CDF3">
            <w:pPr>
              <w:widowControl/>
              <w:spacing w:line="360" w:lineRule="auto"/>
              <w:ind w:firstLine="560" w:firstLineChars="200"/>
              <w:jc w:val="left"/>
              <w:rPr>
                <w:rFonts w:hint="eastAsia" w:ascii="宋体" w:hAnsi="宋体"/>
                <w:color w:val="auto"/>
                <w:sz w:val="28"/>
                <w:szCs w:val="28"/>
                <w:highlight w:val="none"/>
              </w:rPr>
            </w:pPr>
            <w:r>
              <w:rPr>
                <w:rFonts w:hint="eastAsia" w:ascii="宋体" w:hAnsi="宋体"/>
                <w:color w:val="auto"/>
                <w:sz w:val="28"/>
                <w:szCs w:val="28"/>
                <w:highlight w:val="none"/>
                <w:lang w:val="en-US" w:eastAsia="zh-CN"/>
              </w:rPr>
              <w:t>招标人</w:t>
            </w:r>
            <w:r>
              <w:rPr>
                <w:rFonts w:hint="eastAsia" w:ascii="宋体" w:hAnsi="宋体"/>
                <w:color w:val="auto"/>
                <w:sz w:val="28"/>
                <w:szCs w:val="28"/>
                <w:highlight w:val="none"/>
              </w:rPr>
              <w:t>：</w:t>
            </w:r>
            <w:r>
              <w:rPr>
                <w:rFonts w:hint="eastAsia" w:ascii="宋体" w:hAnsi="宋体"/>
                <w:color w:val="auto"/>
                <w:sz w:val="28"/>
                <w:szCs w:val="28"/>
                <w:highlight w:val="none"/>
                <w:lang w:eastAsia="zh-CN"/>
              </w:rPr>
              <w:t>滁州市翼然新能源开发有限公司</w:t>
            </w:r>
            <w:r>
              <w:rPr>
                <w:rFonts w:hint="eastAsia" w:ascii="宋体" w:hAnsi="宋体"/>
                <w:color w:val="auto"/>
                <w:sz w:val="28"/>
                <w:szCs w:val="28"/>
                <w:highlight w:val="none"/>
              </w:rPr>
              <w:t xml:space="preserve">  </w:t>
            </w:r>
          </w:p>
          <w:p w14:paraId="7E988D38">
            <w:pPr>
              <w:adjustRightInd w:val="0"/>
              <w:snapToGrid w:val="0"/>
              <w:spacing w:line="560" w:lineRule="exact"/>
              <w:ind w:firstLine="560" w:firstLineChars="200"/>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联 系 人：</w:t>
            </w:r>
            <w:r>
              <w:rPr>
                <w:rFonts w:hint="eastAsia" w:ascii="宋体" w:hAnsi="宋体" w:cs="Times New Roman"/>
                <w:color w:val="auto"/>
                <w:sz w:val="28"/>
                <w:szCs w:val="28"/>
                <w:highlight w:val="none"/>
                <w:lang w:val="en-US" w:eastAsia="zh-CN"/>
              </w:rPr>
              <w:t>胡雪</w:t>
            </w:r>
            <w:r>
              <w:rPr>
                <w:rFonts w:hint="eastAsia" w:ascii="宋体" w:hAnsi="宋体" w:eastAsia="宋体" w:cs="Times New Roman"/>
                <w:color w:val="auto"/>
                <w:sz w:val="28"/>
                <w:szCs w:val="28"/>
                <w:highlight w:val="none"/>
              </w:rPr>
              <w:t xml:space="preserve"> </w:t>
            </w:r>
            <w:r>
              <w:rPr>
                <w:rFonts w:hint="eastAsia" w:ascii="宋体" w:hAnsi="宋体" w:eastAsia="宋体" w:cs="Times New Roman"/>
                <w:color w:val="auto"/>
                <w:sz w:val="28"/>
                <w:szCs w:val="28"/>
                <w:highlight w:val="none"/>
                <w:lang w:val="en-US" w:eastAsia="zh-CN"/>
              </w:rPr>
              <w:t xml:space="preserve"> </w:t>
            </w:r>
          </w:p>
          <w:p w14:paraId="674C5CF9">
            <w:pPr>
              <w:adjustRightInd w:val="0"/>
              <w:snapToGrid w:val="0"/>
              <w:spacing w:line="560" w:lineRule="exact"/>
              <w:ind w:firstLine="560" w:firstLineChars="200"/>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rPr>
              <w:t>联系电话：</w:t>
            </w:r>
            <w:r>
              <w:rPr>
                <w:rFonts w:hint="eastAsia" w:ascii="宋体" w:hAnsi="宋体" w:cs="Times New Roman"/>
                <w:color w:val="auto"/>
                <w:sz w:val="28"/>
                <w:szCs w:val="28"/>
                <w:highlight w:val="none"/>
                <w:lang w:val="en-US" w:eastAsia="zh-CN"/>
              </w:rPr>
              <w:t>0550-2350288</w:t>
            </w:r>
          </w:p>
          <w:p w14:paraId="01C406FE">
            <w:pPr>
              <w:wordWrap w:val="0"/>
              <w:spacing w:line="560" w:lineRule="exact"/>
              <w:ind w:firstLine="560" w:firstLineChars="200"/>
              <w:rPr>
                <w:rFonts w:ascii="宋体" w:hAnsi="宋体"/>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w:t>
            </w:r>
          </w:p>
          <w:p w14:paraId="2BCF4FCB">
            <w:pPr>
              <w:wordWrap w:val="0"/>
              <w:spacing w:line="560" w:lineRule="exact"/>
              <w:ind w:firstLine="560" w:firstLineChars="200"/>
              <w:rPr>
                <w:rFonts w:ascii="宋体" w:hAnsi="宋体"/>
                <w:sz w:val="28"/>
                <w:szCs w:val="28"/>
                <w:highlight w:val="none"/>
              </w:rPr>
            </w:pPr>
          </w:p>
          <w:p w14:paraId="3879E6FD">
            <w:pPr>
              <w:wordWrap w:val="0"/>
              <w:spacing w:line="560" w:lineRule="exact"/>
              <w:ind w:firstLine="560" w:firstLineChars="200"/>
              <w:rPr>
                <w:rFonts w:ascii="宋体" w:hAnsi="宋体"/>
                <w:sz w:val="28"/>
                <w:szCs w:val="28"/>
                <w:highlight w:val="none"/>
              </w:rPr>
            </w:pPr>
          </w:p>
          <w:p w14:paraId="6BD2A618">
            <w:pPr>
              <w:wordWrap w:val="0"/>
              <w:spacing w:line="560" w:lineRule="exact"/>
              <w:ind w:firstLine="5740" w:firstLineChars="2050"/>
              <w:rPr>
                <w:rFonts w:ascii="宋体" w:hAnsi="宋体"/>
                <w:sz w:val="28"/>
                <w:szCs w:val="28"/>
                <w:highlight w:val="none"/>
              </w:rPr>
            </w:pPr>
            <w:r>
              <w:rPr>
                <w:rFonts w:hint="eastAsia" w:ascii="宋体" w:hAnsi="宋体"/>
                <w:sz w:val="28"/>
                <w:szCs w:val="28"/>
                <w:highlight w:val="none"/>
              </w:rPr>
              <w:t>（单位盖章）</w:t>
            </w:r>
          </w:p>
          <w:p w14:paraId="0DB51C41">
            <w:pPr>
              <w:spacing w:line="560" w:lineRule="exact"/>
              <w:ind w:firstLine="5880" w:firstLineChars="210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72A7FF77">
            <w:pPr>
              <w:pStyle w:val="14"/>
              <w:ind w:firstLine="420"/>
              <w:rPr>
                <w:highlight w:val="none"/>
              </w:rPr>
            </w:pPr>
          </w:p>
        </w:tc>
      </w:tr>
      <w:tr w14:paraId="05F3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6" w:hRule="atLeast"/>
          <w:jc w:val="center"/>
        </w:trPr>
        <w:tc>
          <w:tcPr>
            <w:tcW w:w="9580" w:type="dxa"/>
            <w:noWrap/>
          </w:tcPr>
          <w:p w14:paraId="2080D8D4">
            <w:pPr>
              <w:spacing w:line="560" w:lineRule="exact"/>
              <w:ind w:firstLine="560" w:firstLineChars="200"/>
              <w:rPr>
                <w:rFonts w:ascii="宋体" w:hAnsi="宋体" w:cs="宋体"/>
                <w:sz w:val="28"/>
                <w:szCs w:val="28"/>
                <w:highlight w:val="none"/>
              </w:rPr>
            </w:pPr>
          </w:p>
          <w:p w14:paraId="297A006E">
            <w:pPr>
              <w:spacing w:line="560" w:lineRule="exact"/>
              <w:ind w:firstLine="560" w:firstLineChars="200"/>
              <w:rPr>
                <w:rFonts w:ascii="宋体" w:hAnsi="宋体" w:cs="宋体"/>
                <w:sz w:val="28"/>
                <w:szCs w:val="28"/>
                <w:highlight w:val="none"/>
                <w:u w:val="single"/>
              </w:rPr>
            </w:pPr>
            <w:r>
              <w:rPr>
                <w:rFonts w:hint="eastAsia" w:ascii="宋体" w:hAnsi="宋体" w:cs="宋体"/>
                <w:sz w:val="28"/>
                <w:szCs w:val="28"/>
                <w:highlight w:val="none"/>
              </w:rPr>
              <w:t>招标代理机构：</w:t>
            </w:r>
            <w:r>
              <w:rPr>
                <w:rFonts w:hint="eastAsia"/>
                <w:sz w:val="28"/>
                <w:szCs w:val="28"/>
                <w:highlight w:val="none"/>
              </w:rPr>
              <w:t>滁州市城投工程咨询管理有限公司</w:t>
            </w:r>
          </w:p>
          <w:p w14:paraId="04195C3D">
            <w:pPr>
              <w:spacing w:line="560" w:lineRule="exact"/>
              <w:ind w:firstLine="560" w:firstLineChars="200"/>
              <w:rPr>
                <w:rFonts w:hint="default" w:ascii="宋体" w:hAnsi="宋体" w:eastAsia="宋体" w:cs="宋体"/>
                <w:sz w:val="28"/>
                <w:szCs w:val="28"/>
                <w:highlight w:val="none"/>
                <w:u w:val="single"/>
                <w:lang w:val="en-US" w:eastAsia="zh-CN"/>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周蓓蕾</w:t>
            </w:r>
          </w:p>
          <w:p w14:paraId="47E8E678">
            <w:pPr>
              <w:spacing w:line="560" w:lineRule="exact"/>
              <w:ind w:firstLine="560" w:firstLineChars="200"/>
              <w:rPr>
                <w:rFonts w:hint="eastAsia" w:ascii="宋体" w:hAnsi="宋体" w:eastAsia="宋体" w:cs="宋体"/>
                <w:sz w:val="28"/>
                <w:szCs w:val="28"/>
                <w:highlight w:val="none"/>
                <w:lang w:val="en-US" w:eastAsia="zh-CN"/>
              </w:rPr>
            </w:pPr>
            <w:r>
              <w:rPr>
                <w:rFonts w:hint="eastAsia" w:ascii="宋体" w:hAnsi="宋体" w:cs="宋体"/>
                <w:sz w:val="28"/>
                <w:szCs w:val="28"/>
                <w:highlight w:val="none"/>
              </w:rPr>
              <w:t>联系电话：0550-351951</w:t>
            </w:r>
            <w:r>
              <w:rPr>
                <w:rFonts w:hint="eastAsia" w:ascii="宋体" w:hAnsi="宋体" w:cs="宋体"/>
                <w:sz w:val="28"/>
                <w:szCs w:val="28"/>
                <w:highlight w:val="none"/>
                <w:lang w:val="en-US" w:eastAsia="zh-CN"/>
              </w:rPr>
              <w:t>9</w:t>
            </w:r>
            <w:r>
              <w:rPr>
                <w:rFonts w:hint="eastAsia" w:ascii="宋体" w:hAnsi="宋体" w:cs="宋体"/>
                <w:sz w:val="28"/>
                <w:szCs w:val="28"/>
                <w:highlight w:val="none"/>
              </w:rPr>
              <w:t>、</w:t>
            </w:r>
            <w:r>
              <w:rPr>
                <w:rFonts w:hint="eastAsia" w:ascii="宋体" w:hAnsi="宋体" w:cs="宋体"/>
                <w:sz w:val="28"/>
                <w:szCs w:val="28"/>
                <w:highlight w:val="none"/>
                <w:lang w:eastAsia="zh-CN"/>
              </w:rPr>
              <w:t>18005505728</w:t>
            </w:r>
          </w:p>
          <w:p w14:paraId="60018F68">
            <w:pPr>
              <w:spacing w:line="560" w:lineRule="exact"/>
              <w:ind w:firstLine="5040" w:firstLineChars="1800"/>
              <w:rPr>
                <w:rFonts w:ascii="宋体" w:hAnsi="宋体" w:cs="宋体"/>
                <w:sz w:val="28"/>
                <w:szCs w:val="28"/>
                <w:highlight w:val="none"/>
              </w:rPr>
            </w:pPr>
          </w:p>
          <w:p w14:paraId="0781C8CF">
            <w:pPr>
              <w:spacing w:line="560" w:lineRule="exact"/>
              <w:ind w:firstLine="5460" w:firstLineChars="1950"/>
              <w:rPr>
                <w:rFonts w:ascii="宋体" w:hAnsi="宋体" w:cs="宋体"/>
                <w:sz w:val="28"/>
                <w:szCs w:val="28"/>
                <w:highlight w:val="none"/>
              </w:rPr>
            </w:pPr>
          </w:p>
          <w:p w14:paraId="0A1FE158">
            <w:pPr>
              <w:spacing w:line="560" w:lineRule="exact"/>
              <w:ind w:firstLine="5880" w:firstLineChars="2100"/>
              <w:rPr>
                <w:rFonts w:ascii="宋体" w:hAnsi="宋体" w:cs="宋体"/>
                <w:sz w:val="28"/>
                <w:szCs w:val="28"/>
                <w:highlight w:val="none"/>
              </w:rPr>
            </w:pPr>
            <w:r>
              <w:rPr>
                <w:rFonts w:hint="eastAsia" w:ascii="宋体" w:hAnsi="宋体" w:cs="宋体"/>
                <w:sz w:val="28"/>
                <w:szCs w:val="28"/>
                <w:highlight w:val="none"/>
              </w:rPr>
              <w:t>（单位盖章）</w:t>
            </w:r>
          </w:p>
          <w:p w14:paraId="144B0D1C">
            <w:pPr>
              <w:spacing w:line="560" w:lineRule="exact"/>
              <w:ind w:firstLine="6020" w:firstLineChars="215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4EDF8AEB">
            <w:pPr>
              <w:pStyle w:val="14"/>
              <w:ind w:firstLine="420"/>
              <w:rPr>
                <w:highlight w:val="none"/>
              </w:rPr>
            </w:pPr>
          </w:p>
        </w:tc>
      </w:tr>
    </w:tbl>
    <w:p w14:paraId="2D7DD9E9"/>
    <w:sectPr>
      <w:headerReference r:id="rId6" w:type="default"/>
      <w:footerReference r:id="rId7" w:type="default"/>
      <w:pgSz w:w="11906" w:h="16838"/>
      <w:pgMar w:top="1134" w:right="1417" w:bottom="1134" w:left="141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dIcon">
    <w:altName w:val="Segoe Print"/>
    <w:panose1 w:val="00000000000000000000"/>
    <w:charset w:val="00"/>
    <w:family w:val="auto"/>
    <w:pitch w:val="default"/>
    <w:sig w:usb0="00000000" w:usb1="00000000" w:usb2="00000000" w:usb3="00000000" w:csb0="00000000" w:csb1="00000000"/>
  </w:font>
  <w:font w:name="ActionIcon">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2DBF">
    <w:pPr>
      <w:pStyle w:val="29"/>
      <w:framePr w:wrap="around" w:vAnchor="text" w:hAnchor="margin" w:xAlign="center" w:y="1"/>
      <w:rPr>
        <w:rStyle w:val="51"/>
      </w:rPr>
    </w:pPr>
  </w:p>
  <w:p w14:paraId="53435915">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8C72">
    <w:pPr>
      <w:pStyle w:val="29"/>
      <w:framePr w:wrap="around" w:vAnchor="text" w:hAnchor="margin" w:xAlign="center" w:y="1"/>
      <w:rPr>
        <w:rStyle w:val="51"/>
      </w:rPr>
    </w:pPr>
  </w:p>
  <w:p w14:paraId="78B0040E">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67B4">
    <w:pPr>
      <w:pStyle w:val="29"/>
      <w:rPr>
        <w:rStyle w:val="51"/>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02D7ED">
                          <w:pPr>
                            <w:pStyle w:val="2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v1RMoBAACc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qv1RMoBAACcAwAADgAAAAAAAAABACAAAAAeAQAAZHJzL2Uyb0Rv&#10;Yy54bWxQSwUGAAAAAAYABgBZAQAAWgUAAAAA&#10;">
              <v:fill on="f" focussize="0,0"/>
              <v:stroke on="f"/>
              <v:imagedata o:title=""/>
              <o:lock v:ext="edit" aspectratio="f"/>
              <v:textbox inset="0mm,0mm,0mm,0mm" style="mso-fit-shape-to-text:t;">
                <w:txbxContent>
                  <w:p w14:paraId="2802D7ED">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01B2BA8E">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BD4B">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BC04">
    <w:pPr>
      <w:pStyle w:val="3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20616"/>
    <w:multiLevelType w:val="singleLevel"/>
    <w:tmpl w:val="B9320616"/>
    <w:lvl w:ilvl="0" w:tentative="0">
      <w:start w:val="4"/>
      <w:numFmt w:val="chineseCounting"/>
      <w:suff w:val="space"/>
      <w:lvlText w:val="第%1章"/>
      <w:lvlJc w:val="left"/>
      <w:rPr>
        <w:rFonts w:hint="eastAsia"/>
      </w:rPr>
    </w:lvl>
  </w:abstractNum>
  <w:abstractNum w:abstractNumId="1">
    <w:nsid w:val="100BB982"/>
    <w:multiLevelType w:val="singleLevel"/>
    <w:tmpl w:val="100BB982"/>
    <w:lvl w:ilvl="0" w:tentative="0">
      <w:start w:val="1"/>
      <w:numFmt w:val="decimal"/>
      <w:suff w:val="nothing"/>
      <w:lvlText w:val="%1、"/>
      <w:lvlJc w:val="left"/>
    </w:lvl>
  </w:abstractNum>
  <w:abstractNum w:abstractNumId="2">
    <w:nsid w:val="2A21B5D1"/>
    <w:multiLevelType w:val="singleLevel"/>
    <w:tmpl w:val="2A21B5D1"/>
    <w:lvl w:ilvl="0" w:tentative="0">
      <w:start w:val="5"/>
      <w:numFmt w:val="chineseCounting"/>
      <w:suff w:val="space"/>
      <w:lvlText w:val="第%1条"/>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172A27"/>
    <w:rsid w:val="0000197A"/>
    <w:rsid w:val="00002E1B"/>
    <w:rsid w:val="000046EA"/>
    <w:rsid w:val="00004E34"/>
    <w:rsid w:val="00005CD8"/>
    <w:rsid w:val="00006123"/>
    <w:rsid w:val="000070B7"/>
    <w:rsid w:val="0000758B"/>
    <w:rsid w:val="00010F4B"/>
    <w:rsid w:val="0001111D"/>
    <w:rsid w:val="00011A14"/>
    <w:rsid w:val="00012844"/>
    <w:rsid w:val="00012D1D"/>
    <w:rsid w:val="00017114"/>
    <w:rsid w:val="00017EFA"/>
    <w:rsid w:val="00020FE0"/>
    <w:rsid w:val="00021BDB"/>
    <w:rsid w:val="000225E0"/>
    <w:rsid w:val="00022A89"/>
    <w:rsid w:val="00023D05"/>
    <w:rsid w:val="00026E12"/>
    <w:rsid w:val="000273CC"/>
    <w:rsid w:val="000330C1"/>
    <w:rsid w:val="000335C0"/>
    <w:rsid w:val="00034C73"/>
    <w:rsid w:val="0003719A"/>
    <w:rsid w:val="00037B93"/>
    <w:rsid w:val="00040224"/>
    <w:rsid w:val="0004332D"/>
    <w:rsid w:val="00044907"/>
    <w:rsid w:val="0004695D"/>
    <w:rsid w:val="00046C34"/>
    <w:rsid w:val="00057DBF"/>
    <w:rsid w:val="000617FE"/>
    <w:rsid w:val="0006411D"/>
    <w:rsid w:val="000642AF"/>
    <w:rsid w:val="00066792"/>
    <w:rsid w:val="00072090"/>
    <w:rsid w:val="00076B75"/>
    <w:rsid w:val="00076F1D"/>
    <w:rsid w:val="00077234"/>
    <w:rsid w:val="000837EF"/>
    <w:rsid w:val="00083ADA"/>
    <w:rsid w:val="0008659F"/>
    <w:rsid w:val="00086C18"/>
    <w:rsid w:val="00090A07"/>
    <w:rsid w:val="00090F90"/>
    <w:rsid w:val="00093100"/>
    <w:rsid w:val="000939B1"/>
    <w:rsid w:val="00094E9D"/>
    <w:rsid w:val="000A078C"/>
    <w:rsid w:val="000A11AD"/>
    <w:rsid w:val="000A2C9F"/>
    <w:rsid w:val="000A475B"/>
    <w:rsid w:val="000A65EE"/>
    <w:rsid w:val="000B0DC9"/>
    <w:rsid w:val="000B3A75"/>
    <w:rsid w:val="000B4B76"/>
    <w:rsid w:val="000B547D"/>
    <w:rsid w:val="000B7A7E"/>
    <w:rsid w:val="000B7EE6"/>
    <w:rsid w:val="000C10AA"/>
    <w:rsid w:val="000C26FD"/>
    <w:rsid w:val="000D08DE"/>
    <w:rsid w:val="000D203E"/>
    <w:rsid w:val="000D2C3D"/>
    <w:rsid w:val="000D2ECE"/>
    <w:rsid w:val="000D4E9E"/>
    <w:rsid w:val="000D7F9C"/>
    <w:rsid w:val="000E0020"/>
    <w:rsid w:val="000E1F7F"/>
    <w:rsid w:val="000E227E"/>
    <w:rsid w:val="000E24EC"/>
    <w:rsid w:val="000E3D3D"/>
    <w:rsid w:val="000F7312"/>
    <w:rsid w:val="000F740E"/>
    <w:rsid w:val="00104E44"/>
    <w:rsid w:val="001063CB"/>
    <w:rsid w:val="0011140E"/>
    <w:rsid w:val="00114707"/>
    <w:rsid w:val="00115943"/>
    <w:rsid w:val="00116988"/>
    <w:rsid w:val="00120E5D"/>
    <w:rsid w:val="00125553"/>
    <w:rsid w:val="0012738D"/>
    <w:rsid w:val="00130FBA"/>
    <w:rsid w:val="00131494"/>
    <w:rsid w:val="00132E3D"/>
    <w:rsid w:val="0014049F"/>
    <w:rsid w:val="00140BFD"/>
    <w:rsid w:val="00142868"/>
    <w:rsid w:val="00146B5E"/>
    <w:rsid w:val="0015292B"/>
    <w:rsid w:val="0015363F"/>
    <w:rsid w:val="00154C59"/>
    <w:rsid w:val="00155F6F"/>
    <w:rsid w:val="001564C3"/>
    <w:rsid w:val="001620D9"/>
    <w:rsid w:val="0016514F"/>
    <w:rsid w:val="00165414"/>
    <w:rsid w:val="00165F97"/>
    <w:rsid w:val="00167090"/>
    <w:rsid w:val="00167507"/>
    <w:rsid w:val="00172A27"/>
    <w:rsid w:val="00173108"/>
    <w:rsid w:val="00173D37"/>
    <w:rsid w:val="00174E43"/>
    <w:rsid w:val="0018238C"/>
    <w:rsid w:val="00182D4C"/>
    <w:rsid w:val="001834BA"/>
    <w:rsid w:val="001843D3"/>
    <w:rsid w:val="00184866"/>
    <w:rsid w:val="00185DBC"/>
    <w:rsid w:val="001867E2"/>
    <w:rsid w:val="001919D1"/>
    <w:rsid w:val="00191DD8"/>
    <w:rsid w:val="00193AE6"/>
    <w:rsid w:val="00194AEF"/>
    <w:rsid w:val="001963BD"/>
    <w:rsid w:val="001A120B"/>
    <w:rsid w:val="001A184C"/>
    <w:rsid w:val="001A274E"/>
    <w:rsid w:val="001A2C88"/>
    <w:rsid w:val="001A37E0"/>
    <w:rsid w:val="001A3EC9"/>
    <w:rsid w:val="001A50F2"/>
    <w:rsid w:val="001A6EF7"/>
    <w:rsid w:val="001B1DF0"/>
    <w:rsid w:val="001B21A5"/>
    <w:rsid w:val="001B45D5"/>
    <w:rsid w:val="001B4675"/>
    <w:rsid w:val="001B4BDE"/>
    <w:rsid w:val="001B59E9"/>
    <w:rsid w:val="001B62B0"/>
    <w:rsid w:val="001B6A78"/>
    <w:rsid w:val="001C1FC2"/>
    <w:rsid w:val="001C4E01"/>
    <w:rsid w:val="001C7AB4"/>
    <w:rsid w:val="001D0C94"/>
    <w:rsid w:val="001D3498"/>
    <w:rsid w:val="001E1380"/>
    <w:rsid w:val="001E5247"/>
    <w:rsid w:val="001F23AB"/>
    <w:rsid w:val="001F32ED"/>
    <w:rsid w:val="001F4F95"/>
    <w:rsid w:val="001F7E70"/>
    <w:rsid w:val="00200459"/>
    <w:rsid w:val="00202DB7"/>
    <w:rsid w:val="00207065"/>
    <w:rsid w:val="00207999"/>
    <w:rsid w:val="00212D04"/>
    <w:rsid w:val="00213FCA"/>
    <w:rsid w:val="00214988"/>
    <w:rsid w:val="00214B43"/>
    <w:rsid w:val="00214F76"/>
    <w:rsid w:val="002202CE"/>
    <w:rsid w:val="0022219A"/>
    <w:rsid w:val="00222521"/>
    <w:rsid w:val="00227461"/>
    <w:rsid w:val="0022783F"/>
    <w:rsid w:val="00230392"/>
    <w:rsid w:val="00230583"/>
    <w:rsid w:val="00230A2B"/>
    <w:rsid w:val="00231547"/>
    <w:rsid w:val="002334EC"/>
    <w:rsid w:val="00235B32"/>
    <w:rsid w:val="00236AD7"/>
    <w:rsid w:val="00237688"/>
    <w:rsid w:val="00240423"/>
    <w:rsid w:val="00243B18"/>
    <w:rsid w:val="00246AD7"/>
    <w:rsid w:val="00246B91"/>
    <w:rsid w:val="00247A64"/>
    <w:rsid w:val="00250013"/>
    <w:rsid w:val="00250BCF"/>
    <w:rsid w:val="00253591"/>
    <w:rsid w:val="00255670"/>
    <w:rsid w:val="00256780"/>
    <w:rsid w:val="00262ABE"/>
    <w:rsid w:val="002657EE"/>
    <w:rsid w:val="00276F57"/>
    <w:rsid w:val="00277D06"/>
    <w:rsid w:val="002816D4"/>
    <w:rsid w:val="00286980"/>
    <w:rsid w:val="002928CE"/>
    <w:rsid w:val="00292C87"/>
    <w:rsid w:val="0029757E"/>
    <w:rsid w:val="002A1A66"/>
    <w:rsid w:val="002A39EF"/>
    <w:rsid w:val="002A599F"/>
    <w:rsid w:val="002A6E04"/>
    <w:rsid w:val="002B4BA8"/>
    <w:rsid w:val="002B7071"/>
    <w:rsid w:val="002B7117"/>
    <w:rsid w:val="002B714A"/>
    <w:rsid w:val="002B718A"/>
    <w:rsid w:val="002B7621"/>
    <w:rsid w:val="002C2E22"/>
    <w:rsid w:val="002C4A57"/>
    <w:rsid w:val="002C528E"/>
    <w:rsid w:val="002C5643"/>
    <w:rsid w:val="002E13EC"/>
    <w:rsid w:val="002E41CC"/>
    <w:rsid w:val="002F05E9"/>
    <w:rsid w:val="002F2C99"/>
    <w:rsid w:val="002F3D6A"/>
    <w:rsid w:val="002F794D"/>
    <w:rsid w:val="003029B3"/>
    <w:rsid w:val="00303019"/>
    <w:rsid w:val="00306787"/>
    <w:rsid w:val="00306966"/>
    <w:rsid w:val="0031113D"/>
    <w:rsid w:val="00311AAC"/>
    <w:rsid w:val="00313CA4"/>
    <w:rsid w:val="00314E82"/>
    <w:rsid w:val="003150CE"/>
    <w:rsid w:val="00315FF9"/>
    <w:rsid w:val="00316270"/>
    <w:rsid w:val="00321598"/>
    <w:rsid w:val="00321FDB"/>
    <w:rsid w:val="00323870"/>
    <w:rsid w:val="00323FFD"/>
    <w:rsid w:val="00324847"/>
    <w:rsid w:val="00324A5E"/>
    <w:rsid w:val="00325624"/>
    <w:rsid w:val="0032611D"/>
    <w:rsid w:val="003264EB"/>
    <w:rsid w:val="00326940"/>
    <w:rsid w:val="00330CCD"/>
    <w:rsid w:val="00332891"/>
    <w:rsid w:val="00332BBD"/>
    <w:rsid w:val="00333810"/>
    <w:rsid w:val="003343C0"/>
    <w:rsid w:val="00340804"/>
    <w:rsid w:val="00342D97"/>
    <w:rsid w:val="00343375"/>
    <w:rsid w:val="003448C2"/>
    <w:rsid w:val="00344CD6"/>
    <w:rsid w:val="0034662F"/>
    <w:rsid w:val="003510D2"/>
    <w:rsid w:val="00351A8E"/>
    <w:rsid w:val="0035447B"/>
    <w:rsid w:val="00356B27"/>
    <w:rsid w:val="00356B90"/>
    <w:rsid w:val="00357C8A"/>
    <w:rsid w:val="00360C29"/>
    <w:rsid w:val="0036101B"/>
    <w:rsid w:val="003613C6"/>
    <w:rsid w:val="00361CBA"/>
    <w:rsid w:val="00362EE3"/>
    <w:rsid w:val="0036593D"/>
    <w:rsid w:val="00366951"/>
    <w:rsid w:val="00370107"/>
    <w:rsid w:val="003720A1"/>
    <w:rsid w:val="003745F9"/>
    <w:rsid w:val="00376808"/>
    <w:rsid w:val="0037767C"/>
    <w:rsid w:val="003817E6"/>
    <w:rsid w:val="00381E22"/>
    <w:rsid w:val="0038244A"/>
    <w:rsid w:val="00382545"/>
    <w:rsid w:val="00383221"/>
    <w:rsid w:val="00384090"/>
    <w:rsid w:val="003844ED"/>
    <w:rsid w:val="00386132"/>
    <w:rsid w:val="003871B4"/>
    <w:rsid w:val="00393016"/>
    <w:rsid w:val="00394BA5"/>
    <w:rsid w:val="00394D82"/>
    <w:rsid w:val="003A70F7"/>
    <w:rsid w:val="003B39C6"/>
    <w:rsid w:val="003B4CDE"/>
    <w:rsid w:val="003B5919"/>
    <w:rsid w:val="003B7075"/>
    <w:rsid w:val="003B7983"/>
    <w:rsid w:val="003C24F4"/>
    <w:rsid w:val="003C4452"/>
    <w:rsid w:val="003C4CBD"/>
    <w:rsid w:val="003C7646"/>
    <w:rsid w:val="003D0BFC"/>
    <w:rsid w:val="003D206A"/>
    <w:rsid w:val="003D27B4"/>
    <w:rsid w:val="003D34ED"/>
    <w:rsid w:val="003D60ED"/>
    <w:rsid w:val="003D7852"/>
    <w:rsid w:val="003E0F27"/>
    <w:rsid w:val="003E15AB"/>
    <w:rsid w:val="003E3274"/>
    <w:rsid w:val="003E441B"/>
    <w:rsid w:val="003E528B"/>
    <w:rsid w:val="003E62C9"/>
    <w:rsid w:val="003E64A4"/>
    <w:rsid w:val="003F1184"/>
    <w:rsid w:val="003F19CD"/>
    <w:rsid w:val="003F34D1"/>
    <w:rsid w:val="003F5214"/>
    <w:rsid w:val="003F56BE"/>
    <w:rsid w:val="003F72A7"/>
    <w:rsid w:val="00403578"/>
    <w:rsid w:val="0040419B"/>
    <w:rsid w:val="00404AFD"/>
    <w:rsid w:val="0041061A"/>
    <w:rsid w:val="00411B9C"/>
    <w:rsid w:val="004139CC"/>
    <w:rsid w:val="00416BD0"/>
    <w:rsid w:val="004179E4"/>
    <w:rsid w:val="00422908"/>
    <w:rsid w:val="0042416B"/>
    <w:rsid w:val="004249BA"/>
    <w:rsid w:val="0042531B"/>
    <w:rsid w:val="004306D8"/>
    <w:rsid w:val="00430F18"/>
    <w:rsid w:val="00432BC1"/>
    <w:rsid w:val="00433924"/>
    <w:rsid w:val="00434AAC"/>
    <w:rsid w:val="0043512B"/>
    <w:rsid w:val="00435537"/>
    <w:rsid w:val="004355FE"/>
    <w:rsid w:val="00441E58"/>
    <w:rsid w:val="00445715"/>
    <w:rsid w:val="00445E0F"/>
    <w:rsid w:val="00446179"/>
    <w:rsid w:val="004506F7"/>
    <w:rsid w:val="0045199B"/>
    <w:rsid w:val="00451F70"/>
    <w:rsid w:val="00454C0F"/>
    <w:rsid w:val="00454F95"/>
    <w:rsid w:val="004571AF"/>
    <w:rsid w:val="00462043"/>
    <w:rsid w:val="0046380E"/>
    <w:rsid w:val="00466093"/>
    <w:rsid w:val="004712B0"/>
    <w:rsid w:val="00471B5C"/>
    <w:rsid w:val="00473006"/>
    <w:rsid w:val="00473509"/>
    <w:rsid w:val="00473BA0"/>
    <w:rsid w:val="00474B17"/>
    <w:rsid w:val="0047678B"/>
    <w:rsid w:val="00477FF4"/>
    <w:rsid w:val="00482303"/>
    <w:rsid w:val="00487C57"/>
    <w:rsid w:val="00494CD7"/>
    <w:rsid w:val="004A3117"/>
    <w:rsid w:val="004A394F"/>
    <w:rsid w:val="004A7299"/>
    <w:rsid w:val="004B15C6"/>
    <w:rsid w:val="004C0130"/>
    <w:rsid w:val="004C1E7E"/>
    <w:rsid w:val="004C2BF2"/>
    <w:rsid w:val="004C4C36"/>
    <w:rsid w:val="004C791A"/>
    <w:rsid w:val="004D0871"/>
    <w:rsid w:val="004D31D7"/>
    <w:rsid w:val="004D6B92"/>
    <w:rsid w:val="004E085C"/>
    <w:rsid w:val="004E0F8D"/>
    <w:rsid w:val="004F0E30"/>
    <w:rsid w:val="004F1D3D"/>
    <w:rsid w:val="004F3C9D"/>
    <w:rsid w:val="004F5CF2"/>
    <w:rsid w:val="004F77A5"/>
    <w:rsid w:val="00504F99"/>
    <w:rsid w:val="00505F69"/>
    <w:rsid w:val="005078D7"/>
    <w:rsid w:val="00510F89"/>
    <w:rsid w:val="00512B81"/>
    <w:rsid w:val="00513D1E"/>
    <w:rsid w:val="0052022B"/>
    <w:rsid w:val="005212B3"/>
    <w:rsid w:val="00525D5C"/>
    <w:rsid w:val="00526B90"/>
    <w:rsid w:val="00527D18"/>
    <w:rsid w:val="005324F1"/>
    <w:rsid w:val="005345CF"/>
    <w:rsid w:val="00534798"/>
    <w:rsid w:val="00534AB4"/>
    <w:rsid w:val="005362C3"/>
    <w:rsid w:val="00536BAD"/>
    <w:rsid w:val="00537141"/>
    <w:rsid w:val="005408F8"/>
    <w:rsid w:val="00543A1A"/>
    <w:rsid w:val="00543D1A"/>
    <w:rsid w:val="00545A63"/>
    <w:rsid w:val="00550A8B"/>
    <w:rsid w:val="00551ABE"/>
    <w:rsid w:val="00551F3F"/>
    <w:rsid w:val="00553C28"/>
    <w:rsid w:val="00555711"/>
    <w:rsid w:val="0055655B"/>
    <w:rsid w:val="005575EF"/>
    <w:rsid w:val="00557CAA"/>
    <w:rsid w:val="005610A7"/>
    <w:rsid w:val="00562097"/>
    <w:rsid w:val="00562642"/>
    <w:rsid w:val="00562653"/>
    <w:rsid w:val="00563B31"/>
    <w:rsid w:val="00564616"/>
    <w:rsid w:val="00565E25"/>
    <w:rsid w:val="00566512"/>
    <w:rsid w:val="005677A2"/>
    <w:rsid w:val="00571668"/>
    <w:rsid w:val="00573193"/>
    <w:rsid w:val="005736B2"/>
    <w:rsid w:val="0057643A"/>
    <w:rsid w:val="00580342"/>
    <w:rsid w:val="00582213"/>
    <w:rsid w:val="005901E1"/>
    <w:rsid w:val="005915F5"/>
    <w:rsid w:val="00591F58"/>
    <w:rsid w:val="00592834"/>
    <w:rsid w:val="00594FBF"/>
    <w:rsid w:val="0059693D"/>
    <w:rsid w:val="00597823"/>
    <w:rsid w:val="005A3405"/>
    <w:rsid w:val="005A5E6E"/>
    <w:rsid w:val="005A65D3"/>
    <w:rsid w:val="005A71BD"/>
    <w:rsid w:val="005A7C75"/>
    <w:rsid w:val="005B3CFB"/>
    <w:rsid w:val="005B4AA4"/>
    <w:rsid w:val="005B5C42"/>
    <w:rsid w:val="005B682A"/>
    <w:rsid w:val="005B705D"/>
    <w:rsid w:val="005C0054"/>
    <w:rsid w:val="005D0BCF"/>
    <w:rsid w:val="005D1D33"/>
    <w:rsid w:val="005D1E1A"/>
    <w:rsid w:val="005D2808"/>
    <w:rsid w:val="005D49DC"/>
    <w:rsid w:val="005D6EDB"/>
    <w:rsid w:val="005E4BD5"/>
    <w:rsid w:val="005E6D8D"/>
    <w:rsid w:val="005E7874"/>
    <w:rsid w:val="005F2C58"/>
    <w:rsid w:val="005F3CD8"/>
    <w:rsid w:val="005F6D4E"/>
    <w:rsid w:val="00601231"/>
    <w:rsid w:val="006015AA"/>
    <w:rsid w:val="006053A4"/>
    <w:rsid w:val="00610D91"/>
    <w:rsid w:val="0061143B"/>
    <w:rsid w:val="006173D9"/>
    <w:rsid w:val="006174D0"/>
    <w:rsid w:val="00617B19"/>
    <w:rsid w:val="00620E0C"/>
    <w:rsid w:val="0062507F"/>
    <w:rsid w:val="00626412"/>
    <w:rsid w:val="00627097"/>
    <w:rsid w:val="00627F07"/>
    <w:rsid w:val="00630701"/>
    <w:rsid w:val="00630A52"/>
    <w:rsid w:val="006314EC"/>
    <w:rsid w:val="006317D9"/>
    <w:rsid w:val="006319A4"/>
    <w:rsid w:val="006320EC"/>
    <w:rsid w:val="00632505"/>
    <w:rsid w:val="0063261C"/>
    <w:rsid w:val="00634E49"/>
    <w:rsid w:val="006404B8"/>
    <w:rsid w:val="00640732"/>
    <w:rsid w:val="00640CD1"/>
    <w:rsid w:val="006411FA"/>
    <w:rsid w:val="006468C4"/>
    <w:rsid w:val="00656322"/>
    <w:rsid w:val="0065656C"/>
    <w:rsid w:val="00662C9C"/>
    <w:rsid w:val="00664CCB"/>
    <w:rsid w:val="0066501C"/>
    <w:rsid w:val="00667847"/>
    <w:rsid w:val="00667E21"/>
    <w:rsid w:val="00672253"/>
    <w:rsid w:val="00672477"/>
    <w:rsid w:val="006803F2"/>
    <w:rsid w:val="00680EED"/>
    <w:rsid w:val="00683A32"/>
    <w:rsid w:val="00686C3A"/>
    <w:rsid w:val="0069751D"/>
    <w:rsid w:val="00697E3A"/>
    <w:rsid w:val="006A5A61"/>
    <w:rsid w:val="006A6C9D"/>
    <w:rsid w:val="006B06AF"/>
    <w:rsid w:val="006B3780"/>
    <w:rsid w:val="006B3913"/>
    <w:rsid w:val="006B5F0A"/>
    <w:rsid w:val="006B7B67"/>
    <w:rsid w:val="006C004B"/>
    <w:rsid w:val="006C09E3"/>
    <w:rsid w:val="006C12A2"/>
    <w:rsid w:val="006C1EAD"/>
    <w:rsid w:val="006C3056"/>
    <w:rsid w:val="006C3E9D"/>
    <w:rsid w:val="006C4608"/>
    <w:rsid w:val="006E29E7"/>
    <w:rsid w:val="006E3C5D"/>
    <w:rsid w:val="006E4C81"/>
    <w:rsid w:val="006F3D17"/>
    <w:rsid w:val="007010A6"/>
    <w:rsid w:val="007010E6"/>
    <w:rsid w:val="007013D6"/>
    <w:rsid w:val="00704877"/>
    <w:rsid w:val="007056DC"/>
    <w:rsid w:val="00707B0D"/>
    <w:rsid w:val="00707F33"/>
    <w:rsid w:val="00707FB8"/>
    <w:rsid w:val="00710E91"/>
    <w:rsid w:val="00712094"/>
    <w:rsid w:val="00712899"/>
    <w:rsid w:val="00716F04"/>
    <w:rsid w:val="007220FC"/>
    <w:rsid w:val="007224C8"/>
    <w:rsid w:val="00731F87"/>
    <w:rsid w:val="00734057"/>
    <w:rsid w:val="007347A9"/>
    <w:rsid w:val="00734A59"/>
    <w:rsid w:val="00737389"/>
    <w:rsid w:val="00740EA7"/>
    <w:rsid w:val="00741E7A"/>
    <w:rsid w:val="00743A79"/>
    <w:rsid w:val="00746374"/>
    <w:rsid w:val="0074694C"/>
    <w:rsid w:val="00750DC6"/>
    <w:rsid w:val="00751F36"/>
    <w:rsid w:val="00752ABA"/>
    <w:rsid w:val="007544B3"/>
    <w:rsid w:val="00754953"/>
    <w:rsid w:val="00755F4B"/>
    <w:rsid w:val="007569BF"/>
    <w:rsid w:val="00764F21"/>
    <w:rsid w:val="007650EA"/>
    <w:rsid w:val="00771225"/>
    <w:rsid w:val="007716E8"/>
    <w:rsid w:val="00771EE2"/>
    <w:rsid w:val="00772F61"/>
    <w:rsid w:val="007735D0"/>
    <w:rsid w:val="00776CE6"/>
    <w:rsid w:val="0077709D"/>
    <w:rsid w:val="0077725B"/>
    <w:rsid w:val="0078232E"/>
    <w:rsid w:val="007825BB"/>
    <w:rsid w:val="0078387C"/>
    <w:rsid w:val="007846BD"/>
    <w:rsid w:val="007852C4"/>
    <w:rsid w:val="00785C7C"/>
    <w:rsid w:val="00791072"/>
    <w:rsid w:val="00791620"/>
    <w:rsid w:val="00792C93"/>
    <w:rsid w:val="0079603B"/>
    <w:rsid w:val="00796119"/>
    <w:rsid w:val="00797F29"/>
    <w:rsid w:val="00797F99"/>
    <w:rsid w:val="007A3AD3"/>
    <w:rsid w:val="007A5486"/>
    <w:rsid w:val="007A59DE"/>
    <w:rsid w:val="007B10BC"/>
    <w:rsid w:val="007B2FBF"/>
    <w:rsid w:val="007B6549"/>
    <w:rsid w:val="007B7D18"/>
    <w:rsid w:val="007C065A"/>
    <w:rsid w:val="007C313C"/>
    <w:rsid w:val="007C5C10"/>
    <w:rsid w:val="007C5C4D"/>
    <w:rsid w:val="007D2547"/>
    <w:rsid w:val="007D3552"/>
    <w:rsid w:val="007D5303"/>
    <w:rsid w:val="007D6C61"/>
    <w:rsid w:val="007D7027"/>
    <w:rsid w:val="007E1D6E"/>
    <w:rsid w:val="007E60BB"/>
    <w:rsid w:val="007E66F0"/>
    <w:rsid w:val="007E6E71"/>
    <w:rsid w:val="007F0879"/>
    <w:rsid w:val="007F2072"/>
    <w:rsid w:val="007F7CC1"/>
    <w:rsid w:val="00801530"/>
    <w:rsid w:val="00803277"/>
    <w:rsid w:val="00803BC6"/>
    <w:rsid w:val="008044D7"/>
    <w:rsid w:val="00811BC8"/>
    <w:rsid w:val="00812181"/>
    <w:rsid w:val="0081385B"/>
    <w:rsid w:val="00816600"/>
    <w:rsid w:val="00821645"/>
    <w:rsid w:val="00822D2E"/>
    <w:rsid w:val="00827EA0"/>
    <w:rsid w:val="0083345E"/>
    <w:rsid w:val="00834EAE"/>
    <w:rsid w:val="00841403"/>
    <w:rsid w:val="0084190B"/>
    <w:rsid w:val="0084411B"/>
    <w:rsid w:val="00844951"/>
    <w:rsid w:val="00844D6E"/>
    <w:rsid w:val="00845A5D"/>
    <w:rsid w:val="008462FB"/>
    <w:rsid w:val="008465CD"/>
    <w:rsid w:val="0084663D"/>
    <w:rsid w:val="008515C0"/>
    <w:rsid w:val="00854873"/>
    <w:rsid w:val="00855E83"/>
    <w:rsid w:val="00856515"/>
    <w:rsid w:val="0086292A"/>
    <w:rsid w:val="00864FC6"/>
    <w:rsid w:val="00865B48"/>
    <w:rsid w:val="00872E7D"/>
    <w:rsid w:val="00874549"/>
    <w:rsid w:val="008756B7"/>
    <w:rsid w:val="008757B7"/>
    <w:rsid w:val="00880472"/>
    <w:rsid w:val="008813F9"/>
    <w:rsid w:val="0088144C"/>
    <w:rsid w:val="00881587"/>
    <w:rsid w:val="0088218C"/>
    <w:rsid w:val="00884060"/>
    <w:rsid w:val="00890796"/>
    <w:rsid w:val="0089321E"/>
    <w:rsid w:val="008933DF"/>
    <w:rsid w:val="00894C08"/>
    <w:rsid w:val="00895001"/>
    <w:rsid w:val="0089560E"/>
    <w:rsid w:val="008A0CBD"/>
    <w:rsid w:val="008A0D2A"/>
    <w:rsid w:val="008A1DEE"/>
    <w:rsid w:val="008A3970"/>
    <w:rsid w:val="008A5701"/>
    <w:rsid w:val="008B3DFF"/>
    <w:rsid w:val="008B3F28"/>
    <w:rsid w:val="008C49D3"/>
    <w:rsid w:val="008C5947"/>
    <w:rsid w:val="008C6DA1"/>
    <w:rsid w:val="008C72A6"/>
    <w:rsid w:val="008D3D94"/>
    <w:rsid w:val="008D618A"/>
    <w:rsid w:val="008E1DC0"/>
    <w:rsid w:val="008E30BF"/>
    <w:rsid w:val="008E35A0"/>
    <w:rsid w:val="008E3A25"/>
    <w:rsid w:val="008E5038"/>
    <w:rsid w:val="008F031C"/>
    <w:rsid w:val="008F1463"/>
    <w:rsid w:val="008F1F11"/>
    <w:rsid w:val="008F31C7"/>
    <w:rsid w:val="008F7358"/>
    <w:rsid w:val="008F7394"/>
    <w:rsid w:val="008F79D7"/>
    <w:rsid w:val="009006DF"/>
    <w:rsid w:val="00910153"/>
    <w:rsid w:val="00910A19"/>
    <w:rsid w:val="00910BDC"/>
    <w:rsid w:val="00910F4E"/>
    <w:rsid w:val="00911695"/>
    <w:rsid w:val="00911E55"/>
    <w:rsid w:val="00913F05"/>
    <w:rsid w:val="0091562C"/>
    <w:rsid w:val="009177B6"/>
    <w:rsid w:val="00917A27"/>
    <w:rsid w:val="00923CD3"/>
    <w:rsid w:val="00924202"/>
    <w:rsid w:val="00924E50"/>
    <w:rsid w:val="00925CC6"/>
    <w:rsid w:val="00926ABF"/>
    <w:rsid w:val="00927A26"/>
    <w:rsid w:val="00927D00"/>
    <w:rsid w:val="00930969"/>
    <w:rsid w:val="0093269F"/>
    <w:rsid w:val="00936433"/>
    <w:rsid w:val="009412CD"/>
    <w:rsid w:val="0095349A"/>
    <w:rsid w:val="00955204"/>
    <w:rsid w:val="00960CAB"/>
    <w:rsid w:val="00960CCB"/>
    <w:rsid w:val="00961359"/>
    <w:rsid w:val="00962A0B"/>
    <w:rsid w:val="00962C4D"/>
    <w:rsid w:val="00964D34"/>
    <w:rsid w:val="00966F72"/>
    <w:rsid w:val="0096757C"/>
    <w:rsid w:val="00967A23"/>
    <w:rsid w:val="00972946"/>
    <w:rsid w:val="00972E84"/>
    <w:rsid w:val="00974691"/>
    <w:rsid w:val="00976022"/>
    <w:rsid w:val="00976169"/>
    <w:rsid w:val="00976580"/>
    <w:rsid w:val="00977C3F"/>
    <w:rsid w:val="00977CC3"/>
    <w:rsid w:val="00980102"/>
    <w:rsid w:val="0098316D"/>
    <w:rsid w:val="00984D59"/>
    <w:rsid w:val="0098502F"/>
    <w:rsid w:val="00986D16"/>
    <w:rsid w:val="009910B5"/>
    <w:rsid w:val="009920AD"/>
    <w:rsid w:val="0099244A"/>
    <w:rsid w:val="009938B8"/>
    <w:rsid w:val="00994EB2"/>
    <w:rsid w:val="00995053"/>
    <w:rsid w:val="009A0735"/>
    <w:rsid w:val="009A25E2"/>
    <w:rsid w:val="009A37CD"/>
    <w:rsid w:val="009A4C36"/>
    <w:rsid w:val="009B1FF8"/>
    <w:rsid w:val="009B42EF"/>
    <w:rsid w:val="009B4E7E"/>
    <w:rsid w:val="009B5EED"/>
    <w:rsid w:val="009C20D3"/>
    <w:rsid w:val="009C37BF"/>
    <w:rsid w:val="009C6EE6"/>
    <w:rsid w:val="009C7333"/>
    <w:rsid w:val="009C7979"/>
    <w:rsid w:val="009D0966"/>
    <w:rsid w:val="009D0B0C"/>
    <w:rsid w:val="009D22E5"/>
    <w:rsid w:val="009D4B7E"/>
    <w:rsid w:val="009D5E13"/>
    <w:rsid w:val="009D71F1"/>
    <w:rsid w:val="009E015C"/>
    <w:rsid w:val="009E0909"/>
    <w:rsid w:val="009E37B1"/>
    <w:rsid w:val="009E3E05"/>
    <w:rsid w:val="009E5780"/>
    <w:rsid w:val="009E5D72"/>
    <w:rsid w:val="009E6EC4"/>
    <w:rsid w:val="009F01E1"/>
    <w:rsid w:val="009F2F5E"/>
    <w:rsid w:val="009F3B2F"/>
    <w:rsid w:val="009F42ED"/>
    <w:rsid w:val="009F60D9"/>
    <w:rsid w:val="00A01456"/>
    <w:rsid w:val="00A01B5E"/>
    <w:rsid w:val="00A02A20"/>
    <w:rsid w:val="00A03301"/>
    <w:rsid w:val="00A05E3C"/>
    <w:rsid w:val="00A0769D"/>
    <w:rsid w:val="00A07925"/>
    <w:rsid w:val="00A101E8"/>
    <w:rsid w:val="00A10455"/>
    <w:rsid w:val="00A1132C"/>
    <w:rsid w:val="00A1168E"/>
    <w:rsid w:val="00A11DCF"/>
    <w:rsid w:val="00A11EE6"/>
    <w:rsid w:val="00A1213C"/>
    <w:rsid w:val="00A14C01"/>
    <w:rsid w:val="00A1556E"/>
    <w:rsid w:val="00A169DC"/>
    <w:rsid w:val="00A20C10"/>
    <w:rsid w:val="00A22308"/>
    <w:rsid w:val="00A22EC9"/>
    <w:rsid w:val="00A25ED3"/>
    <w:rsid w:val="00A264B5"/>
    <w:rsid w:val="00A26E1A"/>
    <w:rsid w:val="00A27D67"/>
    <w:rsid w:val="00A317E0"/>
    <w:rsid w:val="00A37208"/>
    <w:rsid w:val="00A373FE"/>
    <w:rsid w:val="00A37744"/>
    <w:rsid w:val="00A4126B"/>
    <w:rsid w:val="00A431C8"/>
    <w:rsid w:val="00A47E8E"/>
    <w:rsid w:val="00A50183"/>
    <w:rsid w:val="00A50E52"/>
    <w:rsid w:val="00A512D9"/>
    <w:rsid w:val="00A52488"/>
    <w:rsid w:val="00A52EF8"/>
    <w:rsid w:val="00A52F87"/>
    <w:rsid w:val="00A550F0"/>
    <w:rsid w:val="00A55F4D"/>
    <w:rsid w:val="00A56DFC"/>
    <w:rsid w:val="00A607D6"/>
    <w:rsid w:val="00A65ACF"/>
    <w:rsid w:val="00A71725"/>
    <w:rsid w:val="00A730D4"/>
    <w:rsid w:val="00A75160"/>
    <w:rsid w:val="00A80107"/>
    <w:rsid w:val="00A80270"/>
    <w:rsid w:val="00A81E1C"/>
    <w:rsid w:val="00A82C07"/>
    <w:rsid w:val="00A8654F"/>
    <w:rsid w:val="00A921C2"/>
    <w:rsid w:val="00A93040"/>
    <w:rsid w:val="00A9331E"/>
    <w:rsid w:val="00A96C90"/>
    <w:rsid w:val="00AA1C5D"/>
    <w:rsid w:val="00AA207A"/>
    <w:rsid w:val="00AA672A"/>
    <w:rsid w:val="00AA7717"/>
    <w:rsid w:val="00AA7A7D"/>
    <w:rsid w:val="00AA7BA4"/>
    <w:rsid w:val="00AB24DF"/>
    <w:rsid w:val="00AB2639"/>
    <w:rsid w:val="00AB41F5"/>
    <w:rsid w:val="00AB534D"/>
    <w:rsid w:val="00AB6C48"/>
    <w:rsid w:val="00AB7F2E"/>
    <w:rsid w:val="00AC00B4"/>
    <w:rsid w:val="00AC26EA"/>
    <w:rsid w:val="00AC2702"/>
    <w:rsid w:val="00AC5E52"/>
    <w:rsid w:val="00AC75F2"/>
    <w:rsid w:val="00AD0D0C"/>
    <w:rsid w:val="00AD28A1"/>
    <w:rsid w:val="00AD39D3"/>
    <w:rsid w:val="00AD6CA7"/>
    <w:rsid w:val="00AF04EA"/>
    <w:rsid w:val="00AF1B9D"/>
    <w:rsid w:val="00AF2D9F"/>
    <w:rsid w:val="00AF4146"/>
    <w:rsid w:val="00B01E1E"/>
    <w:rsid w:val="00B04E52"/>
    <w:rsid w:val="00B064E0"/>
    <w:rsid w:val="00B0681C"/>
    <w:rsid w:val="00B06DF0"/>
    <w:rsid w:val="00B125E7"/>
    <w:rsid w:val="00B17733"/>
    <w:rsid w:val="00B17A2D"/>
    <w:rsid w:val="00B238A2"/>
    <w:rsid w:val="00B24199"/>
    <w:rsid w:val="00B2684F"/>
    <w:rsid w:val="00B30708"/>
    <w:rsid w:val="00B30B1C"/>
    <w:rsid w:val="00B32557"/>
    <w:rsid w:val="00B40A36"/>
    <w:rsid w:val="00B421B9"/>
    <w:rsid w:val="00B43070"/>
    <w:rsid w:val="00B43FAA"/>
    <w:rsid w:val="00B46946"/>
    <w:rsid w:val="00B52319"/>
    <w:rsid w:val="00B5524B"/>
    <w:rsid w:val="00B60374"/>
    <w:rsid w:val="00B624DE"/>
    <w:rsid w:val="00B631C4"/>
    <w:rsid w:val="00B648B6"/>
    <w:rsid w:val="00B65453"/>
    <w:rsid w:val="00B669BA"/>
    <w:rsid w:val="00B67E11"/>
    <w:rsid w:val="00B75280"/>
    <w:rsid w:val="00B81D39"/>
    <w:rsid w:val="00B82D37"/>
    <w:rsid w:val="00B879EB"/>
    <w:rsid w:val="00B87A14"/>
    <w:rsid w:val="00B87A48"/>
    <w:rsid w:val="00B91A45"/>
    <w:rsid w:val="00BA398E"/>
    <w:rsid w:val="00BA58F0"/>
    <w:rsid w:val="00BA6D3B"/>
    <w:rsid w:val="00BA7453"/>
    <w:rsid w:val="00BB0336"/>
    <w:rsid w:val="00BB0FA2"/>
    <w:rsid w:val="00BB2223"/>
    <w:rsid w:val="00BB2B7B"/>
    <w:rsid w:val="00BB2E6B"/>
    <w:rsid w:val="00BC0C20"/>
    <w:rsid w:val="00BC508C"/>
    <w:rsid w:val="00BC79D7"/>
    <w:rsid w:val="00BD1389"/>
    <w:rsid w:val="00BD41E9"/>
    <w:rsid w:val="00BD51C6"/>
    <w:rsid w:val="00BD7908"/>
    <w:rsid w:val="00BE057A"/>
    <w:rsid w:val="00BE2D96"/>
    <w:rsid w:val="00BE520A"/>
    <w:rsid w:val="00BE5A23"/>
    <w:rsid w:val="00BE6705"/>
    <w:rsid w:val="00BE7FAD"/>
    <w:rsid w:val="00BF03C1"/>
    <w:rsid w:val="00BF0DAF"/>
    <w:rsid w:val="00BF0E76"/>
    <w:rsid w:val="00BF1E08"/>
    <w:rsid w:val="00BF2EB6"/>
    <w:rsid w:val="00BF7A0C"/>
    <w:rsid w:val="00C063C0"/>
    <w:rsid w:val="00C06DB4"/>
    <w:rsid w:val="00C0756A"/>
    <w:rsid w:val="00C12BE9"/>
    <w:rsid w:val="00C13786"/>
    <w:rsid w:val="00C14FCB"/>
    <w:rsid w:val="00C15A0C"/>
    <w:rsid w:val="00C15FE3"/>
    <w:rsid w:val="00C2443D"/>
    <w:rsid w:val="00C24999"/>
    <w:rsid w:val="00C25A3F"/>
    <w:rsid w:val="00C2616B"/>
    <w:rsid w:val="00C26E45"/>
    <w:rsid w:val="00C318C2"/>
    <w:rsid w:val="00C35769"/>
    <w:rsid w:val="00C405C9"/>
    <w:rsid w:val="00C40FE1"/>
    <w:rsid w:val="00C434BA"/>
    <w:rsid w:val="00C44BCE"/>
    <w:rsid w:val="00C46EAD"/>
    <w:rsid w:val="00C51140"/>
    <w:rsid w:val="00C536A9"/>
    <w:rsid w:val="00C56A2B"/>
    <w:rsid w:val="00C57A7D"/>
    <w:rsid w:val="00C57DD2"/>
    <w:rsid w:val="00C6039F"/>
    <w:rsid w:val="00C61FE7"/>
    <w:rsid w:val="00C64B7C"/>
    <w:rsid w:val="00C673DF"/>
    <w:rsid w:val="00C75A94"/>
    <w:rsid w:val="00C77A24"/>
    <w:rsid w:val="00C77AA8"/>
    <w:rsid w:val="00C804FA"/>
    <w:rsid w:val="00C82D91"/>
    <w:rsid w:val="00C82E68"/>
    <w:rsid w:val="00C862B3"/>
    <w:rsid w:val="00C87690"/>
    <w:rsid w:val="00C87B3D"/>
    <w:rsid w:val="00C92F00"/>
    <w:rsid w:val="00C936E3"/>
    <w:rsid w:val="00C93DA5"/>
    <w:rsid w:val="00C9452A"/>
    <w:rsid w:val="00C94FA3"/>
    <w:rsid w:val="00C9774D"/>
    <w:rsid w:val="00CA00CA"/>
    <w:rsid w:val="00CA0334"/>
    <w:rsid w:val="00CA2884"/>
    <w:rsid w:val="00CA2953"/>
    <w:rsid w:val="00CA3206"/>
    <w:rsid w:val="00CA348C"/>
    <w:rsid w:val="00CA4CD5"/>
    <w:rsid w:val="00CA68AA"/>
    <w:rsid w:val="00CB12D2"/>
    <w:rsid w:val="00CB3280"/>
    <w:rsid w:val="00CB3F09"/>
    <w:rsid w:val="00CB4283"/>
    <w:rsid w:val="00CB4873"/>
    <w:rsid w:val="00CB57BD"/>
    <w:rsid w:val="00CB618B"/>
    <w:rsid w:val="00CC1A9F"/>
    <w:rsid w:val="00CC1C9A"/>
    <w:rsid w:val="00CC252A"/>
    <w:rsid w:val="00CC4493"/>
    <w:rsid w:val="00CC44BA"/>
    <w:rsid w:val="00CC47DB"/>
    <w:rsid w:val="00CC5D81"/>
    <w:rsid w:val="00CC7B84"/>
    <w:rsid w:val="00CD275C"/>
    <w:rsid w:val="00CD4231"/>
    <w:rsid w:val="00CD4AF0"/>
    <w:rsid w:val="00CD7B4A"/>
    <w:rsid w:val="00CE3A30"/>
    <w:rsid w:val="00CE4050"/>
    <w:rsid w:val="00CE4F1D"/>
    <w:rsid w:val="00CE602D"/>
    <w:rsid w:val="00CE65F8"/>
    <w:rsid w:val="00CE792C"/>
    <w:rsid w:val="00CE7DD4"/>
    <w:rsid w:val="00CF59F8"/>
    <w:rsid w:val="00CF615A"/>
    <w:rsid w:val="00CF745F"/>
    <w:rsid w:val="00D0047C"/>
    <w:rsid w:val="00D01366"/>
    <w:rsid w:val="00D0265F"/>
    <w:rsid w:val="00D03403"/>
    <w:rsid w:val="00D046B8"/>
    <w:rsid w:val="00D12693"/>
    <w:rsid w:val="00D1359A"/>
    <w:rsid w:val="00D22FAB"/>
    <w:rsid w:val="00D258FD"/>
    <w:rsid w:val="00D26687"/>
    <w:rsid w:val="00D2689C"/>
    <w:rsid w:val="00D26B80"/>
    <w:rsid w:val="00D30EE3"/>
    <w:rsid w:val="00D329C5"/>
    <w:rsid w:val="00D3321C"/>
    <w:rsid w:val="00D337F6"/>
    <w:rsid w:val="00D35580"/>
    <w:rsid w:val="00D356EA"/>
    <w:rsid w:val="00D401A6"/>
    <w:rsid w:val="00D409EF"/>
    <w:rsid w:val="00D40B26"/>
    <w:rsid w:val="00D453E0"/>
    <w:rsid w:val="00D5328E"/>
    <w:rsid w:val="00D54F1A"/>
    <w:rsid w:val="00D565F5"/>
    <w:rsid w:val="00D567DA"/>
    <w:rsid w:val="00D577DB"/>
    <w:rsid w:val="00D57E1A"/>
    <w:rsid w:val="00D608B9"/>
    <w:rsid w:val="00D61861"/>
    <w:rsid w:val="00D622CD"/>
    <w:rsid w:val="00D62567"/>
    <w:rsid w:val="00D66575"/>
    <w:rsid w:val="00D70550"/>
    <w:rsid w:val="00D80FD3"/>
    <w:rsid w:val="00D82784"/>
    <w:rsid w:val="00D8528C"/>
    <w:rsid w:val="00D87357"/>
    <w:rsid w:val="00D93C90"/>
    <w:rsid w:val="00D97E72"/>
    <w:rsid w:val="00DA0B4C"/>
    <w:rsid w:val="00DA116F"/>
    <w:rsid w:val="00DA25E7"/>
    <w:rsid w:val="00DA56E9"/>
    <w:rsid w:val="00DA71CC"/>
    <w:rsid w:val="00DB0579"/>
    <w:rsid w:val="00DB697C"/>
    <w:rsid w:val="00DB727B"/>
    <w:rsid w:val="00DB7622"/>
    <w:rsid w:val="00DB7E9D"/>
    <w:rsid w:val="00DC26C6"/>
    <w:rsid w:val="00DC277E"/>
    <w:rsid w:val="00DC3027"/>
    <w:rsid w:val="00DC383B"/>
    <w:rsid w:val="00DC3D1F"/>
    <w:rsid w:val="00DD13E3"/>
    <w:rsid w:val="00DD2ED9"/>
    <w:rsid w:val="00DD33A6"/>
    <w:rsid w:val="00DD4A45"/>
    <w:rsid w:val="00DD63D1"/>
    <w:rsid w:val="00DE0362"/>
    <w:rsid w:val="00DE222A"/>
    <w:rsid w:val="00DE34C7"/>
    <w:rsid w:val="00DE3DF8"/>
    <w:rsid w:val="00DE5E9E"/>
    <w:rsid w:val="00DE7D44"/>
    <w:rsid w:val="00DF0E81"/>
    <w:rsid w:val="00DF1196"/>
    <w:rsid w:val="00DF73D5"/>
    <w:rsid w:val="00E006A4"/>
    <w:rsid w:val="00E01733"/>
    <w:rsid w:val="00E041AA"/>
    <w:rsid w:val="00E0726C"/>
    <w:rsid w:val="00E12C8B"/>
    <w:rsid w:val="00E13696"/>
    <w:rsid w:val="00E15607"/>
    <w:rsid w:val="00E15BD9"/>
    <w:rsid w:val="00E20153"/>
    <w:rsid w:val="00E213C3"/>
    <w:rsid w:val="00E24AF7"/>
    <w:rsid w:val="00E2637A"/>
    <w:rsid w:val="00E31555"/>
    <w:rsid w:val="00E31DCB"/>
    <w:rsid w:val="00E3267B"/>
    <w:rsid w:val="00E350B1"/>
    <w:rsid w:val="00E355CF"/>
    <w:rsid w:val="00E355D3"/>
    <w:rsid w:val="00E37A69"/>
    <w:rsid w:val="00E40E68"/>
    <w:rsid w:val="00E420DA"/>
    <w:rsid w:val="00E432BC"/>
    <w:rsid w:val="00E452FF"/>
    <w:rsid w:val="00E46A23"/>
    <w:rsid w:val="00E471B1"/>
    <w:rsid w:val="00E47253"/>
    <w:rsid w:val="00E52FB0"/>
    <w:rsid w:val="00E5543F"/>
    <w:rsid w:val="00E61183"/>
    <w:rsid w:val="00E61800"/>
    <w:rsid w:val="00E62303"/>
    <w:rsid w:val="00E658A8"/>
    <w:rsid w:val="00E668DA"/>
    <w:rsid w:val="00E676D9"/>
    <w:rsid w:val="00E71800"/>
    <w:rsid w:val="00E73BE6"/>
    <w:rsid w:val="00E73BEC"/>
    <w:rsid w:val="00E73D9E"/>
    <w:rsid w:val="00E73E25"/>
    <w:rsid w:val="00E74949"/>
    <w:rsid w:val="00E74A8E"/>
    <w:rsid w:val="00E76AD5"/>
    <w:rsid w:val="00E82224"/>
    <w:rsid w:val="00E87A83"/>
    <w:rsid w:val="00E96C97"/>
    <w:rsid w:val="00EA09A8"/>
    <w:rsid w:val="00EA3E32"/>
    <w:rsid w:val="00EA6D61"/>
    <w:rsid w:val="00EA704E"/>
    <w:rsid w:val="00EA7F7C"/>
    <w:rsid w:val="00EB2913"/>
    <w:rsid w:val="00EB42BD"/>
    <w:rsid w:val="00EB642C"/>
    <w:rsid w:val="00EC2475"/>
    <w:rsid w:val="00EC4E86"/>
    <w:rsid w:val="00EC5566"/>
    <w:rsid w:val="00EC69E9"/>
    <w:rsid w:val="00ED12A0"/>
    <w:rsid w:val="00ED2D4B"/>
    <w:rsid w:val="00ED4F9C"/>
    <w:rsid w:val="00ED55F8"/>
    <w:rsid w:val="00ED5689"/>
    <w:rsid w:val="00ED697B"/>
    <w:rsid w:val="00ED70F4"/>
    <w:rsid w:val="00EE0B69"/>
    <w:rsid w:val="00EE0F9A"/>
    <w:rsid w:val="00EE1A69"/>
    <w:rsid w:val="00EE5547"/>
    <w:rsid w:val="00EE7CE2"/>
    <w:rsid w:val="00EF6DB6"/>
    <w:rsid w:val="00EF6EF4"/>
    <w:rsid w:val="00F00091"/>
    <w:rsid w:val="00F005E7"/>
    <w:rsid w:val="00F01476"/>
    <w:rsid w:val="00F0190B"/>
    <w:rsid w:val="00F0202B"/>
    <w:rsid w:val="00F02302"/>
    <w:rsid w:val="00F03454"/>
    <w:rsid w:val="00F0494D"/>
    <w:rsid w:val="00F04A09"/>
    <w:rsid w:val="00F05D9E"/>
    <w:rsid w:val="00F06492"/>
    <w:rsid w:val="00F07ED0"/>
    <w:rsid w:val="00F10121"/>
    <w:rsid w:val="00F1264F"/>
    <w:rsid w:val="00F12882"/>
    <w:rsid w:val="00F1424F"/>
    <w:rsid w:val="00F1577A"/>
    <w:rsid w:val="00F21581"/>
    <w:rsid w:val="00F22362"/>
    <w:rsid w:val="00F24C6B"/>
    <w:rsid w:val="00F26850"/>
    <w:rsid w:val="00F274AF"/>
    <w:rsid w:val="00F308B0"/>
    <w:rsid w:val="00F3163A"/>
    <w:rsid w:val="00F3402B"/>
    <w:rsid w:val="00F365E1"/>
    <w:rsid w:val="00F3673E"/>
    <w:rsid w:val="00F400D9"/>
    <w:rsid w:val="00F40471"/>
    <w:rsid w:val="00F43778"/>
    <w:rsid w:val="00F43A25"/>
    <w:rsid w:val="00F44207"/>
    <w:rsid w:val="00F442EF"/>
    <w:rsid w:val="00F44932"/>
    <w:rsid w:val="00F471C7"/>
    <w:rsid w:val="00F509D2"/>
    <w:rsid w:val="00F53E92"/>
    <w:rsid w:val="00F554B2"/>
    <w:rsid w:val="00F579EE"/>
    <w:rsid w:val="00F57BC9"/>
    <w:rsid w:val="00F60225"/>
    <w:rsid w:val="00F61A0A"/>
    <w:rsid w:val="00F61AD6"/>
    <w:rsid w:val="00F641D8"/>
    <w:rsid w:val="00F64532"/>
    <w:rsid w:val="00F66627"/>
    <w:rsid w:val="00F711EC"/>
    <w:rsid w:val="00F71E61"/>
    <w:rsid w:val="00F75713"/>
    <w:rsid w:val="00F75AB0"/>
    <w:rsid w:val="00F75C73"/>
    <w:rsid w:val="00F81536"/>
    <w:rsid w:val="00F85169"/>
    <w:rsid w:val="00F85239"/>
    <w:rsid w:val="00F8527D"/>
    <w:rsid w:val="00F8540D"/>
    <w:rsid w:val="00F90548"/>
    <w:rsid w:val="00F922EF"/>
    <w:rsid w:val="00F937BD"/>
    <w:rsid w:val="00F962DC"/>
    <w:rsid w:val="00FA07CF"/>
    <w:rsid w:val="00FA2F0E"/>
    <w:rsid w:val="00FA4ABC"/>
    <w:rsid w:val="00FA51C6"/>
    <w:rsid w:val="00FA5D2F"/>
    <w:rsid w:val="00FB11E7"/>
    <w:rsid w:val="00FB7C96"/>
    <w:rsid w:val="00FC1F97"/>
    <w:rsid w:val="00FC460B"/>
    <w:rsid w:val="00FC56B8"/>
    <w:rsid w:val="00FC5F20"/>
    <w:rsid w:val="00FC69AF"/>
    <w:rsid w:val="00FC7B5E"/>
    <w:rsid w:val="00FD079E"/>
    <w:rsid w:val="00FD0B41"/>
    <w:rsid w:val="00FD20A0"/>
    <w:rsid w:val="00FD4991"/>
    <w:rsid w:val="00FE0113"/>
    <w:rsid w:val="00FE0A00"/>
    <w:rsid w:val="00FE0D2A"/>
    <w:rsid w:val="00FE417B"/>
    <w:rsid w:val="00FE6AF1"/>
    <w:rsid w:val="00FE7A2E"/>
    <w:rsid w:val="00FF1392"/>
    <w:rsid w:val="00FF2D63"/>
    <w:rsid w:val="00FF403E"/>
    <w:rsid w:val="00FF6ACF"/>
    <w:rsid w:val="00FF7157"/>
    <w:rsid w:val="01086012"/>
    <w:rsid w:val="012F23D2"/>
    <w:rsid w:val="01353E46"/>
    <w:rsid w:val="013D20EF"/>
    <w:rsid w:val="013D4C8F"/>
    <w:rsid w:val="0141555F"/>
    <w:rsid w:val="01425A17"/>
    <w:rsid w:val="01542AFA"/>
    <w:rsid w:val="015E6630"/>
    <w:rsid w:val="015F3E37"/>
    <w:rsid w:val="016C75C7"/>
    <w:rsid w:val="018D524F"/>
    <w:rsid w:val="019036D8"/>
    <w:rsid w:val="01A01767"/>
    <w:rsid w:val="01A66FAC"/>
    <w:rsid w:val="01BD4FDC"/>
    <w:rsid w:val="01C42B8B"/>
    <w:rsid w:val="01CE3A0A"/>
    <w:rsid w:val="01E941AE"/>
    <w:rsid w:val="01ED256A"/>
    <w:rsid w:val="01FE504C"/>
    <w:rsid w:val="02201D8C"/>
    <w:rsid w:val="0221105C"/>
    <w:rsid w:val="02240E71"/>
    <w:rsid w:val="022F6268"/>
    <w:rsid w:val="0230144B"/>
    <w:rsid w:val="023E2A8F"/>
    <w:rsid w:val="023F01AC"/>
    <w:rsid w:val="02497F02"/>
    <w:rsid w:val="025C7268"/>
    <w:rsid w:val="025D37A6"/>
    <w:rsid w:val="02630A21"/>
    <w:rsid w:val="027520D7"/>
    <w:rsid w:val="02910656"/>
    <w:rsid w:val="029452C8"/>
    <w:rsid w:val="0299330C"/>
    <w:rsid w:val="029E3E12"/>
    <w:rsid w:val="02AE2F1E"/>
    <w:rsid w:val="02B07476"/>
    <w:rsid w:val="02B12263"/>
    <w:rsid w:val="02B34262"/>
    <w:rsid w:val="02BA6D6B"/>
    <w:rsid w:val="02BC6761"/>
    <w:rsid w:val="02C30781"/>
    <w:rsid w:val="02C32A89"/>
    <w:rsid w:val="02EB23C8"/>
    <w:rsid w:val="02ED4254"/>
    <w:rsid w:val="02F54A67"/>
    <w:rsid w:val="02FB586B"/>
    <w:rsid w:val="032764F6"/>
    <w:rsid w:val="03355FAD"/>
    <w:rsid w:val="03357A15"/>
    <w:rsid w:val="033F6615"/>
    <w:rsid w:val="034A4B76"/>
    <w:rsid w:val="03604B36"/>
    <w:rsid w:val="03646BB0"/>
    <w:rsid w:val="036A455B"/>
    <w:rsid w:val="03700AD7"/>
    <w:rsid w:val="03881BEB"/>
    <w:rsid w:val="03B07722"/>
    <w:rsid w:val="03B94246"/>
    <w:rsid w:val="03C9092D"/>
    <w:rsid w:val="03C947DD"/>
    <w:rsid w:val="03CD0376"/>
    <w:rsid w:val="03E73921"/>
    <w:rsid w:val="03E868D9"/>
    <w:rsid w:val="03EB0F95"/>
    <w:rsid w:val="03F1290E"/>
    <w:rsid w:val="04002E0B"/>
    <w:rsid w:val="040F03FA"/>
    <w:rsid w:val="0412438A"/>
    <w:rsid w:val="04136717"/>
    <w:rsid w:val="041D2A27"/>
    <w:rsid w:val="04332546"/>
    <w:rsid w:val="04533461"/>
    <w:rsid w:val="048D54DF"/>
    <w:rsid w:val="04B51F1A"/>
    <w:rsid w:val="04BD0338"/>
    <w:rsid w:val="04C56D31"/>
    <w:rsid w:val="04CF0F22"/>
    <w:rsid w:val="04D7542D"/>
    <w:rsid w:val="04DD163F"/>
    <w:rsid w:val="04E452F2"/>
    <w:rsid w:val="04E82F5F"/>
    <w:rsid w:val="05084E1A"/>
    <w:rsid w:val="0536624A"/>
    <w:rsid w:val="05476ED2"/>
    <w:rsid w:val="05507187"/>
    <w:rsid w:val="05547F50"/>
    <w:rsid w:val="05586D81"/>
    <w:rsid w:val="056775E0"/>
    <w:rsid w:val="05812096"/>
    <w:rsid w:val="05A174D0"/>
    <w:rsid w:val="05A31C11"/>
    <w:rsid w:val="05A54A82"/>
    <w:rsid w:val="05B6570E"/>
    <w:rsid w:val="05B719DB"/>
    <w:rsid w:val="05D411B5"/>
    <w:rsid w:val="05DC03BC"/>
    <w:rsid w:val="05E03755"/>
    <w:rsid w:val="05E05D39"/>
    <w:rsid w:val="05EE025B"/>
    <w:rsid w:val="05FB2E46"/>
    <w:rsid w:val="06274DE9"/>
    <w:rsid w:val="0643158D"/>
    <w:rsid w:val="06606ACF"/>
    <w:rsid w:val="06632C8A"/>
    <w:rsid w:val="066C44D0"/>
    <w:rsid w:val="06780BE4"/>
    <w:rsid w:val="067D77AC"/>
    <w:rsid w:val="0688298E"/>
    <w:rsid w:val="06A978A6"/>
    <w:rsid w:val="06BA577F"/>
    <w:rsid w:val="06C373A0"/>
    <w:rsid w:val="06CA61EA"/>
    <w:rsid w:val="06CE3AAD"/>
    <w:rsid w:val="06D3256B"/>
    <w:rsid w:val="06E93094"/>
    <w:rsid w:val="07142FC9"/>
    <w:rsid w:val="0716354A"/>
    <w:rsid w:val="071A113A"/>
    <w:rsid w:val="071A5532"/>
    <w:rsid w:val="073F7F68"/>
    <w:rsid w:val="07433326"/>
    <w:rsid w:val="074D1200"/>
    <w:rsid w:val="07701435"/>
    <w:rsid w:val="078057A6"/>
    <w:rsid w:val="0791006E"/>
    <w:rsid w:val="07A93817"/>
    <w:rsid w:val="07AA51F7"/>
    <w:rsid w:val="07C16E32"/>
    <w:rsid w:val="07C956F1"/>
    <w:rsid w:val="07DE071F"/>
    <w:rsid w:val="07E724F1"/>
    <w:rsid w:val="07F54B10"/>
    <w:rsid w:val="080D2DB2"/>
    <w:rsid w:val="08236132"/>
    <w:rsid w:val="0824157E"/>
    <w:rsid w:val="082A5712"/>
    <w:rsid w:val="08365D8B"/>
    <w:rsid w:val="083932FD"/>
    <w:rsid w:val="083C1D74"/>
    <w:rsid w:val="08664D5B"/>
    <w:rsid w:val="087338E5"/>
    <w:rsid w:val="087E552F"/>
    <w:rsid w:val="08935065"/>
    <w:rsid w:val="08994E2C"/>
    <w:rsid w:val="089E0248"/>
    <w:rsid w:val="08AA7F40"/>
    <w:rsid w:val="08AC09F8"/>
    <w:rsid w:val="08AF1C74"/>
    <w:rsid w:val="08B76FB8"/>
    <w:rsid w:val="08EC3C9C"/>
    <w:rsid w:val="08EF4818"/>
    <w:rsid w:val="08F26284"/>
    <w:rsid w:val="08F57B11"/>
    <w:rsid w:val="08F617F2"/>
    <w:rsid w:val="08F64252"/>
    <w:rsid w:val="08F94C8C"/>
    <w:rsid w:val="08FD0C7A"/>
    <w:rsid w:val="09027DBF"/>
    <w:rsid w:val="090F109A"/>
    <w:rsid w:val="09151314"/>
    <w:rsid w:val="09263609"/>
    <w:rsid w:val="092E2FE0"/>
    <w:rsid w:val="093E5BC8"/>
    <w:rsid w:val="0953633D"/>
    <w:rsid w:val="095867F9"/>
    <w:rsid w:val="09697733"/>
    <w:rsid w:val="096C24BB"/>
    <w:rsid w:val="09953804"/>
    <w:rsid w:val="099A0675"/>
    <w:rsid w:val="099C034D"/>
    <w:rsid w:val="09A71810"/>
    <w:rsid w:val="09AF52BC"/>
    <w:rsid w:val="09C556F2"/>
    <w:rsid w:val="09C9680A"/>
    <w:rsid w:val="09E33DCA"/>
    <w:rsid w:val="09EA33AB"/>
    <w:rsid w:val="09EA6668"/>
    <w:rsid w:val="0A0501E5"/>
    <w:rsid w:val="0A075D0B"/>
    <w:rsid w:val="0A0A57FB"/>
    <w:rsid w:val="0A193C90"/>
    <w:rsid w:val="0A1A77A1"/>
    <w:rsid w:val="0A3E3D26"/>
    <w:rsid w:val="0A4834F8"/>
    <w:rsid w:val="0A6173D2"/>
    <w:rsid w:val="0A682231"/>
    <w:rsid w:val="0A6825A9"/>
    <w:rsid w:val="0A781198"/>
    <w:rsid w:val="0AAC10E4"/>
    <w:rsid w:val="0AB07E4A"/>
    <w:rsid w:val="0AC93B72"/>
    <w:rsid w:val="0ACA6D38"/>
    <w:rsid w:val="0AD53C26"/>
    <w:rsid w:val="0ADD3B4A"/>
    <w:rsid w:val="0AEE775A"/>
    <w:rsid w:val="0AFF5154"/>
    <w:rsid w:val="0B0260FA"/>
    <w:rsid w:val="0B127FA5"/>
    <w:rsid w:val="0B187C06"/>
    <w:rsid w:val="0B462863"/>
    <w:rsid w:val="0B4B3360"/>
    <w:rsid w:val="0B6153F6"/>
    <w:rsid w:val="0B6C4BE2"/>
    <w:rsid w:val="0B895D1E"/>
    <w:rsid w:val="0B903157"/>
    <w:rsid w:val="0B9335CE"/>
    <w:rsid w:val="0BA653BF"/>
    <w:rsid w:val="0BAC6F99"/>
    <w:rsid w:val="0BCD1EAC"/>
    <w:rsid w:val="0BCF142C"/>
    <w:rsid w:val="0BDC319A"/>
    <w:rsid w:val="0BFB783E"/>
    <w:rsid w:val="0BFD5373"/>
    <w:rsid w:val="0BFD6481"/>
    <w:rsid w:val="0C0F0CD9"/>
    <w:rsid w:val="0C3D7985"/>
    <w:rsid w:val="0C631998"/>
    <w:rsid w:val="0C6821F6"/>
    <w:rsid w:val="0C990787"/>
    <w:rsid w:val="0C992D4F"/>
    <w:rsid w:val="0CAE3A50"/>
    <w:rsid w:val="0CBF15FF"/>
    <w:rsid w:val="0CC20F4F"/>
    <w:rsid w:val="0CD91857"/>
    <w:rsid w:val="0CDA4E4E"/>
    <w:rsid w:val="0CF258A4"/>
    <w:rsid w:val="0D212A41"/>
    <w:rsid w:val="0D214045"/>
    <w:rsid w:val="0D215F2C"/>
    <w:rsid w:val="0D314FE6"/>
    <w:rsid w:val="0D330BC5"/>
    <w:rsid w:val="0D540C02"/>
    <w:rsid w:val="0D571C0F"/>
    <w:rsid w:val="0D637F0E"/>
    <w:rsid w:val="0D645222"/>
    <w:rsid w:val="0D6A5410"/>
    <w:rsid w:val="0D794CB6"/>
    <w:rsid w:val="0D8324ED"/>
    <w:rsid w:val="0D8F059D"/>
    <w:rsid w:val="0D8F5855"/>
    <w:rsid w:val="0D936D15"/>
    <w:rsid w:val="0D9827E5"/>
    <w:rsid w:val="0DAF3D29"/>
    <w:rsid w:val="0DC466B9"/>
    <w:rsid w:val="0DC54945"/>
    <w:rsid w:val="0DCA0A11"/>
    <w:rsid w:val="0DF25BA4"/>
    <w:rsid w:val="0DFD573A"/>
    <w:rsid w:val="0DFE1012"/>
    <w:rsid w:val="0E0B029F"/>
    <w:rsid w:val="0E230373"/>
    <w:rsid w:val="0E2A41ED"/>
    <w:rsid w:val="0E30302E"/>
    <w:rsid w:val="0E351EED"/>
    <w:rsid w:val="0E397874"/>
    <w:rsid w:val="0E461B92"/>
    <w:rsid w:val="0E6059EA"/>
    <w:rsid w:val="0E632208"/>
    <w:rsid w:val="0E844468"/>
    <w:rsid w:val="0E9E135B"/>
    <w:rsid w:val="0EA44F43"/>
    <w:rsid w:val="0EA62844"/>
    <w:rsid w:val="0EC2669E"/>
    <w:rsid w:val="0ED75315"/>
    <w:rsid w:val="0ED756CF"/>
    <w:rsid w:val="0EE34A0A"/>
    <w:rsid w:val="0EEF23A4"/>
    <w:rsid w:val="0F2500FF"/>
    <w:rsid w:val="0F2A7DB7"/>
    <w:rsid w:val="0F2D61D9"/>
    <w:rsid w:val="0F43254D"/>
    <w:rsid w:val="0F45451E"/>
    <w:rsid w:val="0F5372FC"/>
    <w:rsid w:val="0F543C48"/>
    <w:rsid w:val="0F54568B"/>
    <w:rsid w:val="0F6801CF"/>
    <w:rsid w:val="0F7F71A8"/>
    <w:rsid w:val="0F851480"/>
    <w:rsid w:val="0F9B0554"/>
    <w:rsid w:val="0FAF5422"/>
    <w:rsid w:val="0FAF5990"/>
    <w:rsid w:val="0FB271E8"/>
    <w:rsid w:val="0FB3423F"/>
    <w:rsid w:val="0FB73D2F"/>
    <w:rsid w:val="0FBF1392"/>
    <w:rsid w:val="0FD84D52"/>
    <w:rsid w:val="0FD93801"/>
    <w:rsid w:val="0FDC41E3"/>
    <w:rsid w:val="0FE95EB3"/>
    <w:rsid w:val="100C40A0"/>
    <w:rsid w:val="10131FB5"/>
    <w:rsid w:val="10176676"/>
    <w:rsid w:val="1031732E"/>
    <w:rsid w:val="10327E3A"/>
    <w:rsid w:val="10374301"/>
    <w:rsid w:val="10394E9C"/>
    <w:rsid w:val="103A764D"/>
    <w:rsid w:val="103B6EC4"/>
    <w:rsid w:val="10457DEF"/>
    <w:rsid w:val="10482BD9"/>
    <w:rsid w:val="104A6951"/>
    <w:rsid w:val="105628E7"/>
    <w:rsid w:val="105A27E6"/>
    <w:rsid w:val="108120DC"/>
    <w:rsid w:val="108950E7"/>
    <w:rsid w:val="109135C4"/>
    <w:rsid w:val="10A4426E"/>
    <w:rsid w:val="10B656D8"/>
    <w:rsid w:val="10BB6F68"/>
    <w:rsid w:val="10C37A22"/>
    <w:rsid w:val="10C556C7"/>
    <w:rsid w:val="10C55FD8"/>
    <w:rsid w:val="10F772EF"/>
    <w:rsid w:val="11017A58"/>
    <w:rsid w:val="11023D17"/>
    <w:rsid w:val="110F34C8"/>
    <w:rsid w:val="11491151"/>
    <w:rsid w:val="1159543F"/>
    <w:rsid w:val="116230D1"/>
    <w:rsid w:val="116A7E05"/>
    <w:rsid w:val="11722460"/>
    <w:rsid w:val="117A4F14"/>
    <w:rsid w:val="119D6F55"/>
    <w:rsid w:val="11CB1987"/>
    <w:rsid w:val="11D529F0"/>
    <w:rsid w:val="11DC5FC8"/>
    <w:rsid w:val="11E71072"/>
    <w:rsid w:val="11F55D84"/>
    <w:rsid w:val="11F95233"/>
    <w:rsid w:val="11FE73E1"/>
    <w:rsid w:val="1206271C"/>
    <w:rsid w:val="120839F3"/>
    <w:rsid w:val="120E39AF"/>
    <w:rsid w:val="12114BE2"/>
    <w:rsid w:val="121911ED"/>
    <w:rsid w:val="12261816"/>
    <w:rsid w:val="122816CA"/>
    <w:rsid w:val="1231523F"/>
    <w:rsid w:val="12392AE3"/>
    <w:rsid w:val="12421044"/>
    <w:rsid w:val="127A5380"/>
    <w:rsid w:val="12957C2C"/>
    <w:rsid w:val="1298079E"/>
    <w:rsid w:val="12AD5EBA"/>
    <w:rsid w:val="12B10442"/>
    <w:rsid w:val="12C319F0"/>
    <w:rsid w:val="12CB7F7B"/>
    <w:rsid w:val="12D57B5A"/>
    <w:rsid w:val="12D60970"/>
    <w:rsid w:val="12DA74FD"/>
    <w:rsid w:val="130354DD"/>
    <w:rsid w:val="13160E95"/>
    <w:rsid w:val="131D4A08"/>
    <w:rsid w:val="132A077A"/>
    <w:rsid w:val="132B4874"/>
    <w:rsid w:val="13365D96"/>
    <w:rsid w:val="133833D9"/>
    <w:rsid w:val="13401CF4"/>
    <w:rsid w:val="13474541"/>
    <w:rsid w:val="13597FDE"/>
    <w:rsid w:val="13610A7C"/>
    <w:rsid w:val="1370511E"/>
    <w:rsid w:val="138A2CF3"/>
    <w:rsid w:val="139600FA"/>
    <w:rsid w:val="139B1B3C"/>
    <w:rsid w:val="13AC7923"/>
    <w:rsid w:val="13BB36C2"/>
    <w:rsid w:val="13C163E4"/>
    <w:rsid w:val="13CF69C3"/>
    <w:rsid w:val="13E63AA6"/>
    <w:rsid w:val="13EB21F9"/>
    <w:rsid w:val="13F175F7"/>
    <w:rsid w:val="13F85DC5"/>
    <w:rsid w:val="13FC3073"/>
    <w:rsid w:val="14002DA6"/>
    <w:rsid w:val="141601C0"/>
    <w:rsid w:val="14183270"/>
    <w:rsid w:val="141D447E"/>
    <w:rsid w:val="141D6B0B"/>
    <w:rsid w:val="142D6F89"/>
    <w:rsid w:val="144554E0"/>
    <w:rsid w:val="144C2ACB"/>
    <w:rsid w:val="145908CD"/>
    <w:rsid w:val="146975C2"/>
    <w:rsid w:val="147F6E3A"/>
    <w:rsid w:val="148617D9"/>
    <w:rsid w:val="149258A7"/>
    <w:rsid w:val="149321EC"/>
    <w:rsid w:val="14A979BF"/>
    <w:rsid w:val="14AA6C47"/>
    <w:rsid w:val="14AD74AF"/>
    <w:rsid w:val="14B81325"/>
    <w:rsid w:val="14BB5770"/>
    <w:rsid w:val="14CA4494"/>
    <w:rsid w:val="14DD13B5"/>
    <w:rsid w:val="14DF1102"/>
    <w:rsid w:val="14E74E80"/>
    <w:rsid w:val="14FB05D3"/>
    <w:rsid w:val="14FB1DB1"/>
    <w:rsid w:val="1507775C"/>
    <w:rsid w:val="15082EFA"/>
    <w:rsid w:val="15107A3E"/>
    <w:rsid w:val="15214D63"/>
    <w:rsid w:val="1531629A"/>
    <w:rsid w:val="153E6FE7"/>
    <w:rsid w:val="15535F3F"/>
    <w:rsid w:val="155C3CBE"/>
    <w:rsid w:val="15697093"/>
    <w:rsid w:val="156D149B"/>
    <w:rsid w:val="15760076"/>
    <w:rsid w:val="157E5DA4"/>
    <w:rsid w:val="159F6FD6"/>
    <w:rsid w:val="15A5462A"/>
    <w:rsid w:val="15B01BBF"/>
    <w:rsid w:val="15EC3B3E"/>
    <w:rsid w:val="15F1786F"/>
    <w:rsid w:val="15F46C2A"/>
    <w:rsid w:val="16121567"/>
    <w:rsid w:val="16175528"/>
    <w:rsid w:val="162D4D4B"/>
    <w:rsid w:val="16343F81"/>
    <w:rsid w:val="163948ED"/>
    <w:rsid w:val="164275F4"/>
    <w:rsid w:val="164717FA"/>
    <w:rsid w:val="1654148B"/>
    <w:rsid w:val="165710DF"/>
    <w:rsid w:val="16573B76"/>
    <w:rsid w:val="165B71D5"/>
    <w:rsid w:val="16700A7A"/>
    <w:rsid w:val="16734728"/>
    <w:rsid w:val="167D1103"/>
    <w:rsid w:val="1683572D"/>
    <w:rsid w:val="169E0BEA"/>
    <w:rsid w:val="16AF7EFC"/>
    <w:rsid w:val="16DD2BAC"/>
    <w:rsid w:val="16F70EB5"/>
    <w:rsid w:val="17197085"/>
    <w:rsid w:val="172460AC"/>
    <w:rsid w:val="172B1987"/>
    <w:rsid w:val="173054B2"/>
    <w:rsid w:val="17424EAD"/>
    <w:rsid w:val="174C1699"/>
    <w:rsid w:val="17544559"/>
    <w:rsid w:val="175E7E76"/>
    <w:rsid w:val="1763479D"/>
    <w:rsid w:val="178667F0"/>
    <w:rsid w:val="178A4C4F"/>
    <w:rsid w:val="17942AA9"/>
    <w:rsid w:val="17987255"/>
    <w:rsid w:val="179928AA"/>
    <w:rsid w:val="17A739C7"/>
    <w:rsid w:val="17C212EB"/>
    <w:rsid w:val="17C42121"/>
    <w:rsid w:val="17D82A95"/>
    <w:rsid w:val="17FB6C91"/>
    <w:rsid w:val="18053F1E"/>
    <w:rsid w:val="18085749"/>
    <w:rsid w:val="180B6D06"/>
    <w:rsid w:val="181A3262"/>
    <w:rsid w:val="181C3FF8"/>
    <w:rsid w:val="18365CFA"/>
    <w:rsid w:val="184114A1"/>
    <w:rsid w:val="18425C49"/>
    <w:rsid w:val="186969E3"/>
    <w:rsid w:val="188C7694"/>
    <w:rsid w:val="18BE3F0D"/>
    <w:rsid w:val="18C140E3"/>
    <w:rsid w:val="18CD6371"/>
    <w:rsid w:val="18DA0A8E"/>
    <w:rsid w:val="18DC03A2"/>
    <w:rsid w:val="18E11EA5"/>
    <w:rsid w:val="18FA4C8D"/>
    <w:rsid w:val="19054750"/>
    <w:rsid w:val="19083037"/>
    <w:rsid w:val="19092828"/>
    <w:rsid w:val="19103908"/>
    <w:rsid w:val="1933462F"/>
    <w:rsid w:val="19390D64"/>
    <w:rsid w:val="19554C37"/>
    <w:rsid w:val="19566DB3"/>
    <w:rsid w:val="196279A1"/>
    <w:rsid w:val="198040A4"/>
    <w:rsid w:val="198C37FE"/>
    <w:rsid w:val="19A941C1"/>
    <w:rsid w:val="19AE5ACF"/>
    <w:rsid w:val="19AF5A77"/>
    <w:rsid w:val="19B3071D"/>
    <w:rsid w:val="19B675DA"/>
    <w:rsid w:val="19C57049"/>
    <w:rsid w:val="19C637E5"/>
    <w:rsid w:val="19C721FB"/>
    <w:rsid w:val="19CE5CD8"/>
    <w:rsid w:val="19F02EFF"/>
    <w:rsid w:val="1A052165"/>
    <w:rsid w:val="1A063EF5"/>
    <w:rsid w:val="1A0F3AD5"/>
    <w:rsid w:val="1A0F6516"/>
    <w:rsid w:val="1A0F7374"/>
    <w:rsid w:val="1A142D27"/>
    <w:rsid w:val="1A1816AF"/>
    <w:rsid w:val="1A302494"/>
    <w:rsid w:val="1A330E88"/>
    <w:rsid w:val="1A60672B"/>
    <w:rsid w:val="1A630F50"/>
    <w:rsid w:val="1A6732FB"/>
    <w:rsid w:val="1A7929A3"/>
    <w:rsid w:val="1A7B4669"/>
    <w:rsid w:val="1A870B38"/>
    <w:rsid w:val="1A8C5DB8"/>
    <w:rsid w:val="1A8C6CF6"/>
    <w:rsid w:val="1A9417D9"/>
    <w:rsid w:val="1AA572B8"/>
    <w:rsid w:val="1AA70EB7"/>
    <w:rsid w:val="1AAA4949"/>
    <w:rsid w:val="1AB31D2F"/>
    <w:rsid w:val="1AC00AAF"/>
    <w:rsid w:val="1ACE55DA"/>
    <w:rsid w:val="1ACE6054"/>
    <w:rsid w:val="1ACE6D27"/>
    <w:rsid w:val="1AE0038B"/>
    <w:rsid w:val="1AFA6E09"/>
    <w:rsid w:val="1B403FA5"/>
    <w:rsid w:val="1B450A9E"/>
    <w:rsid w:val="1B481CDF"/>
    <w:rsid w:val="1B4B17D0"/>
    <w:rsid w:val="1B524326"/>
    <w:rsid w:val="1B55168B"/>
    <w:rsid w:val="1B63458F"/>
    <w:rsid w:val="1B645069"/>
    <w:rsid w:val="1B7D1BE7"/>
    <w:rsid w:val="1B7D1D15"/>
    <w:rsid w:val="1B8637EA"/>
    <w:rsid w:val="1B966EEF"/>
    <w:rsid w:val="1BDD1B28"/>
    <w:rsid w:val="1BE57F51"/>
    <w:rsid w:val="1C022610"/>
    <w:rsid w:val="1C037CCC"/>
    <w:rsid w:val="1C085913"/>
    <w:rsid w:val="1C0876C1"/>
    <w:rsid w:val="1C2F4A48"/>
    <w:rsid w:val="1C37598E"/>
    <w:rsid w:val="1C400DCC"/>
    <w:rsid w:val="1C4A3D51"/>
    <w:rsid w:val="1C550B58"/>
    <w:rsid w:val="1C6062B5"/>
    <w:rsid w:val="1C656B00"/>
    <w:rsid w:val="1C657709"/>
    <w:rsid w:val="1C6D522B"/>
    <w:rsid w:val="1C762201"/>
    <w:rsid w:val="1C87757C"/>
    <w:rsid w:val="1C911F05"/>
    <w:rsid w:val="1C9232F2"/>
    <w:rsid w:val="1C943E77"/>
    <w:rsid w:val="1C993860"/>
    <w:rsid w:val="1CB517E1"/>
    <w:rsid w:val="1CBF5FD1"/>
    <w:rsid w:val="1CC07FCD"/>
    <w:rsid w:val="1CCD060E"/>
    <w:rsid w:val="1CD4109A"/>
    <w:rsid w:val="1CDE3631"/>
    <w:rsid w:val="1CE814D1"/>
    <w:rsid w:val="1CFE11B3"/>
    <w:rsid w:val="1D00167E"/>
    <w:rsid w:val="1D01132A"/>
    <w:rsid w:val="1D022EEB"/>
    <w:rsid w:val="1D2C5B34"/>
    <w:rsid w:val="1D3444B7"/>
    <w:rsid w:val="1D3A1AFC"/>
    <w:rsid w:val="1D3F2887"/>
    <w:rsid w:val="1D413DD6"/>
    <w:rsid w:val="1D442082"/>
    <w:rsid w:val="1D494085"/>
    <w:rsid w:val="1D6104E9"/>
    <w:rsid w:val="1D6D5E73"/>
    <w:rsid w:val="1D6E2EA0"/>
    <w:rsid w:val="1D7C0366"/>
    <w:rsid w:val="1D90430C"/>
    <w:rsid w:val="1DA228F6"/>
    <w:rsid w:val="1DA26C67"/>
    <w:rsid w:val="1DB571C9"/>
    <w:rsid w:val="1DBF6F58"/>
    <w:rsid w:val="1DFC5003"/>
    <w:rsid w:val="1E2527AC"/>
    <w:rsid w:val="1E2A3F9F"/>
    <w:rsid w:val="1E65546D"/>
    <w:rsid w:val="1E7B6900"/>
    <w:rsid w:val="1E933E22"/>
    <w:rsid w:val="1EB60A31"/>
    <w:rsid w:val="1EC6457D"/>
    <w:rsid w:val="1EC7170B"/>
    <w:rsid w:val="1EC7534C"/>
    <w:rsid w:val="1ECD7160"/>
    <w:rsid w:val="1ED34F83"/>
    <w:rsid w:val="1ED641E3"/>
    <w:rsid w:val="1EED4935"/>
    <w:rsid w:val="1EF15FC6"/>
    <w:rsid w:val="1F196F16"/>
    <w:rsid w:val="1F1F544D"/>
    <w:rsid w:val="1F294330"/>
    <w:rsid w:val="1F2A3EE6"/>
    <w:rsid w:val="1F5164BE"/>
    <w:rsid w:val="1F530AFF"/>
    <w:rsid w:val="1F550636"/>
    <w:rsid w:val="1F6725BD"/>
    <w:rsid w:val="1F6F0182"/>
    <w:rsid w:val="1F751014"/>
    <w:rsid w:val="1F7A16FF"/>
    <w:rsid w:val="1F841E94"/>
    <w:rsid w:val="1F86410F"/>
    <w:rsid w:val="1F987D78"/>
    <w:rsid w:val="1FAD0B55"/>
    <w:rsid w:val="1FB57B5F"/>
    <w:rsid w:val="1FBA786C"/>
    <w:rsid w:val="1FC55FF4"/>
    <w:rsid w:val="1FDF7221"/>
    <w:rsid w:val="1FE07DD2"/>
    <w:rsid w:val="1FF72B1D"/>
    <w:rsid w:val="2000702C"/>
    <w:rsid w:val="201952D2"/>
    <w:rsid w:val="2020109E"/>
    <w:rsid w:val="20220096"/>
    <w:rsid w:val="202816B6"/>
    <w:rsid w:val="20352DB6"/>
    <w:rsid w:val="204E725A"/>
    <w:rsid w:val="205050F3"/>
    <w:rsid w:val="20665891"/>
    <w:rsid w:val="208241B4"/>
    <w:rsid w:val="208F5999"/>
    <w:rsid w:val="20B05494"/>
    <w:rsid w:val="20BD4F1E"/>
    <w:rsid w:val="20C16ADF"/>
    <w:rsid w:val="20D109C9"/>
    <w:rsid w:val="20EE5770"/>
    <w:rsid w:val="2107261C"/>
    <w:rsid w:val="21147FEE"/>
    <w:rsid w:val="2132760F"/>
    <w:rsid w:val="213F7E47"/>
    <w:rsid w:val="21592FEC"/>
    <w:rsid w:val="215B2DFE"/>
    <w:rsid w:val="215C5CD9"/>
    <w:rsid w:val="215F2E6D"/>
    <w:rsid w:val="218B2E3C"/>
    <w:rsid w:val="219E13DD"/>
    <w:rsid w:val="21B5456C"/>
    <w:rsid w:val="21C0289A"/>
    <w:rsid w:val="21C314C7"/>
    <w:rsid w:val="21CB366A"/>
    <w:rsid w:val="21E53DD4"/>
    <w:rsid w:val="21FE67C3"/>
    <w:rsid w:val="21FF567A"/>
    <w:rsid w:val="220019CB"/>
    <w:rsid w:val="22080E1D"/>
    <w:rsid w:val="222E4A4B"/>
    <w:rsid w:val="224564ED"/>
    <w:rsid w:val="225B1C1A"/>
    <w:rsid w:val="22655D1C"/>
    <w:rsid w:val="227A5579"/>
    <w:rsid w:val="227B3EC3"/>
    <w:rsid w:val="22AC6E9D"/>
    <w:rsid w:val="22AF6B28"/>
    <w:rsid w:val="22BF1959"/>
    <w:rsid w:val="22FE3A70"/>
    <w:rsid w:val="23007343"/>
    <w:rsid w:val="230A1D1E"/>
    <w:rsid w:val="230F3D0A"/>
    <w:rsid w:val="232E3EB1"/>
    <w:rsid w:val="23341448"/>
    <w:rsid w:val="23385650"/>
    <w:rsid w:val="23425BAE"/>
    <w:rsid w:val="23517B9F"/>
    <w:rsid w:val="23531B69"/>
    <w:rsid w:val="235C6C70"/>
    <w:rsid w:val="237F04EF"/>
    <w:rsid w:val="23841437"/>
    <w:rsid w:val="238A3CA3"/>
    <w:rsid w:val="23AF4708"/>
    <w:rsid w:val="23C16A9A"/>
    <w:rsid w:val="23C465C3"/>
    <w:rsid w:val="23E66003"/>
    <w:rsid w:val="23F80076"/>
    <w:rsid w:val="23FE2FB7"/>
    <w:rsid w:val="23FE3AF7"/>
    <w:rsid w:val="241B7142"/>
    <w:rsid w:val="24452007"/>
    <w:rsid w:val="244802C7"/>
    <w:rsid w:val="244C0B39"/>
    <w:rsid w:val="245A32E7"/>
    <w:rsid w:val="24635935"/>
    <w:rsid w:val="24660E6A"/>
    <w:rsid w:val="24665559"/>
    <w:rsid w:val="24691825"/>
    <w:rsid w:val="248E0BEE"/>
    <w:rsid w:val="249222CA"/>
    <w:rsid w:val="24B056E4"/>
    <w:rsid w:val="24CC572F"/>
    <w:rsid w:val="24CF65FC"/>
    <w:rsid w:val="24D258A5"/>
    <w:rsid w:val="24DA6A74"/>
    <w:rsid w:val="24DB4BCD"/>
    <w:rsid w:val="24F602A0"/>
    <w:rsid w:val="250025A0"/>
    <w:rsid w:val="25296C9F"/>
    <w:rsid w:val="25401D76"/>
    <w:rsid w:val="2544236B"/>
    <w:rsid w:val="25453733"/>
    <w:rsid w:val="256C3562"/>
    <w:rsid w:val="257F6C45"/>
    <w:rsid w:val="258C736F"/>
    <w:rsid w:val="25977271"/>
    <w:rsid w:val="259B2D68"/>
    <w:rsid w:val="259E7D45"/>
    <w:rsid w:val="25A6077B"/>
    <w:rsid w:val="25A941CC"/>
    <w:rsid w:val="25A97E1E"/>
    <w:rsid w:val="25B40CD0"/>
    <w:rsid w:val="25BF4424"/>
    <w:rsid w:val="25C17AFA"/>
    <w:rsid w:val="25C251DB"/>
    <w:rsid w:val="25E00E0C"/>
    <w:rsid w:val="25EF379B"/>
    <w:rsid w:val="260C11C1"/>
    <w:rsid w:val="261049C1"/>
    <w:rsid w:val="261E645E"/>
    <w:rsid w:val="26383109"/>
    <w:rsid w:val="2641214D"/>
    <w:rsid w:val="26597FFC"/>
    <w:rsid w:val="26697AAB"/>
    <w:rsid w:val="266D2F42"/>
    <w:rsid w:val="2673065B"/>
    <w:rsid w:val="26746071"/>
    <w:rsid w:val="267839D3"/>
    <w:rsid w:val="26802C75"/>
    <w:rsid w:val="268423E1"/>
    <w:rsid w:val="26890627"/>
    <w:rsid w:val="26937CAB"/>
    <w:rsid w:val="26A43060"/>
    <w:rsid w:val="26BB1EFF"/>
    <w:rsid w:val="26BB2001"/>
    <w:rsid w:val="26C467F8"/>
    <w:rsid w:val="26E35358"/>
    <w:rsid w:val="270E00FE"/>
    <w:rsid w:val="270E298C"/>
    <w:rsid w:val="270E29F5"/>
    <w:rsid w:val="271512D2"/>
    <w:rsid w:val="272A0E33"/>
    <w:rsid w:val="272A2D2F"/>
    <w:rsid w:val="274020AE"/>
    <w:rsid w:val="27446B6F"/>
    <w:rsid w:val="274F752C"/>
    <w:rsid w:val="27520933"/>
    <w:rsid w:val="27584657"/>
    <w:rsid w:val="275E5A93"/>
    <w:rsid w:val="27736226"/>
    <w:rsid w:val="27755DA7"/>
    <w:rsid w:val="277C7F9A"/>
    <w:rsid w:val="279D2924"/>
    <w:rsid w:val="27A52E1A"/>
    <w:rsid w:val="27AC7A9A"/>
    <w:rsid w:val="27C53958"/>
    <w:rsid w:val="27D36D37"/>
    <w:rsid w:val="27DA4B73"/>
    <w:rsid w:val="27E61F25"/>
    <w:rsid w:val="27EC31BB"/>
    <w:rsid w:val="27ED2CBD"/>
    <w:rsid w:val="27F63DA6"/>
    <w:rsid w:val="27FA5CB6"/>
    <w:rsid w:val="280D34EA"/>
    <w:rsid w:val="281466B1"/>
    <w:rsid w:val="281713B7"/>
    <w:rsid w:val="281824A7"/>
    <w:rsid w:val="28312BBF"/>
    <w:rsid w:val="283B7736"/>
    <w:rsid w:val="285F673E"/>
    <w:rsid w:val="28644CCA"/>
    <w:rsid w:val="28687E65"/>
    <w:rsid w:val="28732D83"/>
    <w:rsid w:val="288F6949"/>
    <w:rsid w:val="28911AF2"/>
    <w:rsid w:val="289151CA"/>
    <w:rsid w:val="28A10C81"/>
    <w:rsid w:val="28A2680F"/>
    <w:rsid w:val="28DF17A9"/>
    <w:rsid w:val="28EB31BC"/>
    <w:rsid w:val="28EB583C"/>
    <w:rsid w:val="28EC2844"/>
    <w:rsid w:val="28F402DA"/>
    <w:rsid w:val="28FC78BE"/>
    <w:rsid w:val="29000A40"/>
    <w:rsid w:val="290F29AF"/>
    <w:rsid w:val="292D0766"/>
    <w:rsid w:val="293634F4"/>
    <w:rsid w:val="29600B3C"/>
    <w:rsid w:val="29606D8E"/>
    <w:rsid w:val="29671ECA"/>
    <w:rsid w:val="29770361"/>
    <w:rsid w:val="2985201E"/>
    <w:rsid w:val="29C55899"/>
    <w:rsid w:val="29D3130E"/>
    <w:rsid w:val="29F2147C"/>
    <w:rsid w:val="2A0C4A40"/>
    <w:rsid w:val="2A0D3DED"/>
    <w:rsid w:val="2A104310"/>
    <w:rsid w:val="2A134AF4"/>
    <w:rsid w:val="2A255C2B"/>
    <w:rsid w:val="2A2B7BC9"/>
    <w:rsid w:val="2A3A5DF9"/>
    <w:rsid w:val="2A4926C2"/>
    <w:rsid w:val="2A4B107A"/>
    <w:rsid w:val="2A4D2BFD"/>
    <w:rsid w:val="2A530EDF"/>
    <w:rsid w:val="2A574428"/>
    <w:rsid w:val="2A5F6992"/>
    <w:rsid w:val="2A7949E3"/>
    <w:rsid w:val="2A80647C"/>
    <w:rsid w:val="2A8E62B6"/>
    <w:rsid w:val="2A9572CC"/>
    <w:rsid w:val="2AA9206F"/>
    <w:rsid w:val="2AD81233"/>
    <w:rsid w:val="2AE63EFE"/>
    <w:rsid w:val="2B053749"/>
    <w:rsid w:val="2B195446"/>
    <w:rsid w:val="2B2E227F"/>
    <w:rsid w:val="2B2F07C6"/>
    <w:rsid w:val="2B3404E2"/>
    <w:rsid w:val="2B363CF4"/>
    <w:rsid w:val="2B3A7305"/>
    <w:rsid w:val="2B425FD0"/>
    <w:rsid w:val="2B4268A6"/>
    <w:rsid w:val="2B513045"/>
    <w:rsid w:val="2B536BAA"/>
    <w:rsid w:val="2B875AFE"/>
    <w:rsid w:val="2B8C79C6"/>
    <w:rsid w:val="2B9B40AD"/>
    <w:rsid w:val="2B9B4F58"/>
    <w:rsid w:val="2BA3696C"/>
    <w:rsid w:val="2BAA0794"/>
    <w:rsid w:val="2BB67A51"/>
    <w:rsid w:val="2BB769EE"/>
    <w:rsid w:val="2BB8130D"/>
    <w:rsid w:val="2BC058C2"/>
    <w:rsid w:val="2BC1223D"/>
    <w:rsid w:val="2BC40014"/>
    <w:rsid w:val="2BC51B34"/>
    <w:rsid w:val="2BDE3F9A"/>
    <w:rsid w:val="2BE07D12"/>
    <w:rsid w:val="2BF95140"/>
    <w:rsid w:val="2C063C1D"/>
    <w:rsid w:val="2C0B194E"/>
    <w:rsid w:val="2C1A4F62"/>
    <w:rsid w:val="2C3447BE"/>
    <w:rsid w:val="2C3C07B5"/>
    <w:rsid w:val="2C3D3C75"/>
    <w:rsid w:val="2C4B420E"/>
    <w:rsid w:val="2C56006A"/>
    <w:rsid w:val="2C5F50DB"/>
    <w:rsid w:val="2C660165"/>
    <w:rsid w:val="2C6619D7"/>
    <w:rsid w:val="2C6A0BA3"/>
    <w:rsid w:val="2C6E17C2"/>
    <w:rsid w:val="2C8A76F4"/>
    <w:rsid w:val="2C931BC6"/>
    <w:rsid w:val="2CA45E14"/>
    <w:rsid w:val="2CB43679"/>
    <w:rsid w:val="2CB62CA6"/>
    <w:rsid w:val="2CD40261"/>
    <w:rsid w:val="2CEE34EF"/>
    <w:rsid w:val="2CF605F7"/>
    <w:rsid w:val="2D016FE9"/>
    <w:rsid w:val="2D023B71"/>
    <w:rsid w:val="2D14362B"/>
    <w:rsid w:val="2D2E304F"/>
    <w:rsid w:val="2D3C07FE"/>
    <w:rsid w:val="2D5756FC"/>
    <w:rsid w:val="2D5D5591"/>
    <w:rsid w:val="2D74743A"/>
    <w:rsid w:val="2D7C11D4"/>
    <w:rsid w:val="2D7F4766"/>
    <w:rsid w:val="2D8D3A62"/>
    <w:rsid w:val="2DAF3E40"/>
    <w:rsid w:val="2DBE7F60"/>
    <w:rsid w:val="2DF6381D"/>
    <w:rsid w:val="2DF6788C"/>
    <w:rsid w:val="2E0D1588"/>
    <w:rsid w:val="2E3944B7"/>
    <w:rsid w:val="2E4749F8"/>
    <w:rsid w:val="2E4A7CFD"/>
    <w:rsid w:val="2E4C1B78"/>
    <w:rsid w:val="2E73313B"/>
    <w:rsid w:val="2E866E5E"/>
    <w:rsid w:val="2E9077CD"/>
    <w:rsid w:val="2EA916B2"/>
    <w:rsid w:val="2EB46A04"/>
    <w:rsid w:val="2EB84F76"/>
    <w:rsid w:val="2EC62DA5"/>
    <w:rsid w:val="2ECB7077"/>
    <w:rsid w:val="2EED318E"/>
    <w:rsid w:val="2EFE3F3B"/>
    <w:rsid w:val="2F0F1794"/>
    <w:rsid w:val="2F176141"/>
    <w:rsid w:val="2F1A0856"/>
    <w:rsid w:val="2F2B5B05"/>
    <w:rsid w:val="2F475C7E"/>
    <w:rsid w:val="2F486024"/>
    <w:rsid w:val="2F523B34"/>
    <w:rsid w:val="2F5E78CC"/>
    <w:rsid w:val="2F681310"/>
    <w:rsid w:val="2F6C283B"/>
    <w:rsid w:val="2F743B89"/>
    <w:rsid w:val="2F7E2877"/>
    <w:rsid w:val="2F8567D8"/>
    <w:rsid w:val="2F8B5040"/>
    <w:rsid w:val="2F9107C4"/>
    <w:rsid w:val="2F961B57"/>
    <w:rsid w:val="2FDC6A42"/>
    <w:rsid w:val="2FE65B09"/>
    <w:rsid w:val="2FFF53A8"/>
    <w:rsid w:val="30047098"/>
    <w:rsid w:val="30077F63"/>
    <w:rsid w:val="30115CE5"/>
    <w:rsid w:val="30135C1F"/>
    <w:rsid w:val="30191760"/>
    <w:rsid w:val="3028092A"/>
    <w:rsid w:val="302F54E7"/>
    <w:rsid w:val="304863A9"/>
    <w:rsid w:val="30726790"/>
    <w:rsid w:val="30801AC4"/>
    <w:rsid w:val="30823D65"/>
    <w:rsid w:val="30831C53"/>
    <w:rsid w:val="308E438B"/>
    <w:rsid w:val="308F4455"/>
    <w:rsid w:val="30A43A04"/>
    <w:rsid w:val="30C87FB8"/>
    <w:rsid w:val="30CB1DAF"/>
    <w:rsid w:val="30E90E2B"/>
    <w:rsid w:val="30ED02EA"/>
    <w:rsid w:val="30FF267A"/>
    <w:rsid w:val="31044278"/>
    <w:rsid w:val="310A2A14"/>
    <w:rsid w:val="310F59F0"/>
    <w:rsid w:val="31395BA8"/>
    <w:rsid w:val="3141666D"/>
    <w:rsid w:val="31480833"/>
    <w:rsid w:val="314B14BF"/>
    <w:rsid w:val="3158219E"/>
    <w:rsid w:val="316D537E"/>
    <w:rsid w:val="31716348"/>
    <w:rsid w:val="317355F2"/>
    <w:rsid w:val="3185517F"/>
    <w:rsid w:val="3185793C"/>
    <w:rsid w:val="319475D5"/>
    <w:rsid w:val="31975317"/>
    <w:rsid w:val="31A87524"/>
    <w:rsid w:val="31B06C89"/>
    <w:rsid w:val="31B91778"/>
    <w:rsid w:val="31C2569E"/>
    <w:rsid w:val="31C96BD0"/>
    <w:rsid w:val="31D04385"/>
    <w:rsid w:val="31D9377A"/>
    <w:rsid w:val="31E15891"/>
    <w:rsid w:val="31F043F4"/>
    <w:rsid w:val="32170EE1"/>
    <w:rsid w:val="325066A8"/>
    <w:rsid w:val="32563FE3"/>
    <w:rsid w:val="325D3410"/>
    <w:rsid w:val="3260226B"/>
    <w:rsid w:val="327652E9"/>
    <w:rsid w:val="327A5FF1"/>
    <w:rsid w:val="32A55CC0"/>
    <w:rsid w:val="32A937D2"/>
    <w:rsid w:val="32C95971"/>
    <w:rsid w:val="32CF5928"/>
    <w:rsid w:val="32E41009"/>
    <w:rsid w:val="32E9078F"/>
    <w:rsid w:val="32ED34FF"/>
    <w:rsid w:val="330856D0"/>
    <w:rsid w:val="33316646"/>
    <w:rsid w:val="333A06E2"/>
    <w:rsid w:val="33462B8C"/>
    <w:rsid w:val="33491C13"/>
    <w:rsid w:val="335D0A3B"/>
    <w:rsid w:val="335E45B2"/>
    <w:rsid w:val="33680D19"/>
    <w:rsid w:val="33691E57"/>
    <w:rsid w:val="336E025D"/>
    <w:rsid w:val="33735D99"/>
    <w:rsid w:val="33736E76"/>
    <w:rsid w:val="337570A4"/>
    <w:rsid w:val="33833CFC"/>
    <w:rsid w:val="33A269EC"/>
    <w:rsid w:val="33A856B1"/>
    <w:rsid w:val="33A930DF"/>
    <w:rsid w:val="33AB2922"/>
    <w:rsid w:val="33B73314"/>
    <w:rsid w:val="33C50B9E"/>
    <w:rsid w:val="33D30EC6"/>
    <w:rsid w:val="33D867E1"/>
    <w:rsid w:val="33D976B3"/>
    <w:rsid w:val="33DB2EFB"/>
    <w:rsid w:val="33DC6CF8"/>
    <w:rsid w:val="33EE36D1"/>
    <w:rsid w:val="33F54490"/>
    <w:rsid w:val="33F85833"/>
    <w:rsid w:val="33F94458"/>
    <w:rsid w:val="340B1EAD"/>
    <w:rsid w:val="34111989"/>
    <w:rsid w:val="341266A4"/>
    <w:rsid w:val="3429350C"/>
    <w:rsid w:val="343C76C2"/>
    <w:rsid w:val="343D0166"/>
    <w:rsid w:val="343D6C24"/>
    <w:rsid w:val="345873A9"/>
    <w:rsid w:val="347C5D20"/>
    <w:rsid w:val="348C4EDB"/>
    <w:rsid w:val="34997F68"/>
    <w:rsid w:val="34AF7CC9"/>
    <w:rsid w:val="34B14942"/>
    <w:rsid w:val="34E526B4"/>
    <w:rsid w:val="34F03DC0"/>
    <w:rsid w:val="34FE7262"/>
    <w:rsid w:val="352407FC"/>
    <w:rsid w:val="352612DF"/>
    <w:rsid w:val="35284201"/>
    <w:rsid w:val="35322B1F"/>
    <w:rsid w:val="3535498A"/>
    <w:rsid w:val="35471E10"/>
    <w:rsid w:val="354F3660"/>
    <w:rsid w:val="355004C3"/>
    <w:rsid w:val="3556146D"/>
    <w:rsid w:val="355724F0"/>
    <w:rsid w:val="356B5D07"/>
    <w:rsid w:val="35810326"/>
    <w:rsid w:val="358C5E8C"/>
    <w:rsid w:val="358D7C9B"/>
    <w:rsid w:val="358E2186"/>
    <w:rsid w:val="35AA4C6A"/>
    <w:rsid w:val="35B90B5D"/>
    <w:rsid w:val="35C81F43"/>
    <w:rsid w:val="35CC1726"/>
    <w:rsid w:val="35DE239E"/>
    <w:rsid w:val="35E06512"/>
    <w:rsid w:val="35E33F92"/>
    <w:rsid w:val="36010FB1"/>
    <w:rsid w:val="360212D1"/>
    <w:rsid w:val="360C7B72"/>
    <w:rsid w:val="360E2480"/>
    <w:rsid w:val="361327DB"/>
    <w:rsid w:val="361F1CFE"/>
    <w:rsid w:val="36371201"/>
    <w:rsid w:val="363720E3"/>
    <w:rsid w:val="3639711B"/>
    <w:rsid w:val="363E765D"/>
    <w:rsid w:val="36592830"/>
    <w:rsid w:val="36632356"/>
    <w:rsid w:val="367409D2"/>
    <w:rsid w:val="367B56C5"/>
    <w:rsid w:val="367C5173"/>
    <w:rsid w:val="36915D46"/>
    <w:rsid w:val="36B81FB7"/>
    <w:rsid w:val="36CA31B0"/>
    <w:rsid w:val="36D20797"/>
    <w:rsid w:val="36E65B3A"/>
    <w:rsid w:val="36FF3742"/>
    <w:rsid w:val="370346A6"/>
    <w:rsid w:val="37113475"/>
    <w:rsid w:val="37252E94"/>
    <w:rsid w:val="37296474"/>
    <w:rsid w:val="373227C5"/>
    <w:rsid w:val="37405833"/>
    <w:rsid w:val="374101FF"/>
    <w:rsid w:val="375869AC"/>
    <w:rsid w:val="375B253A"/>
    <w:rsid w:val="37666B6B"/>
    <w:rsid w:val="37675674"/>
    <w:rsid w:val="376B1978"/>
    <w:rsid w:val="37940CA8"/>
    <w:rsid w:val="37D848CF"/>
    <w:rsid w:val="37DA41AF"/>
    <w:rsid w:val="37DB157C"/>
    <w:rsid w:val="37DB3C7D"/>
    <w:rsid w:val="37EE7D30"/>
    <w:rsid w:val="37F62976"/>
    <w:rsid w:val="37F77F19"/>
    <w:rsid w:val="38042FDA"/>
    <w:rsid w:val="381C3F20"/>
    <w:rsid w:val="3822692C"/>
    <w:rsid w:val="38343F2A"/>
    <w:rsid w:val="38490F9C"/>
    <w:rsid w:val="384C1631"/>
    <w:rsid w:val="38542754"/>
    <w:rsid w:val="386C03A0"/>
    <w:rsid w:val="386D6DD1"/>
    <w:rsid w:val="38850AD8"/>
    <w:rsid w:val="38B10FD7"/>
    <w:rsid w:val="38B2326B"/>
    <w:rsid w:val="38BD498D"/>
    <w:rsid w:val="38D81B11"/>
    <w:rsid w:val="38ED2653"/>
    <w:rsid w:val="38FC71A8"/>
    <w:rsid w:val="38FD1F03"/>
    <w:rsid w:val="39020983"/>
    <w:rsid w:val="39037F6C"/>
    <w:rsid w:val="39214610"/>
    <w:rsid w:val="39317DFF"/>
    <w:rsid w:val="39464964"/>
    <w:rsid w:val="395224D9"/>
    <w:rsid w:val="39535FC7"/>
    <w:rsid w:val="395601FC"/>
    <w:rsid w:val="397B4E62"/>
    <w:rsid w:val="39972B1A"/>
    <w:rsid w:val="399A1410"/>
    <w:rsid w:val="39C47D94"/>
    <w:rsid w:val="39CD1539"/>
    <w:rsid w:val="39CD5D32"/>
    <w:rsid w:val="39DA1DFA"/>
    <w:rsid w:val="39DC71EB"/>
    <w:rsid w:val="39DD5D2E"/>
    <w:rsid w:val="39E01A69"/>
    <w:rsid w:val="3A045F91"/>
    <w:rsid w:val="3A076679"/>
    <w:rsid w:val="3A0A0953"/>
    <w:rsid w:val="3A211C22"/>
    <w:rsid w:val="3A2C4127"/>
    <w:rsid w:val="3A4F0AA8"/>
    <w:rsid w:val="3A543DA5"/>
    <w:rsid w:val="3A5576B6"/>
    <w:rsid w:val="3A682780"/>
    <w:rsid w:val="3A697EB7"/>
    <w:rsid w:val="3A7F0311"/>
    <w:rsid w:val="3A8538B6"/>
    <w:rsid w:val="3A884EF1"/>
    <w:rsid w:val="3A8C5141"/>
    <w:rsid w:val="3AA52853"/>
    <w:rsid w:val="3AA648FE"/>
    <w:rsid w:val="3AAA7D3D"/>
    <w:rsid w:val="3AD117FB"/>
    <w:rsid w:val="3AD4138A"/>
    <w:rsid w:val="3AD72904"/>
    <w:rsid w:val="3AD75A09"/>
    <w:rsid w:val="3ADC5AFD"/>
    <w:rsid w:val="3AE17BBC"/>
    <w:rsid w:val="3B007A89"/>
    <w:rsid w:val="3B0F5ABD"/>
    <w:rsid w:val="3B2F4F75"/>
    <w:rsid w:val="3B31477D"/>
    <w:rsid w:val="3B315914"/>
    <w:rsid w:val="3B422101"/>
    <w:rsid w:val="3B4715CB"/>
    <w:rsid w:val="3B5008D7"/>
    <w:rsid w:val="3B7F15E2"/>
    <w:rsid w:val="3B8536A6"/>
    <w:rsid w:val="3B9F0C51"/>
    <w:rsid w:val="3BA00572"/>
    <w:rsid w:val="3BB1021B"/>
    <w:rsid w:val="3BE15B0C"/>
    <w:rsid w:val="3BE64EF0"/>
    <w:rsid w:val="3BF72A83"/>
    <w:rsid w:val="3C135790"/>
    <w:rsid w:val="3C1752F7"/>
    <w:rsid w:val="3C193171"/>
    <w:rsid w:val="3C1E3214"/>
    <w:rsid w:val="3C2528C6"/>
    <w:rsid w:val="3C371BD0"/>
    <w:rsid w:val="3C4F1FEA"/>
    <w:rsid w:val="3C5B6745"/>
    <w:rsid w:val="3C683B38"/>
    <w:rsid w:val="3C686571"/>
    <w:rsid w:val="3C6F5E3B"/>
    <w:rsid w:val="3C83525B"/>
    <w:rsid w:val="3C87375A"/>
    <w:rsid w:val="3C88531F"/>
    <w:rsid w:val="3C8D7A42"/>
    <w:rsid w:val="3C8E189D"/>
    <w:rsid w:val="3CA22EFE"/>
    <w:rsid w:val="3CB8043D"/>
    <w:rsid w:val="3CB94BCA"/>
    <w:rsid w:val="3CC35212"/>
    <w:rsid w:val="3CC50225"/>
    <w:rsid w:val="3CD967E3"/>
    <w:rsid w:val="3CDE231E"/>
    <w:rsid w:val="3D245A63"/>
    <w:rsid w:val="3D36346C"/>
    <w:rsid w:val="3D4269DA"/>
    <w:rsid w:val="3D430EA3"/>
    <w:rsid w:val="3D47560D"/>
    <w:rsid w:val="3D523BCD"/>
    <w:rsid w:val="3D645169"/>
    <w:rsid w:val="3D6933DE"/>
    <w:rsid w:val="3D7C3859"/>
    <w:rsid w:val="3D80607F"/>
    <w:rsid w:val="3D8F2120"/>
    <w:rsid w:val="3D8F30A0"/>
    <w:rsid w:val="3D990E61"/>
    <w:rsid w:val="3DA327E5"/>
    <w:rsid w:val="3DB01C7C"/>
    <w:rsid w:val="3DB334D8"/>
    <w:rsid w:val="3DBA1ADA"/>
    <w:rsid w:val="3DC123D9"/>
    <w:rsid w:val="3DC355A6"/>
    <w:rsid w:val="3DC42D6E"/>
    <w:rsid w:val="3DD009EA"/>
    <w:rsid w:val="3DD122A2"/>
    <w:rsid w:val="3DD64752"/>
    <w:rsid w:val="3DD80DF7"/>
    <w:rsid w:val="3DE17E96"/>
    <w:rsid w:val="3DE26317"/>
    <w:rsid w:val="3DEB1B40"/>
    <w:rsid w:val="3DFC4E7F"/>
    <w:rsid w:val="3E2D1C0D"/>
    <w:rsid w:val="3E352B5B"/>
    <w:rsid w:val="3E3A2755"/>
    <w:rsid w:val="3E463101"/>
    <w:rsid w:val="3E5717D0"/>
    <w:rsid w:val="3E5E04B0"/>
    <w:rsid w:val="3E5F4189"/>
    <w:rsid w:val="3E6C1A3F"/>
    <w:rsid w:val="3E734A16"/>
    <w:rsid w:val="3E752133"/>
    <w:rsid w:val="3E7A5DA4"/>
    <w:rsid w:val="3E953235"/>
    <w:rsid w:val="3EAA3B18"/>
    <w:rsid w:val="3EAA555F"/>
    <w:rsid w:val="3EBD0BAE"/>
    <w:rsid w:val="3EC3774B"/>
    <w:rsid w:val="3ECC3927"/>
    <w:rsid w:val="3ECD2095"/>
    <w:rsid w:val="3EEF22EE"/>
    <w:rsid w:val="3EF02AD3"/>
    <w:rsid w:val="3F024C1A"/>
    <w:rsid w:val="3F0D0FA0"/>
    <w:rsid w:val="3F21052E"/>
    <w:rsid w:val="3F330C34"/>
    <w:rsid w:val="3F3917F4"/>
    <w:rsid w:val="3F397A0D"/>
    <w:rsid w:val="3F4A39C9"/>
    <w:rsid w:val="3F625E8E"/>
    <w:rsid w:val="3F6A673B"/>
    <w:rsid w:val="3F8C2A74"/>
    <w:rsid w:val="3FA70307"/>
    <w:rsid w:val="3FA7458E"/>
    <w:rsid w:val="3FB22390"/>
    <w:rsid w:val="3FCF1529"/>
    <w:rsid w:val="3FDD2A57"/>
    <w:rsid w:val="3FE37E33"/>
    <w:rsid w:val="3FF027C2"/>
    <w:rsid w:val="3FF55C7D"/>
    <w:rsid w:val="3FF676AC"/>
    <w:rsid w:val="400E03CE"/>
    <w:rsid w:val="401171AD"/>
    <w:rsid w:val="40225AF1"/>
    <w:rsid w:val="403D5148"/>
    <w:rsid w:val="403D6B94"/>
    <w:rsid w:val="40507C98"/>
    <w:rsid w:val="40580367"/>
    <w:rsid w:val="4061657E"/>
    <w:rsid w:val="40767673"/>
    <w:rsid w:val="407707ED"/>
    <w:rsid w:val="40892318"/>
    <w:rsid w:val="408E0789"/>
    <w:rsid w:val="40A76FA9"/>
    <w:rsid w:val="40AC084A"/>
    <w:rsid w:val="40D05FDB"/>
    <w:rsid w:val="40DB515E"/>
    <w:rsid w:val="40E30197"/>
    <w:rsid w:val="40E63D94"/>
    <w:rsid w:val="40EA1367"/>
    <w:rsid w:val="40EB151F"/>
    <w:rsid w:val="40ED4F53"/>
    <w:rsid w:val="40F25A91"/>
    <w:rsid w:val="411C387B"/>
    <w:rsid w:val="41292B74"/>
    <w:rsid w:val="41406E31"/>
    <w:rsid w:val="414E3836"/>
    <w:rsid w:val="41592854"/>
    <w:rsid w:val="416E516B"/>
    <w:rsid w:val="418812BB"/>
    <w:rsid w:val="418D4040"/>
    <w:rsid w:val="419E7FFC"/>
    <w:rsid w:val="419F3079"/>
    <w:rsid w:val="41AE3A67"/>
    <w:rsid w:val="41C95125"/>
    <w:rsid w:val="41EA02ED"/>
    <w:rsid w:val="42075BA1"/>
    <w:rsid w:val="4215282E"/>
    <w:rsid w:val="42225E0B"/>
    <w:rsid w:val="42383FB6"/>
    <w:rsid w:val="423D7815"/>
    <w:rsid w:val="424F30C2"/>
    <w:rsid w:val="425E14DB"/>
    <w:rsid w:val="42621029"/>
    <w:rsid w:val="426B4382"/>
    <w:rsid w:val="42725710"/>
    <w:rsid w:val="427358D4"/>
    <w:rsid w:val="42736D87"/>
    <w:rsid w:val="427E086F"/>
    <w:rsid w:val="42826F4F"/>
    <w:rsid w:val="428B0580"/>
    <w:rsid w:val="429A4E70"/>
    <w:rsid w:val="429E14C4"/>
    <w:rsid w:val="42A26186"/>
    <w:rsid w:val="42A94EAA"/>
    <w:rsid w:val="42BA0E65"/>
    <w:rsid w:val="42C13D5C"/>
    <w:rsid w:val="42DD74CF"/>
    <w:rsid w:val="42DF3579"/>
    <w:rsid w:val="42E264C2"/>
    <w:rsid w:val="42E85CD3"/>
    <w:rsid w:val="42F54D63"/>
    <w:rsid w:val="43011E27"/>
    <w:rsid w:val="430D368B"/>
    <w:rsid w:val="430F20A0"/>
    <w:rsid w:val="43135F0F"/>
    <w:rsid w:val="431B6CC7"/>
    <w:rsid w:val="43225F65"/>
    <w:rsid w:val="435720D9"/>
    <w:rsid w:val="43615785"/>
    <w:rsid w:val="43732880"/>
    <w:rsid w:val="43865952"/>
    <w:rsid w:val="438F0BB0"/>
    <w:rsid w:val="43993170"/>
    <w:rsid w:val="43BF04EA"/>
    <w:rsid w:val="43C05A1E"/>
    <w:rsid w:val="43CF4932"/>
    <w:rsid w:val="43D22CDA"/>
    <w:rsid w:val="43D354DC"/>
    <w:rsid w:val="4405353A"/>
    <w:rsid w:val="44063CF3"/>
    <w:rsid w:val="44072973"/>
    <w:rsid w:val="44095C00"/>
    <w:rsid w:val="44117E2D"/>
    <w:rsid w:val="441822E7"/>
    <w:rsid w:val="442F13DF"/>
    <w:rsid w:val="44426345"/>
    <w:rsid w:val="444B2816"/>
    <w:rsid w:val="445279AA"/>
    <w:rsid w:val="4453331F"/>
    <w:rsid w:val="445E7B81"/>
    <w:rsid w:val="445F3A86"/>
    <w:rsid w:val="4478636B"/>
    <w:rsid w:val="447A0DB3"/>
    <w:rsid w:val="4481712B"/>
    <w:rsid w:val="44901E7E"/>
    <w:rsid w:val="449F54A7"/>
    <w:rsid w:val="44A1052F"/>
    <w:rsid w:val="44C93406"/>
    <w:rsid w:val="44D74994"/>
    <w:rsid w:val="44DD0E3B"/>
    <w:rsid w:val="44E67CEF"/>
    <w:rsid w:val="44F62875"/>
    <w:rsid w:val="451730A2"/>
    <w:rsid w:val="451955A3"/>
    <w:rsid w:val="45205199"/>
    <w:rsid w:val="45260B70"/>
    <w:rsid w:val="45357C2D"/>
    <w:rsid w:val="453A003B"/>
    <w:rsid w:val="45467C1A"/>
    <w:rsid w:val="45523E0A"/>
    <w:rsid w:val="45603F46"/>
    <w:rsid w:val="45784EE5"/>
    <w:rsid w:val="457C33A8"/>
    <w:rsid w:val="458804FE"/>
    <w:rsid w:val="458D57CB"/>
    <w:rsid w:val="4595726A"/>
    <w:rsid w:val="45C67177"/>
    <w:rsid w:val="45D048BE"/>
    <w:rsid w:val="45DE626C"/>
    <w:rsid w:val="45EB660D"/>
    <w:rsid w:val="45F13477"/>
    <w:rsid w:val="45FA688F"/>
    <w:rsid w:val="45FD7B3D"/>
    <w:rsid w:val="460A10C2"/>
    <w:rsid w:val="46220C85"/>
    <w:rsid w:val="46230254"/>
    <w:rsid w:val="46244F73"/>
    <w:rsid w:val="46287B26"/>
    <w:rsid w:val="462A00B0"/>
    <w:rsid w:val="462D24EF"/>
    <w:rsid w:val="46427F4E"/>
    <w:rsid w:val="46534E0B"/>
    <w:rsid w:val="4670640B"/>
    <w:rsid w:val="46753897"/>
    <w:rsid w:val="467A71EB"/>
    <w:rsid w:val="46867477"/>
    <w:rsid w:val="468A02AD"/>
    <w:rsid w:val="468B3DD1"/>
    <w:rsid w:val="469043B7"/>
    <w:rsid w:val="46BF4C9C"/>
    <w:rsid w:val="46C936C8"/>
    <w:rsid w:val="46CB1893"/>
    <w:rsid w:val="46D87DE5"/>
    <w:rsid w:val="46E556A4"/>
    <w:rsid w:val="46E97F6B"/>
    <w:rsid w:val="46EA25E1"/>
    <w:rsid w:val="46EB1077"/>
    <w:rsid w:val="470C2558"/>
    <w:rsid w:val="472127B7"/>
    <w:rsid w:val="472165B7"/>
    <w:rsid w:val="47277064"/>
    <w:rsid w:val="47323C17"/>
    <w:rsid w:val="473660FA"/>
    <w:rsid w:val="4743767B"/>
    <w:rsid w:val="474E29C1"/>
    <w:rsid w:val="475569C5"/>
    <w:rsid w:val="475A49C5"/>
    <w:rsid w:val="475E44B5"/>
    <w:rsid w:val="476121D8"/>
    <w:rsid w:val="476A063C"/>
    <w:rsid w:val="477C748E"/>
    <w:rsid w:val="478A7058"/>
    <w:rsid w:val="47941208"/>
    <w:rsid w:val="47A101B2"/>
    <w:rsid w:val="47BF2852"/>
    <w:rsid w:val="47BF386C"/>
    <w:rsid w:val="47C3256A"/>
    <w:rsid w:val="47C95C6C"/>
    <w:rsid w:val="47EC7022"/>
    <w:rsid w:val="47FC7940"/>
    <w:rsid w:val="48030B33"/>
    <w:rsid w:val="48046015"/>
    <w:rsid w:val="4819316F"/>
    <w:rsid w:val="482F5E51"/>
    <w:rsid w:val="483F125D"/>
    <w:rsid w:val="48580B32"/>
    <w:rsid w:val="485B43A9"/>
    <w:rsid w:val="48635024"/>
    <w:rsid w:val="487B675C"/>
    <w:rsid w:val="48A95C04"/>
    <w:rsid w:val="48B22238"/>
    <w:rsid w:val="48B33076"/>
    <w:rsid w:val="48C4330A"/>
    <w:rsid w:val="48D55EB3"/>
    <w:rsid w:val="48DA0701"/>
    <w:rsid w:val="48DF324A"/>
    <w:rsid w:val="48E052EC"/>
    <w:rsid w:val="48E65AEE"/>
    <w:rsid w:val="48F80CE7"/>
    <w:rsid w:val="49096FCD"/>
    <w:rsid w:val="491D7C08"/>
    <w:rsid w:val="494625B6"/>
    <w:rsid w:val="49507E2D"/>
    <w:rsid w:val="49512BB1"/>
    <w:rsid w:val="495E0009"/>
    <w:rsid w:val="49641F5D"/>
    <w:rsid w:val="49666B6B"/>
    <w:rsid w:val="496F2CCC"/>
    <w:rsid w:val="498F64FC"/>
    <w:rsid w:val="49AD1724"/>
    <w:rsid w:val="49BE7E39"/>
    <w:rsid w:val="49C40005"/>
    <w:rsid w:val="49C65419"/>
    <w:rsid w:val="49D04BAB"/>
    <w:rsid w:val="49EA0282"/>
    <w:rsid w:val="49EA17C4"/>
    <w:rsid w:val="49EF440A"/>
    <w:rsid w:val="4A1A2F12"/>
    <w:rsid w:val="4A2C7C77"/>
    <w:rsid w:val="4A321C6F"/>
    <w:rsid w:val="4A366D8C"/>
    <w:rsid w:val="4A375709"/>
    <w:rsid w:val="4A475BFC"/>
    <w:rsid w:val="4A4E1094"/>
    <w:rsid w:val="4A561717"/>
    <w:rsid w:val="4A606796"/>
    <w:rsid w:val="4A717D8F"/>
    <w:rsid w:val="4A7D0F83"/>
    <w:rsid w:val="4A834A22"/>
    <w:rsid w:val="4A8815D3"/>
    <w:rsid w:val="4A9454F9"/>
    <w:rsid w:val="4A972DF7"/>
    <w:rsid w:val="4A992274"/>
    <w:rsid w:val="4AA77F21"/>
    <w:rsid w:val="4AAA2276"/>
    <w:rsid w:val="4AB64534"/>
    <w:rsid w:val="4ABD14F2"/>
    <w:rsid w:val="4AC66642"/>
    <w:rsid w:val="4AC87549"/>
    <w:rsid w:val="4AD37353"/>
    <w:rsid w:val="4ADC6651"/>
    <w:rsid w:val="4AE2340C"/>
    <w:rsid w:val="4AE72A13"/>
    <w:rsid w:val="4AFF6999"/>
    <w:rsid w:val="4B0E61F2"/>
    <w:rsid w:val="4B21257E"/>
    <w:rsid w:val="4B290FE3"/>
    <w:rsid w:val="4B322207"/>
    <w:rsid w:val="4B3B5793"/>
    <w:rsid w:val="4B58050B"/>
    <w:rsid w:val="4B5A25F7"/>
    <w:rsid w:val="4B6A0768"/>
    <w:rsid w:val="4B6B0CBD"/>
    <w:rsid w:val="4B705719"/>
    <w:rsid w:val="4B7B47F9"/>
    <w:rsid w:val="4BA563FE"/>
    <w:rsid w:val="4BB77663"/>
    <w:rsid w:val="4BC54DE5"/>
    <w:rsid w:val="4BCB7306"/>
    <w:rsid w:val="4BD52968"/>
    <w:rsid w:val="4BD91D02"/>
    <w:rsid w:val="4BE2600E"/>
    <w:rsid w:val="4BE57820"/>
    <w:rsid w:val="4BF657A1"/>
    <w:rsid w:val="4BFB7B74"/>
    <w:rsid w:val="4C0457A1"/>
    <w:rsid w:val="4C3F2C78"/>
    <w:rsid w:val="4C42244E"/>
    <w:rsid w:val="4C437DCE"/>
    <w:rsid w:val="4C6D3DA8"/>
    <w:rsid w:val="4C727CFA"/>
    <w:rsid w:val="4C88081B"/>
    <w:rsid w:val="4C8872A2"/>
    <w:rsid w:val="4C9C19F3"/>
    <w:rsid w:val="4CA47183"/>
    <w:rsid w:val="4CB7606E"/>
    <w:rsid w:val="4CB91CB1"/>
    <w:rsid w:val="4CF745DE"/>
    <w:rsid w:val="4CFC57E0"/>
    <w:rsid w:val="4D087B01"/>
    <w:rsid w:val="4D0B58BC"/>
    <w:rsid w:val="4D0C050F"/>
    <w:rsid w:val="4D0C2AD5"/>
    <w:rsid w:val="4D2059FA"/>
    <w:rsid w:val="4D2E3574"/>
    <w:rsid w:val="4D451B18"/>
    <w:rsid w:val="4D4D5AFE"/>
    <w:rsid w:val="4D502AF2"/>
    <w:rsid w:val="4D5C07F9"/>
    <w:rsid w:val="4D755736"/>
    <w:rsid w:val="4DAC0A3B"/>
    <w:rsid w:val="4DB92102"/>
    <w:rsid w:val="4DBA3E20"/>
    <w:rsid w:val="4DBC5B64"/>
    <w:rsid w:val="4DC679DB"/>
    <w:rsid w:val="4DE61D12"/>
    <w:rsid w:val="4DF1146E"/>
    <w:rsid w:val="4DF82017"/>
    <w:rsid w:val="4E0E661C"/>
    <w:rsid w:val="4E1E3790"/>
    <w:rsid w:val="4E2E44B5"/>
    <w:rsid w:val="4E4C57ED"/>
    <w:rsid w:val="4E5505A6"/>
    <w:rsid w:val="4E820BD8"/>
    <w:rsid w:val="4E8D729C"/>
    <w:rsid w:val="4E8E1C0C"/>
    <w:rsid w:val="4E9609D8"/>
    <w:rsid w:val="4E98004C"/>
    <w:rsid w:val="4EA5208F"/>
    <w:rsid w:val="4EAE617F"/>
    <w:rsid w:val="4EBC34E2"/>
    <w:rsid w:val="4EBD702F"/>
    <w:rsid w:val="4EC310A1"/>
    <w:rsid w:val="4EC818B0"/>
    <w:rsid w:val="4ECB59F9"/>
    <w:rsid w:val="4ECE1CAC"/>
    <w:rsid w:val="4EE414BB"/>
    <w:rsid w:val="4EE87B84"/>
    <w:rsid w:val="4EFF65C5"/>
    <w:rsid w:val="4F0052D1"/>
    <w:rsid w:val="4F014784"/>
    <w:rsid w:val="4F0431E6"/>
    <w:rsid w:val="4F1B712F"/>
    <w:rsid w:val="4F1C605F"/>
    <w:rsid w:val="4F254824"/>
    <w:rsid w:val="4F2658BE"/>
    <w:rsid w:val="4F4736A7"/>
    <w:rsid w:val="4F7914EF"/>
    <w:rsid w:val="4F9174FD"/>
    <w:rsid w:val="4F9402D2"/>
    <w:rsid w:val="4F9A6D4E"/>
    <w:rsid w:val="4FB10142"/>
    <w:rsid w:val="4FB82BD0"/>
    <w:rsid w:val="4FC643B6"/>
    <w:rsid w:val="4FD1578E"/>
    <w:rsid w:val="4FE10E76"/>
    <w:rsid w:val="4FEE2189"/>
    <w:rsid w:val="4FF71C3D"/>
    <w:rsid w:val="50016856"/>
    <w:rsid w:val="5008518B"/>
    <w:rsid w:val="500B32A2"/>
    <w:rsid w:val="502B6647"/>
    <w:rsid w:val="502B6EFE"/>
    <w:rsid w:val="50324E90"/>
    <w:rsid w:val="50476DF6"/>
    <w:rsid w:val="504C1B11"/>
    <w:rsid w:val="505F48A5"/>
    <w:rsid w:val="506472D4"/>
    <w:rsid w:val="50666C7A"/>
    <w:rsid w:val="507460A4"/>
    <w:rsid w:val="5094445D"/>
    <w:rsid w:val="509C0D4E"/>
    <w:rsid w:val="50A23A1E"/>
    <w:rsid w:val="50AC44E3"/>
    <w:rsid w:val="50B57EA9"/>
    <w:rsid w:val="50BC2B26"/>
    <w:rsid w:val="50BE1984"/>
    <w:rsid w:val="50D141C6"/>
    <w:rsid w:val="50D94FDD"/>
    <w:rsid w:val="50F115EA"/>
    <w:rsid w:val="50F72C9C"/>
    <w:rsid w:val="50FC0DB6"/>
    <w:rsid w:val="511107EA"/>
    <w:rsid w:val="511F2007"/>
    <w:rsid w:val="51271E2F"/>
    <w:rsid w:val="51342CAA"/>
    <w:rsid w:val="51366F32"/>
    <w:rsid w:val="51406A38"/>
    <w:rsid w:val="514B4E4E"/>
    <w:rsid w:val="51561690"/>
    <w:rsid w:val="516578E1"/>
    <w:rsid w:val="517174DB"/>
    <w:rsid w:val="518049FF"/>
    <w:rsid w:val="51932FAD"/>
    <w:rsid w:val="51A06E66"/>
    <w:rsid w:val="51AF590D"/>
    <w:rsid w:val="51B475E9"/>
    <w:rsid w:val="51C05FF6"/>
    <w:rsid w:val="51D135DE"/>
    <w:rsid w:val="51DF4444"/>
    <w:rsid w:val="51F65295"/>
    <w:rsid w:val="51F872B4"/>
    <w:rsid w:val="51FD3DB6"/>
    <w:rsid w:val="52097713"/>
    <w:rsid w:val="520C3BB6"/>
    <w:rsid w:val="52252174"/>
    <w:rsid w:val="52295AE6"/>
    <w:rsid w:val="522D0E7F"/>
    <w:rsid w:val="523E4D62"/>
    <w:rsid w:val="5243507E"/>
    <w:rsid w:val="525402A0"/>
    <w:rsid w:val="52554706"/>
    <w:rsid w:val="525F5585"/>
    <w:rsid w:val="528D41E4"/>
    <w:rsid w:val="52BF5C92"/>
    <w:rsid w:val="52C2167A"/>
    <w:rsid w:val="52C7794C"/>
    <w:rsid w:val="52D279CD"/>
    <w:rsid w:val="52D32ADF"/>
    <w:rsid w:val="52E45ACB"/>
    <w:rsid w:val="52E71802"/>
    <w:rsid w:val="52F47AFB"/>
    <w:rsid w:val="53071B37"/>
    <w:rsid w:val="530A5973"/>
    <w:rsid w:val="531169F3"/>
    <w:rsid w:val="531348FB"/>
    <w:rsid w:val="53275D3D"/>
    <w:rsid w:val="533354CF"/>
    <w:rsid w:val="533407C0"/>
    <w:rsid w:val="53346B96"/>
    <w:rsid w:val="535D5DC8"/>
    <w:rsid w:val="537A3167"/>
    <w:rsid w:val="537D2360"/>
    <w:rsid w:val="53811E50"/>
    <w:rsid w:val="53B22465"/>
    <w:rsid w:val="53B72F65"/>
    <w:rsid w:val="53BE3989"/>
    <w:rsid w:val="53D83751"/>
    <w:rsid w:val="53D85151"/>
    <w:rsid w:val="53E844A9"/>
    <w:rsid w:val="53FD2AC2"/>
    <w:rsid w:val="5409404E"/>
    <w:rsid w:val="54134B75"/>
    <w:rsid w:val="54164746"/>
    <w:rsid w:val="541F238F"/>
    <w:rsid w:val="542E2ADC"/>
    <w:rsid w:val="543341B9"/>
    <w:rsid w:val="543415ED"/>
    <w:rsid w:val="5438608E"/>
    <w:rsid w:val="544B7F7E"/>
    <w:rsid w:val="54501D22"/>
    <w:rsid w:val="546146EB"/>
    <w:rsid w:val="54680D66"/>
    <w:rsid w:val="54685AA1"/>
    <w:rsid w:val="547D06FB"/>
    <w:rsid w:val="547D14B1"/>
    <w:rsid w:val="54857DDB"/>
    <w:rsid w:val="548C678B"/>
    <w:rsid w:val="54905199"/>
    <w:rsid w:val="54914216"/>
    <w:rsid w:val="549273A9"/>
    <w:rsid w:val="549405C7"/>
    <w:rsid w:val="549D6C55"/>
    <w:rsid w:val="54CA07F6"/>
    <w:rsid w:val="54E979F3"/>
    <w:rsid w:val="54EF0774"/>
    <w:rsid w:val="54F2448F"/>
    <w:rsid w:val="54FE2E33"/>
    <w:rsid w:val="550B2DC8"/>
    <w:rsid w:val="5540169E"/>
    <w:rsid w:val="55466588"/>
    <w:rsid w:val="5547793A"/>
    <w:rsid w:val="554C32B2"/>
    <w:rsid w:val="55501E76"/>
    <w:rsid w:val="55701D69"/>
    <w:rsid w:val="55731E3E"/>
    <w:rsid w:val="557A0272"/>
    <w:rsid w:val="557E29D7"/>
    <w:rsid w:val="558F2195"/>
    <w:rsid w:val="55900035"/>
    <w:rsid w:val="55AF798B"/>
    <w:rsid w:val="55CA70E8"/>
    <w:rsid w:val="55ED4967"/>
    <w:rsid w:val="55F350C4"/>
    <w:rsid w:val="561019A5"/>
    <w:rsid w:val="561B14C6"/>
    <w:rsid w:val="561B7A15"/>
    <w:rsid w:val="56247722"/>
    <w:rsid w:val="56342FDD"/>
    <w:rsid w:val="56467B64"/>
    <w:rsid w:val="565626F9"/>
    <w:rsid w:val="565671A2"/>
    <w:rsid w:val="56685CA8"/>
    <w:rsid w:val="56740DC7"/>
    <w:rsid w:val="56753961"/>
    <w:rsid w:val="5677558B"/>
    <w:rsid w:val="569C2904"/>
    <w:rsid w:val="56AA3219"/>
    <w:rsid w:val="56CF2574"/>
    <w:rsid w:val="56CF424D"/>
    <w:rsid w:val="56DE4C00"/>
    <w:rsid w:val="570847EE"/>
    <w:rsid w:val="573270B5"/>
    <w:rsid w:val="57331689"/>
    <w:rsid w:val="57443B56"/>
    <w:rsid w:val="57614844"/>
    <w:rsid w:val="57664CC0"/>
    <w:rsid w:val="576A00D2"/>
    <w:rsid w:val="576A530D"/>
    <w:rsid w:val="57971A40"/>
    <w:rsid w:val="579E4D2D"/>
    <w:rsid w:val="57A24175"/>
    <w:rsid w:val="57B75717"/>
    <w:rsid w:val="57C470D2"/>
    <w:rsid w:val="57C77E19"/>
    <w:rsid w:val="57CA488B"/>
    <w:rsid w:val="57DB3900"/>
    <w:rsid w:val="57DB47FB"/>
    <w:rsid w:val="580846BB"/>
    <w:rsid w:val="5816050F"/>
    <w:rsid w:val="581D5CC6"/>
    <w:rsid w:val="58205F1A"/>
    <w:rsid w:val="582468CD"/>
    <w:rsid w:val="582840C5"/>
    <w:rsid w:val="583074F9"/>
    <w:rsid w:val="583515AC"/>
    <w:rsid w:val="584B45E2"/>
    <w:rsid w:val="584C2587"/>
    <w:rsid w:val="585127AA"/>
    <w:rsid w:val="585D5314"/>
    <w:rsid w:val="58603D47"/>
    <w:rsid w:val="58743A0C"/>
    <w:rsid w:val="58BB3CCE"/>
    <w:rsid w:val="58CD3249"/>
    <w:rsid w:val="58DE0E81"/>
    <w:rsid w:val="59125866"/>
    <w:rsid w:val="5915352F"/>
    <w:rsid w:val="591B0458"/>
    <w:rsid w:val="59232E69"/>
    <w:rsid w:val="59304651"/>
    <w:rsid w:val="593E2965"/>
    <w:rsid w:val="594856C1"/>
    <w:rsid w:val="59486EBB"/>
    <w:rsid w:val="59493AFE"/>
    <w:rsid w:val="594C38F9"/>
    <w:rsid w:val="594C4A1E"/>
    <w:rsid w:val="59567838"/>
    <w:rsid w:val="59700D18"/>
    <w:rsid w:val="5970491E"/>
    <w:rsid w:val="597304CA"/>
    <w:rsid w:val="59794C92"/>
    <w:rsid w:val="597A0373"/>
    <w:rsid w:val="598803B1"/>
    <w:rsid w:val="59A5117A"/>
    <w:rsid w:val="59A937D5"/>
    <w:rsid w:val="59BA6CB3"/>
    <w:rsid w:val="59BA6CC4"/>
    <w:rsid w:val="59DB746A"/>
    <w:rsid w:val="59F2154E"/>
    <w:rsid w:val="59F9691A"/>
    <w:rsid w:val="5A012975"/>
    <w:rsid w:val="5A0233C6"/>
    <w:rsid w:val="5A097A39"/>
    <w:rsid w:val="5A112448"/>
    <w:rsid w:val="5A1E417A"/>
    <w:rsid w:val="5A266C4C"/>
    <w:rsid w:val="5A2D3B53"/>
    <w:rsid w:val="5A3B2434"/>
    <w:rsid w:val="5A6457FD"/>
    <w:rsid w:val="5A645A7F"/>
    <w:rsid w:val="5A653116"/>
    <w:rsid w:val="5A7035CD"/>
    <w:rsid w:val="5A873ECB"/>
    <w:rsid w:val="5A934A0F"/>
    <w:rsid w:val="5A957C98"/>
    <w:rsid w:val="5A9E6D6F"/>
    <w:rsid w:val="5AAC50E0"/>
    <w:rsid w:val="5AAD60EA"/>
    <w:rsid w:val="5AB61DE0"/>
    <w:rsid w:val="5ACB527F"/>
    <w:rsid w:val="5AD7761B"/>
    <w:rsid w:val="5B072DB6"/>
    <w:rsid w:val="5B19492B"/>
    <w:rsid w:val="5B233465"/>
    <w:rsid w:val="5B506B61"/>
    <w:rsid w:val="5B5F0F2E"/>
    <w:rsid w:val="5B667984"/>
    <w:rsid w:val="5B6B796C"/>
    <w:rsid w:val="5B7C0F56"/>
    <w:rsid w:val="5B9808C1"/>
    <w:rsid w:val="5BB10CB2"/>
    <w:rsid w:val="5BC16A09"/>
    <w:rsid w:val="5C012CC6"/>
    <w:rsid w:val="5C3B496D"/>
    <w:rsid w:val="5C503DE0"/>
    <w:rsid w:val="5C5435D1"/>
    <w:rsid w:val="5C5C5BA5"/>
    <w:rsid w:val="5C8005D2"/>
    <w:rsid w:val="5C8C4702"/>
    <w:rsid w:val="5C936557"/>
    <w:rsid w:val="5C943DBC"/>
    <w:rsid w:val="5C997625"/>
    <w:rsid w:val="5CA57080"/>
    <w:rsid w:val="5CA77E21"/>
    <w:rsid w:val="5CAF0BE0"/>
    <w:rsid w:val="5CB458BA"/>
    <w:rsid w:val="5CDC782C"/>
    <w:rsid w:val="5CE23DAC"/>
    <w:rsid w:val="5CE73917"/>
    <w:rsid w:val="5D0A73AF"/>
    <w:rsid w:val="5D120F26"/>
    <w:rsid w:val="5D1F603D"/>
    <w:rsid w:val="5D376039"/>
    <w:rsid w:val="5D3E31E9"/>
    <w:rsid w:val="5D436E42"/>
    <w:rsid w:val="5D63667B"/>
    <w:rsid w:val="5D696565"/>
    <w:rsid w:val="5D6F2EDA"/>
    <w:rsid w:val="5D783847"/>
    <w:rsid w:val="5D83037A"/>
    <w:rsid w:val="5D885121"/>
    <w:rsid w:val="5D9941C1"/>
    <w:rsid w:val="5DA92832"/>
    <w:rsid w:val="5DAE502B"/>
    <w:rsid w:val="5DB466F3"/>
    <w:rsid w:val="5DB915F2"/>
    <w:rsid w:val="5DBC60F3"/>
    <w:rsid w:val="5DCB1D21"/>
    <w:rsid w:val="5DCD5A99"/>
    <w:rsid w:val="5DDA5440"/>
    <w:rsid w:val="5DDD5947"/>
    <w:rsid w:val="5DDF393D"/>
    <w:rsid w:val="5DDF6E4E"/>
    <w:rsid w:val="5DFA49E0"/>
    <w:rsid w:val="5E1D0F80"/>
    <w:rsid w:val="5E1F3B6D"/>
    <w:rsid w:val="5E224037"/>
    <w:rsid w:val="5E352C38"/>
    <w:rsid w:val="5E3E40FF"/>
    <w:rsid w:val="5E40706E"/>
    <w:rsid w:val="5E4C1080"/>
    <w:rsid w:val="5E4E1C8A"/>
    <w:rsid w:val="5E5D7A78"/>
    <w:rsid w:val="5E7833A1"/>
    <w:rsid w:val="5E8274BA"/>
    <w:rsid w:val="5EA06D09"/>
    <w:rsid w:val="5EA53C9A"/>
    <w:rsid w:val="5EB822A5"/>
    <w:rsid w:val="5EBC7F37"/>
    <w:rsid w:val="5ECE7D1A"/>
    <w:rsid w:val="5ED36C86"/>
    <w:rsid w:val="5EDA60B0"/>
    <w:rsid w:val="5EE35A57"/>
    <w:rsid w:val="5F1645A7"/>
    <w:rsid w:val="5F522F6C"/>
    <w:rsid w:val="5F6A54DD"/>
    <w:rsid w:val="5F815969"/>
    <w:rsid w:val="5F8B4FA7"/>
    <w:rsid w:val="5F9B72D1"/>
    <w:rsid w:val="5FAB0A44"/>
    <w:rsid w:val="5FB17C29"/>
    <w:rsid w:val="5FB34738"/>
    <w:rsid w:val="5FB95E1C"/>
    <w:rsid w:val="5FC85F82"/>
    <w:rsid w:val="5FCB3FE5"/>
    <w:rsid w:val="5FDC5EDE"/>
    <w:rsid w:val="5FEB2206"/>
    <w:rsid w:val="5FED772C"/>
    <w:rsid w:val="5FF97EAE"/>
    <w:rsid w:val="60155C27"/>
    <w:rsid w:val="60162D11"/>
    <w:rsid w:val="601A6070"/>
    <w:rsid w:val="60226F8B"/>
    <w:rsid w:val="603B4F3C"/>
    <w:rsid w:val="60477ABF"/>
    <w:rsid w:val="604B06AE"/>
    <w:rsid w:val="60526566"/>
    <w:rsid w:val="607F756F"/>
    <w:rsid w:val="60917251"/>
    <w:rsid w:val="60982996"/>
    <w:rsid w:val="60C53D01"/>
    <w:rsid w:val="60C9018D"/>
    <w:rsid w:val="61012C93"/>
    <w:rsid w:val="61053FC5"/>
    <w:rsid w:val="610C088E"/>
    <w:rsid w:val="614A03E6"/>
    <w:rsid w:val="61531A50"/>
    <w:rsid w:val="61532201"/>
    <w:rsid w:val="61651210"/>
    <w:rsid w:val="61666018"/>
    <w:rsid w:val="616B46BB"/>
    <w:rsid w:val="616E5EB6"/>
    <w:rsid w:val="617526CF"/>
    <w:rsid w:val="618560EB"/>
    <w:rsid w:val="618E3791"/>
    <w:rsid w:val="619B5D77"/>
    <w:rsid w:val="61B10243"/>
    <w:rsid w:val="61BB2DD9"/>
    <w:rsid w:val="61C00B2F"/>
    <w:rsid w:val="61C3411F"/>
    <w:rsid w:val="61DD1B9A"/>
    <w:rsid w:val="61E136F6"/>
    <w:rsid w:val="61F4426B"/>
    <w:rsid w:val="61F83805"/>
    <w:rsid w:val="62022776"/>
    <w:rsid w:val="6205764C"/>
    <w:rsid w:val="62256C85"/>
    <w:rsid w:val="623600B0"/>
    <w:rsid w:val="62562501"/>
    <w:rsid w:val="6256299E"/>
    <w:rsid w:val="62574D95"/>
    <w:rsid w:val="62586747"/>
    <w:rsid w:val="626C60B7"/>
    <w:rsid w:val="62746498"/>
    <w:rsid w:val="62922E0D"/>
    <w:rsid w:val="62982A5C"/>
    <w:rsid w:val="62BF5CD1"/>
    <w:rsid w:val="62CB6D60"/>
    <w:rsid w:val="62E358B2"/>
    <w:rsid w:val="62EA49F7"/>
    <w:rsid w:val="62F154C5"/>
    <w:rsid w:val="62FD0A5D"/>
    <w:rsid w:val="63162338"/>
    <w:rsid w:val="632036E4"/>
    <w:rsid w:val="63232EB3"/>
    <w:rsid w:val="63267478"/>
    <w:rsid w:val="633D315E"/>
    <w:rsid w:val="63504ABF"/>
    <w:rsid w:val="63517786"/>
    <w:rsid w:val="637052D7"/>
    <w:rsid w:val="6388739F"/>
    <w:rsid w:val="6389099E"/>
    <w:rsid w:val="63954DAA"/>
    <w:rsid w:val="63C74AA3"/>
    <w:rsid w:val="63D87748"/>
    <w:rsid w:val="63DE2EEF"/>
    <w:rsid w:val="63E8362C"/>
    <w:rsid w:val="63F16145"/>
    <w:rsid w:val="64024CFF"/>
    <w:rsid w:val="641D22DD"/>
    <w:rsid w:val="64426DE8"/>
    <w:rsid w:val="645B3151"/>
    <w:rsid w:val="646A170C"/>
    <w:rsid w:val="64701038"/>
    <w:rsid w:val="64722EF6"/>
    <w:rsid w:val="64797A3F"/>
    <w:rsid w:val="647B4B09"/>
    <w:rsid w:val="647B6F79"/>
    <w:rsid w:val="64815AEE"/>
    <w:rsid w:val="648937A8"/>
    <w:rsid w:val="648B1BA9"/>
    <w:rsid w:val="648D0F64"/>
    <w:rsid w:val="649449E8"/>
    <w:rsid w:val="649D5D6D"/>
    <w:rsid w:val="64A9391A"/>
    <w:rsid w:val="64AF7CA6"/>
    <w:rsid w:val="64D77B16"/>
    <w:rsid w:val="64F953C5"/>
    <w:rsid w:val="651B533C"/>
    <w:rsid w:val="651E27DC"/>
    <w:rsid w:val="65206DF6"/>
    <w:rsid w:val="65291D8F"/>
    <w:rsid w:val="65570D94"/>
    <w:rsid w:val="655774EE"/>
    <w:rsid w:val="65795592"/>
    <w:rsid w:val="65A10F4D"/>
    <w:rsid w:val="65A93335"/>
    <w:rsid w:val="65BC5BDE"/>
    <w:rsid w:val="65D3678B"/>
    <w:rsid w:val="65DB69B9"/>
    <w:rsid w:val="65E142CF"/>
    <w:rsid w:val="65F16DEF"/>
    <w:rsid w:val="65FF5B93"/>
    <w:rsid w:val="660540EE"/>
    <w:rsid w:val="66081715"/>
    <w:rsid w:val="661673E0"/>
    <w:rsid w:val="661A1A97"/>
    <w:rsid w:val="661A3845"/>
    <w:rsid w:val="661B00EA"/>
    <w:rsid w:val="661D360B"/>
    <w:rsid w:val="66523C3F"/>
    <w:rsid w:val="66541F53"/>
    <w:rsid w:val="665C126F"/>
    <w:rsid w:val="6660647F"/>
    <w:rsid w:val="66613222"/>
    <w:rsid w:val="667762F5"/>
    <w:rsid w:val="66820F47"/>
    <w:rsid w:val="668A782A"/>
    <w:rsid w:val="66AF1795"/>
    <w:rsid w:val="66B07CC1"/>
    <w:rsid w:val="66B14B24"/>
    <w:rsid w:val="66B27D18"/>
    <w:rsid w:val="66D1442C"/>
    <w:rsid w:val="66D47E7F"/>
    <w:rsid w:val="66D64E5B"/>
    <w:rsid w:val="66DD089D"/>
    <w:rsid w:val="66F0016C"/>
    <w:rsid w:val="66FA0812"/>
    <w:rsid w:val="66FB2BD0"/>
    <w:rsid w:val="66FC2971"/>
    <w:rsid w:val="670008EB"/>
    <w:rsid w:val="67103ED9"/>
    <w:rsid w:val="67262B05"/>
    <w:rsid w:val="672C7CD4"/>
    <w:rsid w:val="674E513F"/>
    <w:rsid w:val="674E6BDA"/>
    <w:rsid w:val="67610E75"/>
    <w:rsid w:val="676F0F89"/>
    <w:rsid w:val="677178CC"/>
    <w:rsid w:val="677977BA"/>
    <w:rsid w:val="67797A29"/>
    <w:rsid w:val="679D31F9"/>
    <w:rsid w:val="679D3BF4"/>
    <w:rsid w:val="679D472E"/>
    <w:rsid w:val="67A41618"/>
    <w:rsid w:val="67AE4749"/>
    <w:rsid w:val="67C56A11"/>
    <w:rsid w:val="67DC3A63"/>
    <w:rsid w:val="67E071EA"/>
    <w:rsid w:val="67FC4971"/>
    <w:rsid w:val="68221BAF"/>
    <w:rsid w:val="682D62D9"/>
    <w:rsid w:val="685143BC"/>
    <w:rsid w:val="68542A0A"/>
    <w:rsid w:val="68555296"/>
    <w:rsid w:val="686C1E80"/>
    <w:rsid w:val="689079C3"/>
    <w:rsid w:val="689A2A1B"/>
    <w:rsid w:val="68D46A71"/>
    <w:rsid w:val="68D56910"/>
    <w:rsid w:val="68EF70C5"/>
    <w:rsid w:val="68F22D9F"/>
    <w:rsid w:val="69162C86"/>
    <w:rsid w:val="69180AD7"/>
    <w:rsid w:val="69214083"/>
    <w:rsid w:val="69456B9A"/>
    <w:rsid w:val="69481344"/>
    <w:rsid w:val="695700E3"/>
    <w:rsid w:val="6980516E"/>
    <w:rsid w:val="698B51FD"/>
    <w:rsid w:val="69960468"/>
    <w:rsid w:val="69A109AD"/>
    <w:rsid w:val="69B875FD"/>
    <w:rsid w:val="69D5796F"/>
    <w:rsid w:val="69E00AE8"/>
    <w:rsid w:val="69E2467A"/>
    <w:rsid w:val="69F101EA"/>
    <w:rsid w:val="69F448E4"/>
    <w:rsid w:val="6A0606AA"/>
    <w:rsid w:val="6A090874"/>
    <w:rsid w:val="6A0F6D29"/>
    <w:rsid w:val="6A1231B1"/>
    <w:rsid w:val="6A1B780C"/>
    <w:rsid w:val="6A206086"/>
    <w:rsid w:val="6A3F0B90"/>
    <w:rsid w:val="6A3F71AB"/>
    <w:rsid w:val="6A407F9F"/>
    <w:rsid w:val="6A4620BF"/>
    <w:rsid w:val="6A4D5F32"/>
    <w:rsid w:val="6A5D65D9"/>
    <w:rsid w:val="6A6908F7"/>
    <w:rsid w:val="6A722F0B"/>
    <w:rsid w:val="6A7A4D5B"/>
    <w:rsid w:val="6A7E7518"/>
    <w:rsid w:val="6A825953"/>
    <w:rsid w:val="6A881C38"/>
    <w:rsid w:val="6A8A11E6"/>
    <w:rsid w:val="6A8B2F63"/>
    <w:rsid w:val="6A9C5BA1"/>
    <w:rsid w:val="6A9C6F1F"/>
    <w:rsid w:val="6AC034F3"/>
    <w:rsid w:val="6AC96987"/>
    <w:rsid w:val="6AD24017"/>
    <w:rsid w:val="6AD42C61"/>
    <w:rsid w:val="6AE14092"/>
    <w:rsid w:val="6AEA323D"/>
    <w:rsid w:val="6AF07997"/>
    <w:rsid w:val="6AF5032D"/>
    <w:rsid w:val="6AFB2812"/>
    <w:rsid w:val="6AFF182D"/>
    <w:rsid w:val="6B032C8C"/>
    <w:rsid w:val="6B243303"/>
    <w:rsid w:val="6B3569BE"/>
    <w:rsid w:val="6B3A1CE8"/>
    <w:rsid w:val="6B3E4E41"/>
    <w:rsid w:val="6B4D49EF"/>
    <w:rsid w:val="6B556078"/>
    <w:rsid w:val="6B565CD0"/>
    <w:rsid w:val="6B68013D"/>
    <w:rsid w:val="6B7022D0"/>
    <w:rsid w:val="6B7B5422"/>
    <w:rsid w:val="6B852192"/>
    <w:rsid w:val="6B925A32"/>
    <w:rsid w:val="6B9C4F5E"/>
    <w:rsid w:val="6BA92B5A"/>
    <w:rsid w:val="6BB42760"/>
    <w:rsid w:val="6BD37065"/>
    <w:rsid w:val="6BE13B5E"/>
    <w:rsid w:val="6BE31674"/>
    <w:rsid w:val="6BE95EA9"/>
    <w:rsid w:val="6BEA6094"/>
    <w:rsid w:val="6C114575"/>
    <w:rsid w:val="6C3E2214"/>
    <w:rsid w:val="6C427652"/>
    <w:rsid w:val="6C4D48CD"/>
    <w:rsid w:val="6C8202CD"/>
    <w:rsid w:val="6C8639E2"/>
    <w:rsid w:val="6C961621"/>
    <w:rsid w:val="6C9D5038"/>
    <w:rsid w:val="6CBB7DE1"/>
    <w:rsid w:val="6CC445CB"/>
    <w:rsid w:val="6CD042ED"/>
    <w:rsid w:val="6CDA2357"/>
    <w:rsid w:val="6CE8212C"/>
    <w:rsid w:val="6CF01775"/>
    <w:rsid w:val="6CFB62C0"/>
    <w:rsid w:val="6CFD7CAA"/>
    <w:rsid w:val="6D026DE8"/>
    <w:rsid w:val="6D0316B2"/>
    <w:rsid w:val="6D087337"/>
    <w:rsid w:val="6D0E1321"/>
    <w:rsid w:val="6D104BE0"/>
    <w:rsid w:val="6D132371"/>
    <w:rsid w:val="6D1338DD"/>
    <w:rsid w:val="6D153789"/>
    <w:rsid w:val="6D3B4D97"/>
    <w:rsid w:val="6D487B73"/>
    <w:rsid w:val="6D4A2408"/>
    <w:rsid w:val="6D4B1E5A"/>
    <w:rsid w:val="6D5E70E9"/>
    <w:rsid w:val="6D6729D8"/>
    <w:rsid w:val="6D6E09F2"/>
    <w:rsid w:val="6D852386"/>
    <w:rsid w:val="6DBD67AE"/>
    <w:rsid w:val="6DCF3167"/>
    <w:rsid w:val="6DD54C21"/>
    <w:rsid w:val="6DF453C2"/>
    <w:rsid w:val="6DFC1EB9"/>
    <w:rsid w:val="6E25722B"/>
    <w:rsid w:val="6E3363CE"/>
    <w:rsid w:val="6E3C316F"/>
    <w:rsid w:val="6E453429"/>
    <w:rsid w:val="6E456275"/>
    <w:rsid w:val="6E4E36BD"/>
    <w:rsid w:val="6E6127F4"/>
    <w:rsid w:val="6E631ECC"/>
    <w:rsid w:val="6E860D5E"/>
    <w:rsid w:val="6E880670"/>
    <w:rsid w:val="6E9028F6"/>
    <w:rsid w:val="6EB7522E"/>
    <w:rsid w:val="6EC002E5"/>
    <w:rsid w:val="6EC64ECD"/>
    <w:rsid w:val="6EC71F62"/>
    <w:rsid w:val="6ECD2CED"/>
    <w:rsid w:val="6EE1422E"/>
    <w:rsid w:val="6EE449F0"/>
    <w:rsid w:val="6EF14DB2"/>
    <w:rsid w:val="6EFA06B8"/>
    <w:rsid w:val="6F046E40"/>
    <w:rsid w:val="6F1743AC"/>
    <w:rsid w:val="6F3E2352"/>
    <w:rsid w:val="6F4656AB"/>
    <w:rsid w:val="6F5C1867"/>
    <w:rsid w:val="6F5C3F48"/>
    <w:rsid w:val="6F61462B"/>
    <w:rsid w:val="6F6D6714"/>
    <w:rsid w:val="6F8561D3"/>
    <w:rsid w:val="6F926B42"/>
    <w:rsid w:val="6F9C2017"/>
    <w:rsid w:val="6FB37BE5"/>
    <w:rsid w:val="6FC2450B"/>
    <w:rsid w:val="6FC7059A"/>
    <w:rsid w:val="6FCA64CD"/>
    <w:rsid w:val="6FE112C4"/>
    <w:rsid w:val="6FF069FB"/>
    <w:rsid w:val="6FF36A80"/>
    <w:rsid w:val="6FFB0619"/>
    <w:rsid w:val="6FFD7D02"/>
    <w:rsid w:val="70020E6A"/>
    <w:rsid w:val="701A60AC"/>
    <w:rsid w:val="702149D3"/>
    <w:rsid w:val="7021684B"/>
    <w:rsid w:val="70217D0F"/>
    <w:rsid w:val="7045295A"/>
    <w:rsid w:val="7047527A"/>
    <w:rsid w:val="704E0CBB"/>
    <w:rsid w:val="7056241A"/>
    <w:rsid w:val="707B2CB1"/>
    <w:rsid w:val="70924B19"/>
    <w:rsid w:val="70952588"/>
    <w:rsid w:val="70A34833"/>
    <w:rsid w:val="70B75478"/>
    <w:rsid w:val="70BA7DE6"/>
    <w:rsid w:val="70BF74C3"/>
    <w:rsid w:val="70D56048"/>
    <w:rsid w:val="70DA3248"/>
    <w:rsid w:val="71027F8C"/>
    <w:rsid w:val="712A4901"/>
    <w:rsid w:val="71391F94"/>
    <w:rsid w:val="7148395C"/>
    <w:rsid w:val="715D7335"/>
    <w:rsid w:val="717159EA"/>
    <w:rsid w:val="71777F8A"/>
    <w:rsid w:val="719340CC"/>
    <w:rsid w:val="71946BA2"/>
    <w:rsid w:val="71A412EF"/>
    <w:rsid w:val="71B106B0"/>
    <w:rsid w:val="71B61A42"/>
    <w:rsid w:val="71BB267E"/>
    <w:rsid w:val="71BE59CD"/>
    <w:rsid w:val="71C32243"/>
    <w:rsid w:val="71D94178"/>
    <w:rsid w:val="71E258E0"/>
    <w:rsid w:val="71E450CA"/>
    <w:rsid w:val="71EA7F5E"/>
    <w:rsid w:val="71EE0EE5"/>
    <w:rsid w:val="71F773F9"/>
    <w:rsid w:val="71FB452B"/>
    <w:rsid w:val="72025ED5"/>
    <w:rsid w:val="720A7322"/>
    <w:rsid w:val="72137E38"/>
    <w:rsid w:val="721E571E"/>
    <w:rsid w:val="721F7D69"/>
    <w:rsid w:val="7225336C"/>
    <w:rsid w:val="722E3E35"/>
    <w:rsid w:val="724A7260"/>
    <w:rsid w:val="724B68D9"/>
    <w:rsid w:val="72541E8D"/>
    <w:rsid w:val="725E62FA"/>
    <w:rsid w:val="72860473"/>
    <w:rsid w:val="7299364D"/>
    <w:rsid w:val="72C16C93"/>
    <w:rsid w:val="72D66A82"/>
    <w:rsid w:val="72D67597"/>
    <w:rsid w:val="72E43D31"/>
    <w:rsid w:val="72FF6E9B"/>
    <w:rsid w:val="73027148"/>
    <w:rsid w:val="7305147C"/>
    <w:rsid w:val="731A30F8"/>
    <w:rsid w:val="732711EC"/>
    <w:rsid w:val="733A7EE8"/>
    <w:rsid w:val="734D11ED"/>
    <w:rsid w:val="735A55D3"/>
    <w:rsid w:val="73621B80"/>
    <w:rsid w:val="7375174D"/>
    <w:rsid w:val="73795D83"/>
    <w:rsid w:val="737B6EF7"/>
    <w:rsid w:val="73850D73"/>
    <w:rsid w:val="738B56FD"/>
    <w:rsid w:val="738B5D82"/>
    <w:rsid w:val="73993FFB"/>
    <w:rsid w:val="739F2E93"/>
    <w:rsid w:val="73A60FE9"/>
    <w:rsid w:val="73B8143C"/>
    <w:rsid w:val="73C06788"/>
    <w:rsid w:val="73D813D5"/>
    <w:rsid w:val="73DB1F8F"/>
    <w:rsid w:val="73DE1B70"/>
    <w:rsid w:val="73E6120B"/>
    <w:rsid w:val="741378E4"/>
    <w:rsid w:val="74213FF1"/>
    <w:rsid w:val="743138C9"/>
    <w:rsid w:val="74497E8D"/>
    <w:rsid w:val="744F70D5"/>
    <w:rsid w:val="74542618"/>
    <w:rsid w:val="746B1062"/>
    <w:rsid w:val="74836A59"/>
    <w:rsid w:val="74890514"/>
    <w:rsid w:val="74957A1D"/>
    <w:rsid w:val="74976F8C"/>
    <w:rsid w:val="749C28D6"/>
    <w:rsid w:val="74AC2DBE"/>
    <w:rsid w:val="74B03CF2"/>
    <w:rsid w:val="74B4279D"/>
    <w:rsid w:val="74C959EF"/>
    <w:rsid w:val="74D13C69"/>
    <w:rsid w:val="74D226D8"/>
    <w:rsid w:val="74D951DD"/>
    <w:rsid w:val="74E36253"/>
    <w:rsid w:val="74F273DA"/>
    <w:rsid w:val="74F600B5"/>
    <w:rsid w:val="750C6A4F"/>
    <w:rsid w:val="75102AF5"/>
    <w:rsid w:val="751C1B98"/>
    <w:rsid w:val="752E2E69"/>
    <w:rsid w:val="753F1C14"/>
    <w:rsid w:val="75404D65"/>
    <w:rsid w:val="75410DEE"/>
    <w:rsid w:val="754B45FC"/>
    <w:rsid w:val="754C4FE3"/>
    <w:rsid w:val="75780005"/>
    <w:rsid w:val="75846F2D"/>
    <w:rsid w:val="758E56B6"/>
    <w:rsid w:val="759D26FD"/>
    <w:rsid w:val="75BA7DC9"/>
    <w:rsid w:val="75C158E1"/>
    <w:rsid w:val="75D75BBF"/>
    <w:rsid w:val="75F25C45"/>
    <w:rsid w:val="75F8173D"/>
    <w:rsid w:val="75FE15A4"/>
    <w:rsid w:val="76087EFE"/>
    <w:rsid w:val="762F3987"/>
    <w:rsid w:val="763146BA"/>
    <w:rsid w:val="76373F9F"/>
    <w:rsid w:val="763C17CD"/>
    <w:rsid w:val="7651209F"/>
    <w:rsid w:val="765A396A"/>
    <w:rsid w:val="765B5EE0"/>
    <w:rsid w:val="76625186"/>
    <w:rsid w:val="76694515"/>
    <w:rsid w:val="7671183A"/>
    <w:rsid w:val="76795A9A"/>
    <w:rsid w:val="76850BE3"/>
    <w:rsid w:val="768E7AAD"/>
    <w:rsid w:val="769D37DC"/>
    <w:rsid w:val="76AD1FDF"/>
    <w:rsid w:val="76AF483A"/>
    <w:rsid w:val="76C37C6F"/>
    <w:rsid w:val="76C61386"/>
    <w:rsid w:val="76CF1D13"/>
    <w:rsid w:val="76D56664"/>
    <w:rsid w:val="76E81AE6"/>
    <w:rsid w:val="76FD0D45"/>
    <w:rsid w:val="77000835"/>
    <w:rsid w:val="770802F0"/>
    <w:rsid w:val="771025D4"/>
    <w:rsid w:val="77115FC5"/>
    <w:rsid w:val="77196438"/>
    <w:rsid w:val="77326AF1"/>
    <w:rsid w:val="77342D6F"/>
    <w:rsid w:val="77383B2B"/>
    <w:rsid w:val="773B467C"/>
    <w:rsid w:val="775B5775"/>
    <w:rsid w:val="775E0D1F"/>
    <w:rsid w:val="776655B0"/>
    <w:rsid w:val="77685B26"/>
    <w:rsid w:val="777B5097"/>
    <w:rsid w:val="777E55F4"/>
    <w:rsid w:val="777F79AC"/>
    <w:rsid w:val="77820DEB"/>
    <w:rsid w:val="7792671F"/>
    <w:rsid w:val="7797445D"/>
    <w:rsid w:val="77986D62"/>
    <w:rsid w:val="77A015C8"/>
    <w:rsid w:val="77A92E90"/>
    <w:rsid w:val="77B650A0"/>
    <w:rsid w:val="77CE0481"/>
    <w:rsid w:val="77E43CB3"/>
    <w:rsid w:val="77EC7456"/>
    <w:rsid w:val="77EE7D89"/>
    <w:rsid w:val="77EF0483"/>
    <w:rsid w:val="78131205"/>
    <w:rsid w:val="781911C5"/>
    <w:rsid w:val="781A279F"/>
    <w:rsid w:val="782500E0"/>
    <w:rsid w:val="782F5811"/>
    <w:rsid w:val="78384A59"/>
    <w:rsid w:val="783B343E"/>
    <w:rsid w:val="78491B75"/>
    <w:rsid w:val="784A2663"/>
    <w:rsid w:val="784A43B3"/>
    <w:rsid w:val="78511348"/>
    <w:rsid w:val="785250C1"/>
    <w:rsid w:val="78564BB1"/>
    <w:rsid w:val="78581051"/>
    <w:rsid w:val="786228CD"/>
    <w:rsid w:val="786F0FB8"/>
    <w:rsid w:val="78714DF4"/>
    <w:rsid w:val="78721CEF"/>
    <w:rsid w:val="787234C6"/>
    <w:rsid w:val="78756296"/>
    <w:rsid w:val="788334CC"/>
    <w:rsid w:val="78954AB2"/>
    <w:rsid w:val="78A468D5"/>
    <w:rsid w:val="78B20233"/>
    <w:rsid w:val="78D12FAA"/>
    <w:rsid w:val="78D855C6"/>
    <w:rsid w:val="78FC0536"/>
    <w:rsid w:val="78FE7954"/>
    <w:rsid w:val="79315979"/>
    <w:rsid w:val="79424F4F"/>
    <w:rsid w:val="795831E5"/>
    <w:rsid w:val="796E7E54"/>
    <w:rsid w:val="79756315"/>
    <w:rsid w:val="79765CDA"/>
    <w:rsid w:val="798B6ADC"/>
    <w:rsid w:val="79A47621"/>
    <w:rsid w:val="79AA18D2"/>
    <w:rsid w:val="79AB6836"/>
    <w:rsid w:val="79C56A19"/>
    <w:rsid w:val="79D957CA"/>
    <w:rsid w:val="79DA621C"/>
    <w:rsid w:val="79ED729C"/>
    <w:rsid w:val="7A0A78E3"/>
    <w:rsid w:val="7A2465E9"/>
    <w:rsid w:val="7A364577"/>
    <w:rsid w:val="7A54735F"/>
    <w:rsid w:val="7A592EFD"/>
    <w:rsid w:val="7A5A319C"/>
    <w:rsid w:val="7A5B64AE"/>
    <w:rsid w:val="7A5C5D83"/>
    <w:rsid w:val="7A681FA7"/>
    <w:rsid w:val="7A6963D8"/>
    <w:rsid w:val="7A8D6E37"/>
    <w:rsid w:val="7AA21823"/>
    <w:rsid w:val="7AA7070E"/>
    <w:rsid w:val="7AA900DE"/>
    <w:rsid w:val="7AA936C9"/>
    <w:rsid w:val="7AB12D4C"/>
    <w:rsid w:val="7AD37F76"/>
    <w:rsid w:val="7AF32BF3"/>
    <w:rsid w:val="7AF771AA"/>
    <w:rsid w:val="7B063D79"/>
    <w:rsid w:val="7B095F0A"/>
    <w:rsid w:val="7B116B6D"/>
    <w:rsid w:val="7B190BA4"/>
    <w:rsid w:val="7B334D35"/>
    <w:rsid w:val="7B36137C"/>
    <w:rsid w:val="7B3A2568"/>
    <w:rsid w:val="7B51165F"/>
    <w:rsid w:val="7B6F5B5B"/>
    <w:rsid w:val="7B7415FA"/>
    <w:rsid w:val="7B765886"/>
    <w:rsid w:val="7B7C4D25"/>
    <w:rsid w:val="7B893C25"/>
    <w:rsid w:val="7B8B5C40"/>
    <w:rsid w:val="7B90640C"/>
    <w:rsid w:val="7B922E29"/>
    <w:rsid w:val="7BAB0D70"/>
    <w:rsid w:val="7BBC11CF"/>
    <w:rsid w:val="7BBF79A8"/>
    <w:rsid w:val="7BC24F1F"/>
    <w:rsid w:val="7BE129E3"/>
    <w:rsid w:val="7BE23EB3"/>
    <w:rsid w:val="7BE91898"/>
    <w:rsid w:val="7BF72207"/>
    <w:rsid w:val="7C161B08"/>
    <w:rsid w:val="7C3A2FA7"/>
    <w:rsid w:val="7C541407"/>
    <w:rsid w:val="7C5840BF"/>
    <w:rsid w:val="7C6D071B"/>
    <w:rsid w:val="7C84107F"/>
    <w:rsid w:val="7C9909ED"/>
    <w:rsid w:val="7C9C2291"/>
    <w:rsid w:val="7CA46921"/>
    <w:rsid w:val="7CA56991"/>
    <w:rsid w:val="7CA71E0B"/>
    <w:rsid w:val="7CB85E09"/>
    <w:rsid w:val="7CFE3A42"/>
    <w:rsid w:val="7CFF1519"/>
    <w:rsid w:val="7D013878"/>
    <w:rsid w:val="7D0F508E"/>
    <w:rsid w:val="7D17450A"/>
    <w:rsid w:val="7D1943FF"/>
    <w:rsid w:val="7D2557AC"/>
    <w:rsid w:val="7D3F099E"/>
    <w:rsid w:val="7D4B01E2"/>
    <w:rsid w:val="7D533A52"/>
    <w:rsid w:val="7D5B43D0"/>
    <w:rsid w:val="7D6243C6"/>
    <w:rsid w:val="7D76523E"/>
    <w:rsid w:val="7D781E69"/>
    <w:rsid w:val="7D7B5075"/>
    <w:rsid w:val="7D832173"/>
    <w:rsid w:val="7D8A3C14"/>
    <w:rsid w:val="7D8C5B06"/>
    <w:rsid w:val="7D934401"/>
    <w:rsid w:val="7D953960"/>
    <w:rsid w:val="7D961406"/>
    <w:rsid w:val="7DA56991"/>
    <w:rsid w:val="7DA623C2"/>
    <w:rsid w:val="7DA737B9"/>
    <w:rsid w:val="7DB639FC"/>
    <w:rsid w:val="7DFF0E02"/>
    <w:rsid w:val="7E070C8C"/>
    <w:rsid w:val="7E0800A0"/>
    <w:rsid w:val="7E0C521E"/>
    <w:rsid w:val="7E0E7E19"/>
    <w:rsid w:val="7E1840CC"/>
    <w:rsid w:val="7E1964D0"/>
    <w:rsid w:val="7E303249"/>
    <w:rsid w:val="7E525E1A"/>
    <w:rsid w:val="7E555123"/>
    <w:rsid w:val="7E557656"/>
    <w:rsid w:val="7E7538B7"/>
    <w:rsid w:val="7E841CD2"/>
    <w:rsid w:val="7E844BCE"/>
    <w:rsid w:val="7E8D660B"/>
    <w:rsid w:val="7E9433D2"/>
    <w:rsid w:val="7E992085"/>
    <w:rsid w:val="7EB47F46"/>
    <w:rsid w:val="7EB94600"/>
    <w:rsid w:val="7ECF7C45"/>
    <w:rsid w:val="7ED82860"/>
    <w:rsid w:val="7EF45DB1"/>
    <w:rsid w:val="7EFD2358"/>
    <w:rsid w:val="7EFF5324"/>
    <w:rsid w:val="7F03165A"/>
    <w:rsid w:val="7F077A20"/>
    <w:rsid w:val="7F077BC2"/>
    <w:rsid w:val="7F09267A"/>
    <w:rsid w:val="7F2B23E6"/>
    <w:rsid w:val="7F2B4123"/>
    <w:rsid w:val="7F3426C9"/>
    <w:rsid w:val="7F3E0944"/>
    <w:rsid w:val="7F3E5DC7"/>
    <w:rsid w:val="7F5C2ED4"/>
    <w:rsid w:val="7F5E061E"/>
    <w:rsid w:val="7F643B5C"/>
    <w:rsid w:val="7F8A3D01"/>
    <w:rsid w:val="7F8B6823"/>
    <w:rsid w:val="7F9B25D3"/>
    <w:rsid w:val="7F9C4EBD"/>
    <w:rsid w:val="7FAD310E"/>
    <w:rsid w:val="7FCD6742"/>
    <w:rsid w:val="7FE44850"/>
    <w:rsid w:val="7FE546A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0"/>
    <w:pPr>
      <w:keepNext/>
      <w:keepLines/>
      <w:spacing w:line="440" w:lineRule="exact"/>
      <w:jc w:val="center"/>
      <w:outlineLvl w:val="0"/>
    </w:pPr>
    <w:rPr>
      <w:b/>
      <w:bCs/>
      <w:kern w:val="44"/>
      <w:sz w:val="44"/>
      <w:szCs w:val="44"/>
    </w:rPr>
  </w:style>
  <w:style w:type="paragraph" w:styleId="3">
    <w:name w:val="heading 2"/>
    <w:basedOn w:val="1"/>
    <w:next w:val="1"/>
    <w:link w:val="197"/>
    <w:qFormat/>
    <w:uiPriority w:val="0"/>
    <w:pPr>
      <w:keepNext/>
      <w:keepLines/>
      <w:spacing w:line="440" w:lineRule="exact"/>
      <w:jc w:val="left"/>
      <w:outlineLvl w:val="1"/>
    </w:pPr>
    <w:rPr>
      <w:rFonts w:ascii="Arial" w:hAnsi="Arial" w:eastAsia="黑体"/>
      <w:b/>
      <w:bCs/>
      <w:szCs w:val="32"/>
    </w:rPr>
  </w:style>
  <w:style w:type="paragraph" w:styleId="4">
    <w:name w:val="heading 3"/>
    <w:basedOn w:val="1"/>
    <w:next w:val="1"/>
    <w:link w:val="153"/>
    <w:qFormat/>
    <w:uiPriority w:val="0"/>
    <w:pPr>
      <w:keepNext/>
      <w:keepLines/>
      <w:spacing w:line="415" w:lineRule="auto"/>
      <w:outlineLvl w:val="2"/>
    </w:pPr>
    <w:rPr>
      <w:b/>
      <w:bCs/>
      <w:kern w:val="0"/>
      <w:sz w:val="32"/>
      <w:szCs w:val="32"/>
    </w:rPr>
  </w:style>
  <w:style w:type="paragraph" w:styleId="5">
    <w:name w:val="heading 4"/>
    <w:basedOn w:val="1"/>
    <w:next w:val="1"/>
    <w:qFormat/>
    <w:uiPriority w:val="0"/>
    <w:pPr>
      <w:keepNext/>
      <w:keepLines/>
      <w:spacing w:line="374" w:lineRule="auto"/>
      <w:outlineLvl w:val="3"/>
    </w:pPr>
    <w:rPr>
      <w:rFonts w:ascii="Arial" w:hAnsi="Arial" w:eastAsia="黑体"/>
      <w:b/>
      <w:bCs/>
      <w:sz w:val="28"/>
      <w:szCs w:val="28"/>
    </w:rPr>
  </w:style>
  <w:style w:type="paragraph" w:styleId="6">
    <w:name w:val="heading 5"/>
    <w:basedOn w:val="1"/>
    <w:next w:val="1"/>
    <w:link w:val="129"/>
    <w:qFormat/>
    <w:uiPriority w:val="0"/>
    <w:pPr>
      <w:keepNext/>
      <w:keepLines/>
      <w:spacing w:line="376" w:lineRule="auto"/>
      <w:outlineLvl w:val="4"/>
    </w:pPr>
    <w:rPr>
      <w:b/>
      <w:bCs/>
      <w:sz w:val="28"/>
      <w:szCs w:val="28"/>
    </w:rPr>
  </w:style>
  <w:style w:type="paragraph" w:styleId="7">
    <w:name w:val="heading 6"/>
    <w:basedOn w:val="1"/>
    <w:next w:val="1"/>
    <w:qFormat/>
    <w:uiPriority w:val="0"/>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18"/>
    </w:rPr>
  </w:style>
  <w:style w:type="paragraph" w:styleId="12">
    <w:name w:val="table of authorities"/>
    <w:basedOn w:val="1"/>
    <w:next w:val="1"/>
    <w:unhideWhenUsed/>
    <w:qFormat/>
    <w:uiPriority w:val="0"/>
    <w:pPr>
      <w:ind w:left="420" w:leftChars="200"/>
    </w:pPr>
  </w:style>
  <w:style w:type="paragraph" w:styleId="13">
    <w:name w:val="Normal Indent"/>
    <w:basedOn w:val="1"/>
    <w:next w:val="14"/>
    <w:qFormat/>
    <w:uiPriority w:val="0"/>
    <w:pPr>
      <w:ind w:firstLine="420" w:firstLineChars="200"/>
    </w:pPr>
  </w:style>
  <w:style w:type="paragraph" w:styleId="14">
    <w:name w:val="Body Text First Indent 2"/>
    <w:basedOn w:val="15"/>
    <w:next w:val="16"/>
    <w:qFormat/>
    <w:uiPriority w:val="0"/>
    <w:pPr>
      <w:spacing w:line="360" w:lineRule="auto"/>
      <w:ind w:firstLine="200" w:firstLineChars="200"/>
    </w:pPr>
    <w:rPr>
      <w:rFonts w:ascii="宋体"/>
      <w:szCs w:val="20"/>
    </w:rPr>
  </w:style>
  <w:style w:type="paragraph" w:styleId="15">
    <w:name w:val="Body Text Indent"/>
    <w:basedOn w:val="1"/>
    <w:next w:val="16"/>
    <w:qFormat/>
    <w:uiPriority w:val="0"/>
    <w:pPr>
      <w:ind w:left="420" w:leftChars="200"/>
    </w:pPr>
  </w:style>
  <w:style w:type="paragraph" w:customStyle="1" w:styleId="16">
    <w:name w:val="正文文字 8"/>
    <w:basedOn w:val="1"/>
    <w:next w:val="1"/>
    <w:qFormat/>
    <w:uiPriority w:val="0"/>
    <w:pPr>
      <w:ind w:left="240"/>
    </w:pPr>
    <w:rPr>
      <w:sz w:val="16"/>
    </w:rPr>
  </w:style>
  <w:style w:type="paragraph" w:styleId="17">
    <w:name w:val="Document Map"/>
    <w:basedOn w:val="1"/>
    <w:qFormat/>
    <w:uiPriority w:val="0"/>
    <w:pPr>
      <w:shd w:val="clear" w:color="auto" w:fill="000080"/>
    </w:pPr>
  </w:style>
  <w:style w:type="paragraph" w:styleId="18">
    <w:name w:val="annotation text"/>
    <w:basedOn w:val="1"/>
    <w:link w:val="112"/>
    <w:qFormat/>
    <w:uiPriority w:val="0"/>
    <w:pPr>
      <w:jc w:val="left"/>
    </w:pPr>
  </w:style>
  <w:style w:type="paragraph" w:styleId="19">
    <w:name w:val="Body Text 3"/>
    <w:basedOn w:val="1"/>
    <w:qFormat/>
    <w:uiPriority w:val="0"/>
    <w:rPr>
      <w:rFonts w:ascii="宋体"/>
      <w:sz w:val="24"/>
      <w:szCs w:val="20"/>
    </w:rPr>
  </w:style>
  <w:style w:type="paragraph" w:styleId="20">
    <w:name w:val="Body Text"/>
    <w:basedOn w:val="1"/>
    <w:link w:val="142"/>
    <w:qFormat/>
    <w:uiPriority w:val="0"/>
  </w:style>
  <w:style w:type="paragraph" w:styleId="21">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2">
    <w:name w:val="toc 5"/>
    <w:basedOn w:val="1"/>
    <w:next w:val="1"/>
    <w:qFormat/>
    <w:uiPriority w:val="39"/>
    <w:pPr>
      <w:ind w:left="840"/>
      <w:jc w:val="left"/>
    </w:pPr>
    <w:rPr>
      <w:sz w:val="18"/>
      <w:szCs w:val="18"/>
    </w:rPr>
  </w:style>
  <w:style w:type="paragraph" w:styleId="23">
    <w:name w:val="toc 3"/>
    <w:basedOn w:val="1"/>
    <w:next w:val="1"/>
    <w:qFormat/>
    <w:uiPriority w:val="39"/>
    <w:pPr>
      <w:ind w:left="420"/>
      <w:jc w:val="left"/>
    </w:pPr>
    <w:rPr>
      <w:i/>
      <w:iCs/>
      <w:sz w:val="20"/>
      <w:szCs w:val="20"/>
    </w:rPr>
  </w:style>
  <w:style w:type="paragraph" w:styleId="24">
    <w:name w:val="Plain Text"/>
    <w:basedOn w:val="1"/>
    <w:next w:val="1"/>
    <w:link w:val="136"/>
    <w:qFormat/>
    <w:uiPriority w:val="0"/>
    <w:rPr>
      <w:rFonts w:ascii="Courier New" w:hAnsi="Courier New"/>
      <w:szCs w:val="20"/>
    </w:rPr>
  </w:style>
  <w:style w:type="paragraph" w:styleId="25">
    <w:name w:val="toc 8"/>
    <w:basedOn w:val="1"/>
    <w:next w:val="1"/>
    <w:qFormat/>
    <w:uiPriority w:val="39"/>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line="360" w:lineRule="exact"/>
      <w:ind w:firstLine="600" w:firstLineChars="250"/>
      <w:jc w:val="left"/>
    </w:pPr>
    <w:rPr>
      <w:sz w:val="24"/>
    </w:r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envelope return"/>
    <w:basedOn w:val="1"/>
    <w:next w:val="11"/>
    <w:qFormat/>
    <w:uiPriority w:val="0"/>
    <w:pPr>
      <w:snapToGrid w:val="0"/>
    </w:pPr>
    <w:rPr>
      <w:rFonts w:ascii="Arial" w:hAnsi="Arial"/>
    </w:rPr>
  </w:style>
  <w:style w:type="paragraph" w:styleId="3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jc w:val="left"/>
    </w:pPr>
    <w:rPr>
      <w:b/>
      <w:bCs/>
      <w:caps/>
      <w:sz w:val="20"/>
      <w:szCs w:val="20"/>
    </w:rPr>
  </w:style>
  <w:style w:type="paragraph" w:styleId="33">
    <w:name w:val="toc 4"/>
    <w:basedOn w:val="1"/>
    <w:next w:val="1"/>
    <w:qFormat/>
    <w:uiPriority w:val="39"/>
    <w:pPr>
      <w:ind w:left="630"/>
      <w:jc w:val="left"/>
    </w:pPr>
    <w:rPr>
      <w:sz w:val="18"/>
      <w:szCs w:val="18"/>
    </w:rPr>
  </w:style>
  <w:style w:type="paragraph" w:styleId="34">
    <w:name w:val="List"/>
    <w:basedOn w:val="1"/>
    <w:qFormat/>
    <w:uiPriority w:val="0"/>
    <w:pPr>
      <w:ind w:left="420" w:hanging="420"/>
    </w:pPr>
  </w:style>
  <w:style w:type="paragraph" w:styleId="35">
    <w:name w:val="footnote text"/>
    <w:basedOn w:val="1"/>
    <w:qFormat/>
    <w:uiPriority w:val="0"/>
    <w:rPr>
      <w:sz w:val="20"/>
      <w:szCs w:val="20"/>
    </w:rPr>
  </w:style>
  <w:style w:type="paragraph" w:styleId="36">
    <w:name w:val="toc 6"/>
    <w:basedOn w:val="1"/>
    <w:next w:val="1"/>
    <w:qFormat/>
    <w:uiPriority w:val="39"/>
    <w:pPr>
      <w:ind w:left="1050"/>
      <w:jc w:val="left"/>
    </w:pPr>
    <w:rPr>
      <w:sz w:val="18"/>
      <w:szCs w:val="18"/>
    </w:rPr>
  </w:style>
  <w:style w:type="paragraph" w:styleId="37">
    <w:name w:val="Body Text Indent 3"/>
    <w:basedOn w:val="1"/>
    <w:qFormat/>
    <w:uiPriority w:val="0"/>
    <w:pPr>
      <w:ind w:left="420" w:leftChars="200"/>
    </w:pPr>
    <w:rPr>
      <w:sz w:val="16"/>
      <w:szCs w:val="16"/>
    </w:rPr>
  </w:style>
  <w:style w:type="paragraph" w:styleId="38">
    <w:name w:val="table of figures"/>
    <w:basedOn w:val="1"/>
    <w:next w:val="1"/>
    <w:qFormat/>
    <w:uiPriority w:val="0"/>
    <w:pPr>
      <w:ind w:left="200" w:leftChars="200" w:hanging="200" w:hangingChars="200"/>
    </w:pPr>
  </w:style>
  <w:style w:type="paragraph" w:styleId="39">
    <w:name w:val="toc 2"/>
    <w:basedOn w:val="1"/>
    <w:next w:val="1"/>
    <w:qFormat/>
    <w:uiPriority w:val="39"/>
    <w:pPr>
      <w:ind w:left="210"/>
      <w:jc w:val="left"/>
    </w:pPr>
    <w:rPr>
      <w:smallCaps/>
      <w:sz w:val="20"/>
      <w:szCs w:val="20"/>
    </w:rPr>
  </w:style>
  <w:style w:type="paragraph" w:styleId="40">
    <w:name w:val="toc 9"/>
    <w:basedOn w:val="1"/>
    <w:next w:val="1"/>
    <w:qFormat/>
    <w:uiPriority w:val="39"/>
    <w:pPr>
      <w:ind w:left="1680"/>
      <w:jc w:val="left"/>
    </w:pPr>
    <w:rPr>
      <w:sz w:val="18"/>
      <w:szCs w:val="18"/>
    </w:rPr>
  </w:style>
  <w:style w:type="paragraph" w:styleId="41">
    <w:name w:val="Body Text 2"/>
    <w:basedOn w:val="1"/>
    <w:qFormat/>
    <w:uiPriority w:val="0"/>
    <w:pPr>
      <w:spacing w:line="440" w:lineRule="exact"/>
    </w:pPr>
    <w:rPr>
      <w:sz w:val="28"/>
    </w:rPr>
  </w:style>
  <w:style w:type="paragraph" w:styleId="42">
    <w:name w:val="HTML Preformatted"/>
    <w:basedOn w:val="1"/>
    <w:link w:val="1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next w:val="16"/>
    <w:qFormat/>
    <w:uiPriority w:val="99"/>
    <w:pPr>
      <w:widowControl/>
      <w:spacing w:beforeAutospacing="1" w:afterAutospacing="1"/>
      <w:jc w:val="left"/>
    </w:pPr>
    <w:rPr>
      <w:rFonts w:ascii="宋体" w:hAnsi="宋体" w:cs="宋体"/>
      <w:kern w:val="0"/>
      <w:sz w:val="24"/>
    </w:rPr>
  </w:style>
  <w:style w:type="paragraph" w:styleId="44">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5">
    <w:name w:val="annotation subject"/>
    <w:basedOn w:val="18"/>
    <w:next w:val="18"/>
    <w:qFormat/>
    <w:uiPriority w:val="0"/>
    <w:rPr>
      <w:b/>
      <w:bCs/>
    </w:rPr>
  </w:style>
  <w:style w:type="paragraph" w:styleId="46">
    <w:name w:val="Body Text First Indent"/>
    <w:basedOn w:val="20"/>
    <w:qFormat/>
    <w:uiPriority w:val="0"/>
    <w:pPr>
      <w:ind w:firstLine="420" w:firstLineChars="10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333333"/>
      <w:u w:val="none"/>
    </w:rPr>
  </w:style>
  <w:style w:type="character" w:styleId="53">
    <w:name w:val="Emphasis"/>
    <w:qFormat/>
    <w:uiPriority w:val="0"/>
    <w:rPr>
      <w:color w:val="CC0033"/>
    </w:rPr>
  </w:style>
  <w:style w:type="character" w:styleId="54">
    <w:name w:val="HTML Definition"/>
    <w:qFormat/>
    <w:uiPriority w:val="0"/>
  </w:style>
  <w:style w:type="character" w:styleId="55">
    <w:name w:val="HTML Typewriter"/>
    <w:qFormat/>
    <w:uiPriority w:val="0"/>
    <w:rPr>
      <w:rFonts w:hint="default" w:ascii="monospace" w:hAnsi="monospace" w:eastAsia="monospace" w:cs="monospace"/>
      <w:sz w:val="20"/>
    </w:rPr>
  </w:style>
  <w:style w:type="character" w:styleId="56">
    <w:name w:val="HTML Acronym"/>
    <w:basedOn w:val="49"/>
    <w:qFormat/>
    <w:uiPriority w:val="0"/>
    <w:rPr>
      <w:bdr w:val="none" w:color="auto" w:sz="0" w:space="0"/>
      <w:vertAlign w:val="baseline"/>
    </w:rPr>
  </w:style>
  <w:style w:type="character" w:styleId="57">
    <w:name w:val="HTML Variable"/>
    <w:qFormat/>
    <w:uiPriority w:val="0"/>
  </w:style>
  <w:style w:type="character" w:styleId="58">
    <w:name w:val="Hyperlink"/>
    <w:basedOn w:val="49"/>
    <w:qFormat/>
    <w:uiPriority w:val="99"/>
    <w:rPr>
      <w:color w:val="333333"/>
      <w:u w:val="none"/>
    </w:rPr>
  </w:style>
  <w:style w:type="character" w:styleId="59">
    <w:name w:val="HTML Code"/>
    <w:qFormat/>
    <w:uiPriority w:val="0"/>
    <w:rPr>
      <w:rFonts w:hint="default" w:ascii="monospace" w:hAnsi="monospace" w:eastAsia="monospace" w:cs="monospace"/>
      <w:sz w:val="20"/>
    </w:rPr>
  </w:style>
  <w:style w:type="character" w:styleId="60">
    <w:name w:val="annotation reference"/>
    <w:qFormat/>
    <w:uiPriority w:val="0"/>
    <w:rPr>
      <w:sz w:val="21"/>
      <w:szCs w:val="21"/>
    </w:rPr>
  </w:style>
  <w:style w:type="character" w:styleId="61">
    <w:name w:val="HTML Cite"/>
    <w:qFormat/>
    <w:uiPriority w:val="0"/>
  </w:style>
  <w:style w:type="character" w:styleId="62">
    <w:name w:val="footnote reference"/>
    <w:qFormat/>
    <w:uiPriority w:val="0"/>
    <w:rPr>
      <w:vertAlign w:val="superscript"/>
    </w:rPr>
  </w:style>
  <w:style w:type="character" w:styleId="63">
    <w:name w:val="HTML Keyboard"/>
    <w:qFormat/>
    <w:uiPriority w:val="0"/>
    <w:rPr>
      <w:rFonts w:ascii="monospace" w:hAnsi="monospace" w:eastAsia="monospace" w:cs="monospace"/>
      <w:sz w:val="20"/>
    </w:rPr>
  </w:style>
  <w:style w:type="character" w:styleId="64">
    <w:name w:val="HTML Sample"/>
    <w:qFormat/>
    <w:uiPriority w:val="0"/>
    <w:rPr>
      <w:rFonts w:hint="default" w:ascii="monospace" w:hAnsi="monospace" w:eastAsia="monospace" w:cs="monospace"/>
    </w:rPr>
  </w:style>
  <w:style w:type="paragraph" w:styleId="65">
    <w:name w:val="List Paragraph"/>
    <w:basedOn w:val="1"/>
    <w:qFormat/>
    <w:uiPriority w:val="34"/>
    <w:pPr>
      <w:ind w:firstLine="420" w:firstLineChars="200"/>
    </w:pPr>
  </w:style>
  <w:style w:type="paragraph" w:customStyle="1" w:styleId="66">
    <w:name w:val="_Style 62"/>
    <w:basedOn w:val="1"/>
    <w:next w:val="1"/>
    <w:qFormat/>
    <w:uiPriority w:val="0"/>
    <w:pPr>
      <w:pBdr>
        <w:top w:val="single" w:color="auto" w:sz="6" w:space="1"/>
      </w:pBdr>
      <w:jc w:val="center"/>
    </w:pPr>
    <w:rPr>
      <w:rFonts w:ascii="Arial"/>
      <w:vanish/>
      <w:sz w:val="16"/>
    </w:rPr>
  </w:style>
  <w:style w:type="paragraph" w:customStyle="1" w:styleId="67">
    <w:name w:val="Blockquote"/>
    <w:basedOn w:val="1"/>
    <w:qFormat/>
    <w:uiPriority w:val="0"/>
    <w:pPr>
      <w:autoSpaceDE w:val="0"/>
      <w:autoSpaceDN w:val="0"/>
      <w:adjustRightInd w:val="0"/>
      <w:ind w:left="360" w:right="360"/>
      <w:jc w:val="left"/>
    </w:pPr>
    <w:rPr>
      <w:kern w:val="0"/>
      <w:sz w:val="24"/>
      <w:szCs w:val="20"/>
    </w:rPr>
  </w:style>
  <w:style w:type="paragraph" w:customStyle="1" w:styleId="68">
    <w:name w:val="表格"/>
    <w:basedOn w:val="1"/>
    <w:qFormat/>
    <w:uiPriority w:val="0"/>
    <w:pPr>
      <w:jc w:val="center"/>
      <w:textAlignment w:val="center"/>
    </w:pPr>
    <w:rPr>
      <w:rFonts w:ascii="华文细黑" w:hAnsi="华文细黑"/>
      <w:kern w:val="0"/>
      <w:szCs w:val="20"/>
    </w:rPr>
  </w:style>
  <w:style w:type="paragraph" w:customStyle="1" w:styleId="69">
    <w:name w:val="表格文字"/>
    <w:basedOn w:val="1"/>
    <w:qFormat/>
    <w:uiPriority w:val="0"/>
    <w:pPr>
      <w:adjustRightInd w:val="0"/>
      <w:spacing w:line="420" w:lineRule="atLeast"/>
      <w:jc w:val="left"/>
      <w:textAlignment w:val="baseline"/>
    </w:pPr>
    <w:rPr>
      <w:kern w:val="0"/>
      <w:szCs w:val="20"/>
    </w:rPr>
  </w:style>
  <w:style w:type="paragraph" w:customStyle="1" w:styleId="70">
    <w:name w:val="Char"/>
    <w:basedOn w:val="1"/>
    <w:next w:val="1"/>
    <w:qFormat/>
    <w:uiPriority w:val="0"/>
    <w:pPr>
      <w:widowControl/>
      <w:spacing w:line="360" w:lineRule="auto"/>
      <w:jc w:val="left"/>
    </w:pPr>
    <w:rPr>
      <w:kern w:val="0"/>
      <w:szCs w:val="20"/>
      <w:lang w:eastAsia="en-US"/>
    </w:rPr>
  </w:style>
  <w:style w:type="paragraph" w:customStyle="1" w:styleId="7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2">
    <w:name w:val="样式2"/>
    <w:basedOn w:val="4"/>
    <w:qFormat/>
    <w:uiPriority w:val="0"/>
  </w:style>
  <w:style w:type="paragraph" w:customStyle="1" w:styleId="73">
    <w:name w:val="Default Paragraph Char Char Char Char"/>
    <w:basedOn w:val="1"/>
    <w:next w:val="1"/>
    <w:qFormat/>
    <w:uiPriority w:val="0"/>
    <w:pPr>
      <w:spacing w:line="360" w:lineRule="auto"/>
    </w:pPr>
    <w:rPr>
      <w:szCs w:val="20"/>
    </w:rPr>
  </w:style>
  <w:style w:type="paragraph" w:customStyle="1" w:styleId="74">
    <w:name w:val="节标题"/>
    <w:basedOn w:val="1"/>
    <w:next w:val="1"/>
    <w:qFormat/>
    <w:uiPriority w:val="0"/>
    <w:pPr>
      <w:widowControl/>
      <w:spacing w:line="289" w:lineRule="atLeast"/>
      <w:jc w:val="center"/>
      <w:textAlignment w:val="baseline"/>
    </w:pPr>
    <w:rPr>
      <w:color w:val="000000"/>
      <w:kern w:val="0"/>
      <w:sz w:val="28"/>
      <w:szCs w:val="20"/>
      <w:u w:color="000000"/>
    </w:rPr>
  </w:style>
  <w:style w:type="paragraph" w:customStyle="1" w:styleId="75">
    <w:name w:val="默认段落字体 Para Char Char Char Char"/>
    <w:basedOn w:val="1"/>
    <w:qFormat/>
    <w:uiPriority w:val="0"/>
  </w:style>
  <w:style w:type="paragraph" w:customStyle="1" w:styleId="76">
    <w:name w:val="样式 标题 1 + 黑体 五号"/>
    <w:basedOn w:val="2"/>
    <w:qFormat/>
    <w:uiPriority w:val="0"/>
    <w:pPr>
      <w:jc w:val="left"/>
    </w:pPr>
    <w:rPr>
      <w:rFonts w:ascii="黑体" w:hAnsi="黑体" w:eastAsia="黑体"/>
      <w:sz w:val="21"/>
    </w:rPr>
  </w:style>
  <w:style w:type="paragraph" w:customStyle="1" w:styleId="77">
    <w:name w:val="样式4"/>
    <w:basedOn w:val="4"/>
    <w:qFormat/>
    <w:uiPriority w:val="0"/>
    <w:rPr>
      <w:rFonts w:eastAsia="Arial"/>
    </w:rPr>
  </w:style>
  <w:style w:type="paragraph" w:customStyle="1" w:styleId="78">
    <w:name w:val="正文1"/>
    <w:qFormat/>
    <w:uiPriority w:val="0"/>
    <w:pPr>
      <w:widowControl w:val="0"/>
      <w:adjustRightInd w:val="0"/>
      <w:spacing w:line="312" w:lineRule="atLeast"/>
      <w:jc w:val="both"/>
      <w:textAlignment w:val="baseline"/>
    </w:pPr>
    <w:rPr>
      <w:rFonts w:ascii="宋体" w:hAnsi="Times New Roman" w:eastAsia="宋体" w:cs="宋体"/>
      <w:sz w:val="24"/>
      <w:szCs w:val="24"/>
      <w:lang w:val="en-US" w:eastAsia="zh-CN" w:bidi="ar-SA"/>
    </w:rPr>
  </w:style>
  <w:style w:type="paragraph" w:customStyle="1" w:styleId="79">
    <w:name w:val="列出段落1"/>
    <w:basedOn w:val="1"/>
    <w:qFormat/>
    <w:uiPriority w:val="0"/>
    <w:pPr>
      <w:ind w:firstLine="200" w:firstLineChars="200"/>
    </w:pPr>
  </w:style>
  <w:style w:type="paragraph" w:customStyle="1" w:styleId="80">
    <w:name w:val="p0 New"/>
    <w:basedOn w:val="1"/>
    <w:qFormat/>
    <w:uiPriority w:val="0"/>
    <w:pPr>
      <w:widowControl/>
      <w:jc w:val="left"/>
    </w:pPr>
    <w:rPr>
      <w:rFonts w:ascii="宋体" w:hAnsi="宋体" w:cs="宋体"/>
      <w:kern w:val="0"/>
      <w:sz w:val="18"/>
      <w:szCs w:val="18"/>
    </w:rPr>
  </w:style>
  <w:style w:type="paragraph" w:customStyle="1" w:styleId="81">
    <w:name w:val="样式 标题 1 + 黑体 三号 非加粗 居中 段前: 6 磅 段后: 6 磅 行距: 固定值 20 磅"/>
    <w:basedOn w:val="2"/>
    <w:qFormat/>
    <w:uiPriority w:val="0"/>
    <w:pPr>
      <w:spacing w:line="400" w:lineRule="exact"/>
    </w:pPr>
    <w:rPr>
      <w:rFonts w:ascii="黑体" w:hAnsi="黑体" w:eastAsia="黑体" w:cs="宋体"/>
      <w:b w:val="0"/>
      <w:bCs w:val="0"/>
      <w:sz w:val="32"/>
      <w:szCs w:val="20"/>
    </w:rPr>
  </w:style>
  <w:style w:type="paragraph" w:customStyle="1" w:styleId="82">
    <w:name w:val="_Style 78"/>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83">
    <w:name w:val="Char1"/>
    <w:basedOn w:val="1"/>
    <w:qFormat/>
    <w:uiPriority w:val="0"/>
    <w:pPr>
      <w:tabs>
        <w:tab w:val="left" w:pos="360"/>
      </w:tabs>
    </w:pPr>
    <w:rPr>
      <w:sz w:val="24"/>
    </w:rPr>
  </w:style>
  <w:style w:type="paragraph" w:customStyle="1" w:styleId="84">
    <w:name w:val="样式1"/>
    <w:basedOn w:val="4"/>
    <w:qFormat/>
    <w:uiPriority w:val="0"/>
    <w:rPr>
      <w:rFonts w:eastAsia="Arial"/>
    </w:rPr>
  </w:style>
  <w:style w:type="paragraph" w:customStyle="1" w:styleId="85">
    <w:name w:val="Char Char Char Char Char Char Char Char Char Char Char Char Char"/>
    <w:basedOn w:val="1"/>
    <w:qFormat/>
    <w:uiPriority w:val="0"/>
  </w:style>
  <w:style w:type="paragraph" w:customStyle="1" w:styleId="86">
    <w:name w:val="p"/>
    <w:basedOn w:val="1"/>
    <w:qFormat/>
    <w:uiPriority w:val="0"/>
    <w:rPr>
      <w:rFonts w:ascii="宋体"/>
      <w:sz w:val="24"/>
    </w:rPr>
  </w:style>
  <w:style w:type="paragraph" w:customStyle="1" w:styleId="87">
    <w:name w:val="Char Char Char Char"/>
    <w:basedOn w:val="1"/>
    <w:qFormat/>
    <w:uiPriority w:val="0"/>
  </w:style>
  <w:style w:type="paragraph" w:customStyle="1" w:styleId="88">
    <w:name w:val="_Style 84"/>
    <w:basedOn w:val="1"/>
    <w:next w:val="1"/>
    <w:qFormat/>
    <w:uiPriority w:val="0"/>
    <w:pPr>
      <w:pBdr>
        <w:bottom w:val="single" w:color="auto" w:sz="6" w:space="1"/>
      </w:pBdr>
      <w:jc w:val="center"/>
    </w:pPr>
    <w:rPr>
      <w:rFonts w:ascii="Arial"/>
      <w:vanish/>
      <w:sz w:val="16"/>
    </w:rPr>
  </w:style>
  <w:style w:type="paragraph" w:customStyle="1" w:styleId="89">
    <w:name w:val="1"/>
    <w:basedOn w:val="1"/>
    <w:next w:val="1"/>
    <w:qFormat/>
    <w:uiPriority w:val="0"/>
  </w:style>
  <w:style w:type="paragraph" w:customStyle="1" w:styleId="90">
    <w:name w:val="p15"/>
    <w:qFormat/>
    <w:uiPriority w:val="0"/>
    <w:pPr>
      <w:jc w:val="both"/>
    </w:pPr>
    <w:rPr>
      <w:rFonts w:ascii="宋体" w:hAnsi="Times New Roman" w:eastAsia="宋体" w:cs="宋体"/>
      <w:sz w:val="21"/>
      <w:szCs w:val="21"/>
      <w:lang w:val="en-US" w:eastAsia="zh-CN" w:bidi="ar-SA"/>
    </w:rPr>
  </w:style>
  <w:style w:type="paragraph" w:customStyle="1" w:styleId="91">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92">
    <w:name w:val="Table Paragraph"/>
    <w:basedOn w:val="1"/>
    <w:qFormat/>
    <w:uiPriority w:val="0"/>
    <w:pPr>
      <w:autoSpaceDE w:val="0"/>
      <w:autoSpaceDN w:val="0"/>
      <w:jc w:val="left"/>
    </w:pPr>
    <w:rPr>
      <w:rFonts w:ascii="宋体" w:hAnsi="宋体" w:cs="宋体"/>
      <w:kern w:val="0"/>
      <w:sz w:val="22"/>
      <w:szCs w:val="22"/>
      <w:lang w:val="zh-CN"/>
    </w:rPr>
  </w:style>
  <w:style w:type="paragraph" w:customStyle="1" w:styleId="93">
    <w:name w:val="p0"/>
    <w:basedOn w:val="1"/>
    <w:qFormat/>
    <w:uiPriority w:val="99"/>
    <w:pPr>
      <w:widowControl/>
    </w:pPr>
    <w:rPr>
      <w:kern w:val="0"/>
      <w:szCs w:val="21"/>
    </w:rPr>
  </w:style>
  <w:style w:type="paragraph" w:customStyle="1" w:styleId="94">
    <w:name w:val="样式3"/>
    <w:basedOn w:val="4"/>
    <w:qFormat/>
    <w:uiPriority w:val="0"/>
    <w:rPr>
      <w:rFonts w:eastAsia="Arial"/>
    </w:rPr>
  </w:style>
  <w:style w:type="paragraph" w:customStyle="1" w:styleId="95">
    <w:name w:val="样式 标题 3 + (中文) 黑体 小四 非加粗 段前: 7.8 磅 段后: 0 磅 行距: 固定值 20 磅"/>
    <w:basedOn w:val="4"/>
    <w:qFormat/>
    <w:uiPriority w:val="0"/>
    <w:pPr>
      <w:spacing w:line="400" w:lineRule="exact"/>
    </w:pPr>
    <w:rPr>
      <w:rFonts w:eastAsia="黑体" w:cs="宋体"/>
      <w:b w:val="0"/>
      <w:bCs w:val="0"/>
      <w:sz w:val="24"/>
      <w:szCs w:val="20"/>
    </w:rPr>
  </w:style>
  <w:style w:type="paragraph" w:customStyle="1" w:styleId="96">
    <w:name w:val="Char Char Char Char Char Char Char Char Char Char Char Char Char1"/>
    <w:basedOn w:val="1"/>
    <w:qFormat/>
    <w:uiPriority w:val="0"/>
  </w:style>
  <w:style w:type="paragraph" w:customStyle="1" w:styleId="97">
    <w:name w:val="Char4"/>
    <w:basedOn w:val="1"/>
    <w:qFormat/>
    <w:uiPriority w:val="0"/>
    <w:pPr>
      <w:widowControl/>
      <w:spacing w:line="360" w:lineRule="auto"/>
      <w:ind w:firstLine="200" w:firstLineChars="200"/>
      <w:textAlignment w:val="baseline"/>
    </w:pPr>
    <w:rPr>
      <w:color w:val="000000"/>
      <w:kern w:val="0"/>
      <w:szCs w:val="20"/>
      <w:u w:color="000000"/>
    </w:rPr>
  </w:style>
  <w:style w:type="paragraph" w:customStyle="1" w:styleId="98">
    <w:name w:val="正文2"/>
    <w:qFormat/>
    <w:uiPriority w:val="0"/>
    <w:pPr>
      <w:widowControl w:val="0"/>
      <w:jc w:val="both"/>
    </w:pPr>
    <w:rPr>
      <w:rFonts w:ascii="Times New Roman" w:hAnsi="Times New Roman" w:eastAsia="宋体" w:cs="Times New Roman"/>
      <w:lang w:val="en-US" w:eastAsia="zh-CN" w:bidi="ar-SA"/>
    </w:rPr>
  </w:style>
  <w:style w:type="character" w:customStyle="1" w:styleId="99">
    <w:name w:val="first-child"/>
    <w:basedOn w:val="49"/>
    <w:qFormat/>
    <w:uiPriority w:val="0"/>
  </w:style>
  <w:style w:type="character" w:customStyle="1" w:styleId="100">
    <w:name w:val="Char Char Char Char Char Char"/>
    <w:qFormat/>
    <w:uiPriority w:val="0"/>
    <w:rPr>
      <w:rFonts w:ascii="Arial" w:hAnsi="Arial" w:eastAsia="黑体"/>
      <w:b/>
      <w:bCs/>
      <w:kern w:val="2"/>
      <w:sz w:val="32"/>
      <w:szCs w:val="32"/>
      <w:lang w:val="en-US" w:eastAsia="zh-CN" w:bidi="ar-SA"/>
    </w:rPr>
  </w:style>
  <w:style w:type="character" w:customStyle="1" w:styleId="101">
    <w:name w:val="l11"/>
    <w:qFormat/>
    <w:uiPriority w:val="0"/>
    <w:rPr>
      <w:color w:val="999999"/>
    </w:rPr>
  </w:style>
  <w:style w:type="character" w:customStyle="1" w:styleId="102">
    <w:name w:val="Char Char"/>
    <w:qFormat/>
    <w:uiPriority w:val="0"/>
    <w:rPr>
      <w:rFonts w:ascii="Arial" w:hAnsi="Arial" w:eastAsia="黑体"/>
      <w:b/>
      <w:bCs/>
      <w:kern w:val="2"/>
      <w:sz w:val="32"/>
      <w:szCs w:val="32"/>
      <w:lang w:val="en-US" w:eastAsia="zh-CN" w:bidi="ar-SA"/>
    </w:rPr>
  </w:style>
  <w:style w:type="character" w:customStyle="1" w:styleId="103">
    <w:name w:val="Char Char5"/>
    <w:qFormat/>
    <w:uiPriority w:val="0"/>
    <w:rPr>
      <w:rFonts w:ascii="Arial" w:hAnsi="Arial" w:eastAsia="黑体"/>
      <w:b/>
      <w:bCs/>
      <w:kern w:val="2"/>
      <w:sz w:val="32"/>
      <w:szCs w:val="32"/>
    </w:rPr>
  </w:style>
  <w:style w:type="character" w:customStyle="1" w:styleId="104">
    <w:name w:val="msg-box28"/>
    <w:basedOn w:val="49"/>
    <w:qFormat/>
    <w:uiPriority w:val="0"/>
  </w:style>
  <w:style w:type="character" w:customStyle="1" w:styleId="105">
    <w:name w:val="img_title6"/>
    <w:qFormat/>
    <w:uiPriority w:val="0"/>
    <w:rPr>
      <w:vanish/>
    </w:rPr>
  </w:style>
  <w:style w:type="character" w:customStyle="1" w:styleId="106">
    <w:name w:val="tit12"/>
    <w:qFormat/>
    <w:uiPriority w:val="0"/>
    <w:rPr>
      <w:color w:val="04A06C"/>
    </w:rPr>
  </w:style>
  <w:style w:type="character" w:customStyle="1" w:styleId="107">
    <w:name w:val="Char Char2"/>
    <w:qFormat/>
    <w:uiPriority w:val="0"/>
    <w:rPr>
      <w:rFonts w:eastAsia="宋体"/>
      <w:kern w:val="2"/>
      <w:sz w:val="21"/>
      <w:szCs w:val="24"/>
      <w:lang w:val="en-US" w:eastAsia="zh-CN" w:bidi="ar-SA"/>
    </w:rPr>
  </w:style>
  <w:style w:type="character" w:customStyle="1" w:styleId="108">
    <w:name w:val="nostart"/>
    <w:qFormat/>
    <w:uiPriority w:val="0"/>
    <w:rPr>
      <w:color w:val="FF0000"/>
    </w:rPr>
  </w:style>
  <w:style w:type="character" w:customStyle="1" w:styleId="109">
    <w:name w:val="nostart3"/>
    <w:basedOn w:val="49"/>
    <w:qFormat/>
    <w:uiPriority w:val="0"/>
  </w:style>
  <w:style w:type="character" w:customStyle="1" w:styleId="110">
    <w:name w:val="img4"/>
    <w:basedOn w:val="49"/>
    <w:qFormat/>
    <w:uiPriority w:val="0"/>
  </w:style>
  <w:style w:type="character" w:customStyle="1" w:styleId="111">
    <w:name w:val="tit11"/>
    <w:qFormat/>
    <w:uiPriority w:val="0"/>
    <w:rPr>
      <w:color w:val="B60000"/>
    </w:rPr>
  </w:style>
  <w:style w:type="character" w:customStyle="1" w:styleId="112">
    <w:name w:val="批注文字 Char"/>
    <w:link w:val="18"/>
    <w:qFormat/>
    <w:uiPriority w:val="0"/>
    <w:rPr>
      <w:rFonts w:eastAsia="宋体"/>
      <w:kern w:val="2"/>
      <w:sz w:val="21"/>
      <w:szCs w:val="24"/>
      <w:lang w:val="en-US" w:eastAsia="zh-CN" w:bidi="ar-SA"/>
    </w:rPr>
  </w:style>
  <w:style w:type="character" w:customStyle="1" w:styleId="113">
    <w:name w:val="over"/>
    <w:qFormat/>
    <w:uiPriority w:val="0"/>
    <w:rPr>
      <w:color w:val="B60000"/>
    </w:rPr>
  </w:style>
  <w:style w:type="character" w:customStyle="1" w:styleId="114">
    <w:name w:val="HTML 预设格式 Char"/>
    <w:link w:val="42"/>
    <w:qFormat/>
    <w:uiPriority w:val="0"/>
    <w:rPr>
      <w:rFonts w:ascii="宋体" w:hAnsi="宋体" w:cs="宋体"/>
      <w:sz w:val="24"/>
      <w:szCs w:val="24"/>
    </w:rPr>
  </w:style>
  <w:style w:type="character" w:customStyle="1" w:styleId="115">
    <w:name w:val="l6"/>
    <w:qFormat/>
    <w:uiPriority w:val="0"/>
    <w:rPr>
      <w:color w:val="999999"/>
    </w:rPr>
  </w:style>
  <w:style w:type="character" w:customStyle="1" w:styleId="116">
    <w:name w:val="datetime"/>
    <w:qFormat/>
    <w:uiPriority w:val="0"/>
    <w:rPr>
      <w:rFonts w:hint="default" w:ascii="Arial" w:hAnsi="Arial" w:cs="Arial"/>
      <w:color w:val="999999"/>
      <w:sz w:val="21"/>
      <w:szCs w:val="21"/>
    </w:rPr>
  </w:style>
  <w:style w:type="character" w:customStyle="1" w:styleId="117">
    <w:name w:val="txt1"/>
    <w:basedOn w:val="49"/>
    <w:qFormat/>
    <w:uiPriority w:val="0"/>
  </w:style>
  <w:style w:type="character" w:customStyle="1" w:styleId="118">
    <w:name w:val="starting1"/>
    <w:qFormat/>
    <w:uiPriority w:val="0"/>
    <w:rPr>
      <w:color w:val="339900"/>
    </w:rPr>
  </w:style>
  <w:style w:type="character" w:customStyle="1" w:styleId="119">
    <w:name w:val="starting2"/>
    <w:qFormat/>
    <w:uiPriority w:val="0"/>
    <w:rPr>
      <w:color w:val="B60000"/>
    </w:rPr>
  </w:style>
  <w:style w:type="character" w:customStyle="1" w:styleId="120">
    <w:name w:val="标题 1 Char"/>
    <w:link w:val="2"/>
    <w:qFormat/>
    <w:uiPriority w:val="0"/>
    <w:rPr>
      <w:rFonts w:eastAsia="宋体"/>
      <w:b/>
      <w:bCs/>
      <w:kern w:val="44"/>
      <w:sz w:val="44"/>
      <w:szCs w:val="44"/>
      <w:lang w:val="en-US" w:eastAsia="zh-CN" w:bidi="ar-SA"/>
    </w:rPr>
  </w:style>
  <w:style w:type="character" w:customStyle="1" w:styleId="121">
    <w:name w:val="red"/>
    <w:qFormat/>
    <w:uiPriority w:val="0"/>
    <w:rPr>
      <w:rFonts w:hint="default" w:ascii="Arial" w:hAnsi="Arial" w:cs="Arial"/>
      <w:color w:val="E50000"/>
    </w:rPr>
  </w:style>
  <w:style w:type="character" w:customStyle="1" w:styleId="122">
    <w:name w:val="Char Char4"/>
    <w:qFormat/>
    <w:uiPriority w:val="0"/>
    <w:rPr>
      <w:rFonts w:eastAsia="宋体"/>
      <w:b/>
      <w:bCs/>
      <w:kern w:val="44"/>
      <w:sz w:val="44"/>
      <w:szCs w:val="44"/>
      <w:lang w:val="en-US" w:eastAsia="zh-CN" w:bidi="ar-SA"/>
    </w:rPr>
  </w:style>
  <w:style w:type="character" w:customStyle="1" w:styleId="123">
    <w:name w:val="font161"/>
    <w:qFormat/>
    <w:uiPriority w:val="0"/>
    <w:rPr>
      <w:b/>
      <w:bCs/>
      <w:sz w:val="32"/>
      <w:szCs w:val="32"/>
    </w:rPr>
  </w:style>
  <w:style w:type="character" w:customStyle="1" w:styleId="124">
    <w:name w:val="Char Char8"/>
    <w:qFormat/>
    <w:uiPriority w:val="0"/>
    <w:rPr>
      <w:rFonts w:ascii="Arial" w:hAnsi="Arial" w:eastAsia="黑体"/>
      <w:b/>
      <w:bCs/>
      <w:kern w:val="2"/>
      <w:sz w:val="32"/>
      <w:szCs w:val="32"/>
      <w:lang w:val="en-US" w:eastAsia="zh-CN" w:bidi="ar-SA"/>
    </w:rPr>
  </w:style>
  <w:style w:type="character" w:customStyle="1" w:styleId="125">
    <w:name w:val="msg-box29"/>
    <w:basedOn w:val="49"/>
    <w:qFormat/>
    <w:uiPriority w:val="0"/>
  </w:style>
  <w:style w:type="character" w:customStyle="1" w:styleId="126">
    <w:name w:val="over2"/>
    <w:qFormat/>
    <w:uiPriority w:val="0"/>
    <w:rPr>
      <w:color w:val="999999"/>
    </w:rPr>
  </w:style>
  <w:style w:type="character" w:customStyle="1" w:styleId="127">
    <w:name w:val="img_title7"/>
    <w:qFormat/>
    <w:uiPriority w:val="0"/>
    <w:rPr>
      <w:vanish/>
    </w:rPr>
  </w:style>
  <w:style w:type="character" w:customStyle="1" w:styleId="128">
    <w:name w:val="l7"/>
    <w:qFormat/>
    <w:uiPriority w:val="0"/>
    <w:rPr>
      <w:color w:val="999999"/>
    </w:rPr>
  </w:style>
  <w:style w:type="character" w:customStyle="1" w:styleId="129">
    <w:name w:val="标题 5 Char"/>
    <w:link w:val="6"/>
    <w:qFormat/>
    <w:uiPriority w:val="0"/>
    <w:rPr>
      <w:b/>
      <w:bCs/>
      <w:kern w:val="2"/>
      <w:sz w:val="28"/>
      <w:szCs w:val="28"/>
    </w:rPr>
  </w:style>
  <w:style w:type="character" w:customStyle="1" w:styleId="130">
    <w:name w:val="l51"/>
    <w:qFormat/>
    <w:uiPriority w:val="0"/>
    <w:rPr>
      <w:color w:val="999999"/>
    </w:rPr>
  </w:style>
  <w:style w:type="character" w:customStyle="1" w:styleId="131">
    <w:name w:val="num81"/>
    <w:basedOn w:val="49"/>
    <w:qFormat/>
    <w:uiPriority w:val="0"/>
  </w:style>
  <w:style w:type="character" w:customStyle="1" w:styleId="132">
    <w:name w:val="Char Char1"/>
    <w:qFormat/>
    <w:uiPriority w:val="0"/>
    <w:rPr>
      <w:rFonts w:eastAsia="宋体"/>
      <w:kern w:val="2"/>
      <w:sz w:val="21"/>
      <w:szCs w:val="24"/>
      <w:lang w:val="en-US" w:eastAsia="zh-CN" w:bidi="ar-SA"/>
    </w:rPr>
  </w:style>
  <w:style w:type="character" w:customStyle="1" w:styleId="133">
    <w:name w:val="zs"/>
    <w:qFormat/>
    <w:uiPriority w:val="0"/>
    <w:rPr>
      <w:color w:val="8D744B"/>
      <w:sz w:val="18"/>
      <w:szCs w:val="18"/>
    </w:rPr>
  </w:style>
  <w:style w:type="character" w:customStyle="1" w:styleId="134">
    <w:name w:val="bigfont"/>
    <w:basedOn w:val="49"/>
    <w:qFormat/>
    <w:uiPriority w:val="0"/>
  </w:style>
  <w:style w:type="character" w:customStyle="1" w:styleId="135">
    <w:name w:val="txt"/>
    <w:qFormat/>
    <w:uiPriority w:val="0"/>
    <w:rPr>
      <w:color w:val="C0C0C0"/>
    </w:rPr>
  </w:style>
  <w:style w:type="character" w:customStyle="1" w:styleId="136">
    <w:name w:val="纯文本 Char2"/>
    <w:link w:val="24"/>
    <w:qFormat/>
    <w:uiPriority w:val="0"/>
    <w:rPr>
      <w:rFonts w:ascii="Courier New" w:hAnsi="Courier New" w:eastAsia="宋体"/>
      <w:kern w:val="2"/>
      <w:sz w:val="21"/>
      <w:lang w:val="en-US" w:eastAsia="zh-CN" w:bidi="ar-SA"/>
    </w:rPr>
  </w:style>
  <w:style w:type="character" w:customStyle="1" w:styleId="137">
    <w:name w:val="jg"/>
    <w:basedOn w:val="49"/>
    <w:qFormat/>
    <w:uiPriority w:val="0"/>
  </w:style>
  <w:style w:type="character" w:customStyle="1" w:styleId="138">
    <w:name w:val="17"/>
    <w:qFormat/>
    <w:uiPriority w:val="0"/>
    <w:rPr>
      <w:rFonts w:ascii="仿宋_GB2312" w:eastAsia="仿宋_GB2312"/>
      <w:color w:val="auto"/>
      <w:sz w:val="28"/>
      <w:szCs w:val="28"/>
      <w:u w:val="single"/>
    </w:rPr>
  </w:style>
  <w:style w:type="character" w:customStyle="1" w:styleId="139">
    <w:name w:val="job"/>
    <w:basedOn w:val="49"/>
    <w:qFormat/>
    <w:uiPriority w:val="0"/>
  </w:style>
  <w:style w:type="character" w:customStyle="1" w:styleId="140">
    <w:name w:val="job1"/>
    <w:basedOn w:val="49"/>
    <w:qFormat/>
    <w:uiPriority w:val="0"/>
  </w:style>
  <w:style w:type="character" w:customStyle="1" w:styleId="141">
    <w:name w:val="标题 2 Char"/>
    <w:qFormat/>
    <w:uiPriority w:val="0"/>
    <w:rPr>
      <w:rFonts w:ascii="Arial" w:hAnsi="Arial" w:eastAsia="黑体"/>
      <w:b/>
      <w:bCs/>
      <w:kern w:val="2"/>
      <w:sz w:val="21"/>
      <w:szCs w:val="32"/>
      <w:lang w:val="en-US" w:eastAsia="zh-CN" w:bidi="ar-SA"/>
    </w:rPr>
  </w:style>
  <w:style w:type="character" w:customStyle="1" w:styleId="142">
    <w:name w:val="正文文本 Char"/>
    <w:link w:val="20"/>
    <w:qFormat/>
    <w:uiPriority w:val="0"/>
    <w:rPr>
      <w:rFonts w:eastAsia="宋体"/>
      <w:kern w:val="2"/>
      <w:sz w:val="21"/>
      <w:szCs w:val="24"/>
      <w:lang w:val="en-US" w:eastAsia="zh-CN" w:bidi="ar-SA"/>
    </w:rPr>
  </w:style>
  <w:style w:type="character" w:customStyle="1" w:styleId="143">
    <w:name w:val="p05"/>
    <w:basedOn w:val="49"/>
    <w:qFormat/>
    <w:uiPriority w:val="0"/>
  </w:style>
  <w:style w:type="character" w:customStyle="1" w:styleId="144">
    <w:name w:val="Char Char7"/>
    <w:qFormat/>
    <w:uiPriority w:val="0"/>
    <w:rPr>
      <w:rFonts w:ascii="Arial" w:hAnsi="Arial" w:eastAsia="黑体"/>
      <w:b/>
      <w:bCs/>
      <w:kern w:val="2"/>
      <w:sz w:val="32"/>
      <w:szCs w:val="32"/>
      <w:lang w:val="en-US" w:eastAsia="zh-CN" w:bidi="ar-SA"/>
    </w:rPr>
  </w:style>
  <w:style w:type="character" w:customStyle="1" w:styleId="145">
    <w:name w:val="over3"/>
    <w:basedOn w:val="49"/>
    <w:qFormat/>
    <w:uiPriority w:val="0"/>
  </w:style>
  <w:style w:type="character" w:customStyle="1" w:styleId="146">
    <w:name w:val="Char Char3"/>
    <w:qFormat/>
    <w:uiPriority w:val="0"/>
    <w:rPr>
      <w:rFonts w:ascii="Arial" w:hAnsi="Arial" w:eastAsia="黑体"/>
      <w:b/>
      <w:bCs/>
      <w:kern w:val="2"/>
      <w:sz w:val="32"/>
      <w:szCs w:val="32"/>
      <w:lang w:val="en-US" w:eastAsia="zh-CN" w:bidi="ar-SA"/>
    </w:rPr>
  </w:style>
  <w:style w:type="character" w:customStyle="1" w:styleId="147">
    <w:name w:val="Char Char71"/>
    <w:qFormat/>
    <w:uiPriority w:val="0"/>
    <w:rPr>
      <w:rFonts w:ascii="Arial" w:hAnsi="Arial" w:eastAsia="黑体"/>
      <w:b/>
      <w:bCs/>
      <w:kern w:val="2"/>
      <w:sz w:val="32"/>
      <w:szCs w:val="32"/>
      <w:lang w:val="en-US" w:eastAsia="zh-CN" w:bidi="ar-SA"/>
    </w:rPr>
  </w:style>
  <w:style w:type="character" w:customStyle="1" w:styleId="148">
    <w:name w:val="num51"/>
    <w:basedOn w:val="49"/>
    <w:qFormat/>
    <w:uiPriority w:val="0"/>
  </w:style>
  <w:style w:type="character" w:customStyle="1" w:styleId="149">
    <w:name w:val="Char Char Char"/>
    <w:qFormat/>
    <w:uiPriority w:val="0"/>
    <w:rPr>
      <w:rFonts w:eastAsia="宋体"/>
      <w:b/>
      <w:bCs/>
      <w:kern w:val="44"/>
      <w:sz w:val="44"/>
      <w:szCs w:val="44"/>
      <w:lang w:val="en-US" w:eastAsia="zh-CN" w:bidi="ar-SA"/>
    </w:rPr>
  </w:style>
  <w:style w:type="character" w:customStyle="1" w:styleId="150">
    <w:name w:val="msg-box31"/>
    <w:basedOn w:val="49"/>
    <w:qFormat/>
    <w:uiPriority w:val="0"/>
  </w:style>
  <w:style w:type="character" w:customStyle="1" w:styleId="151">
    <w:name w:val="msg-box30"/>
    <w:basedOn w:val="49"/>
    <w:qFormat/>
    <w:uiPriority w:val="0"/>
  </w:style>
  <w:style w:type="character" w:customStyle="1" w:styleId="152">
    <w:name w:val="标题 1 Char Char"/>
    <w:qFormat/>
    <w:uiPriority w:val="0"/>
    <w:rPr>
      <w:rFonts w:eastAsia="宋体"/>
      <w:b/>
      <w:bCs/>
      <w:kern w:val="44"/>
      <w:sz w:val="44"/>
      <w:szCs w:val="44"/>
      <w:lang w:val="en-US" w:eastAsia="zh-CN" w:bidi="ar-SA"/>
    </w:rPr>
  </w:style>
  <w:style w:type="character" w:customStyle="1" w:styleId="153">
    <w:name w:val="标题 3 Char"/>
    <w:link w:val="4"/>
    <w:qFormat/>
    <w:uiPriority w:val="0"/>
    <w:rPr>
      <w:b/>
      <w:bCs/>
      <w:sz w:val="32"/>
      <w:szCs w:val="32"/>
    </w:rPr>
  </w:style>
  <w:style w:type="character" w:customStyle="1" w:styleId="154">
    <w:name w:val="c1"/>
    <w:basedOn w:val="49"/>
    <w:qFormat/>
    <w:uiPriority w:val="0"/>
  </w:style>
  <w:style w:type="character" w:customStyle="1" w:styleId="155">
    <w:name w:val="纯文本 Char1"/>
    <w:qFormat/>
    <w:uiPriority w:val="0"/>
    <w:rPr>
      <w:rFonts w:ascii="Courier New" w:hAnsi="Courier New" w:eastAsia="宋体"/>
      <w:kern w:val="2"/>
      <w:sz w:val="21"/>
      <w:lang w:val="en-US" w:eastAsia="zh-CN" w:bidi="ar-SA"/>
    </w:rPr>
  </w:style>
  <w:style w:type="character" w:customStyle="1" w:styleId="156">
    <w:name w:val="Char Char Char1"/>
    <w:qFormat/>
    <w:uiPriority w:val="0"/>
    <w:rPr>
      <w:rFonts w:ascii="Arial" w:hAnsi="Arial" w:eastAsia="黑体"/>
      <w:b/>
      <w:bCs/>
      <w:kern w:val="2"/>
      <w:sz w:val="32"/>
      <w:szCs w:val="32"/>
      <w:lang w:val="en-US" w:eastAsia="zh-CN" w:bidi="ar-SA"/>
    </w:rPr>
  </w:style>
  <w:style w:type="character" w:customStyle="1" w:styleId="157">
    <w:name w:val="l3"/>
    <w:qFormat/>
    <w:uiPriority w:val="0"/>
    <w:rPr>
      <w:color w:val="999999"/>
    </w:rPr>
  </w:style>
  <w:style w:type="character" w:customStyle="1" w:styleId="158">
    <w:name w:val="tit14"/>
    <w:qFormat/>
    <w:uiPriority w:val="0"/>
    <w:rPr>
      <w:color w:val="B60000"/>
    </w:rPr>
  </w:style>
  <w:style w:type="character" w:customStyle="1" w:styleId="159">
    <w:name w:val="tit10"/>
    <w:qFormat/>
    <w:uiPriority w:val="0"/>
    <w:rPr>
      <w:color w:val="B60000"/>
    </w:rPr>
  </w:style>
  <w:style w:type="character" w:customStyle="1" w:styleId="160">
    <w:name w:val="l21"/>
    <w:qFormat/>
    <w:uiPriority w:val="0"/>
    <w:rPr>
      <w:color w:val="999999"/>
    </w:rPr>
  </w:style>
  <w:style w:type="character" w:customStyle="1" w:styleId="161">
    <w:name w:val="num71"/>
    <w:basedOn w:val="49"/>
    <w:qFormat/>
    <w:uiPriority w:val="0"/>
  </w:style>
  <w:style w:type="character" w:customStyle="1" w:styleId="162">
    <w:name w:val="标题 2 Char Char"/>
    <w:qFormat/>
    <w:uiPriority w:val="0"/>
    <w:rPr>
      <w:rFonts w:ascii="Arial" w:hAnsi="Arial" w:eastAsia="黑体"/>
      <w:b/>
      <w:bCs/>
      <w:kern w:val="2"/>
      <w:sz w:val="32"/>
      <w:szCs w:val="32"/>
      <w:lang w:val="en-US" w:eastAsia="zh-CN" w:bidi="ar-SA"/>
    </w:rPr>
  </w:style>
  <w:style w:type="character" w:customStyle="1" w:styleId="163">
    <w:name w:val="buvis"/>
    <w:qFormat/>
    <w:uiPriority w:val="0"/>
    <w:rPr>
      <w:color w:val="999999"/>
    </w:rPr>
  </w:style>
  <w:style w:type="character" w:customStyle="1" w:styleId="164">
    <w:name w:val="name"/>
    <w:qFormat/>
    <w:uiPriority w:val="0"/>
    <w:rPr>
      <w:color w:val="444444"/>
      <w:sz w:val="21"/>
      <w:szCs w:val="21"/>
    </w:rPr>
  </w:style>
  <w:style w:type="character" w:customStyle="1" w:styleId="165">
    <w:name w:val="layui-this"/>
    <w:qFormat/>
    <w:uiPriority w:val="0"/>
    <w:rPr>
      <w:bdr w:val="single" w:color="EEEEEE" w:sz="6" w:space="0"/>
      <w:shd w:val="clear" w:color="auto" w:fill="FFFFFF"/>
    </w:rPr>
  </w:style>
  <w:style w:type="character" w:customStyle="1" w:styleId="166">
    <w:name w:val="标题 2 Char1"/>
    <w:qFormat/>
    <w:uiPriority w:val="0"/>
    <w:rPr>
      <w:rFonts w:ascii="Arial" w:hAnsi="Arial" w:eastAsia="黑体"/>
      <w:b/>
      <w:bCs/>
      <w:kern w:val="2"/>
      <w:sz w:val="32"/>
      <w:szCs w:val="32"/>
      <w:lang w:val="en-US" w:eastAsia="zh-CN" w:bidi="ar-SA"/>
    </w:rPr>
  </w:style>
  <w:style w:type="character" w:customStyle="1" w:styleId="167">
    <w:name w:val="zw"/>
    <w:qFormat/>
    <w:uiPriority w:val="0"/>
    <w:rPr>
      <w:color w:val="BD1E22"/>
      <w:sz w:val="22"/>
      <w:szCs w:val="22"/>
    </w:rPr>
  </w:style>
  <w:style w:type="character" w:customStyle="1" w:styleId="168">
    <w:name w:val="name1"/>
    <w:qFormat/>
    <w:uiPriority w:val="0"/>
    <w:rPr>
      <w:color w:val="695435"/>
      <w:sz w:val="24"/>
      <w:szCs w:val="24"/>
    </w:rPr>
  </w:style>
  <w:style w:type="character" w:customStyle="1" w:styleId="169">
    <w:name w:val="num61"/>
    <w:basedOn w:val="49"/>
    <w:qFormat/>
    <w:uiPriority w:val="0"/>
  </w:style>
  <w:style w:type="character" w:customStyle="1" w:styleId="170">
    <w:name w:val="mesg-myd"/>
    <w:qFormat/>
    <w:uiPriority w:val="0"/>
    <w:rPr>
      <w:color w:val="EE0000"/>
    </w:rPr>
  </w:style>
  <w:style w:type="character" w:customStyle="1" w:styleId="171">
    <w:name w:val="c2"/>
    <w:basedOn w:val="49"/>
    <w:qFormat/>
    <w:uiPriority w:val="0"/>
  </w:style>
  <w:style w:type="character" w:customStyle="1" w:styleId="172">
    <w:name w:val="c3"/>
    <w:basedOn w:val="49"/>
    <w:qFormat/>
    <w:uiPriority w:val="0"/>
  </w:style>
  <w:style w:type="character" w:customStyle="1" w:styleId="173">
    <w:name w:val="over1"/>
    <w:qFormat/>
    <w:uiPriority w:val="0"/>
    <w:rPr>
      <w:color w:val="B60000"/>
    </w:rPr>
  </w:style>
  <w:style w:type="character" w:customStyle="1" w:styleId="174">
    <w:name w:val="tit13"/>
    <w:qFormat/>
    <w:uiPriority w:val="0"/>
    <w:rPr>
      <w:color w:val="FFFFFF"/>
    </w:rPr>
  </w:style>
  <w:style w:type="character" w:customStyle="1" w:styleId="175">
    <w:name w:val="Char Char21"/>
    <w:qFormat/>
    <w:uiPriority w:val="0"/>
    <w:rPr>
      <w:rFonts w:eastAsia="宋体"/>
      <w:kern w:val="2"/>
      <w:sz w:val="21"/>
      <w:szCs w:val="24"/>
      <w:lang w:val="en-US" w:eastAsia="zh-CN" w:bidi="ar-SA"/>
    </w:rPr>
  </w:style>
  <w:style w:type="character" w:customStyle="1" w:styleId="176">
    <w:name w:val="l41"/>
    <w:qFormat/>
    <w:uiPriority w:val="0"/>
    <w:rPr>
      <w:color w:val="999999"/>
    </w:rPr>
  </w:style>
  <w:style w:type="character" w:customStyle="1" w:styleId="177">
    <w:name w:val="16"/>
    <w:qFormat/>
    <w:uiPriority w:val="0"/>
    <w:rPr>
      <w:rFonts w:ascii="仿宋_GB2312" w:eastAsia="仿宋_GB2312"/>
      <w:color w:val="auto"/>
      <w:sz w:val="28"/>
      <w:szCs w:val="28"/>
    </w:rPr>
  </w:style>
  <w:style w:type="character" w:customStyle="1" w:styleId="178">
    <w:name w:val="num31"/>
    <w:basedOn w:val="49"/>
    <w:qFormat/>
    <w:uiPriority w:val="0"/>
  </w:style>
  <w:style w:type="character" w:customStyle="1" w:styleId="179">
    <w:name w:val="starting4"/>
    <w:basedOn w:val="49"/>
    <w:qFormat/>
    <w:uiPriority w:val="0"/>
  </w:style>
  <w:style w:type="character" w:customStyle="1" w:styleId="180">
    <w:name w:val="bsharetext"/>
    <w:basedOn w:val="49"/>
    <w:qFormat/>
    <w:uiPriority w:val="0"/>
  </w:style>
  <w:style w:type="character" w:customStyle="1" w:styleId="181">
    <w:name w:val="unit"/>
    <w:qFormat/>
    <w:uiPriority w:val="0"/>
    <w:rPr>
      <w:color w:val="999999"/>
    </w:rPr>
  </w:style>
  <w:style w:type="character" w:customStyle="1" w:styleId="182">
    <w:name w:val="nostart2"/>
    <w:qFormat/>
    <w:uiPriority w:val="0"/>
    <w:rPr>
      <w:color w:val="B60000"/>
    </w:rPr>
  </w:style>
  <w:style w:type="character" w:customStyle="1" w:styleId="183">
    <w:name w:val="纯文本 Char"/>
    <w:qFormat/>
    <w:uiPriority w:val="99"/>
    <w:rPr>
      <w:rFonts w:ascii="Courier New" w:hAnsi="Courier New" w:eastAsia="宋体"/>
      <w:kern w:val="2"/>
      <w:sz w:val="21"/>
      <w:lang w:val="en-US" w:eastAsia="zh-CN" w:bidi="ar-SA"/>
    </w:rPr>
  </w:style>
  <w:style w:type="character" w:customStyle="1" w:styleId="184">
    <w:name w:val="Char Char81"/>
    <w:qFormat/>
    <w:uiPriority w:val="0"/>
    <w:rPr>
      <w:rFonts w:ascii="Arial" w:hAnsi="Arial" w:eastAsia="黑体"/>
      <w:b/>
      <w:bCs/>
      <w:kern w:val="2"/>
      <w:sz w:val="32"/>
      <w:szCs w:val="32"/>
      <w:lang w:val="en-US" w:eastAsia="zh-CN" w:bidi="ar-SA"/>
    </w:rPr>
  </w:style>
  <w:style w:type="character" w:customStyle="1" w:styleId="185">
    <w:name w:val="starting"/>
    <w:qFormat/>
    <w:uiPriority w:val="0"/>
    <w:rPr>
      <w:color w:val="339900"/>
    </w:rPr>
  </w:style>
  <w:style w:type="character" w:customStyle="1" w:styleId="186">
    <w:name w:val="nostart1"/>
    <w:qFormat/>
    <w:uiPriority w:val="0"/>
    <w:rPr>
      <w:color w:val="FF0000"/>
    </w:rPr>
  </w:style>
  <w:style w:type="character" w:customStyle="1" w:styleId="187">
    <w:name w:val="num210"/>
    <w:basedOn w:val="49"/>
    <w:qFormat/>
    <w:uiPriority w:val="0"/>
  </w:style>
  <w:style w:type="character" w:customStyle="1" w:styleId="188">
    <w:name w:val="buvis1"/>
    <w:qFormat/>
    <w:uiPriority w:val="0"/>
    <w:rPr>
      <w:color w:val="CC0000"/>
    </w:rPr>
  </w:style>
  <w:style w:type="character" w:customStyle="1" w:styleId="189">
    <w:name w:val="starting3"/>
    <w:basedOn w:val="49"/>
    <w:qFormat/>
    <w:uiPriority w:val="0"/>
  </w:style>
  <w:style w:type="character" w:customStyle="1" w:styleId="190">
    <w:name w:val="textcontents"/>
    <w:basedOn w:val="49"/>
    <w:qFormat/>
    <w:uiPriority w:val="0"/>
  </w:style>
  <w:style w:type="character" w:customStyle="1" w:styleId="191">
    <w:name w:val="num41"/>
    <w:basedOn w:val="49"/>
    <w:qFormat/>
    <w:uiPriority w:val="0"/>
  </w:style>
  <w:style w:type="character" w:customStyle="1" w:styleId="192">
    <w:name w:val="tit9"/>
    <w:qFormat/>
    <w:uiPriority w:val="0"/>
    <w:rPr>
      <w:color w:val="B60000"/>
      <w:sz w:val="27"/>
      <w:szCs w:val="27"/>
      <w:bdr w:val="single" w:color="DFCEB8" w:sz="6" w:space="0"/>
      <w:shd w:val="clear" w:color="auto" w:fill="FFFFFF"/>
    </w:rPr>
  </w:style>
  <w:style w:type="character" w:customStyle="1" w:styleId="193">
    <w:name w:val="name2"/>
    <w:qFormat/>
    <w:uiPriority w:val="0"/>
    <w:rPr>
      <w:color w:val="000000"/>
      <w:sz w:val="39"/>
      <w:szCs w:val="39"/>
    </w:rPr>
  </w:style>
  <w:style w:type="character" w:customStyle="1" w:styleId="194">
    <w:name w:val="img_title8"/>
    <w:qFormat/>
    <w:uiPriority w:val="0"/>
    <w:rPr>
      <w:vanish/>
    </w:rPr>
  </w:style>
  <w:style w:type="character" w:customStyle="1" w:styleId="195">
    <w:name w:val="tit15"/>
    <w:qFormat/>
    <w:uiPriority w:val="0"/>
    <w:rPr>
      <w:b/>
      <w:color w:val="B60000"/>
    </w:rPr>
  </w:style>
  <w:style w:type="character" w:customStyle="1" w:styleId="196">
    <w:name w:val="img_title9"/>
    <w:qFormat/>
    <w:uiPriority w:val="0"/>
    <w:rPr>
      <w:vanish/>
    </w:rPr>
  </w:style>
  <w:style w:type="character" w:customStyle="1" w:styleId="197">
    <w:name w:val="标题 2 Char2"/>
    <w:link w:val="3"/>
    <w:qFormat/>
    <w:uiPriority w:val="0"/>
    <w:rPr>
      <w:rFonts w:ascii="Arial" w:hAnsi="Arial" w:eastAsia="黑体"/>
      <w:b/>
      <w:bCs/>
      <w:kern w:val="2"/>
      <w:sz w:val="21"/>
      <w:szCs w:val="32"/>
      <w:lang w:val="en-US" w:eastAsia="zh-CN" w:bidi="ar-SA"/>
    </w:rPr>
  </w:style>
  <w:style w:type="paragraph" w:customStyle="1" w:styleId="19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character" w:customStyle="1" w:styleId="199">
    <w:name w:val="font12"/>
    <w:basedOn w:val="49"/>
    <w:qFormat/>
    <w:uiPriority w:val="0"/>
    <w:rPr>
      <w:rFonts w:hint="eastAsia" w:ascii="仿宋" w:hAnsi="仿宋" w:eastAsia="仿宋" w:cs="仿宋"/>
      <w:b/>
      <w:color w:val="000000"/>
      <w:sz w:val="32"/>
      <w:szCs w:val="32"/>
      <w:u w:val="none"/>
    </w:rPr>
  </w:style>
  <w:style w:type="character" w:customStyle="1" w:styleId="200">
    <w:name w:val="font101"/>
    <w:basedOn w:val="49"/>
    <w:qFormat/>
    <w:uiPriority w:val="0"/>
    <w:rPr>
      <w:rFonts w:hint="default" w:ascii="Times New Roman" w:hAnsi="Times New Roman" w:cs="Times New Roman"/>
      <w:color w:val="000000"/>
      <w:sz w:val="24"/>
      <w:szCs w:val="24"/>
      <w:u w:val="none"/>
    </w:rPr>
  </w:style>
  <w:style w:type="character" w:customStyle="1" w:styleId="201">
    <w:name w:val="font111"/>
    <w:basedOn w:val="49"/>
    <w:qFormat/>
    <w:uiPriority w:val="0"/>
    <w:rPr>
      <w:rFonts w:ascii="仿宋_GB2312" w:eastAsia="仿宋_GB2312" w:cs="仿宋_GB2312"/>
      <w:color w:val="000000"/>
      <w:sz w:val="24"/>
      <w:szCs w:val="24"/>
      <w:u w:val="none"/>
    </w:rPr>
  </w:style>
  <w:style w:type="character" w:customStyle="1" w:styleId="202">
    <w:name w:val="font91"/>
    <w:basedOn w:val="49"/>
    <w:qFormat/>
    <w:uiPriority w:val="0"/>
    <w:rPr>
      <w:rFonts w:hint="eastAsia" w:ascii="仿宋" w:hAnsi="仿宋" w:eastAsia="仿宋" w:cs="仿宋"/>
      <w:color w:val="000000"/>
      <w:sz w:val="24"/>
      <w:szCs w:val="24"/>
      <w:u w:val="single"/>
    </w:rPr>
  </w:style>
  <w:style w:type="character" w:customStyle="1" w:styleId="203">
    <w:name w:val="font81"/>
    <w:basedOn w:val="49"/>
    <w:qFormat/>
    <w:uiPriority w:val="0"/>
    <w:rPr>
      <w:rFonts w:hint="default" w:ascii="Times New Roman" w:hAnsi="Times New Roman" w:cs="Times New Roman"/>
      <w:color w:val="000000"/>
      <w:sz w:val="24"/>
      <w:szCs w:val="24"/>
      <w:u w:val="none"/>
    </w:rPr>
  </w:style>
  <w:style w:type="character" w:customStyle="1" w:styleId="204">
    <w:name w:val="font61"/>
    <w:basedOn w:val="49"/>
    <w:qFormat/>
    <w:uiPriority w:val="0"/>
    <w:rPr>
      <w:rFonts w:hint="eastAsia" w:ascii="仿宋_GB2312" w:eastAsia="仿宋_GB2312" w:cs="仿宋_GB2312"/>
      <w:color w:val="000000"/>
      <w:sz w:val="24"/>
      <w:szCs w:val="24"/>
      <w:u w:val="none"/>
    </w:rPr>
  </w:style>
  <w:style w:type="character" w:customStyle="1" w:styleId="205">
    <w:name w:val="font21"/>
    <w:basedOn w:val="49"/>
    <w:qFormat/>
    <w:uiPriority w:val="0"/>
    <w:rPr>
      <w:rFonts w:hint="default" w:ascii="Times New Roman" w:hAnsi="Times New Roman" w:cs="Times New Roman"/>
      <w:color w:val="000000"/>
      <w:sz w:val="24"/>
      <w:szCs w:val="24"/>
      <w:u w:val="none"/>
    </w:rPr>
  </w:style>
  <w:style w:type="character" w:customStyle="1" w:styleId="206">
    <w:name w:val="NormalCharacter"/>
    <w:semiHidden/>
    <w:qFormat/>
    <w:uiPriority w:val="0"/>
    <w:rPr>
      <w:snapToGrid w:val="0"/>
      <w:kern w:val="0"/>
      <w:sz w:val="32"/>
      <w:szCs w:val="32"/>
      <w:lang w:val="en-US" w:eastAsia="zh-CN" w:bidi="ar-SA"/>
    </w:rPr>
  </w:style>
  <w:style w:type="character" w:customStyle="1" w:styleId="207">
    <w:name w:val="first-child1"/>
    <w:basedOn w:val="49"/>
    <w:qFormat/>
    <w:uiPriority w:val="0"/>
  </w:style>
  <w:style w:type="character" w:customStyle="1" w:styleId="208">
    <w:name w:val="hover1"/>
    <w:basedOn w:val="49"/>
    <w:qFormat/>
    <w:uiPriority w:val="0"/>
    <w:rPr>
      <w:color w:val="2590EB"/>
    </w:rPr>
  </w:style>
  <w:style w:type="character" w:customStyle="1" w:styleId="209">
    <w:name w:val="hover2"/>
    <w:basedOn w:val="49"/>
    <w:qFormat/>
    <w:uiPriority w:val="0"/>
  </w:style>
  <w:style w:type="character" w:customStyle="1" w:styleId="210">
    <w:name w:val="hover3"/>
    <w:basedOn w:val="49"/>
    <w:qFormat/>
    <w:uiPriority w:val="0"/>
    <w:rPr>
      <w:color w:val="2590EB"/>
    </w:rPr>
  </w:style>
  <w:style w:type="character" w:customStyle="1" w:styleId="211">
    <w:name w:val="hover4"/>
    <w:basedOn w:val="49"/>
    <w:qFormat/>
    <w:uiPriority w:val="0"/>
    <w:rPr>
      <w:color w:val="2590EB"/>
      <w:shd w:val="clear" w:fill="E9F4FD"/>
    </w:rPr>
  </w:style>
  <w:style w:type="character" w:customStyle="1" w:styleId="212">
    <w:name w:val="mini-outputtext1"/>
    <w:basedOn w:val="49"/>
    <w:qFormat/>
    <w:uiPriority w:val="0"/>
  </w:style>
  <w:style w:type="character" w:customStyle="1" w:styleId="213">
    <w:name w:val="hover"/>
    <w:basedOn w:val="49"/>
    <w:qFormat/>
    <w:uiPriority w:val="0"/>
    <w:rPr>
      <w:color w:val="2590EB"/>
    </w:rPr>
  </w:style>
  <w:style w:type="paragraph" w:customStyle="1" w:styleId="214">
    <w:name w:val="样式 WG标题3 + 行距: 固定值 18 磅"/>
    <w:basedOn w:val="1"/>
    <w:qFormat/>
    <w:uiPriority w:val="0"/>
    <w:pPr>
      <w:autoSpaceDE w:val="0"/>
      <w:autoSpaceDN w:val="0"/>
      <w:adjustRightInd w:val="0"/>
      <w:spacing w:line="360" w:lineRule="exact"/>
      <w:ind w:firstLine="200" w:firstLineChars="200"/>
      <w:textAlignment w:val="baseline"/>
      <w:outlineLvl w:val="2"/>
    </w:pPr>
    <w:rPr>
      <w:rFonts w:cs="宋体"/>
      <w:b/>
      <w:bCs/>
      <w:color w:val="000000"/>
      <w:kern w:val="20"/>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48</Pages>
  <Words>69</Words>
  <Characters>75</Characters>
  <Lines>411</Lines>
  <Paragraphs>115</Paragraphs>
  <TotalTime>10</TotalTime>
  <ScaleCrop>false</ScaleCrop>
  <LinksUpToDate>false</LinksUpToDate>
  <CharactersWithSpaces>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傻傻一辈子</cp:lastModifiedBy>
  <cp:lastPrinted>2023-06-08T00:43:00Z</cp:lastPrinted>
  <dcterms:modified xsi:type="dcterms:W3CDTF">2026-09-23T16:03:36Z</dcterms:modified>
  <dc:title>标准交易文件</dc:title>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3E37166E933D4B56AF059194D704A7C6_13</vt:lpwstr>
  </property>
  <property fmtid="{D5CDD505-2E9C-101B-9397-08002B2CF9AE}" pid="4" name="KSOTemplateDocerSaveRecord">
    <vt:lpwstr>eyJoZGlkIjoiMTljMDcwYWJmYjExZWQzNTVmZDAzZTYwM2JlMzJmZDYiLCJ1c2VySWQiOiIzODU2Mzk2OTQifQ==</vt:lpwstr>
  </property>
</Properties>
</file>