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eastAsia" w:ascii="宋体" w:eastAsia="宋体"/>
          <w:b/>
          <w:bCs w:val="0"/>
          <w:color w:val="auto"/>
          <w:sz w:val="48"/>
          <w:szCs w:val="48"/>
          <w:highlight w:val="none"/>
          <w:lang w:val="en-US" w:eastAsia="zh-CN"/>
        </w:rPr>
      </w:pPr>
      <w:r>
        <w:rPr>
          <w:rFonts w:hint="eastAsia" w:ascii="宋体"/>
          <w:b/>
          <w:bCs w:val="0"/>
          <w:color w:val="auto"/>
          <w:sz w:val="48"/>
          <w:szCs w:val="48"/>
          <w:highlight w:val="none"/>
          <w:lang w:val="en-US" w:eastAsia="zh-CN"/>
        </w:rPr>
        <w:t>滁州经开区路灯节能改造及智慧化管控升级项目能源审计报告编制服务项目</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3"/>
        <w:rPr>
          <w:rFonts w:hint="eastAsia" w:ascii="宋体"/>
          <w:color w:val="auto"/>
          <w:sz w:val="28"/>
          <w:szCs w:val="28"/>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 xml:space="preserve">     滁州华城建设开发有限公司   </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11940E33">
      <w:pPr>
        <w:spacing w:line="360" w:lineRule="exact"/>
        <w:rPr>
          <w:rFonts w:hint="eastAsia"/>
          <w:b/>
          <w:color w:val="auto"/>
          <w:sz w:val="36"/>
          <w:highlight w:val="none"/>
        </w:rPr>
      </w:pPr>
    </w:p>
    <w:p w14:paraId="11D8DEB2">
      <w:pPr>
        <w:spacing w:line="360" w:lineRule="exact"/>
        <w:jc w:val="center"/>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3</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7</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w:t>
      </w:r>
      <w:r>
        <w:rPr>
          <w:rStyle w:val="47"/>
          <w:rFonts w:hint="eastAsia" w:ascii="宋体" w:hAnsi="宋体"/>
          <w:b/>
          <w:color w:val="auto"/>
          <w:sz w:val="28"/>
          <w:szCs w:val="28"/>
          <w:highlight w:val="none"/>
          <w:lang w:val="en-US" w:eastAsia="zh-CN"/>
        </w:rPr>
        <w:t>最低评标价法</w:t>
      </w:r>
      <w:r>
        <w:rPr>
          <w:rStyle w:val="47"/>
          <w:rFonts w:hint="eastAsia" w:ascii="宋体" w:hAnsi="宋体"/>
          <w:b/>
          <w:color w:val="auto"/>
          <w:sz w:val="28"/>
          <w:szCs w:val="28"/>
          <w:highlight w:val="none"/>
        </w:rPr>
        <w:t>）</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21</w:t>
      </w:r>
    </w:p>
    <w:p w14:paraId="756FF240">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26</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27</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36</w:t>
      </w:r>
    </w:p>
    <w:p w14:paraId="35E73014">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滁州经开区路灯节能改造及智慧化管控升级项目能源审计报告编制服务项目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国家级滁州经济技术开发区网（https://kfq.chuzhou.gov.cn/index.html）、</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项目编号：HXJY1110001059886001</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滁州经开区路灯节能改造及智慧化管控升级项目能源审计报告编制服务项目</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39000元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39000元</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详见第四章采购需求</w:t>
      </w:r>
    </w:p>
    <w:p w14:paraId="5517F08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合同履行期限：签订合同</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个日历天</w:t>
      </w:r>
      <w:r>
        <w:rPr>
          <w:rFonts w:hint="eastAsia" w:ascii="仿宋" w:hAnsi="仿宋" w:eastAsia="仿宋" w:cs="仿宋"/>
          <w:color w:val="auto"/>
          <w:sz w:val="28"/>
          <w:szCs w:val="28"/>
          <w:highlight w:val="none"/>
          <w:lang w:val="en-US" w:eastAsia="zh-CN"/>
        </w:rPr>
        <w:t>内</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全部能源审计工作并提交正式的能源审计报告。</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622"/>
      <w:bookmarkStart w:id="4" w:name="_Toc28359003"/>
      <w:bookmarkStart w:id="5" w:name="_Toc35393791"/>
      <w:bookmarkStart w:id="6" w:name="_Toc28359080"/>
      <w:r>
        <w:rPr>
          <w:rFonts w:hint="eastAsia" w:ascii="黑体" w:hAnsi="黑体" w:eastAsia="黑体" w:cs="黑体"/>
          <w:color w:val="auto"/>
          <w:sz w:val="28"/>
          <w:szCs w:val="28"/>
          <w:highlight w:val="none"/>
        </w:rPr>
        <w:t>二、申请人的资格要求</w:t>
      </w:r>
      <w:bookmarkEnd w:id="3"/>
      <w:bookmarkEnd w:id="4"/>
      <w:bookmarkEnd w:id="5"/>
      <w:bookmarkEnd w:id="6"/>
    </w:p>
    <w:p w14:paraId="5D6DCAE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Times New Roman"/>
          <w:color w:val="auto"/>
          <w:sz w:val="28"/>
          <w:szCs w:val="28"/>
          <w:highlight w:val="none"/>
          <w:lang w:val="en-US" w:eastAsia="zh-CN"/>
        </w:rPr>
      </w:pPr>
      <w:bookmarkStart w:id="7" w:name="_Toc35393792"/>
      <w:bookmarkStart w:id="8" w:name="_Toc28359004"/>
      <w:bookmarkStart w:id="9" w:name="_Toc35393623"/>
      <w:bookmarkStart w:id="10" w:name="_Toc28359081"/>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投标人须在中华人民共和国境内注册并具有相应服务能力。</w:t>
      </w:r>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投标人须在省级或省级以上第三方节能量审核机构审核备案名单中</w:t>
      </w:r>
      <w:r>
        <w:rPr>
          <w:rFonts w:hint="eastAsia" w:ascii="仿宋" w:hAnsi="仿宋" w:eastAsia="仿宋" w:cs="Times New Roman"/>
          <w:color w:val="auto"/>
          <w:sz w:val="28"/>
          <w:szCs w:val="28"/>
          <w:highlight w:val="none"/>
          <w:lang w:eastAsia="zh-CN"/>
        </w:rPr>
        <w:t>。</w:t>
      </w:r>
    </w:p>
    <w:p w14:paraId="375BDC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须具有能源审计工作经验（投标文件中提供项目服务合同扫描件，提供合同须体现甲乙双方名称、甲乙双方盖章齐全，采购标的信息等，如合同不能体现以上全部内容，可提供合同甲方盖公章的证明扫描件，否则，按无效标处理），投标供应商与其关联公司（如母公司、控股公司、参股公司、分公司、子公司、同一法定代表人的公司等）之间签订的合同，均不予认可。</w:t>
      </w:r>
    </w:p>
    <w:p w14:paraId="329744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4.投标人拟派项目负责人具有中级及以上职称证书。</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20</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24</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国家级滁州经济技术开发区网（https://kfq.chuzhou.gov.cn/index.html）、</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7</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24</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626"/>
      <w:bookmarkStart w:id="16" w:name="_Toc35393795"/>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滁州华城建设开发有限公司</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安徽省滁州市中都大道2887号（滁州原创科技城）</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0550-3017151</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8"/>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姜舒、李庆延、</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0550-3017151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58430314"/>
      <w:bookmarkStart w:id="18" w:name="_Toc449028865"/>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9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7212"/>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212" w:type="dxa"/>
            <w:noWrap w:val="0"/>
            <w:vAlign w:val="center"/>
          </w:tcPr>
          <w:p w14:paraId="4BB3F0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12" w:type="dxa"/>
            <w:noWrap w:val="0"/>
            <w:vAlign w:val="center"/>
          </w:tcPr>
          <w:p w14:paraId="46D56C39">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滁州经开区路灯节能改造及智慧化管控升级项目能源审计报告编制服务项目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212" w:type="dxa"/>
            <w:noWrap w:val="0"/>
            <w:vAlign w:val="center"/>
          </w:tcPr>
          <w:p w14:paraId="50E62BF8">
            <w:pPr>
              <w:pStyle w:val="21"/>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签订合同20个日历天内完成全部能源审计工作并提交正式的能源审计报告。</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212" w:type="dxa"/>
            <w:noWrap w:val="0"/>
            <w:vAlign w:val="center"/>
          </w:tcPr>
          <w:p w14:paraId="5812B67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7212" w:type="dxa"/>
            <w:noWrap w:val="0"/>
            <w:vAlign w:val="center"/>
          </w:tcPr>
          <w:p w14:paraId="0511E43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姜舒、</w:t>
            </w:r>
            <w:r>
              <w:rPr>
                <w:rFonts w:hint="eastAsia" w:ascii="宋体" w:hAnsi="宋体" w:eastAsia="宋体" w:cs="宋体"/>
                <w:color w:val="auto"/>
                <w:sz w:val="21"/>
                <w:szCs w:val="21"/>
                <w:highlight w:val="none"/>
                <w:lang w:val="en-US" w:eastAsia="zh-CN"/>
              </w:rPr>
              <w:t xml:space="preserve">李庆延；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0550-3017151</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7212" w:type="dxa"/>
            <w:noWrap w:val="0"/>
            <w:vAlign w:val="center"/>
          </w:tcPr>
          <w:p w14:paraId="3A15780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w:t>
            </w:r>
            <w:r>
              <w:rPr>
                <w:rFonts w:hint="eastAsia" w:hAnsi="宋体" w:cs="宋体"/>
                <w:color w:val="auto"/>
                <w:sz w:val="21"/>
                <w:szCs w:val="21"/>
                <w:highlight w:val="none"/>
                <w:lang w:val="en-US" w:eastAsia="zh-CN"/>
              </w:rPr>
              <w:t>3519590</w:t>
            </w:r>
            <w:r>
              <w:rPr>
                <w:rFonts w:hint="eastAsia" w:ascii="宋体" w:hAnsi="宋体" w:eastAsia="宋体" w:cs="宋体"/>
                <w:color w:val="auto"/>
                <w:sz w:val="21"/>
                <w:szCs w:val="21"/>
                <w:highlight w:val="none"/>
              </w:rPr>
              <w:t>、18005501210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212" w:type="dxa"/>
            <w:noWrap w:val="0"/>
            <w:vAlign w:val="center"/>
          </w:tcPr>
          <w:p w14:paraId="2D12EDE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财政</w:t>
            </w:r>
            <w:r>
              <w:rPr>
                <w:rFonts w:hint="eastAsia" w:ascii="宋体" w:hAnsi="宋体" w:eastAsia="宋体" w:cs="宋体"/>
                <w:color w:val="auto"/>
                <w:sz w:val="21"/>
                <w:szCs w:val="21"/>
                <w:highlight w:val="none"/>
                <w:lang w:val="en-US" w:eastAsia="zh-CN"/>
              </w:rPr>
              <w:t>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7212" w:type="dxa"/>
            <w:noWrap w:val="0"/>
            <w:vAlign w:val="center"/>
          </w:tcPr>
          <w:p w14:paraId="4B6C8123">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39000</w:t>
            </w:r>
            <w:r>
              <w:rPr>
                <w:rFonts w:hint="eastAsia" w:ascii="宋体" w:hAnsi="宋体" w:eastAsia="宋体" w:cs="宋体"/>
                <w:color w:val="auto"/>
                <w:sz w:val="21"/>
                <w:szCs w:val="21"/>
                <w:highlight w:val="none"/>
                <w:lang w:val="en-US" w:eastAsia="zh-CN"/>
              </w:rPr>
              <w:t>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212" w:type="dxa"/>
            <w:noWrap w:val="0"/>
            <w:vAlign w:val="center"/>
          </w:tcPr>
          <w:p w14:paraId="3B31F5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39000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212" w:type="dxa"/>
            <w:noWrap w:val="0"/>
            <w:vAlign w:val="center"/>
          </w:tcPr>
          <w:p w14:paraId="4F849565">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7212" w:type="dxa"/>
            <w:noWrap w:val="0"/>
            <w:vAlign w:val="center"/>
          </w:tcPr>
          <w:p w14:paraId="71A24F0E">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212" w:type="dxa"/>
            <w:noWrap w:val="0"/>
            <w:vAlign w:val="center"/>
          </w:tcPr>
          <w:p w14:paraId="217B870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7212"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212" w:type="dxa"/>
            <w:noWrap w:val="0"/>
            <w:vAlign w:val="center"/>
          </w:tcPr>
          <w:p w14:paraId="1C09ABA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212" w:type="dxa"/>
            <w:noWrap w:val="0"/>
            <w:vAlign w:val="center"/>
          </w:tcPr>
          <w:p w14:paraId="358BEE0C">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212" w:type="dxa"/>
            <w:noWrap w:val="0"/>
            <w:vAlign w:val="center"/>
          </w:tcPr>
          <w:p w14:paraId="4D98769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7212"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w:t>
            </w:r>
            <w:r>
              <w:rPr>
                <w:rFonts w:hint="eastAsia" w:ascii="宋体" w:hAnsi="宋体" w:cs="宋体"/>
                <w:color w:val="auto"/>
                <w:sz w:val="21"/>
                <w:szCs w:val="21"/>
                <w:highlight w:val="none"/>
                <w:lang w:val="en-US" w:eastAsia="zh-CN"/>
              </w:rPr>
              <w:t>招标人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7212"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日17时前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w:t>
            </w:r>
            <w:r>
              <w:rPr>
                <w:rFonts w:hint="eastAsia" w:ascii="宋体" w:hAnsi="宋体" w:eastAsia="宋体" w:cs="宋体"/>
                <w:color w:val="auto"/>
                <w:sz w:val="21"/>
                <w:szCs w:val="21"/>
                <w:highlight w:val="none"/>
                <w:lang w:eastAsia="zh-CN"/>
              </w:rPr>
              <w:t>国家级滁州经济技术开发区网（https://kfq.chuzhou.gov.cn/index.html）</w:t>
            </w:r>
            <w:r>
              <w:rPr>
                <w:rFonts w:hint="eastAsia" w:ascii="宋体" w:hAnsi="宋体" w:eastAsia="宋体" w:cs="宋体"/>
                <w:color w:val="auto"/>
                <w:sz w:val="21"/>
                <w:szCs w:val="21"/>
                <w:highlight w:val="none"/>
              </w:rPr>
              <w:t>、滁州市城投工程咨询管理有限公司网站（https://www.czctgczx.com/）予以公告。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212" w:type="dxa"/>
            <w:noWrap w:val="0"/>
            <w:vAlign w:val="center"/>
          </w:tcPr>
          <w:p w14:paraId="615A471B">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212"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7212"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12"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7212"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7</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24</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7212"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24</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7212"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212"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12" w:type="dxa"/>
            <w:noWrap w:val="0"/>
            <w:vAlign w:val="top"/>
          </w:tcPr>
          <w:p w14:paraId="266A04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12" w:type="dxa"/>
            <w:noWrap w:val="0"/>
            <w:vAlign w:val="center"/>
          </w:tcPr>
          <w:p w14:paraId="32475C60">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212"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12"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7212"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 xml:space="preserve">月 </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7212"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55527D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61185814">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2070" w:type="dxa"/>
            <w:noWrap w:val="0"/>
            <w:vAlign w:val="center"/>
          </w:tcPr>
          <w:p w14:paraId="0E1AB96A">
            <w:pPr>
              <w:pStyle w:val="18"/>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约谈制度</w:t>
            </w:r>
          </w:p>
        </w:tc>
        <w:tc>
          <w:tcPr>
            <w:tcW w:w="7212" w:type="dxa"/>
            <w:noWrap w:val="0"/>
            <w:vAlign w:val="center"/>
          </w:tcPr>
          <w:p w14:paraId="0240423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项目公示期满，下发中标通知书前，中标单位必须按照招标单位的规定参加项目实施前约谈，中标单位的法人代表或负责人（公司副总以上）和项目负责人必须参加约谈会议。</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212" w:type="dxa"/>
            <w:noWrap w:val="0"/>
            <w:vAlign w:val="center"/>
          </w:tcPr>
          <w:p w14:paraId="10E50EA8">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提交正式的能源审计报告后一次性付清合同价款。</w:t>
            </w:r>
          </w:p>
        </w:tc>
      </w:tr>
    </w:tbl>
    <w:p w14:paraId="28C69260">
      <w:pPr>
        <w:rPr>
          <w:rFonts w:hint="eastAsia" w:ascii="宋体" w:hAnsi="Times New Roman" w:eastAsia="宋体" w:cs="Times New Roman"/>
          <w:b/>
          <w:color w:val="auto"/>
          <w:sz w:val="30"/>
          <w:szCs w:val="30"/>
          <w:highlight w:val="none"/>
        </w:rPr>
      </w:pPr>
      <w:bookmarkStart w:id="19" w:name="_Toc58430315"/>
      <w:bookmarkStart w:id="20" w:name="_Toc449028866"/>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最低评标价法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96602429"/>
      <w:bookmarkStart w:id="23" w:name="_Toc247527563"/>
      <w:bookmarkStart w:id="24" w:name="_Toc152045539"/>
      <w:bookmarkStart w:id="25" w:name="_Toc247592876"/>
      <w:bookmarkStart w:id="26" w:name="_Toc152042315"/>
      <w:bookmarkStart w:id="27" w:name="_Toc144974507"/>
      <w:bookmarkStart w:id="28" w:name="_Toc247513962"/>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152042316"/>
      <w:bookmarkStart w:id="30" w:name="_Toc296602430"/>
      <w:bookmarkStart w:id="31" w:name="_Toc247513963"/>
      <w:bookmarkStart w:id="32" w:name="_Toc247527564"/>
      <w:bookmarkStart w:id="33" w:name="_Toc247592877"/>
      <w:bookmarkStart w:id="34" w:name="_Toc152045540"/>
      <w:bookmarkStart w:id="35" w:name="_Toc144974508"/>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w:t>
      </w:r>
      <w:r>
        <w:rPr>
          <w:rFonts w:hint="eastAsia" w:ascii="宋体" w:hAnsi="宋体" w:cs="宋体"/>
          <w:color w:val="auto"/>
          <w:szCs w:val="21"/>
          <w:highlight w:val="none"/>
          <w:lang w:eastAsia="zh-CN"/>
        </w:rPr>
        <w:t>国家级滁州经济技术开发区网（https://kfq.chuzhou.gov.cn/index.html）</w:t>
      </w:r>
      <w:r>
        <w:rPr>
          <w:rFonts w:hint="eastAsia" w:ascii="宋体" w:hAnsi="宋体" w:eastAsia="宋体" w:cs="宋体"/>
          <w:color w:val="auto"/>
          <w:szCs w:val="21"/>
          <w:highlight w:val="none"/>
        </w:rPr>
        <w:t>、滁州市城投工程咨询管理有限公司网站（https://www.czctgczx.com/）予以发布，但不指明澄清问题的来源。如果澄清内容影响投标文件编制的，将相应延长投标截止时间。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w:t>
      </w:r>
      <w:r>
        <w:rPr>
          <w:rFonts w:hint="eastAsia" w:ascii="宋体" w:hAnsi="宋体" w:cs="宋体"/>
          <w:color w:val="auto"/>
          <w:szCs w:val="21"/>
          <w:highlight w:val="none"/>
          <w:lang w:eastAsia="zh-CN"/>
        </w:rPr>
        <w:t>国家级滁州经济技术开发区网（https://kfq.chuzhou.gov.cn/index.html）</w:t>
      </w:r>
      <w:r>
        <w:rPr>
          <w:rFonts w:hint="eastAsia" w:ascii="宋体" w:hAnsi="宋体" w:cs="宋体"/>
          <w:color w:val="auto"/>
          <w:szCs w:val="21"/>
          <w:highlight w:val="none"/>
        </w:rPr>
        <w:t>、滁州市城投工程咨询管理有限公司网站（https://www.czctgczx.com/）予以公告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207" w:firstLineChars="98"/>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的报价应</w:t>
      </w:r>
      <w:r>
        <w:rPr>
          <w:rFonts w:hint="eastAsia" w:ascii="宋体" w:hAnsi="宋体" w:cs="宋体"/>
          <w:color w:val="auto"/>
          <w:szCs w:val="21"/>
          <w:highlight w:val="none"/>
          <w:lang w:val="en-US" w:eastAsia="zh-CN"/>
        </w:rPr>
        <w:t>包含为完成本次服务范围内所有内容产生的费用、交通费、</w:t>
      </w:r>
      <w:r>
        <w:rPr>
          <w:rFonts w:hint="eastAsia" w:ascii="宋体" w:hAnsi="宋体" w:cs="宋体"/>
          <w:color w:val="auto"/>
          <w:szCs w:val="21"/>
          <w:highlight w:val="none"/>
          <w:lang w:eastAsia="zh-CN"/>
        </w:rPr>
        <w:t>会务费及专家评审费、</w:t>
      </w:r>
      <w:r>
        <w:rPr>
          <w:rFonts w:hint="eastAsia" w:ascii="宋体" w:hAnsi="宋体" w:cs="宋体"/>
          <w:color w:val="auto"/>
          <w:szCs w:val="21"/>
          <w:highlight w:val="none"/>
          <w:lang w:val="en-US" w:eastAsia="zh-CN"/>
        </w:rPr>
        <w:t>国家对供应商征收的各种税费等所有费用，招标人不再为此支付其他任何费用。</w:t>
      </w:r>
      <w:r>
        <w:rPr>
          <w:rFonts w:hint="eastAsia" w:ascii="宋体" w:hAnsi="宋体" w:cs="宋体"/>
          <w:color w:val="auto"/>
          <w:szCs w:val="21"/>
          <w:highlight w:val="none"/>
        </w:rPr>
        <w:t>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自行考虑投标风险。</w:t>
      </w:r>
    </w:p>
    <w:p w14:paraId="051CF94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5552ED4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lang w:eastAsia="zh-CN"/>
        </w:rPr>
        <w:t>投标人</w:t>
      </w:r>
      <w:r>
        <w:rPr>
          <w:rFonts w:hint="eastAsia" w:ascii="宋体"/>
          <w:bCs/>
          <w:color w:val="auto"/>
          <w:szCs w:val="21"/>
          <w:highlight w:val="none"/>
        </w:rPr>
        <w:t>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25.2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25.3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210" w:firstLineChars="1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w:t>
      </w:r>
      <w:r>
        <w:rPr>
          <w:rFonts w:hint="eastAsia" w:ascii="宋体"/>
          <w:color w:val="auto"/>
          <w:szCs w:val="21"/>
          <w:highlight w:val="none"/>
          <w:lang w:eastAsia="zh-CN"/>
        </w:rPr>
        <w:t>国家级滁州经济技术开发区网（https://kfq.chuzhou.gov.cn/index.html）</w:t>
      </w:r>
      <w:r>
        <w:rPr>
          <w:rFonts w:hint="eastAsia" w:ascii="宋体"/>
          <w:color w:val="auto"/>
          <w:szCs w:val="21"/>
          <w:highlight w:val="none"/>
        </w:rPr>
        <w:t>、滁州市城投工程咨询管理有限公司网站（https://www.czctgczx.com/）予以公告，公告期为3日。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68D6B9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2"/>
      <w:r>
        <w:rPr>
          <w:rFonts w:hint="eastAsia" w:ascii="宋体" w:hAnsi="宋体" w:eastAsia="宋体" w:cs="宋体"/>
          <w:color w:val="auto"/>
          <w:kern w:val="10"/>
          <w:szCs w:val="21"/>
          <w:highlight w:val="none"/>
        </w:rPr>
        <w:t>按照相关规定执行。</w:t>
      </w:r>
      <w:bookmarkEnd w:id="40"/>
      <w:bookmarkStart w:id="41" w:name="_Toc449028873"/>
    </w:p>
    <w:p w14:paraId="4168FF8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1"/>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2"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2"/>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4"/>
      <w:r>
        <w:rPr>
          <w:rFonts w:hint="eastAsia" w:ascii="宋体" w:hAnsi="宋体" w:eastAsia="宋体" w:cs="宋体"/>
          <w:b/>
          <w:color w:val="auto"/>
          <w:sz w:val="28"/>
          <w:szCs w:val="28"/>
          <w:highlight w:val="none"/>
        </w:rPr>
        <w:t>（七）纪律和监督</w:t>
      </w:r>
      <w:bookmarkEnd w:id="43"/>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4" w:name="_Toc449028875"/>
      <w:r>
        <w:rPr>
          <w:rFonts w:hint="eastAsia" w:ascii="宋体" w:hAnsi="宋体" w:eastAsia="宋体" w:cs="宋体"/>
          <w:b/>
          <w:color w:val="auto"/>
          <w:sz w:val="28"/>
          <w:szCs w:val="28"/>
          <w:highlight w:val="none"/>
        </w:rPr>
        <w:t>（八）质疑与投诉</w:t>
      </w:r>
      <w:bookmarkEnd w:id="44"/>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5"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最低评标价法</w:t>
      </w:r>
      <w:r>
        <w:rPr>
          <w:rFonts w:hint="eastAsia" w:ascii="宋体" w:hAnsi="Times New Roman" w:eastAsia="宋体" w:cs="Times New Roman"/>
          <w:b/>
          <w:color w:val="auto"/>
          <w:sz w:val="32"/>
          <w:szCs w:val="32"/>
          <w:highlight w:val="none"/>
        </w:rPr>
        <w:t>）</w:t>
      </w:r>
      <w:bookmarkEnd w:id="45"/>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6" w:name="_Toc362983801"/>
      <w:bookmarkStart w:id="47" w:name="_Toc58430317"/>
      <w:bookmarkStart w:id="48" w:name="_Toc449028877"/>
      <w:bookmarkStart w:id="49" w:name="_Toc267320058"/>
      <w:bookmarkStart w:id="50" w:name="_Toc363135205"/>
      <w:r>
        <w:rPr>
          <w:rFonts w:hint="eastAsia" w:ascii="宋体" w:hAnsi="宋体" w:eastAsia="宋体" w:cs="宋体"/>
          <w:b/>
          <w:color w:val="auto"/>
          <w:sz w:val="28"/>
          <w:szCs w:val="28"/>
          <w:highlight w:val="none"/>
        </w:rPr>
        <w:t>一、总则</w:t>
      </w:r>
      <w:bookmarkEnd w:id="46"/>
      <w:bookmarkEnd w:id="47"/>
      <w:bookmarkEnd w:id="48"/>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default" w:ascii="宋体" w:eastAsia="宋体"/>
          <w:b/>
          <w:color w:val="auto"/>
          <w:szCs w:val="21"/>
          <w:highlight w:val="none"/>
          <w:lang w:val="en-US" w:eastAsia="zh-CN"/>
        </w:rPr>
      </w:pPr>
      <w:r>
        <w:rPr>
          <w:rFonts w:hint="eastAsia" w:ascii="宋体"/>
          <w:b/>
          <w:color w:val="auto"/>
          <w:szCs w:val="21"/>
          <w:highlight w:val="none"/>
        </w:rPr>
        <w:t xml:space="preserve"> 1. 本次评标采用</w:t>
      </w:r>
      <w:r>
        <w:rPr>
          <w:rFonts w:hint="eastAsia" w:ascii="宋体"/>
          <w:b/>
          <w:color w:val="auto"/>
          <w:szCs w:val="21"/>
          <w:highlight w:val="none"/>
          <w:lang w:val="en-US" w:eastAsia="zh-CN"/>
        </w:rPr>
        <w:t>最低评标价法</w:t>
      </w:r>
    </w:p>
    <w:p w14:paraId="425D30B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1.1最低评标价法，是指投标文件满足招标文件全部实质性要求且投标报价由低到高的供应商为中标候选人的评标方法。</w:t>
      </w:r>
    </w:p>
    <w:p w14:paraId="6AE4B14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 xml:space="preserve"> 1.2最低评标价法一般适用于标准定制商品及通用服务项目的项目评审。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1" w:name="_Toc58430318"/>
      <w:bookmarkStart w:id="52" w:name="_Toc362983802"/>
      <w:bookmarkStart w:id="53" w:name="_Toc449028878"/>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1"/>
      <w:bookmarkEnd w:id="52"/>
      <w:bookmarkEnd w:id="53"/>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6"/>
        <w:tblW w:w="10232"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941"/>
        <w:gridCol w:w="3221"/>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216"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221"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4941"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3221"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4941" w:type="dxa"/>
            <w:noWrap w:val="0"/>
            <w:vAlign w:val="center"/>
          </w:tcPr>
          <w:p w14:paraId="473239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须在中华人民共和国境内注册并具有相应服务能力。</w:t>
            </w:r>
          </w:p>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3221"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w:t>
            </w:r>
          </w:p>
        </w:tc>
      </w:tr>
      <w:tr w14:paraId="1E73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vMerge w:val="continue"/>
            <w:noWrap w:val="0"/>
            <w:vAlign w:val="center"/>
          </w:tcPr>
          <w:p w14:paraId="44617C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01CAEF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p>
        </w:tc>
        <w:tc>
          <w:tcPr>
            <w:tcW w:w="4941" w:type="dxa"/>
            <w:noWrap w:val="0"/>
            <w:vAlign w:val="center"/>
          </w:tcPr>
          <w:p w14:paraId="3D05D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须在省级或省级以上第三方节能量审核机构审核备案名单中</w:t>
            </w:r>
            <w:r>
              <w:rPr>
                <w:rFonts w:hint="eastAsia" w:ascii="宋体" w:hAnsi="宋体" w:eastAsia="宋体" w:cs="宋体"/>
                <w:color w:val="auto"/>
                <w:sz w:val="21"/>
                <w:szCs w:val="21"/>
                <w:highlight w:val="none"/>
                <w:lang w:eastAsia="zh-CN"/>
              </w:rPr>
              <w:t>。</w:t>
            </w:r>
          </w:p>
        </w:tc>
        <w:tc>
          <w:tcPr>
            <w:tcW w:w="3221" w:type="dxa"/>
            <w:noWrap w:val="0"/>
            <w:vAlign w:val="center"/>
          </w:tcPr>
          <w:p w14:paraId="345BA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42DA1A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备案名单</w:t>
            </w:r>
          </w:p>
        </w:tc>
      </w:tr>
      <w:tr w14:paraId="672A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vMerge w:val="continue"/>
            <w:noWrap w:val="0"/>
            <w:vAlign w:val="center"/>
          </w:tcPr>
          <w:p w14:paraId="2DB2A9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7236BB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p>
        </w:tc>
        <w:tc>
          <w:tcPr>
            <w:tcW w:w="4941" w:type="dxa"/>
            <w:noWrap w:val="0"/>
            <w:vAlign w:val="center"/>
          </w:tcPr>
          <w:p w14:paraId="29D0636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10"/>
                <w:w w:val="105"/>
                <w:sz w:val="21"/>
                <w:szCs w:val="21"/>
                <w:highlight w:val="none"/>
                <w:lang w:eastAsia="zh-CN"/>
              </w:rPr>
              <w:t>须具有能源审计工作经验。投标供应商与其关联公司（如母公司、控股公司、参股公司、分公司、子公司、同一法定代表人的公司等）之间签订的合同，均不予认可。</w:t>
            </w:r>
          </w:p>
        </w:tc>
        <w:tc>
          <w:tcPr>
            <w:tcW w:w="3221" w:type="dxa"/>
            <w:noWrap w:val="0"/>
            <w:vAlign w:val="center"/>
          </w:tcPr>
          <w:p w14:paraId="6DB8A6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60359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投标文件中提供项目服务合同扫描件，提供合同须体现甲乙双方名称、甲乙双方盖章齐全，采购标的信息等，如合同不能体现以上全部内容，可提供合同甲方盖公章的证明扫描件，否则，按无效标处理。</w:t>
            </w:r>
          </w:p>
        </w:tc>
      </w:tr>
      <w:tr w14:paraId="00FC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vMerge w:val="continue"/>
            <w:noWrap w:val="0"/>
            <w:vAlign w:val="center"/>
          </w:tcPr>
          <w:p w14:paraId="6E891F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2E02D6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p>
        </w:tc>
        <w:tc>
          <w:tcPr>
            <w:tcW w:w="4941" w:type="dxa"/>
            <w:noWrap w:val="0"/>
            <w:vAlign w:val="center"/>
          </w:tcPr>
          <w:p w14:paraId="4BC857A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（5）拟派项目负责人具有中级及以上职称证书。</w:t>
            </w:r>
          </w:p>
        </w:tc>
        <w:tc>
          <w:tcPr>
            <w:tcW w:w="3221" w:type="dxa"/>
            <w:noWrap w:val="0"/>
            <w:vAlign w:val="center"/>
          </w:tcPr>
          <w:p w14:paraId="705F46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292C47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项目负责人有效身份证及职称证书</w:t>
            </w:r>
          </w:p>
        </w:tc>
      </w:tr>
      <w:tr w14:paraId="1A40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2F0383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317B26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top"/>
          </w:tcPr>
          <w:p w14:paraId="3DD169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）诚信投标承诺书</w:t>
            </w:r>
          </w:p>
        </w:tc>
        <w:tc>
          <w:tcPr>
            <w:tcW w:w="3221" w:type="dxa"/>
            <w:noWrap w:val="0"/>
            <w:vAlign w:val="top"/>
          </w:tcPr>
          <w:p w14:paraId="1CCD05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格式见附件，检验</w:t>
            </w:r>
            <w:r>
              <w:rPr>
                <w:rFonts w:hint="eastAsia" w:ascii="宋体" w:hAnsi="宋体" w:eastAsia="宋体" w:cs="宋体"/>
                <w:color w:val="auto"/>
                <w:sz w:val="21"/>
                <w:szCs w:val="21"/>
                <w:highlight w:val="none"/>
                <w:lang w:val="en-US" w:eastAsia="zh-CN"/>
              </w:rPr>
              <w:t>招标文件</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4.2资格审查及评分细则中涉及的有关证明材料及相关证书，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4" w:name="_Toc58430319"/>
      <w:bookmarkStart w:id="55" w:name="_Toc449028879"/>
      <w:bookmarkStart w:id="56" w:name="_Toc362983803"/>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4"/>
      <w:bookmarkEnd w:id="55"/>
      <w:bookmarkEnd w:id="56"/>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7" w:name="_Toc449028880"/>
      <w:bookmarkStart w:id="58" w:name="_Toc5843032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7"/>
      <w:bookmarkEnd w:id="58"/>
    </w:p>
    <w:p w14:paraId="3B306896">
      <w:pPr>
        <w:keepNext w:val="0"/>
        <w:keepLines w:val="0"/>
        <w:pageBreakBefore w:val="0"/>
        <w:widowControl w:val="0"/>
        <w:kinsoku/>
        <w:wordWrap/>
        <w:overflowPunct/>
        <w:topLinePunct w:val="0"/>
        <w:autoSpaceDE/>
        <w:autoSpaceDN/>
        <w:bidi w:val="0"/>
        <w:adjustRightInd/>
        <w:snapToGrid/>
        <w:spacing w:line="500" w:lineRule="exact"/>
        <w:ind w:right="36" w:rightChars="17" w:firstLine="417" w:firstLineChars="198"/>
        <w:jc w:val="left"/>
        <w:textAlignment w:val="auto"/>
        <w:rPr>
          <w:rFonts w:ascii="宋体" w:hAnsi="宋体" w:cs="宋体"/>
          <w:b/>
          <w:color w:val="auto"/>
          <w:szCs w:val="21"/>
          <w:highlight w:val="none"/>
        </w:rPr>
      </w:pPr>
      <w:bookmarkStart w:id="59" w:name="_Toc449028881"/>
      <w:bookmarkStart w:id="60" w:name="_Toc362983805"/>
      <w:r>
        <w:rPr>
          <w:rFonts w:hint="eastAsia" w:ascii="宋体" w:hAnsi="宋体" w:cs="宋体"/>
          <w:b/>
          <w:color w:val="auto"/>
          <w:szCs w:val="21"/>
          <w:highlight w:val="none"/>
        </w:rPr>
        <w:t xml:space="preserve"> 6.详细评审即按招标文件中规定的评标方法和标准，评标委员会将对通过初审的投标文件，进行综合比较与评价。</w:t>
      </w:r>
    </w:p>
    <w:p w14:paraId="7008D4FD">
      <w:pPr>
        <w:keepNext w:val="0"/>
        <w:keepLines w:val="0"/>
        <w:pageBreakBefore w:val="0"/>
        <w:widowControl w:val="0"/>
        <w:kinsoku/>
        <w:wordWrap/>
        <w:overflowPunct/>
        <w:topLinePunct w:val="0"/>
        <w:autoSpaceDE/>
        <w:autoSpaceDN/>
        <w:bidi w:val="0"/>
        <w:adjustRightInd/>
        <w:snapToGrid/>
        <w:spacing w:line="500" w:lineRule="exact"/>
        <w:ind w:right="36" w:rightChars="17" w:firstLine="525" w:firstLineChars="250"/>
        <w:jc w:val="left"/>
        <w:textAlignment w:val="auto"/>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商务标评审</w:t>
      </w:r>
    </w:p>
    <w:p w14:paraId="3FC4C2AA">
      <w:pPr>
        <w:keepNext w:val="0"/>
        <w:keepLines w:val="0"/>
        <w:pageBreakBefore w:val="0"/>
        <w:widowControl w:val="0"/>
        <w:kinsoku/>
        <w:wordWrap/>
        <w:overflowPunct/>
        <w:topLinePunct w:val="0"/>
        <w:autoSpaceDE/>
        <w:autoSpaceDN/>
        <w:bidi w:val="0"/>
        <w:adjustRightInd/>
        <w:snapToGrid/>
        <w:spacing w:line="500" w:lineRule="exact"/>
        <w:ind w:right="36" w:rightChars="17" w:firstLine="525" w:firstLineChars="250"/>
        <w:jc w:val="left"/>
        <w:textAlignment w:val="auto"/>
        <w:rPr>
          <w:rFonts w:hint="eastAsia" w:ascii="宋体" w:hAnsi="宋体" w:eastAsia="宋体" w:cs="宋体"/>
          <w:b w:val="0"/>
          <w:bCs/>
          <w:color w:val="auto"/>
          <w:sz w:val="21"/>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.1评标委员会按修正后</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投标报价由低到高顺序排序，确定中标候选人。</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61" w:name="_Toc58430321"/>
      <w:r>
        <w:rPr>
          <w:rFonts w:hint="eastAsia" w:ascii="宋体" w:hAnsi="宋体" w:eastAsia="宋体" w:cs="宋体"/>
          <w:b/>
          <w:color w:val="auto"/>
          <w:sz w:val="28"/>
          <w:szCs w:val="28"/>
          <w:highlight w:val="none"/>
        </w:rPr>
        <w:t>五、推荐中标候选人</w:t>
      </w:r>
      <w:bookmarkEnd w:id="59"/>
      <w:bookmarkEnd w:id="60"/>
      <w:bookmarkEnd w:id="61"/>
    </w:p>
    <w:bookmarkEnd w:id="49"/>
    <w:p w14:paraId="07E76B1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7.评标委员会根据第二章投标人须知及前附表的规定数量推荐中标候选人，并标明排序。 </w:t>
      </w:r>
    </w:p>
    <w:p w14:paraId="66C62E2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或评标委员会主任</w:t>
      </w:r>
      <w:r>
        <w:rPr>
          <w:rFonts w:hint="eastAsia" w:ascii="宋体" w:hAnsi="宋体" w:cs="宋体"/>
          <w:color w:val="auto"/>
          <w:szCs w:val="21"/>
          <w:highlight w:val="none"/>
        </w:rPr>
        <w:t>现场抽签确定中标候选人排名顺序。</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2"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2"/>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3"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50"/>
      <w:bookmarkEnd w:id="63"/>
      <w:bookmarkStart w:id="64" w:name="_Toc58430329"/>
      <w:bookmarkStart w:id="65" w:name="_Toc449028945"/>
    </w:p>
    <w:p w14:paraId="431818E0">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w:t>
      </w:r>
      <w:r>
        <w:rPr>
          <w:rFonts w:hint="eastAsia" w:ascii="宋体" w:hAnsi="宋体" w:cs="宋体"/>
          <w:b/>
          <w:color w:val="auto"/>
          <w:sz w:val="24"/>
          <w:szCs w:val="24"/>
          <w:highlight w:val="none"/>
          <w:lang w:val="en-US" w:eastAsia="zh-CN"/>
        </w:rPr>
        <w:t>基本要求</w:t>
      </w:r>
    </w:p>
    <w:p w14:paraId="459441F8">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eastAsia="宋体" w:cs="宋体"/>
          <w:color w:val="auto"/>
          <w:spacing w:val="-10"/>
          <w:w w:val="105"/>
          <w:sz w:val="21"/>
          <w:szCs w:val="21"/>
          <w:highlight w:val="none"/>
          <w:lang w:val="en-US" w:eastAsia="zh-CN"/>
        </w:rPr>
        <w:t>1</w:t>
      </w:r>
      <w:r>
        <w:rPr>
          <w:rFonts w:hint="eastAsia" w:ascii="宋体" w:hAnsi="宋体" w:cs="宋体"/>
          <w:color w:val="auto"/>
          <w:spacing w:val="-10"/>
          <w:w w:val="105"/>
          <w:sz w:val="21"/>
          <w:szCs w:val="21"/>
          <w:highlight w:val="none"/>
          <w:lang w:val="en-US" w:eastAsia="zh-CN"/>
        </w:rPr>
        <w:t>、</w:t>
      </w:r>
      <w:r>
        <w:rPr>
          <w:rFonts w:hint="eastAsia" w:ascii="宋体" w:hAnsi="宋体" w:eastAsia="宋体" w:cs="宋体"/>
          <w:color w:val="auto"/>
          <w:spacing w:val="-10"/>
          <w:w w:val="105"/>
          <w:sz w:val="21"/>
          <w:szCs w:val="21"/>
          <w:highlight w:val="none"/>
          <w:lang w:eastAsia="zh-CN"/>
        </w:rPr>
        <w:t>能够按照《能源审计技术通则》（GB/T 17166-2019）、《综合能耗计算通则》（GB/T2589-2020）、《公共机构综合能耗定额及计算方法》（DB34/T 3774-2020）等标准规范及采购人要求，完成滁州经开区</w:t>
      </w:r>
      <w:r>
        <w:rPr>
          <w:rFonts w:hint="eastAsia" w:ascii="宋体" w:hAnsi="宋体" w:cs="宋体"/>
          <w:color w:val="auto"/>
          <w:spacing w:val="-10"/>
          <w:w w:val="105"/>
          <w:sz w:val="21"/>
          <w:szCs w:val="21"/>
          <w:highlight w:val="none"/>
          <w:lang w:eastAsia="zh-CN"/>
        </w:rPr>
        <w:t>（</w:t>
      </w:r>
      <w:r>
        <w:rPr>
          <w:rFonts w:hint="eastAsia" w:ascii="宋体" w:hAnsi="宋体" w:cs="宋体"/>
          <w:color w:val="auto"/>
          <w:spacing w:val="-10"/>
          <w:w w:val="105"/>
          <w:sz w:val="21"/>
          <w:szCs w:val="21"/>
          <w:highlight w:val="none"/>
          <w:lang w:val="en-US" w:eastAsia="zh-CN"/>
        </w:rPr>
        <w:t>包含但不限于</w:t>
      </w:r>
      <w:r>
        <w:rPr>
          <w:rFonts w:hint="eastAsia" w:ascii="宋体" w:hAnsi="宋体" w:eastAsia="宋体" w:cs="宋体"/>
          <w:color w:val="auto"/>
          <w:spacing w:val="-10"/>
          <w:w w:val="105"/>
          <w:sz w:val="21"/>
          <w:szCs w:val="21"/>
          <w:highlight w:val="none"/>
          <w:lang w:eastAsia="zh-CN"/>
        </w:rPr>
        <w:t>城东片区、城北片区、示范园区、城南片区、高铁站前区</w:t>
      </w:r>
      <w:r>
        <w:rPr>
          <w:rFonts w:hint="eastAsia" w:ascii="宋体" w:hAnsi="宋体" w:cs="宋体"/>
          <w:color w:val="auto"/>
          <w:spacing w:val="-10"/>
          <w:w w:val="105"/>
          <w:sz w:val="21"/>
          <w:szCs w:val="21"/>
          <w:highlight w:val="none"/>
          <w:lang w:eastAsia="zh-CN"/>
        </w:rPr>
        <w:t>）</w:t>
      </w:r>
      <w:r>
        <w:rPr>
          <w:rFonts w:hint="eastAsia" w:ascii="宋体" w:hAnsi="宋体" w:cs="宋体"/>
          <w:color w:val="auto"/>
          <w:spacing w:val="-10"/>
          <w:w w:val="105"/>
          <w:sz w:val="21"/>
          <w:szCs w:val="21"/>
          <w:highlight w:val="none"/>
          <w:lang w:val="en-US" w:eastAsia="zh-CN"/>
        </w:rPr>
        <w:t>路灯节能改造及智慧化管控升级项目</w:t>
      </w:r>
      <w:r>
        <w:rPr>
          <w:rFonts w:hint="eastAsia" w:ascii="宋体" w:hAnsi="宋体" w:eastAsia="宋体" w:cs="宋体"/>
          <w:color w:val="auto"/>
          <w:spacing w:val="-10"/>
          <w:w w:val="105"/>
          <w:sz w:val="21"/>
          <w:szCs w:val="21"/>
          <w:highlight w:val="none"/>
          <w:lang w:eastAsia="zh-CN"/>
        </w:rPr>
        <w:t>能源审计工作。依据相关法律法规及规范对本项目进行能源审计，出具能源审计报告。</w:t>
      </w:r>
    </w:p>
    <w:p w14:paraId="051AD2CA">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2、</w:t>
      </w:r>
      <w:r>
        <w:rPr>
          <w:rFonts w:hint="eastAsia" w:ascii="宋体" w:hAnsi="宋体" w:eastAsia="宋体" w:cs="宋体"/>
          <w:color w:val="auto"/>
          <w:spacing w:val="-10"/>
          <w:w w:val="105"/>
          <w:sz w:val="21"/>
          <w:szCs w:val="21"/>
          <w:highlight w:val="none"/>
          <w:lang w:eastAsia="zh-CN"/>
        </w:rPr>
        <w:t>服务期限：签订合同20个日历天内完成全部能源审计工作并提交正式的能源审计报告。</w:t>
      </w:r>
    </w:p>
    <w:p w14:paraId="4A50DAE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二、服务内容及要求 </w:t>
      </w:r>
    </w:p>
    <w:p w14:paraId="56D38336">
      <w:pPr>
        <w:numPr>
          <w:ilvl w:val="0"/>
          <w:numId w:val="0"/>
        </w:numPr>
        <w:spacing w:line="360" w:lineRule="auto"/>
        <w:ind w:firstLine="420" w:firstLineChars="2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本项目工作内容（包括但不限于以下所述）： </w:t>
      </w:r>
    </w:p>
    <w:p w14:paraId="0D251AC1">
      <w:pPr>
        <w:numPr>
          <w:ilvl w:val="0"/>
          <w:numId w:val="0"/>
        </w:numPr>
        <w:spacing w:line="360" w:lineRule="auto"/>
        <w:ind w:firstLine="420" w:firstLineChars="2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（1）数据整理及审核：①根据滁州经开区（包含</w:t>
      </w:r>
      <w:r>
        <w:rPr>
          <w:rFonts w:hint="eastAsia" w:ascii="宋体" w:hAnsi="宋体" w:cs="宋体"/>
          <w:color w:val="auto"/>
          <w:spacing w:val="-10"/>
          <w:w w:val="105"/>
          <w:sz w:val="21"/>
          <w:szCs w:val="21"/>
          <w:highlight w:val="none"/>
          <w:lang w:val="en-US" w:eastAsia="zh-CN"/>
        </w:rPr>
        <w:t>但</w:t>
      </w:r>
      <w:r>
        <w:rPr>
          <w:rFonts w:hint="eastAsia" w:ascii="宋体" w:hAnsi="宋体" w:eastAsia="宋体" w:cs="宋体"/>
          <w:color w:val="auto"/>
          <w:kern w:val="2"/>
          <w:sz w:val="21"/>
          <w:szCs w:val="21"/>
          <w:highlight w:val="none"/>
          <w:u w:val="none" w:color="000000"/>
          <w:lang w:val="en-US" w:eastAsia="zh-CN" w:bidi="ar-SA"/>
        </w:rPr>
        <w:t>不限于城东片区、城北片区、示范园区、城南片区、高铁站前区）道路照明能源消费（电、水）实物量、折标量、能源费用支出情况，分析能源消耗指标变化及原因以及后期增长趋势，结合滁州经开区（包含</w:t>
      </w:r>
      <w:r>
        <w:rPr>
          <w:rFonts w:hint="eastAsia" w:ascii="宋体" w:hAnsi="宋体" w:cs="宋体"/>
          <w:color w:val="auto"/>
          <w:spacing w:val="-10"/>
          <w:w w:val="105"/>
          <w:sz w:val="21"/>
          <w:szCs w:val="21"/>
          <w:highlight w:val="none"/>
          <w:lang w:val="en-US" w:eastAsia="zh-CN"/>
        </w:rPr>
        <w:t>但</w:t>
      </w:r>
      <w:r>
        <w:rPr>
          <w:rFonts w:hint="eastAsia" w:ascii="宋体" w:hAnsi="宋体" w:eastAsia="宋体" w:cs="宋体"/>
          <w:color w:val="auto"/>
          <w:kern w:val="2"/>
          <w:sz w:val="21"/>
          <w:szCs w:val="21"/>
          <w:highlight w:val="none"/>
          <w:u w:val="none" w:color="000000"/>
          <w:lang w:val="en-US" w:eastAsia="zh-CN" w:bidi="ar-SA"/>
        </w:rPr>
        <w:t>不限于城东片区、城北片区、示范园区、城南片区、高铁站前区）道路照明能源管理现状和用能特点，对能耗情况作出全面的评估，提出合理化的能源管理和节能改造建议，计算能源消费基准（含能源消费数量和能源费用支出数量），核定出实际将达到的能源消费基准（含能源消费数量和能源费用支出数量）。 ②投标人需自行收集相关资料、主要用能设备、管理制度、能源计量器具配备情况、能源利用种类、能源消耗情况、能源流向等资料数据进行整理、审核并保密。</w:t>
      </w:r>
    </w:p>
    <w:p w14:paraId="4C517468">
      <w:pPr>
        <w:numPr>
          <w:ilvl w:val="0"/>
          <w:numId w:val="0"/>
        </w:numPr>
        <w:spacing w:line="360" w:lineRule="auto"/>
        <w:ind w:firstLine="420" w:firstLineChars="2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（2）编制能源审计报告：供应商编写的能源审计报告需包含计算综合能耗、评估用能档次，将能耗使用情况进行对标分析等详细分析。 </w:t>
      </w:r>
    </w:p>
    <w:p w14:paraId="2A81C482">
      <w:pPr>
        <w:numPr>
          <w:ilvl w:val="0"/>
          <w:numId w:val="0"/>
        </w:numPr>
        <w:spacing w:line="360" w:lineRule="auto"/>
        <w:ind w:firstLine="420" w:firstLineChars="2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（3）节能潜力分析及建议：投标人需分析用能薄弱环节，寻找节能潜力，提出合理可行的节能技改方案。 </w:t>
      </w:r>
    </w:p>
    <w:p w14:paraId="70A2BFB5">
      <w:pPr>
        <w:numPr>
          <w:ilvl w:val="0"/>
          <w:numId w:val="0"/>
        </w:numPr>
        <w:spacing w:line="360" w:lineRule="auto"/>
        <w:ind w:firstLine="420" w:firstLineChars="2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（4）能源审计报告要全面详实，数据和证据要真实可信，审计结论要客观公正，节能改造建议要具有可执行性。 </w:t>
      </w:r>
    </w:p>
    <w:p w14:paraId="0534725B">
      <w:pPr>
        <w:numPr>
          <w:ilvl w:val="0"/>
          <w:numId w:val="0"/>
        </w:numPr>
        <w:spacing w:line="360" w:lineRule="auto"/>
        <w:ind w:firstLine="420" w:firstLineChars="2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（5）项目成果以出具有效能源审计报告形式提供，包括电子版和纸质版3份（具体份数须满足招标人实际使用需求）。</w:t>
      </w:r>
    </w:p>
    <w:p w14:paraId="4F404E5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b/>
          <w:color w:val="auto"/>
          <w:sz w:val="32"/>
          <w:szCs w:val="32"/>
          <w:highlight w:val="none"/>
        </w:rPr>
      </w:pPr>
      <w:r>
        <w:rPr>
          <w:rFonts w:hint="eastAsia" w:ascii="宋体" w:hAnsi="宋体" w:eastAsia="宋体" w:cs="宋体"/>
          <w:color w:val="auto"/>
          <w:kern w:val="2"/>
          <w:sz w:val="21"/>
          <w:szCs w:val="21"/>
          <w:highlight w:val="none"/>
          <w:u w:val="none" w:color="000000"/>
          <w:lang w:val="en-US" w:eastAsia="zh-CN" w:bidi="ar-SA"/>
        </w:rPr>
        <w:t>（6）投标人提供详细材料报价清单。</w:t>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第五章  合同条款及格式</w:t>
      </w:r>
      <w:bookmarkStart w:id="66" w:name="_Toc58430330"/>
    </w:p>
    <w:bookmarkEnd w:id="66"/>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3AA1F80E">
      <w:pPr>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14"/>
        <w:rPr>
          <w:color w:val="auto"/>
          <w:highlight w:val="none"/>
        </w:rPr>
      </w:pPr>
    </w:p>
    <w:p w14:paraId="3875F78A">
      <w:pPr>
        <w:spacing w:line="480" w:lineRule="auto"/>
        <w:jc w:val="center"/>
        <w:outlineLvl w:val="1"/>
        <w:rPr>
          <w:rFonts w:cs="Times New Roman" w:asciiTheme="minorEastAsia" w:hAnsiTheme="minorEastAsia" w:eastAsiaTheme="minorEastAsia"/>
          <w:b/>
          <w:color w:val="auto"/>
          <w:sz w:val="28"/>
          <w:szCs w:val="28"/>
          <w:highlight w:val="none"/>
        </w:rPr>
      </w:pPr>
      <w:bookmarkStart w:id="67" w:name="_Toc3714"/>
      <w:r>
        <w:rPr>
          <w:rFonts w:cs="Times New Roman" w:asciiTheme="minorEastAsia" w:hAnsiTheme="minorEastAsia" w:eastAsiaTheme="minorEastAsia"/>
          <w:b/>
          <w:color w:val="auto"/>
          <w:sz w:val="28"/>
          <w:szCs w:val="28"/>
          <w:highlight w:val="none"/>
        </w:rPr>
        <w:t>采购合同</w:t>
      </w:r>
      <w:r>
        <w:rPr>
          <w:rFonts w:hint="eastAsia" w:cs="Times New Roman" w:asciiTheme="minorEastAsia" w:hAnsiTheme="minorEastAsia" w:eastAsiaTheme="minorEastAsia"/>
          <w:b/>
          <w:color w:val="auto"/>
          <w:sz w:val="28"/>
          <w:szCs w:val="28"/>
          <w:highlight w:val="none"/>
        </w:rPr>
        <w:t>参考范本</w:t>
      </w:r>
      <w:bookmarkEnd w:id="67"/>
    </w:p>
    <w:p w14:paraId="1C77319F">
      <w:pPr>
        <w:spacing w:line="480" w:lineRule="auto"/>
        <w:jc w:val="center"/>
        <w:outlineLvl w:val="1"/>
        <w:rPr>
          <w:rFonts w:cs="Times New Roman" w:asciiTheme="minorEastAsia" w:hAnsiTheme="minorEastAsia" w:eastAsiaTheme="minorEastAsia"/>
          <w:b/>
          <w:color w:val="auto"/>
          <w:sz w:val="28"/>
          <w:szCs w:val="28"/>
          <w:highlight w:val="none"/>
        </w:rPr>
      </w:pPr>
      <w:bookmarkStart w:id="68" w:name="_Toc8560"/>
      <w:r>
        <w:rPr>
          <w:rFonts w:hint="eastAsia" w:cs="Times New Roman" w:asciiTheme="minorEastAsia" w:hAnsiTheme="minorEastAsia" w:eastAsiaTheme="minorEastAsia"/>
          <w:b/>
          <w:color w:val="auto"/>
          <w:sz w:val="28"/>
          <w:szCs w:val="28"/>
          <w:highlight w:val="none"/>
        </w:rPr>
        <w:t>（服务类）</w:t>
      </w:r>
      <w:bookmarkEnd w:id="68"/>
    </w:p>
    <w:p w14:paraId="466127EF">
      <w:pPr>
        <w:spacing w:line="480" w:lineRule="auto"/>
        <w:jc w:val="center"/>
        <w:rPr>
          <w:rFonts w:cs="Times New Roman" w:asciiTheme="minorEastAsia" w:hAnsiTheme="minorEastAsia" w:eastAsiaTheme="minorEastAsia"/>
          <w:b/>
          <w:color w:val="auto"/>
          <w:sz w:val="24"/>
          <w:szCs w:val="24"/>
          <w:highlight w:val="none"/>
        </w:rPr>
      </w:pPr>
    </w:p>
    <w:p w14:paraId="55BFF498">
      <w:pPr>
        <w:spacing w:line="480" w:lineRule="auto"/>
        <w:jc w:val="center"/>
        <w:rPr>
          <w:rFonts w:cs="Times New Roman" w:asciiTheme="minorEastAsia" w:hAnsiTheme="minorEastAsia" w:eastAsiaTheme="minorEastAsia"/>
          <w:b/>
          <w:color w:val="auto"/>
          <w:sz w:val="24"/>
          <w:szCs w:val="24"/>
          <w:highlight w:val="none"/>
        </w:rPr>
      </w:pPr>
    </w:p>
    <w:p w14:paraId="00CAA0A5">
      <w:pPr>
        <w:spacing w:line="480" w:lineRule="auto"/>
        <w:jc w:val="center"/>
        <w:rPr>
          <w:rFonts w:cs="Times New Roman" w:asciiTheme="minorEastAsia" w:hAnsiTheme="minorEastAsia" w:eastAsiaTheme="minorEastAsia"/>
          <w:b/>
          <w:color w:val="auto"/>
          <w:sz w:val="24"/>
          <w:szCs w:val="24"/>
          <w:highlight w:val="none"/>
        </w:rPr>
      </w:pPr>
    </w:p>
    <w:p w14:paraId="350F0F5D">
      <w:pPr>
        <w:spacing w:line="360" w:lineRule="auto"/>
        <w:jc w:val="center"/>
        <w:outlineLvl w:val="1"/>
        <w:rPr>
          <w:rFonts w:asciiTheme="minorEastAsia" w:hAnsiTheme="minorEastAsia" w:eastAsiaTheme="minorEastAsia"/>
          <w:b/>
          <w:color w:val="auto"/>
          <w:sz w:val="24"/>
          <w:highlight w:val="none"/>
        </w:rPr>
      </w:pPr>
      <w:bookmarkStart w:id="69" w:name="_Toc2449"/>
      <w:r>
        <w:rPr>
          <w:rFonts w:hint="eastAsia" w:asciiTheme="minorEastAsia" w:hAnsiTheme="minorEastAsia" w:eastAsiaTheme="minorEastAsia"/>
          <w:b/>
          <w:color w:val="auto"/>
          <w:sz w:val="24"/>
          <w:highlight w:val="none"/>
        </w:rPr>
        <w:t>第一部分 合同书</w:t>
      </w:r>
      <w:bookmarkEnd w:id="69"/>
    </w:p>
    <w:p w14:paraId="7125BCA4">
      <w:pPr>
        <w:spacing w:line="480" w:lineRule="auto"/>
        <w:jc w:val="center"/>
        <w:rPr>
          <w:rFonts w:cs="Times New Roman" w:asciiTheme="minorEastAsia" w:hAnsiTheme="minorEastAsia" w:eastAsiaTheme="minorEastAsia"/>
          <w:b/>
          <w:color w:val="auto"/>
          <w:sz w:val="24"/>
          <w:szCs w:val="24"/>
          <w:highlight w:val="none"/>
        </w:rPr>
      </w:pPr>
    </w:p>
    <w:p w14:paraId="0450391B">
      <w:pPr>
        <w:spacing w:line="480" w:lineRule="auto"/>
        <w:jc w:val="center"/>
        <w:rPr>
          <w:rFonts w:cs="Times New Roman" w:asciiTheme="minorEastAsia" w:hAnsiTheme="minorEastAsia" w:eastAsiaTheme="minorEastAsia"/>
          <w:b/>
          <w:color w:val="auto"/>
          <w:sz w:val="24"/>
          <w:szCs w:val="24"/>
          <w:highlight w:val="none"/>
        </w:rPr>
      </w:pPr>
    </w:p>
    <w:p w14:paraId="7F8FA7D6">
      <w:pPr>
        <w:pStyle w:val="14"/>
        <w:rPr>
          <w:color w:val="auto"/>
          <w:highlight w:val="none"/>
        </w:rPr>
      </w:pPr>
    </w:p>
    <w:p w14:paraId="6694D951">
      <w:pPr>
        <w:pStyle w:val="14"/>
        <w:rPr>
          <w:color w:val="auto"/>
          <w:highlight w:val="none"/>
        </w:rPr>
      </w:pPr>
    </w:p>
    <w:p w14:paraId="3C539A6C">
      <w:pPr>
        <w:spacing w:before="120" w:line="480" w:lineRule="auto"/>
        <w:ind w:left="960"/>
        <w:rPr>
          <w:rFonts w:hint="eastAsia" w:cs="Times New Roman" w:asciiTheme="minorEastAsia" w:hAnsiTheme="minorEastAsia" w:eastAsiaTheme="minorEastAsia"/>
          <w:i/>
          <w:iCs/>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lang w:val="en-US" w:eastAsia="zh-CN"/>
        </w:rPr>
        <w:t xml:space="preserve"> </w:t>
      </w:r>
    </w:p>
    <w:p w14:paraId="026B1F55">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10AEC6D7">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23E278CD">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C50A6CB">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36147CE0">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A3DEBBB">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w:t>
      </w:r>
      <w:r>
        <w:rPr>
          <w:rFonts w:hint="eastAsia" w:cs="Times New Roman" w:asciiTheme="minorEastAsia" w:hAnsiTheme="minorEastAsia" w:eastAsiaTheme="minorEastAsia"/>
          <w:color w:val="auto"/>
          <w:sz w:val="24"/>
          <w:szCs w:val="24"/>
          <w:highlight w:val="none"/>
          <w:lang w:val="en-US" w:eastAsia="zh-CN"/>
        </w:rPr>
        <w:t>招标</w:t>
      </w:r>
      <w:r>
        <w:rPr>
          <w:rFonts w:hint="eastAsia" w:cs="Times New Roman" w:asciiTheme="minorEastAsia" w:hAnsiTheme="minorEastAsia" w:eastAsiaTheme="minorEastAsia"/>
          <w:color w:val="auto"/>
          <w:sz w:val="24"/>
          <w:szCs w:val="24"/>
          <w:highlight w:val="none"/>
        </w:rPr>
        <w:t>文件确定的事项签订本合同。</w:t>
      </w:r>
    </w:p>
    <w:p w14:paraId="77B4257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根据《中华人民共和国民法典》等相关法律法规之规定，按照平等、自愿、公平和诚实信用的原则，经甲方和乙方协商一致，约定以下合同条款，以兹共同遵守、全面履行。</w:t>
      </w:r>
    </w:p>
    <w:p w14:paraId="7AFC41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24059"/>
      <w:bookmarkStart w:id="71" w:name="_Toc2232"/>
      <w:bookmarkStart w:id="72" w:name="_Toc302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70"/>
      <w:bookmarkEnd w:id="71"/>
      <w:bookmarkEnd w:id="72"/>
    </w:p>
    <w:p w14:paraId="5D4357B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6311"/>
      <w:bookmarkStart w:id="74" w:name="_Toc22185"/>
      <w:bookmarkStart w:id="75" w:name="_Toc18585"/>
      <w:bookmarkStart w:id="76" w:name="_Toc6773"/>
      <w:bookmarkStart w:id="77" w:name="_Toc2918"/>
      <w:r>
        <w:rPr>
          <w:rFonts w:hint="eastAsia" w:cs="Times New Roman" w:asciiTheme="minorEastAsia" w:hAnsiTheme="minorEastAsia" w:eastAsiaTheme="minorEastAsia"/>
          <w:b/>
          <w:bCs/>
          <w:color w:val="auto"/>
          <w:sz w:val="24"/>
          <w:szCs w:val="24"/>
          <w:highlight w:val="none"/>
          <w:lang w:val="zh-CN"/>
        </w:rPr>
        <w:t xml:space="preserve">1.2 </w:t>
      </w:r>
      <w:bookmarkEnd w:id="73"/>
      <w:bookmarkEnd w:id="74"/>
      <w:bookmarkEnd w:id="75"/>
      <w:bookmarkEnd w:id="76"/>
      <w:bookmarkEnd w:id="77"/>
      <w:r>
        <w:rPr>
          <w:rFonts w:hint="eastAsia" w:cs="Times New Roman" w:asciiTheme="minorEastAsia" w:hAnsiTheme="minorEastAsia" w:eastAsiaTheme="minorEastAsia"/>
          <w:b/>
          <w:bCs/>
          <w:color w:val="auto"/>
          <w:sz w:val="24"/>
          <w:szCs w:val="24"/>
          <w:highlight w:val="none"/>
          <w:lang w:val="zh-CN"/>
        </w:rPr>
        <w:t>服务</w:t>
      </w:r>
    </w:p>
    <w:p w14:paraId="02B08CAD">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滁州经开区路灯节能改造及智慧化管控升级项目能源审计报告编制服务项目   </w:t>
      </w:r>
      <w:r>
        <w:rPr>
          <w:rFonts w:hint="eastAsia" w:cs="Times New Roman" w:asciiTheme="minorEastAsia" w:hAnsiTheme="minorEastAsia" w:eastAsiaTheme="minorEastAsia"/>
          <w:color w:val="auto"/>
          <w:sz w:val="24"/>
          <w:szCs w:val="24"/>
          <w:highlight w:val="none"/>
        </w:rPr>
        <w:t>；</w:t>
      </w:r>
    </w:p>
    <w:p w14:paraId="5C6783E2">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完成全部能源审计工作并提交正式的能源审计报告     </w:t>
      </w:r>
      <w:r>
        <w:rPr>
          <w:rFonts w:hint="eastAsia" w:cs="Times New Roman" w:asciiTheme="minorEastAsia" w:hAnsiTheme="minorEastAsia" w:eastAsiaTheme="minorEastAsia"/>
          <w:color w:val="auto"/>
          <w:sz w:val="24"/>
          <w:szCs w:val="24"/>
          <w:highlight w:val="none"/>
        </w:rPr>
        <w:t>；</w:t>
      </w:r>
    </w:p>
    <w:p w14:paraId="2EDF0CE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符合招标文件第四章采购需求</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A5BB48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8" w:name="_Toc21551"/>
      <w:bookmarkStart w:id="79" w:name="_Toc21631"/>
      <w:bookmarkStart w:id="80"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78"/>
      <w:bookmarkEnd w:id="79"/>
      <w:bookmarkEnd w:id="80"/>
    </w:p>
    <w:p w14:paraId="71FA174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15672F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1" w:name="_Toc1814"/>
      <w:bookmarkStart w:id="82" w:name="_Toc10340"/>
      <w:bookmarkStart w:id="83"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81"/>
      <w:bookmarkEnd w:id="82"/>
      <w:bookmarkEnd w:id="83"/>
    </w:p>
    <w:p w14:paraId="675BC05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提交正式的能源审计报告后一次性付清合同价款</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4744C2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96871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4" w:name="_Toc19304"/>
      <w:bookmarkStart w:id="85" w:name="_Toc32071"/>
      <w:bookmarkStart w:id="86"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84"/>
      <w:bookmarkEnd w:id="85"/>
      <w:bookmarkEnd w:id="86"/>
    </w:p>
    <w:p w14:paraId="4603405B">
      <w:pPr>
        <w:spacing w:line="360" w:lineRule="auto"/>
        <w:ind w:firstLine="435"/>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签订合同20个日历天内完成全部能源审计工作并提交正式的能源审计报告。   </w:t>
      </w:r>
    </w:p>
    <w:p w14:paraId="63BAB21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滁州市，招标人指定地点            </w:t>
      </w:r>
      <w:r>
        <w:rPr>
          <w:rFonts w:hint="eastAsia" w:cs="Times New Roman" w:asciiTheme="minorEastAsia" w:hAnsiTheme="minorEastAsia" w:eastAsiaTheme="minorEastAsia"/>
          <w:color w:val="auto"/>
          <w:sz w:val="24"/>
          <w:szCs w:val="24"/>
          <w:highlight w:val="none"/>
        </w:rPr>
        <w:t>；</w:t>
      </w:r>
    </w:p>
    <w:p w14:paraId="581BE40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71137BA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7" w:name="_Toc27250"/>
      <w:bookmarkStart w:id="88" w:name="_Toc21423"/>
      <w:bookmarkStart w:id="89" w:name="_Toc19554"/>
      <w:r>
        <w:rPr>
          <w:rFonts w:hint="eastAsia" w:cs="Times New Roman" w:asciiTheme="minorEastAsia" w:hAnsiTheme="minorEastAsia" w:eastAsiaTheme="minorEastAsia"/>
          <w:b/>
          <w:bCs/>
          <w:color w:val="auto"/>
          <w:sz w:val="24"/>
          <w:szCs w:val="24"/>
          <w:highlight w:val="none"/>
          <w:lang w:val="zh-CN"/>
        </w:rPr>
        <w:t>1.6 违约责任</w:t>
      </w:r>
      <w:bookmarkEnd w:id="87"/>
      <w:bookmarkEnd w:id="88"/>
      <w:bookmarkEnd w:id="89"/>
    </w:p>
    <w:p w14:paraId="5165474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lang w:val="en-US" w:eastAsia="zh-CN"/>
        </w:rPr>
        <w:t>0.1</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3339375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0.1</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5</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046D515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EBE24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C72793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09E3F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1.6.6如果出现采购监督管理部门在处理投诉事项期间，书面通知甲方暂停采购活动的情形，或者询问或质疑事项可能影响中标结果的，导致甲方中止履行合同的情形，均不视为甲方违约。</w:t>
      </w:r>
    </w:p>
    <w:p w14:paraId="5E3F72B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1C5944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0" w:name="_Toc15583"/>
      <w:bookmarkStart w:id="91" w:name="_Toc16021"/>
      <w:bookmarkStart w:id="92" w:name="_Toc28375"/>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90"/>
      <w:bookmarkEnd w:id="91"/>
      <w:bookmarkEnd w:id="92"/>
    </w:p>
    <w:p w14:paraId="3568D2E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7E3306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2D1B013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招标人所在地</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2407D7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3" w:name="_Toc11173"/>
      <w:bookmarkStart w:id="94" w:name="_Toc15322"/>
      <w:bookmarkStart w:id="95"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93"/>
      <w:bookmarkEnd w:id="94"/>
      <w:bookmarkEnd w:id="95"/>
    </w:p>
    <w:p w14:paraId="7BCC499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36CB1EF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01CC75B0">
      <w:pPr>
        <w:widowControl/>
        <w:spacing w:line="560" w:lineRule="exact"/>
        <w:jc w:val="left"/>
        <w:rPr>
          <w:rFonts w:cs="Times New Roman" w:asciiTheme="minorEastAsia" w:hAnsiTheme="minorEastAsia" w:eastAsiaTheme="minorEastAsia"/>
          <w:bCs/>
          <w:color w:val="auto"/>
          <w:sz w:val="24"/>
          <w:szCs w:val="24"/>
          <w:highlight w:val="none"/>
        </w:rPr>
      </w:pPr>
      <w:bookmarkStart w:id="96"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C5061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97" w:name="_Hlk110099149"/>
      <w:r>
        <w:rPr>
          <w:rFonts w:hint="eastAsia" w:ascii="宋体" w:hAnsi="宋体" w:eastAsia="宋体"/>
          <w:color w:val="auto"/>
          <w:sz w:val="24"/>
          <w:szCs w:val="24"/>
          <w:highlight w:val="none"/>
        </w:rPr>
        <w:t>乙方账户信息</w:t>
      </w:r>
    </w:p>
    <w:p w14:paraId="7B7BC55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02B0FF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F31272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97"/>
    <w:p w14:paraId="33323D2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spacing w:line="360" w:lineRule="auto"/>
        <w:jc w:val="center"/>
        <w:outlineLvl w:val="1"/>
        <w:rPr>
          <w:rFonts w:asciiTheme="minorEastAsia" w:hAnsiTheme="minorEastAsia" w:eastAsiaTheme="minorEastAsia"/>
          <w:b/>
          <w:color w:val="auto"/>
          <w:sz w:val="24"/>
          <w:highlight w:val="none"/>
        </w:rPr>
      </w:pPr>
      <w:bookmarkStart w:id="98"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6"/>
      <w:bookmarkEnd w:id="98"/>
    </w:p>
    <w:p w14:paraId="3E5CCFF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9" w:name="_Ref467379205"/>
      <w:bookmarkStart w:id="100" w:name="_Toc16917"/>
      <w:bookmarkStart w:id="101" w:name="_Ref467378463"/>
      <w:bookmarkStart w:id="102" w:name="_Ref467379195"/>
      <w:bookmarkStart w:id="103" w:name="_Toc259093669"/>
      <w:bookmarkStart w:id="104" w:name="_Ref467379109"/>
      <w:bookmarkStart w:id="105" w:name="_Ref467379094"/>
      <w:bookmarkStart w:id="106" w:name="_Toc279701240"/>
      <w:bookmarkStart w:id="107" w:name="_Ref467378404"/>
      <w:bookmarkStart w:id="108" w:name="_Ref467379214"/>
      <w:bookmarkStart w:id="109" w:name="_Ref467379225"/>
      <w:bookmarkStart w:id="110" w:name="_Toc19614"/>
      <w:bookmarkStart w:id="111" w:name="_Ref467379101"/>
      <w:bookmarkStart w:id="112" w:name="_Ref467378499"/>
      <w:bookmarkStart w:id="113" w:name="_Toc28763"/>
      <w:bookmarkStart w:id="114" w:name="_Toc48790034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8B093C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除货物和工程以外的其他采购对象，包括采购人自身需要的服务和向社会公众提供的公共服务。</w:t>
      </w:r>
    </w:p>
    <w:p w14:paraId="7B877A5A">
      <w:pPr>
        <w:spacing w:line="360" w:lineRule="auto"/>
        <w:ind w:firstLine="435"/>
        <w:rPr>
          <w:rFonts w:cs="Times New Roman" w:asciiTheme="minorEastAsia" w:hAnsiTheme="minorEastAsia" w:eastAsiaTheme="minorEastAsia"/>
          <w:color w:val="auto"/>
          <w:sz w:val="24"/>
          <w:szCs w:val="24"/>
          <w:highlight w:val="none"/>
        </w:rPr>
      </w:pPr>
      <w:bookmarkStart w:id="115"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15"/>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spacing w:line="360" w:lineRule="auto"/>
        <w:ind w:firstLine="435"/>
        <w:rPr>
          <w:rFonts w:cs="Times New Roman" w:asciiTheme="minorEastAsia" w:hAnsiTheme="minorEastAsia" w:eastAsiaTheme="minorEastAsia"/>
          <w:color w:val="auto"/>
          <w:sz w:val="24"/>
          <w:szCs w:val="24"/>
          <w:highlight w:val="none"/>
        </w:rPr>
      </w:pPr>
      <w:bookmarkStart w:id="116"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16"/>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1FDB9B46">
      <w:pPr>
        <w:spacing w:line="360" w:lineRule="auto"/>
        <w:ind w:firstLine="435"/>
        <w:rPr>
          <w:rFonts w:cs="Times New Roman" w:asciiTheme="minorEastAsia" w:hAnsiTheme="minorEastAsia" w:eastAsiaTheme="minorEastAsia"/>
          <w:color w:val="auto"/>
          <w:sz w:val="24"/>
          <w:szCs w:val="24"/>
          <w:highlight w:val="none"/>
        </w:rPr>
      </w:pPr>
      <w:bookmarkStart w:id="117"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17"/>
    </w:p>
    <w:p w14:paraId="278CAAF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8" w:name="_Toc487900350"/>
      <w:bookmarkStart w:id="119" w:name="_Toc259093670"/>
      <w:bookmarkStart w:id="120" w:name="_Toc27635"/>
      <w:bookmarkStart w:id="121" w:name="_Toc279701241"/>
      <w:bookmarkStart w:id="122" w:name="_Toc13336"/>
      <w:bookmarkStart w:id="123" w:name="_Toc3250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18"/>
      <w:bookmarkEnd w:id="119"/>
      <w:bookmarkEnd w:id="120"/>
      <w:bookmarkEnd w:id="121"/>
      <w:bookmarkEnd w:id="122"/>
      <w:bookmarkEnd w:id="123"/>
    </w:p>
    <w:p w14:paraId="300860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4" w:name="_Toc259093671"/>
      <w:bookmarkStart w:id="125" w:name="_Toc279701242"/>
      <w:bookmarkStart w:id="126" w:name="_Toc487900351"/>
      <w:bookmarkStart w:id="127" w:name="_Toc9829"/>
      <w:bookmarkStart w:id="128" w:name="_Toc31634"/>
      <w:bookmarkStart w:id="129" w:name="_Toc27853"/>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24"/>
      <w:bookmarkEnd w:id="125"/>
      <w:bookmarkEnd w:id="126"/>
      <w:bookmarkEnd w:id="127"/>
      <w:bookmarkEnd w:id="128"/>
      <w:bookmarkEnd w:id="129"/>
    </w:p>
    <w:p w14:paraId="234AB67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0" w:name="_Toc487900354"/>
      <w:bookmarkStart w:id="131" w:name="_Ref467378591"/>
      <w:bookmarkStart w:id="132" w:name="_Ref467379536"/>
      <w:bookmarkStart w:id="133" w:name="_Toc259093674"/>
      <w:bookmarkStart w:id="134" w:name="_Ref467379527"/>
      <w:bookmarkStart w:id="135" w:name="_Ref467379542"/>
      <w:bookmarkStart w:id="136" w:name="_Toc279701245"/>
      <w:bookmarkStart w:id="137" w:name="_Ref467378541"/>
      <w:bookmarkStart w:id="138" w:name="_Toc26182"/>
      <w:bookmarkStart w:id="139" w:name="_Toc30272"/>
      <w:bookmarkStart w:id="140" w:name="_Toc19074"/>
      <w:r>
        <w:rPr>
          <w:rFonts w:hint="eastAsia" w:cs="Times New Roman" w:asciiTheme="minorEastAsia" w:hAnsiTheme="minorEastAsia" w:eastAsiaTheme="minorEastAsia"/>
          <w:b/>
          <w:bCs/>
          <w:color w:val="auto"/>
          <w:sz w:val="24"/>
          <w:szCs w:val="24"/>
          <w:highlight w:val="none"/>
          <w:lang w:val="zh-CN"/>
        </w:rPr>
        <w:t>2.</w:t>
      </w:r>
      <w:bookmarkEnd w:id="130"/>
      <w:bookmarkEnd w:id="131"/>
      <w:bookmarkEnd w:id="132"/>
      <w:bookmarkEnd w:id="133"/>
      <w:bookmarkEnd w:id="134"/>
      <w:bookmarkEnd w:id="135"/>
      <w:bookmarkEnd w:id="136"/>
      <w:bookmarkEnd w:id="137"/>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38"/>
      <w:bookmarkEnd w:id="139"/>
      <w:bookmarkEnd w:id="140"/>
    </w:p>
    <w:p w14:paraId="2FE8FA85">
      <w:pPr>
        <w:spacing w:line="360" w:lineRule="auto"/>
        <w:ind w:firstLine="435"/>
        <w:rPr>
          <w:rFonts w:cs="Times New Roman" w:asciiTheme="minorEastAsia" w:hAnsiTheme="minorEastAsia" w:eastAsiaTheme="minorEastAsia"/>
          <w:color w:val="auto"/>
          <w:sz w:val="24"/>
          <w:szCs w:val="24"/>
          <w:highlight w:val="none"/>
        </w:rPr>
      </w:pPr>
      <w:bookmarkStart w:id="141" w:name="_Toc186431854"/>
      <w:bookmarkStart w:id="142" w:name="_Toc487900357"/>
      <w:bookmarkStart w:id="143" w:name="_Toc259093676"/>
      <w:bookmarkStart w:id="144" w:name="_Ref467379793"/>
      <w:bookmarkStart w:id="145" w:name="_Ref467379807"/>
      <w:bookmarkStart w:id="146" w:name="_Toc27970124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41"/>
      <w:bookmarkStart w:id="147" w:name="_Toc186431855"/>
      <w:r>
        <w:rPr>
          <w:rFonts w:hint="eastAsia" w:cs="Times New Roman" w:asciiTheme="minorEastAsia" w:hAnsiTheme="minorEastAsia" w:eastAsiaTheme="minorEastAsia"/>
          <w:color w:val="auto"/>
          <w:sz w:val="24"/>
          <w:szCs w:val="24"/>
          <w:highlight w:val="none"/>
        </w:rPr>
        <w:t>。</w:t>
      </w:r>
    </w:p>
    <w:bookmarkEnd w:id="147"/>
    <w:p w14:paraId="01FB6C6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8" w:name="_Toc28451"/>
      <w:bookmarkStart w:id="149" w:name="_Toc7836"/>
      <w:bookmarkStart w:id="150"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42"/>
      <w:bookmarkEnd w:id="143"/>
      <w:bookmarkEnd w:id="144"/>
      <w:bookmarkEnd w:id="145"/>
      <w:bookmarkEnd w:id="146"/>
      <w:bookmarkEnd w:id="148"/>
      <w:bookmarkEnd w:id="149"/>
      <w:bookmarkEnd w:id="150"/>
    </w:p>
    <w:p w14:paraId="4B7B722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1" w:name="_Toc279701248"/>
      <w:bookmarkStart w:id="152" w:name="_Toc259093677"/>
      <w:bookmarkStart w:id="153" w:name="_Toc487900358"/>
      <w:bookmarkStart w:id="154" w:name="_Ref467379852"/>
      <w:bookmarkStart w:id="155" w:name="_Ref467379923"/>
      <w:bookmarkStart w:id="156" w:name="_Ref467379863"/>
      <w:bookmarkStart w:id="157" w:name="_Toc16110"/>
      <w:bookmarkStart w:id="158" w:name="_Toc774"/>
      <w:bookmarkStart w:id="159"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51"/>
      <w:bookmarkEnd w:id="152"/>
      <w:bookmarkEnd w:id="153"/>
      <w:bookmarkEnd w:id="154"/>
      <w:bookmarkEnd w:id="155"/>
      <w:bookmarkEnd w:id="156"/>
      <w:r>
        <w:rPr>
          <w:rFonts w:cs="Times New Roman" w:asciiTheme="minorEastAsia" w:hAnsiTheme="minorEastAsia" w:eastAsiaTheme="minorEastAsia"/>
          <w:b/>
          <w:bCs/>
          <w:color w:val="auto"/>
          <w:sz w:val="24"/>
          <w:szCs w:val="24"/>
          <w:highlight w:val="none"/>
          <w:lang w:val="zh-CN"/>
        </w:rPr>
        <w:t>和保密义务</w:t>
      </w:r>
      <w:bookmarkEnd w:id="157"/>
      <w:bookmarkEnd w:id="158"/>
      <w:bookmarkEnd w:id="159"/>
    </w:p>
    <w:p w14:paraId="0EA7A9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0" w:name="_Toc7860"/>
      <w:r>
        <w:rPr>
          <w:rFonts w:cs="Times New Roman" w:asciiTheme="minorEastAsia" w:hAnsiTheme="minorEastAsia" w:eastAsiaTheme="minorEastAsia"/>
          <w:b/>
          <w:bCs/>
          <w:color w:val="auto"/>
          <w:sz w:val="24"/>
          <w:szCs w:val="24"/>
          <w:highlight w:val="none"/>
          <w:lang w:val="zh-CN"/>
        </w:rPr>
        <w:t>2.7 质量保证</w:t>
      </w:r>
      <w:bookmarkEnd w:id="160"/>
    </w:p>
    <w:p w14:paraId="045D2C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spacing w:line="360" w:lineRule="auto"/>
        <w:ind w:firstLine="437"/>
        <w:outlineLvl w:val="2"/>
        <w:rPr>
          <w:rFonts w:cs="Times New Roman" w:asciiTheme="minorEastAsia" w:hAnsiTheme="minorEastAsia" w:eastAsiaTheme="minorEastAsia"/>
          <w:b/>
          <w:color w:val="auto"/>
          <w:sz w:val="24"/>
          <w:szCs w:val="24"/>
          <w:highlight w:val="none"/>
        </w:rPr>
      </w:pPr>
      <w:bookmarkStart w:id="161" w:name="_Toc22267"/>
      <w:r>
        <w:rPr>
          <w:rFonts w:hint="eastAsia" w:cs="Times New Roman" w:asciiTheme="minorEastAsia" w:hAnsiTheme="minorEastAsia" w:eastAsiaTheme="minorEastAsia"/>
          <w:b/>
          <w:color w:val="auto"/>
          <w:sz w:val="24"/>
          <w:szCs w:val="24"/>
          <w:highlight w:val="none"/>
        </w:rPr>
        <w:t>2.8 延迟履行</w:t>
      </w:r>
      <w:bookmarkEnd w:id="161"/>
    </w:p>
    <w:p w14:paraId="691CDE9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2" w:name="_Toc7502"/>
      <w:bookmarkStart w:id="163" w:name="_Toc487900364"/>
      <w:bookmarkStart w:id="164" w:name="_Ref467378121"/>
      <w:bookmarkStart w:id="165" w:name="_Toc259093683"/>
      <w:bookmarkStart w:id="166" w:name="_Toc279701254"/>
      <w:r>
        <w:rPr>
          <w:rFonts w:cs="Times New Roman" w:asciiTheme="minorEastAsia" w:hAnsiTheme="minorEastAsia" w:eastAsiaTheme="minorEastAsia"/>
          <w:b/>
          <w:bCs/>
          <w:color w:val="auto"/>
          <w:sz w:val="24"/>
          <w:szCs w:val="24"/>
          <w:highlight w:val="none"/>
          <w:lang w:val="zh-CN"/>
        </w:rPr>
        <w:t>2.9 合同变更</w:t>
      </w:r>
      <w:bookmarkEnd w:id="162"/>
    </w:p>
    <w:p w14:paraId="01ED91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67" w:name="_Toc259093688"/>
      <w:bookmarkStart w:id="168" w:name="_Toc279701259"/>
      <w:bookmarkStart w:id="169" w:name="_Toc487900369"/>
    </w:p>
    <w:p w14:paraId="2A0BC8A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0" w:name="_Toc22955"/>
      <w:bookmarkStart w:id="171" w:name="_Toc15237"/>
      <w:bookmarkStart w:id="172" w:name="_Toc103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67"/>
      <w:bookmarkEnd w:id="168"/>
      <w:bookmarkEnd w:id="169"/>
      <w:r>
        <w:rPr>
          <w:rFonts w:cs="Times New Roman" w:asciiTheme="minorEastAsia" w:hAnsiTheme="minorEastAsia" w:eastAsiaTheme="minorEastAsia"/>
          <w:b/>
          <w:bCs/>
          <w:color w:val="auto"/>
          <w:sz w:val="24"/>
          <w:szCs w:val="24"/>
          <w:highlight w:val="none"/>
          <w:lang w:val="zh-CN"/>
        </w:rPr>
        <w:t>和分包</w:t>
      </w:r>
      <w:bookmarkEnd w:id="170"/>
      <w:bookmarkEnd w:id="171"/>
      <w:bookmarkEnd w:id="172"/>
    </w:p>
    <w:p w14:paraId="6A12483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3" w:name="_Toc14066"/>
      <w:bookmarkStart w:id="174" w:name="_Toc16508"/>
      <w:bookmarkStart w:id="175" w:name="_Toc135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73"/>
      <w:bookmarkEnd w:id="174"/>
      <w:bookmarkEnd w:id="175"/>
    </w:p>
    <w:p w14:paraId="2E132A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6" w:name="_Toc6969"/>
      <w:bookmarkStart w:id="177" w:name="_Toc689"/>
      <w:bookmarkStart w:id="178" w:name="_Toc279701255"/>
      <w:bookmarkStart w:id="179" w:name="_Toc487900365"/>
      <w:bookmarkStart w:id="180" w:name="_Toc259093684"/>
      <w:bookmarkStart w:id="181"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76"/>
      <w:bookmarkEnd w:id="177"/>
      <w:bookmarkEnd w:id="178"/>
      <w:bookmarkEnd w:id="179"/>
      <w:bookmarkEnd w:id="180"/>
      <w:bookmarkEnd w:id="181"/>
    </w:p>
    <w:p w14:paraId="4663EC6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82" w:name="_Toc259093687"/>
      <w:bookmarkStart w:id="183" w:name="_Toc279701258"/>
      <w:bookmarkStart w:id="184" w:name="_Toc7102"/>
      <w:bookmarkStart w:id="185" w:name="_Toc8298"/>
      <w:bookmarkStart w:id="186" w:name="_Toc16959"/>
      <w:bookmarkStart w:id="187" w:name="_Toc48790036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82"/>
      <w:bookmarkEnd w:id="183"/>
      <w:bookmarkEnd w:id="184"/>
      <w:bookmarkEnd w:id="185"/>
      <w:bookmarkEnd w:id="186"/>
      <w:bookmarkEnd w:id="187"/>
    </w:p>
    <w:p w14:paraId="145D055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spacing w:line="360" w:lineRule="auto"/>
        <w:ind w:firstLine="437"/>
        <w:outlineLvl w:val="2"/>
        <w:rPr>
          <w:rFonts w:cs="Times New Roman" w:asciiTheme="minorEastAsia" w:hAnsiTheme="minorEastAsia" w:eastAsiaTheme="minorEastAsia"/>
          <w:b/>
          <w:color w:val="auto"/>
          <w:sz w:val="24"/>
          <w:szCs w:val="24"/>
          <w:highlight w:val="none"/>
        </w:rPr>
      </w:pPr>
      <w:bookmarkStart w:id="188" w:name="_Toc29333"/>
      <w:bookmarkStart w:id="189" w:name="_Toc6134"/>
      <w:bookmarkStart w:id="190"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88"/>
      <w:bookmarkEnd w:id="189"/>
      <w:bookmarkEnd w:id="190"/>
    </w:p>
    <w:p w14:paraId="04FBC7A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F0E3B6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91" w:name="_Toc1125"/>
      <w:bookmarkStart w:id="192" w:name="_Toc6596"/>
      <w:bookmarkStart w:id="193" w:name="_Toc145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91"/>
      <w:bookmarkEnd w:id="192"/>
      <w:bookmarkEnd w:id="193"/>
    </w:p>
    <w:p w14:paraId="7557D6A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375A053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219E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63"/>
    <w:bookmarkEnd w:id="164"/>
    <w:bookmarkEnd w:id="165"/>
    <w:bookmarkEnd w:id="166"/>
    <w:p w14:paraId="1FB70D95">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94" w:name="_Toc279701263"/>
      <w:bookmarkStart w:id="195" w:name="_Toc18567"/>
      <w:bookmarkStart w:id="196" w:name="_Toc12773"/>
      <w:bookmarkStart w:id="197" w:name="_Toc10330"/>
      <w:bookmarkStart w:id="198" w:name="_Toc487900373"/>
      <w:bookmarkStart w:id="199" w:name="_Toc259093692"/>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94"/>
      <w:bookmarkEnd w:id="195"/>
      <w:bookmarkEnd w:id="196"/>
      <w:bookmarkEnd w:id="197"/>
      <w:bookmarkEnd w:id="198"/>
      <w:bookmarkEnd w:id="199"/>
    </w:p>
    <w:p w14:paraId="50920A8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spacing w:line="360" w:lineRule="auto"/>
        <w:ind w:firstLine="437"/>
        <w:outlineLvl w:val="2"/>
        <w:rPr>
          <w:rFonts w:cs="Times New Roman" w:asciiTheme="minorEastAsia" w:hAnsiTheme="minorEastAsia" w:eastAsiaTheme="minorEastAsia"/>
          <w:b/>
          <w:color w:val="auto"/>
          <w:sz w:val="24"/>
          <w:szCs w:val="24"/>
          <w:highlight w:val="none"/>
        </w:rPr>
      </w:pPr>
      <w:bookmarkStart w:id="200" w:name="_Toc259093693"/>
      <w:bookmarkStart w:id="201" w:name="_Toc279701264"/>
      <w:bookmarkStart w:id="202" w:name="_Toc12004"/>
      <w:bookmarkStart w:id="203" w:name="_Toc3148"/>
      <w:bookmarkStart w:id="204" w:name="_Toc16673"/>
      <w:bookmarkStart w:id="205"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200"/>
      <w:bookmarkEnd w:id="201"/>
      <w:bookmarkEnd w:id="202"/>
      <w:bookmarkEnd w:id="203"/>
      <w:bookmarkEnd w:id="204"/>
    </w:p>
    <w:p w14:paraId="6A14A3A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205"/>
    <w:p w14:paraId="1F75F62C">
      <w:pPr>
        <w:spacing w:line="360" w:lineRule="auto"/>
        <w:ind w:firstLine="437"/>
        <w:outlineLvl w:val="2"/>
        <w:rPr>
          <w:rFonts w:cs="Times New Roman" w:asciiTheme="minorEastAsia" w:hAnsiTheme="minorEastAsia" w:eastAsiaTheme="minorEastAsia"/>
          <w:b/>
          <w:color w:val="auto"/>
          <w:sz w:val="24"/>
          <w:szCs w:val="24"/>
          <w:highlight w:val="none"/>
        </w:rPr>
      </w:pPr>
      <w:bookmarkStart w:id="206" w:name="_Toc6885"/>
      <w:bookmarkStart w:id="207" w:name="_Toc19890"/>
      <w:bookmarkStart w:id="208"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206"/>
      <w:bookmarkEnd w:id="207"/>
      <w:bookmarkEnd w:id="208"/>
    </w:p>
    <w:p w14:paraId="32BFD32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209"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09"/>
    </w:p>
    <w:p w14:paraId="2E4C484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3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6B89C38">
            <w:pPr>
              <w:spacing w:line="560" w:lineRule="exact"/>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2.3.2</w:t>
            </w:r>
          </w:p>
        </w:tc>
        <w:tc>
          <w:tcPr>
            <w:tcW w:w="7568" w:type="dxa"/>
            <w:vAlign w:val="center"/>
          </w:tcPr>
          <w:p w14:paraId="667AF7AA">
            <w:pPr>
              <w:spacing w:line="56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乙方为本项目编制的《能源审计报告》及其全部数据、分析成果的知识产权归甲方所有，未经甲方书面同意，乙方不得用于本项目之外的用途。</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D5BF526">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4E30633">
            <w:pPr>
              <w:spacing w:line="560" w:lineRule="exact"/>
              <w:rPr>
                <w:rFonts w:cs="Times New Roman" w:asciiTheme="minorEastAsia" w:hAnsiTheme="minorEastAsia" w:eastAsiaTheme="minorEastAsia"/>
                <w:color w:val="auto"/>
                <w:sz w:val="24"/>
                <w:szCs w:val="24"/>
                <w:highlight w:val="none"/>
              </w:rPr>
            </w:pP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6D1B33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C0FBE94">
            <w:pPr>
              <w:spacing w:line="560" w:lineRule="exact"/>
              <w:rPr>
                <w:rFonts w:cs="Times New Roman" w:asciiTheme="minorEastAsia" w:hAnsiTheme="minorEastAsia" w:eastAsiaTheme="minorEastAsia"/>
                <w:color w:val="auto"/>
                <w:sz w:val="24"/>
                <w:szCs w:val="24"/>
                <w:highlight w:val="none"/>
              </w:rPr>
            </w:pP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400DA31">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F8D92E5">
            <w:pPr>
              <w:spacing w:line="560" w:lineRule="exact"/>
              <w:rPr>
                <w:rFonts w:cs="Times New Roman" w:asciiTheme="minorEastAsia" w:hAnsiTheme="minorEastAsia" w:eastAsiaTheme="minorEastAsia"/>
                <w:color w:val="auto"/>
                <w:sz w:val="24"/>
                <w:szCs w:val="24"/>
                <w:highlight w:val="none"/>
              </w:rPr>
            </w:pP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409FD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27889A2F">
            <w:pPr>
              <w:spacing w:line="560" w:lineRule="exact"/>
              <w:rPr>
                <w:rFonts w:cs="Times New Roman" w:asciiTheme="minorEastAsia" w:hAnsiTheme="minorEastAsia" w:eastAsiaTheme="minorEastAsia"/>
                <w:color w:val="auto"/>
                <w:sz w:val="24"/>
                <w:szCs w:val="24"/>
                <w:highlight w:val="none"/>
                <w:u w:val="single"/>
              </w:rPr>
            </w:pP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3EEEB0F">
            <w:pPr>
              <w:spacing w:line="560" w:lineRule="exact"/>
              <w:rPr>
                <w:rFonts w:cs="Times New Roman" w:asciiTheme="minorEastAsia" w:hAnsiTheme="minorEastAsia" w:eastAsiaTheme="minorEastAsia"/>
                <w:color w:val="auto"/>
                <w:sz w:val="24"/>
                <w:szCs w:val="24"/>
                <w:highlight w:val="none"/>
              </w:rPr>
            </w:pP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80F18BF">
            <w:pPr>
              <w:spacing w:line="560" w:lineRule="exact"/>
              <w:rPr>
                <w:rFonts w:cs="Times New Roman" w:asciiTheme="minorEastAsia" w:hAnsiTheme="minorEastAsia" w:eastAsiaTheme="minorEastAsia"/>
                <w:color w:val="auto"/>
                <w:sz w:val="24"/>
                <w:szCs w:val="24"/>
                <w:highlight w:val="none"/>
                <w:u w:val="single"/>
              </w:rPr>
            </w:pP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spacing w:line="560" w:lineRule="exact"/>
              <w:rPr>
                <w:rFonts w:cs="Times New Roman" w:asciiTheme="minorEastAsia" w:hAnsiTheme="minorEastAsia" w:eastAsiaTheme="minorEastAsia"/>
                <w:color w:val="auto"/>
                <w:sz w:val="24"/>
                <w:szCs w:val="24"/>
                <w:highlight w:val="none"/>
              </w:rPr>
            </w:pPr>
          </w:p>
        </w:tc>
      </w:tr>
    </w:tbl>
    <w:p w14:paraId="4B96B342">
      <w:pPr>
        <w:keepNext w:val="0"/>
        <w:keepLines w:val="0"/>
        <w:pageBreakBefore w:val="0"/>
        <w:widowControl w:val="0"/>
        <w:kinsoku/>
        <w:wordWrap/>
        <w:overflowPunct/>
        <w:topLinePunct w:val="0"/>
        <w:autoSpaceDE/>
        <w:autoSpaceDN/>
        <w:bidi w:val="0"/>
        <w:adjustRightInd/>
        <w:snapToGrid/>
        <w:spacing w:line="720" w:lineRule="exact"/>
        <w:ind w:firstLine="1285" w:firstLineChars="400"/>
        <w:textAlignment w:val="auto"/>
        <w:rPr>
          <w:rFonts w:hint="eastAsia" w:ascii="宋体"/>
          <w:b/>
          <w:color w:val="auto"/>
          <w:sz w:val="32"/>
          <w:szCs w:val="32"/>
          <w:highlight w:val="none"/>
        </w:rPr>
      </w:pPr>
    </w:p>
    <w:p w14:paraId="0D97CFC4">
      <w:pPr>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5BA0D63D">
      <w:pPr>
        <w:jc w:val="center"/>
        <w:rPr>
          <w:rFonts w:hint="eastAsia"/>
          <w:b/>
          <w:color w:val="auto"/>
          <w:sz w:val="44"/>
          <w:szCs w:val="44"/>
          <w:highlight w:val="none"/>
        </w:rPr>
      </w:pPr>
      <w:r>
        <w:rPr>
          <w:rFonts w:hint="eastAsia"/>
          <w:b/>
          <w:color w:val="auto"/>
          <w:sz w:val="36"/>
          <w:szCs w:val="36"/>
          <w:highlight w:val="none"/>
        </w:rPr>
        <w:t>目   录</w:t>
      </w:r>
    </w:p>
    <w:p w14:paraId="30A9EC6A">
      <w:pPr>
        <w:spacing w:line="400" w:lineRule="exact"/>
        <w:ind w:firstLine="562" w:firstLineChars="200"/>
        <w:rPr>
          <w:rFonts w:hint="eastAsia"/>
          <w:b/>
          <w:color w:val="auto"/>
          <w:sz w:val="28"/>
          <w:szCs w:val="28"/>
          <w:highlight w:val="none"/>
        </w:rPr>
      </w:pPr>
    </w:p>
    <w:p w14:paraId="0904FEAC">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7780E98D">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lang w:eastAsia="zh-CN"/>
        </w:rPr>
        <w:t>投标人</w:t>
      </w:r>
      <w:r>
        <w:rPr>
          <w:rFonts w:hint="eastAsia" w:ascii="宋体" w:hAnsi="宋体" w:eastAsia="宋体" w:cs="宋体"/>
          <w:color w:val="auto"/>
          <w:sz w:val="21"/>
          <w:szCs w:val="21"/>
          <w:highlight w:val="none"/>
          <w:lang w:val="en-US" w:eastAsia="zh-CN"/>
        </w:rPr>
        <w:t>有效的营业执照</w:t>
      </w:r>
      <w:r>
        <w:rPr>
          <w:rFonts w:hint="eastAsia" w:ascii="宋体" w:hAnsi="宋体" w:cs="宋体"/>
          <w:color w:val="auto"/>
          <w:sz w:val="21"/>
          <w:szCs w:val="21"/>
          <w:highlight w:val="none"/>
          <w:lang w:val="en-US" w:eastAsia="zh-CN"/>
        </w:rPr>
        <w:t>及备案名单</w:t>
      </w:r>
      <w:r>
        <w:rPr>
          <w:rFonts w:hint="eastAsia" w:ascii="宋体"/>
          <w:color w:val="auto"/>
          <w:szCs w:val="21"/>
          <w:highlight w:val="none"/>
        </w:rPr>
        <w:t>；</w:t>
      </w:r>
    </w:p>
    <w:p w14:paraId="16BF0017">
      <w:pPr>
        <w:spacing w:line="500" w:lineRule="exact"/>
        <w:ind w:firstLine="420" w:firstLineChars="200"/>
        <w:jc w:val="left"/>
        <w:rPr>
          <w:rFonts w:hint="default" w:ascii="宋体" w:hAnsi="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须具有能源审计工作经验（投标文件中提供项目服务合同扫描件，提供合同须体现甲乙双方名称、甲乙双方盖章齐全，采购标的信息等，如合同不能体现以上全部内容，可提供合同甲方盖公章的证明扫描件，否则，按无效标处理），投标供应商与其关联公司（如母公司、控股公司、参股公司、分公司、子公司、同一法定代表人的公司等）之间签订的合同，均不予认可。</w:t>
      </w:r>
    </w:p>
    <w:p w14:paraId="6556C25E">
      <w:pPr>
        <w:spacing w:line="500" w:lineRule="exact"/>
        <w:ind w:firstLine="420" w:firstLineChars="200"/>
        <w:jc w:val="left"/>
        <w:rPr>
          <w:rFonts w:hint="eastAsia" w:ascii="宋体" w:hAnsi="宋体" w:cs="宋体-18030"/>
          <w:color w:val="auto"/>
          <w:szCs w:val="21"/>
          <w:highlight w:val="none"/>
          <w:lang w:eastAsia="zh-CN"/>
        </w:rPr>
      </w:pPr>
      <w:r>
        <w:rPr>
          <w:rFonts w:hint="eastAsia" w:ascii="宋体" w:hAnsi="宋体" w:cs="宋体-18030"/>
          <w:color w:val="auto"/>
          <w:szCs w:val="21"/>
          <w:highlight w:val="none"/>
          <w:lang w:eastAsia="zh-CN"/>
        </w:rPr>
        <w:t>（</w:t>
      </w:r>
      <w:r>
        <w:rPr>
          <w:rFonts w:hint="eastAsia" w:ascii="宋体" w:hAnsi="宋体" w:cs="宋体"/>
          <w:color w:val="auto"/>
          <w:sz w:val="21"/>
          <w:szCs w:val="21"/>
          <w:highlight w:val="none"/>
          <w:lang w:val="en-US" w:eastAsia="zh-CN"/>
        </w:rPr>
        <w:t>4）项目负责人有效身份证及职称证书</w:t>
      </w:r>
    </w:p>
    <w:p w14:paraId="02770EC0">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5）</w:t>
      </w:r>
      <w:r>
        <w:rPr>
          <w:rFonts w:hint="eastAsia" w:ascii="宋体" w:hAnsi="宋体" w:eastAsia="宋体" w:cs="宋体-18030"/>
          <w:color w:val="auto"/>
          <w:szCs w:val="21"/>
          <w:highlight w:val="none"/>
          <w:lang w:eastAsia="zh-CN"/>
        </w:rPr>
        <w:t>诚信投标承诺书（格式见附件）</w:t>
      </w:r>
      <w:r>
        <w:rPr>
          <w:rFonts w:hint="eastAsia" w:ascii="宋体" w:hAnsi="宋体" w:eastAsia="宋体" w:cs="宋体-18030"/>
          <w:color w:val="auto"/>
          <w:szCs w:val="21"/>
          <w:highlight w:val="none"/>
          <w:lang w:val="en-US" w:eastAsia="zh-CN"/>
        </w:rPr>
        <w:t>；</w:t>
      </w:r>
    </w:p>
    <w:p w14:paraId="584A38D1">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6</w:t>
      </w:r>
      <w:r>
        <w:rPr>
          <w:rFonts w:hint="eastAsia" w:ascii="宋体" w:hAnsi="宋体" w:eastAsia="宋体" w:cs="宋体-18030"/>
          <w:color w:val="auto"/>
          <w:szCs w:val="21"/>
          <w:highlight w:val="none"/>
          <w:lang w:eastAsia="zh-CN"/>
        </w:rPr>
        <w:t>）服务承诺：是否响应招标文件要求的书面说明和服务承诺书（格式见附件）</w:t>
      </w:r>
      <w:r>
        <w:rPr>
          <w:rFonts w:hint="eastAsia" w:ascii="宋体" w:hAnsi="宋体" w:cs="宋体-18030"/>
          <w:color w:val="auto"/>
          <w:szCs w:val="21"/>
          <w:highlight w:val="none"/>
          <w:lang w:eastAsia="zh-CN"/>
        </w:rPr>
        <w:t>；</w:t>
      </w:r>
    </w:p>
    <w:p w14:paraId="0B853333">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7</w:t>
      </w:r>
      <w:r>
        <w:rPr>
          <w:rFonts w:hint="eastAsia" w:ascii="宋体" w:hAnsi="宋体" w:eastAsia="宋体" w:cs="宋体-18030"/>
          <w:color w:val="auto"/>
          <w:szCs w:val="21"/>
          <w:highlight w:val="none"/>
          <w:lang w:eastAsia="zh-CN"/>
        </w:rPr>
        <w:t>）开标一览表（格式见附件）；</w:t>
      </w:r>
    </w:p>
    <w:p w14:paraId="3EDE53FA">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8</w:t>
      </w:r>
      <w:r>
        <w:rPr>
          <w:rFonts w:hint="eastAsia" w:ascii="宋体" w:hAnsi="宋体" w:eastAsia="宋体" w:cs="宋体-18030"/>
          <w:color w:val="auto"/>
          <w:szCs w:val="21"/>
          <w:highlight w:val="none"/>
          <w:lang w:eastAsia="zh-CN"/>
        </w:rPr>
        <w:t>）投标函（格式见附件）；</w:t>
      </w:r>
    </w:p>
    <w:p w14:paraId="38373E3A">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9</w:t>
      </w: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投标人认为需要提供的其他</w:t>
      </w:r>
      <w:r>
        <w:rPr>
          <w:rFonts w:hint="eastAsia" w:ascii="宋体" w:hAnsi="Times New Roman" w:eastAsia="宋体" w:cs="Times New Roman"/>
          <w:color w:val="auto"/>
          <w:szCs w:val="21"/>
          <w:highlight w:val="none"/>
        </w:rPr>
        <w:t>支持资料</w:t>
      </w:r>
      <w:r>
        <w:rPr>
          <w:rFonts w:hint="eastAsia" w:ascii="宋体" w:cs="Times New Roman"/>
          <w:color w:val="auto"/>
          <w:szCs w:val="21"/>
          <w:highlight w:val="none"/>
          <w:lang w:eastAsia="zh-CN"/>
        </w:rPr>
        <w:t>。</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7680D3B">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210" w:name="_Toc449028950"/>
      <w:bookmarkStart w:id="211"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212" w:name="OLE_LINK133"/>
      <w:bookmarkStart w:id="213" w:name="OLE_LINK134"/>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ascii="宋体" w:hAnsi="宋体"/>
          <w:color w:val="auto"/>
          <w:szCs w:val="21"/>
          <w:highlight w:val="none"/>
          <w:lang w:eastAsia="zh-CN"/>
        </w:rPr>
        <w:t>。</w:t>
      </w:r>
      <w:r>
        <w:rPr>
          <w:rFonts w:hint="eastAsia" w:ascii="宋体" w:hAnsi="宋体"/>
          <w:color w:val="auto"/>
          <w:szCs w:val="21"/>
          <w:highlight w:val="none"/>
        </w:rPr>
        <w:t>（</w:t>
      </w:r>
      <w:bookmarkEnd w:id="212"/>
      <w:bookmarkEnd w:id="213"/>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210"/>
    <w:bookmarkEnd w:id="211"/>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numberInDash"/>
          <w:cols w:space="0" w:num="1"/>
          <w:rtlGutter w:val="0"/>
          <w:docGrid w:type="lines" w:linePitch="312" w:charSpace="0"/>
        </w:sectPr>
      </w:pPr>
    </w:p>
    <w:p w14:paraId="110F932E">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2DF6737A">
      <w:pPr>
        <w:ind w:firstLine="3313" w:firstLineChars="1100"/>
        <w:jc w:val="both"/>
        <w:rPr>
          <w:rFonts w:hint="eastAsia" w:ascii="宋体"/>
          <w:b/>
          <w:color w:val="auto"/>
          <w:sz w:val="30"/>
          <w:szCs w:val="30"/>
          <w:highlight w:val="none"/>
        </w:rPr>
      </w:pPr>
    </w:p>
    <w:p w14:paraId="33C77548">
      <w:pPr>
        <w:ind w:firstLine="3313" w:firstLineChars="1100"/>
        <w:jc w:val="both"/>
        <w:rPr>
          <w:rFonts w:hint="eastAsia" w:ascii="宋体"/>
          <w:b/>
          <w:color w:val="auto"/>
          <w:sz w:val="30"/>
          <w:szCs w:val="30"/>
          <w:highlight w:val="none"/>
        </w:rPr>
      </w:pPr>
      <w:r>
        <w:rPr>
          <w:rFonts w:hint="eastAsia" w:ascii="宋体"/>
          <w:b/>
          <w:color w:val="auto"/>
          <w:sz w:val="30"/>
          <w:szCs w:val="30"/>
          <w:highlight w:val="none"/>
        </w:rPr>
        <w:t>服务承诺书</w:t>
      </w:r>
    </w:p>
    <w:p w14:paraId="3E5EB000">
      <w:pPr>
        <w:ind w:firstLine="480" w:firstLineChars="200"/>
        <w:rPr>
          <w:rFonts w:hint="eastAsia" w:ascii="宋体"/>
          <w:color w:val="auto"/>
          <w:sz w:val="24"/>
          <w:highlight w:val="none"/>
        </w:rPr>
      </w:pPr>
    </w:p>
    <w:p w14:paraId="47F42544">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4E91E225">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名称）对本</w:t>
      </w:r>
      <w:r>
        <w:rPr>
          <w:rFonts w:hint="eastAsia" w:ascii="宋体"/>
          <w:color w:val="auto"/>
          <w:sz w:val="24"/>
          <w:highlight w:val="none"/>
          <w:lang w:eastAsia="zh-CN"/>
        </w:rPr>
        <w:t>招标文件</w:t>
      </w:r>
      <w:r>
        <w:rPr>
          <w:rFonts w:hint="eastAsia" w:ascii="宋体"/>
          <w:color w:val="auto"/>
          <w:sz w:val="24"/>
          <w:highlight w:val="none"/>
        </w:rPr>
        <w:t>的相关要求完全响应。若有幸中标将严格按照以上承诺进行服务。</w:t>
      </w:r>
    </w:p>
    <w:p w14:paraId="593C7D69">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2B9CB80">
      <w:pPr>
        <w:spacing w:line="600" w:lineRule="exact"/>
        <w:rPr>
          <w:rFonts w:hint="eastAsia" w:ascii="宋体"/>
          <w:color w:val="auto"/>
          <w:sz w:val="24"/>
          <w:highlight w:val="none"/>
        </w:rPr>
      </w:pPr>
      <w:r>
        <w:rPr>
          <w:rFonts w:hint="eastAsia" w:ascii="宋体"/>
          <w:color w:val="auto"/>
          <w:sz w:val="24"/>
          <w:highlight w:val="none"/>
        </w:rPr>
        <w:t> </w:t>
      </w:r>
    </w:p>
    <w:p w14:paraId="06480E29">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lang w:eastAsia="zh-CN"/>
        </w:rPr>
        <w:t>投标人</w:t>
      </w:r>
      <w:r>
        <w:rPr>
          <w:rFonts w:hint="eastAsia" w:ascii="宋体" w:hAnsi="宋体"/>
          <w:color w:val="auto"/>
          <w:sz w:val="24"/>
          <w:szCs w:val="21"/>
          <w:highlight w:val="none"/>
        </w:rPr>
        <w:t>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556C6140">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00543753">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02A9C49">
      <w:pPr>
        <w:rPr>
          <w:rFonts w:hint="eastAsia" w:ascii="宋体" w:hAnsi="宋体"/>
          <w:b/>
          <w:color w:val="auto"/>
          <w:sz w:val="30"/>
          <w:szCs w:val="30"/>
          <w:highlight w:val="none"/>
        </w:rPr>
      </w:pPr>
    </w:p>
    <w:p w14:paraId="6EDF294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9"/>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73CCA11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p>
          <w:p w14:paraId="37D47D48">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元</w:t>
            </w:r>
            <w:r>
              <w:rPr>
                <w:rFonts w:hint="eastAsia" w:ascii="宋体"/>
                <w:color w:val="auto"/>
                <w:sz w:val="24"/>
                <w:highlight w:val="none"/>
                <w:u w:val="single"/>
              </w:rPr>
              <w:t xml:space="preserve"> </w:t>
            </w:r>
            <w:r>
              <w:rPr>
                <w:rFonts w:hint="eastAsia" w:ascii="宋体"/>
                <w:color w:val="auto"/>
                <w:sz w:val="24"/>
                <w:highlight w:val="none"/>
              </w:rPr>
              <w:t>；</w:t>
            </w:r>
          </w:p>
          <w:p w14:paraId="4261A58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响应招标文件要求。</w:t>
            </w:r>
          </w:p>
          <w:p w14:paraId="469684A3">
            <w:pPr>
              <w:pStyle w:val="23"/>
              <w:rPr>
                <w:rFonts w:hint="default" w:ascii="宋体"/>
                <w:color w:val="auto"/>
                <w:sz w:val="24"/>
                <w:highlight w:val="none"/>
                <w:lang w:val="en-US" w:eastAsia="zh-CN"/>
              </w:rPr>
            </w:pP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numberInDash"/>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4"/>
    <w:bookmarkEnd w:id="65"/>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214" w:name="_Toc58430333"/>
      <w:bookmarkStart w:id="215" w:name="_Toc449028957"/>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214"/>
      <w:bookmarkEnd w:id="215"/>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滁州经开区路灯节能改造及智慧化管控升级项目能源审计报告编制服务项目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滁州华城建设开发有限公司</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姜舒、李庆延</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联系电话：0550-3017151</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bookmarkStart w:id="216" w:name="_GoBack"/>
            <w:bookmarkEnd w:id="216"/>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3"/>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3"/>
      <w:framePr w:wrap="around" w:vAnchor="text" w:hAnchor="margin" w:xAlign="center" w:y="1"/>
      <w:tabs>
        <w:tab w:val="clear" w:pos="4153"/>
        <w:tab w:val="clear" w:pos="8306"/>
      </w:tabs>
      <w:rPr>
        <w:rStyle w:val="40"/>
        <w:rFonts w:hint="eastAsia"/>
      </w:rPr>
    </w:pPr>
  </w:p>
  <w:p w14:paraId="4E2F41FC">
    <w:pPr>
      <w:pStyle w:val="23"/>
      <w:tabs>
        <w:tab w:val="clear" w:pos="4153"/>
        <w:tab w:val="clear" w:pos="8306"/>
      </w:tabs>
      <w:rPr>
        <w:rFonts w:hint="eastAsia"/>
        <w:szCs w:val="21"/>
      </w:rPr>
    </w:pPr>
  </w:p>
  <w:p w14:paraId="00C9D172">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82EC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C82EC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BF166">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BF166">
                    <w:pPr>
                      <w:pStyle w:val="2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350"/>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170C55"/>
    <w:rsid w:val="0156352C"/>
    <w:rsid w:val="0160078A"/>
    <w:rsid w:val="016025FC"/>
    <w:rsid w:val="01727AD4"/>
    <w:rsid w:val="017C6D0A"/>
    <w:rsid w:val="018C519F"/>
    <w:rsid w:val="01910A08"/>
    <w:rsid w:val="01A56261"/>
    <w:rsid w:val="01CE57B8"/>
    <w:rsid w:val="01F1538A"/>
    <w:rsid w:val="01F30A1B"/>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22345"/>
    <w:rsid w:val="07342561"/>
    <w:rsid w:val="073C599D"/>
    <w:rsid w:val="073E5575"/>
    <w:rsid w:val="074128B0"/>
    <w:rsid w:val="074A10F8"/>
    <w:rsid w:val="0761194E"/>
    <w:rsid w:val="076432D3"/>
    <w:rsid w:val="07702E6D"/>
    <w:rsid w:val="0781151E"/>
    <w:rsid w:val="07927288"/>
    <w:rsid w:val="07B54D24"/>
    <w:rsid w:val="07B63215"/>
    <w:rsid w:val="07B77A9C"/>
    <w:rsid w:val="07BB67DE"/>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9C43EE"/>
    <w:rsid w:val="09AB5942"/>
    <w:rsid w:val="09B064D1"/>
    <w:rsid w:val="09BF2ED7"/>
    <w:rsid w:val="09BF7674"/>
    <w:rsid w:val="09F45FD8"/>
    <w:rsid w:val="09F806A3"/>
    <w:rsid w:val="0A0B50CF"/>
    <w:rsid w:val="0A0D1190"/>
    <w:rsid w:val="0A2456C5"/>
    <w:rsid w:val="0A2543E3"/>
    <w:rsid w:val="0A474057"/>
    <w:rsid w:val="0A4D018D"/>
    <w:rsid w:val="0A641E3D"/>
    <w:rsid w:val="0A6F38B0"/>
    <w:rsid w:val="0AA34B1B"/>
    <w:rsid w:val="0AAD7CD9"/>
    <w:rsid w:val="0AB6328D"/>
    <w:rsid w:val="0ABD15CE"/>
    <w:rsid w:val="0ABF263A"/>
    <w:rsid w:val="0AC260D6"/>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458C4"/>
    <w:rsid w:val="0D854328"/>
    <w:rsid w:val="0DDB1F25"/>
    <w:rsid w:val="0DE34346"/>
    <w:rsid w:val="0DF465A6"/>
    <w:rsid w:val="0DFC545B"/>
    <w:rsid w:val="0E004116"/>
    <w:rsid w:val="0E077E36"/>
    <w:rsid w:val="0E0E22E1"/>
    <w:rsid w:val="0E554C8F"/>
    <w:rsid w:val="0E5A2C39"/>
    <w:rsid w:val="0E736B11"/>
    <w:rsid w:val="0E7F3562"/>
    <w:rsid w:val="0E8E126E"/>
    <w:rsid w:val="0E8F4521"/>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37EF9"/>
    <w:rsid w:val="12864FA7"/>
    <w:rsid w:val="12957C2C"/>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1334FE"/>
    <w:rsid w:val="142F0857"/>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C50828"/>
    <w:rsid w:val="15D975F0"/>
    <w:rsid w:val="15EC6D9F"/>
    <w:rsid w:val="15F64207"/>
    <w:rsid w:val="15FB6C69"/>
    <w:rsid w:val="160B3752"/>
    <w:rsid w:val="16161084"/>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34811"/>
    <w:rsid w:val="188056B2"/>
    <w:rsid w:val="1887731B"/>
    <w:rsid w:val="188F3E61"/>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C46F7"/>
    <w:rsid w:val="19DE34A8"/>
    <w:rsid w:val="19E52623"/>
    <w:rsid w:val="19FA6457"/>
    <w:rsid w:val="1A0379A9"/>
    <w:rsid w:val="1A0B2274"/>
    <w:rsid w:val="1A187AC0"/>
    <w:rsid w:val="1A393B90"/>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10274"/>
    <w:rsid w:val="1BEC2FB3"/>
    <w:rsid w:val="1BEE345E"/>
    <w:rsid w:val="1BF209FD"/>
    <w:rsid w:val="1BF530EC"/>
    <w:rsid w:val="1C044843"/>
    <w:rsid w:val="1C165429"/>
    <w:rsid w:val="1C2F10F1"/>
    <w:rsid w:val="1C450915"/>
    <w:rsid w:val="1C4C7B54"/>
    <w:rsid w:val="1C6D30D8"/>
    <w:rsid w:val="1C7911F1"/>
    <w:rsid w:val="1C7B60E4"/>
    <w:rsid w:val="1C872CDB"/>
    <w:rsid w:val="1C940F54"/>
    <w:rsid w:val="1CCB47C0"/>
    <w:rsid w:val="1CE27F12"/>
    <w:rsid w:val="1CF3330B"/>
    <w:rsid w:val="1D0C2883"/>
    <w:rsid w:val="1D3B1144"/>
    <w:rsid w:val="1D44297A"/>
    <w:rsid w:val="1D4E4561"/>
    <w:rsid w:val="1D666893"/>
    <w:rsid w:val="1D703128"/>
    <w:rsid w:val="1D7C5FBA"/>
    <w:rsid w:val="1D81336E"/>
    <w:rsid w:val="1D9F19C4"/>
    <w:rsid w:val="1DA575B0"/>
    <w:rsid w:val="1DAF24EA"/>
    <w:rsid w:val="1DB375C5"/>
    <w:rsid w:val="1DB46449"/>
    <w:rsid w:val="1DBC69B5"/>
    <w:rsid w:val="1DC332DD"/>
    <w:rsid w:val="1DDB0E18"/>
    <w:rsid w:val="1DE80C95"/>
    <w:rsid w:val="1E061E25"/>
    <w:rsid w:val="1E14059F"/>
    <w:rsid w:val="1E226345"/>
    <w:rsid w:val="1E37428D"/>
    <w:rsid w:val="1E3A6C06"/>
    <w:rsid w:val="1E424E8A"/>
    <w:rsid w:val="1E4F4461"/>
    <w:rsid w:val="1E736290"/>
    <w:rsid w:val="1E8C6387"/>
    <w:rsid w:val="1E9A6CF6"/>
    <w:rsid w:val="1EA4490D"/>
    <w:rsid w:val="1EB06519"/>
    <w:rsid w:val="1EB458DE"/>
    <w:rsid w:val="1EC00497"/>
    <w:rsid w:val="1EDA5344"/>
    <w:rsid w:val="1EE613D0"/>
    <w:rsid w:val="1EF1268E"/>
    <w:rsid w:val="1EF21855"/>
    <w:rsid w:val="1EF501D6"/>
    <w:rsid w:val="1EF63213"/>
    <w:rsid w:val="1F022AED"/>
    <w:rsid w:val="1F066139"/>
    <w:rsid w:val="1F1830CB"/>
    <w:rsid w:val="1F1D4CEA"/>
    <w:rsid w:val="1F313050"/>
    <w:rsid w:val="1F3431EF"/>
    <w:rsid w:val="1F412ACD"/>
    <w:rsid w:val="1F536EA5"/>
    <w:rsid w:val="1F795115"/>
    <w:rsid w:val="1F896D6A"/>
    <w:rsid w:val="1FA51C58"/>
    <w:rsid w:val="1FA7649E"/>
    <w:rsid w:val="1FB97650"/>
    <w:rsid w:val="1FBE7B22"/>
    <w:rsid w:val="1FE0402B"/>
    <w:rsid w:val="200563F1"/>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F34E2"/>
    <w:rsid w:val="21505D92"/>
    <w:rsid w:val="21564CC5"/>
    <w:rsid w:val="21725E20"/>
    <w:rsid w:val="217F21D3"/>
    <w:rsid w:val="21894835"/>
    <w:rsid w:val="219F6403"/>
    <w:rsid w:val="21A148C9"/>
    <w:rsid w:val="21A84B20"/>
    <w:rsid w:val="21D06ED2"/>
    <w:rsid w:val="21D547D9"/>
    <w:rsid w:val="21E36C06"/>
    <w:rsid w:val="21F841CB"/>
    <w:rsid w:val="22094970"/>
    <w:rsid w:val="2216569B"/>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954F2"/>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746395"/>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AC094E"/>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91817"/>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94D4F"/>
    <w:rsid w:val="37A02925"/>
    <w:rsid w:val="37AC051B"/>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180C1C"/>
    <w:rsid w:val="392A1B36"/>
    <w:rsid w:val="392A34F7"/>
    <w:rsid w:val="392A4E38"/>
    <w:rsid w:val="393A6E69"/>
    <w:rsid w:val="39675500"/>
    <w:rsid w:val="396B1563"/>
    <w:rsid w:val="39754190"/>
    <w:rsid w:val="39BF57BB"/>
    <w:rsid w:val="39CD2DB0"/>
    <w:rsid w:val="39D92970"/>
    <w:rsid w:val="39FA113F"/>
    <w:rsid w:val="39FE7012"/>
    <w:rsid w:val="3A0D5454"/>
    <w:rsid w:val="3A1172F4"/>
    <w:rsid w:val="3A1F5EA9"/>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744EA"/>
    <w:rsid w:val="3BC767F9"/>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6B5E6E"/>
    <w:rsid w:val="3E8134BC"/>
    <w:rsid w:val="3E832EAB"/>
    <w:rsid w:val="3E864749"/>
    <w:rsid w:val="3E8D1F7B"/>
    <w:rsid w:val="3E9073D3"/>
    <w:rsid w:val="3EAC582F"/>
    <w:rsid w:val="3EB05C6A"/>
    <w:rsid w:val="3EC60FE9"/>
    <w:rsid w:val="3EC80F65"/>
    <w:rsid w:val="3ED35D96"/>
    <w:rsid w:val="3EE0310F"/>
    <w:rsid w:val="3F21764F"/>
    <w:rsid w:val="3F270382"/>
    <w:rsid w:val="3F4D34B9"/>
    <w:rsid w:val="3F511446"/>
    <w:rsid w:val="3F5C61BC"/>
    <w:rsid w:val="3F821E5A"/>
    <w:rsid w:val="3F826617"/>
    <w:rsid w:val="3F882148"/>
    <w:rsid w:val="3F8E7D59"/>
    <w:rsid w:val="3FAD5B09"/>
    <w:rsid w:val="3FAF5707"/>
    <w:rsid w:val="3FB35A12"/>
    <w:rsid w:val="3FD61700"/>
    <w:rsid w:val="3FD85683"/>
    <w:rsid w:val="3FFB4CC3"/>
    <w:rsid w:val="3FFF6096"/>
    <w:rsid w:val="40044B90"/>
    <w:rsid w:val="40112738"/>
    <w:rsid w:val="40153FD6"/>
    <w:rsid w:val="402042D4"/>
    <w:rsid w:val="40251BCC"/>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46DF5"/>
    <w:rsid w:val="424514EC"/>
    <w:rsid w:val="424B3CDF"/>
    <w:rsid w:val="424C228D"/>
    <w:rsid w:val="424E40FE"/>
    <w:rsid w:val="427E4A81"/>
    <w:rsid w:val="428C524B"/>
    <w:rsid w:val="42927D62"/>
    <w:rsid w:val="429338D8"/>
    <w:rsid w:val="429A5AFA"/>
    <w:rsid w:val="429B3874"/>
    <w:rsid w:val="429F5DD9"/>
    <w:rsid w:val="42AD499A"/>
    <w:rsid w:val="42B61086"/>
    <w:rsid w:val="42C26869"/>
    <w:rsid w:val="42CB4E20"/>
    <w:rsid w:val="42DD6902"/>
    <w:rsid w:val="42ED02B3"/>
    <w:rsid w:val="42FE6FA4"/>
    <w:rsid w:val="43000F6E"/>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C0994"/>
    <w:rsid w:val="448F024A"/>
    <w:rsid w:val="44B26298"/>
    <w:rsid w:val="44BE2E8F"/>
    <w:rsid w:val="44C45FCB"/>
    <w:rsid w:val="44C86593"/>
    <w:rsid w:val="44D02189"/>
    <w:rsid w:val="44D73F50"/>
    <w:rsid w:val="44F22B38"/>
    <w:rsid w:val="44FC1D24"/>
    <w:rsid w:val="44FE1514"/>
    <w:rsid w:val="451008C2"/>
    <w:rsid w:val="451277B0"/>
    <w:rsid w:val="4517259F"/>
    <w:rsid w:val="45196317"/>
    <w:rsid w:val="45246F22"/>
    <w:rsid w:val="452470E5"/>
    <w:rsid w:val="45280308"/>
    <w:rsid w:val="45390767"/>
    <w:rsid w:val="453B44DF"/>
    <w:rsid w:val="45435142"/>
    <w:rsid w:val="45464C32"/>
    <w:rsid w:val="45492AC0"/>
    <w:rsid w:val="45513D03"/>
    <w:rsid w:val="45675331"/>
    <w:rsid w:val="458021A9"/>
    <w:rsid w:val="45834749"/>
    <w:rsid w:val="458D5E58"/>
    <w:rsid w:val="458D7ACD"/>
    <w:rsid w:val="45AB63C3"/>
    <w:rsid w:val="45C40A8C"/>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D4D26"/>
    <w:rsid w:val="469F2601"/>
    <w:rsid w:val="46A82FBF"/>
    <w:rsid w:val="46AB40C3"/>
    <w:rsid w:val="46B5206F"/>
    <w:rsid w:val="46BA58D8"/>
    <w:rsid w:val="46C439A8"/>
    <w:rsid w:val="46CE7995"/>
    <w:rsid w:val="46D7323F"/>
    <w:rsid w:val="46E0501A"/>
    <w:rsid w:val="46FC1214"/>
    <w:rsid w:val="47021DBA"/>
    <w:rsid w:val="471F2FD5"/>
    <w:rsid w:val="4739206F"/>
    <w:rsid w:val="473D6B53"/>
    <w:rsid w:val="475D3DAD"/>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A15B1"/>
    <w:rsid w:val="48BE3AE4"/>
    <w:rsid w:val="48C742DC"/>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D40D75"/>
    <w:rsid w:val="4CDE3815"/>
    <w:rsid w:val="4D012DED"/>
    <w:rsid w:val="4D0D2958"/>
    <w:rsid w:val="4D145493"/>
    <w:rsid w:val="4D183358"/>
    <w:rsid w:val="4D2D4855"/>
    <w:rsid w:val="4D382097"/>
    <w:rsid w:val="4D393332"/>
    <w:rsid w:val="4D3B01A7"/>
    <w:rsid w:val="4D4746C5"/>
    <w:rsid w:val="4D4D1254"/>
    <w:rsid w:val="4D5A74CD"/>
    <w:rsid w:val="4D6759FB"/>
    <w:rsid w:val="4D6E3517"/>
    <w:rsid w:val="4D87403A"/>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7B7A"/>
    <w:rsid w:val="53C6061F"/>
    <w:rsid w:val="53E544DB"/>
    <w:rsid w:val="53F046E7"/>
    <w:rsid w:val="53F82EC8"/>
    <w:rsid w:val="54004D75"/>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36BF6"/>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9C7376"/>
    <w:rsid w:val="5ADF3707"/>
    <w:rsid w:val="5AE3249E"/>
    <w:rsid w:val="5AE56545"/>
    <w:rsid w:val="5AE92129"/>
    <w:rsid w:val="5AF102AB"/>
    <w:rsid w:val="5B163201"/>
    <w:rsid w:val="5B1A473F"/>
    <w:rsid w:val="5B2E3D47"/>
    <w:rsid w:val="5B37709F"/>
    <w:rsid w:val="5B3A0A34"/>
    <w:rsid w:val="5B6149A2"/>
    <w:rsid w:val="5B636D7E"/>
    <w:rsid w:val="5B7A1772"/>
    <w:rsid w:val="5B7A6DEA"/>
    <w:rsid w:val="5B7E6A7C"/>
    <w:rsid w:val="5BA20303"/>
    <w:rsid w:val="5BB26726"/>
    <w:rsid w:val="5BB926FC"/>
    <w:rsid w:val="5BCF1086"/>
    <w:rsid w:val="5BF54320"/>
    <w:rsid w:val="5C0C22DA"/>
    <w:rsid w:val="5C1633F6"/>
    <w:rsid w:val="5C246971"/>
    <w:rsid w:val="5C4867F4"/>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CF0079"/>
    <w:rsid w:val="5DD0374A"/>
    <w:rsid w:val="5DD064FA"/>
    <w:rsid w:val="5DDA30BD"/>
    <w:rsid w:val="5DE33611"/>
    <w:rsid w:val="5DEA03F9"/>
    <w:rsid w:val="5DEB5F1F"/>
    <w:rsid w:val="5DEB608F"/>
    <w:rsid w:val="5E023994"/>
    <w:rsid w:val="5E1E1CFB"/>
    <w:rsid w:val="5E211941"/>
    <w:rsid w:val="5E2719AF"/>
    <w:rsid w:val="5E283AD1"/>
    <w:rsid w:val="5E2C7B5F"/>
    <w:rsid w:val="5E37388C"/>
    <w:rsid w:val="5E481D94"/>
    <w:rsid w:val="5E49652D"/>
    <w:rsid w:val="5E55621E"/>
    <w:rsid w:val="5E556A51"/>
    <w:rsid w:val="5E6C7060"/>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92BEA"/>
    <w:rsid w:val="60FF41BB"/>
    <w:rsid w:val="61020C7F"/>
    <w:rsid w:val="612B3202"/>
    <w:rsid w:val="612C0D28"/>
    <w:rsid w:val="612C2F80"/>
    <w:rsid w:val="61406582"/>
    <w:rsid w:val="61543299"/>
    <w:rsid w:val="61592960"/>
    <w:rsid w:val="615A5A4D"/>
    <w:rsid w:val="61706E67"/>
    <w:rsid w:val="61AC41D6"/>
    <w:rsid w:val="61D70DF9"/>
    <w:rsid w:val="61D77A00"/>
    <w:rsid w:val="61EE148D"/>
    <w:rsid w:val="6200643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BB7E22"/>
    <w:rsid w:val="65C94D98"/>
    <w:rsid w:val="65F22540"/>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74610"/>
    <w:rsid w:val="672F48CC"/>
    <w:rsid w:val="6730396A"/>
    <w:rsid w:val="67346B89"/>
    <w:rsid w:val="6751773B"/>
    <w:rsid w:val="67801EB9"/>
    <w:rsid w:val="67A71109"/>
    <w:rsid w:val="67C76B2D"/>
    <w:rsid w:val="67CE0D8B"/>
    <w:rsid w:val="67E561A8"/>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9944EC"/>
    <w:rsid w:val="69995724"/>
    <w:rsid w:val="69B47EE5"/>
    <w:rsid w:val="69C4686C"/>
    <w:rsid w:val="69D63F27"/>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61F48"/>
    <w:rsid w:val="6AE85CC0"/>
    <w:rsid w:val="6AF7771D"/>
    <w:rsid w:val="6B016B32"/>
    <w:rsid w:val="6B036F9E"/>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A1081C"/>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7C509D"/>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56248"/>
    <w:rsid w:val="707D50FC"/>
    <w:rsid w:val="707E0FD5"/>
    <w:rsid w:val="707F70C6"/>
    <w:rsid w:val="70867402"/>
    <w:rsid w:val="70A95654"/>
    <w:rsid w:val="70C312D3"/>
    <w:rsid w:val="70C37614"/>
    <w:rsid w:val="70D43718"/>
    <w:rsid w:val="70DA254F"/>
    <w:rsid w:val="70F73101"/>
    <w:rsid w:val="7116172E"/>
    <w:rsid w:val="71241D10"/>
    <w:rsid w:val="712437CA"/>
    <w:rsid w:val="712D0854"/>
    <w:rsid w:val="712D6B22"/>
    <w:rsid w:val="713B389B"/>
    <w:rsid w:val="7142463B"/>
    <w:rsid w:val="7170057B"/>
    <w:rsid w:val="71910D2E"/>
    <w:rsid w:val="71AC2056"/>
    <w:rsid w:val="71C1345D"/>
    <w:rsid w:val="71CB2462"/>
    <w:rsid w:val="71D445CE"/>
    <w:rsid w:val="71DA38CD"/>
    <w:rsid w:val="71E25B41"/>
    <w:rsid w:val="71F650B9"/>
    <w:rsid w:val="720F6001"/>
    <w:rsid w:val="72310399"/>
    <w:rsid w:val="72473CB6"/>
    <w:rsid w:val="724C122A"/>
    <w:rsid w:val="72686E3D"/>
    <w:rsid w:val="727A26C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919EC"/>
    <w:rsid w:val="7B5C232E"/>
    <w:rsid w:val="7B5E12BB"/>
    <w:rsid w:val="7B637C47"/>
    <w:rsid w:val="7BA43E85"/>
    <w:rsid w:val="7BBF4208"/>
    <w:rsid w:val="7BC0312E"/>
    <w:rsid w:val="7BC62E25"/>
    <w:rsid w:val="7BD02203"/>
    <w:rsid w:val="7BD2200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CC138F"/>
    <w:rsid w:val="7CD93821"/>
    <w:rsid w:val="7CD95805"/>
    <w:rsid w:val="7CDB5685"/>
    <w:rsid w:val="7CE309DD"/>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EA5FA6"/>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link w:val="61"/>
    <w:qFormat/>
    <w:uiPriority w:val="99"/>
    <w:rPr>
      <w:rFonts w:ascii="宋体"/>
      <w:color w:val="000000"/>
      <w:szCs w:val="20"/>
      <w:u w:val="none" w:color="000000"/>
    </w:rPr>
  </w:style>
  <w:style w:type="paragraph" w:styleId="19">
    <w:name w:val="Date"/>
    <w:basedOn w:val="1"/>
    <w:next w:val="1"/>
    <w:link w:val="62"/>
    <w:autoRedefine/>
    <w:qFormat/>
    <w:uiPriority w:val="0"/>
    <w:rPr>
      <w:rFonts w:ascii="Arial" w:hAnsi="Arial" w:eastAsia="仿宋_GB2312"/>
      <w:color w:val="000000"/>
      <w:sz w:val="32"/>
      <w:szCs w:val="20"/>
      <w:u w:val="none" w:color="000000"/>
    </w:rPr>
  </w:style>
  <w:style w:type="paragraph" w:styleId="20">
    <w:name w:val="Body Text Indent 2"/>
    <w:basedOn w:val="1"/>
    <w:link w:val="63"/>
    <w:qFormat/>
    <w:uiPriority w:val="0"/>
    <w:pPr>
      <w:spacing w:after="120" w:line="480" w:lineRule="auto"/>
      <w:ind w:left="420" w:leftChars="200"/>
    </w:pPr>
  </w:style>
  <w:style w:type="paragraph" w:styleId="21">
    <w:name w:val="endnote text"/>
    <w:basedOn w:val="1"/>
    <w:autoRedefine/>
    <w:qFormat/>
    <w:uiPriority w:val="99"/>
    <w:pPr>
      <w:snapToGrid w:val="0"/>
    </w:pPr>
    <w:rPr>
      <w:rFonts w:ascii="仿宋" w:hAnsi="仿宋"/>
    </w:rPr>
  </w:style>
  <w:style w:type="paragraph" w:styleId="22">
    <w:name w:val="Balloon Text"/>
    <w:basedOn w:val="1"/>
    <w:link w:val="64"/>
    <w:autoRedefine/>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8"/>
    <w:qFormat/>
    <w:uiPriority w:val="99"/>
    <w:rPr>
      <w:rFonts w:ascii="宋体" w:eastAsia="宋体"/>
      <w:color w:val="000000"/>
      <w:kern w:val="2"/>
      <w:sz w:val="21"/>
      <w:u w:val="none" w:color="000000"/>
      <w:lang w:val="en-US" w:eastAsia="zh-CN" w:bidi="ar-SA"/>
    </w:rPr>
  </w:style>
  <w:style w:type="character" w:customStyle="1" w:styleId="62">
    <w:name w:val="日期 字符"/>
    <w:link w:val="19"/>
    <w:qFormat/>
    <w:uiPriority w:val="0"/>
    <w:rPr>
      <w:rFonts w:ascii="Arial" w:hAnsi="Arial" w:eastAsia="仿宋_GB2312"/>
      <w:color w:val="000000"/>
      <w:kern w:val="2"/>
      <w:sz w:val="32"/>
      <w:u w:val="none" w:color="000000"/>
    </w:rPr>
  </w:style>
  <w:style w:type="character" w:customStyle="1" w:styleId="63">
    <w:name w:val="正文文本缩进 2 字符"/>
    <w:link w:val="20"/>
    <w:autoRedefine/>
    <w:qFormat/>
    <w:uiPriority w:val="0"/>
    <w:rPr>
      <w:kern w:val="2"/>
      <w:sz w:val="21"/>
      <w:szCs w:val="24"/>
    </w:rPr>
  </w:style>
  <w:style w:type="character" w:customStyle="1" w:styleId="64">
    <w:name w:val="批注框文本 字符"/>
    <w:link w:val="22"/>
    <w:qFormat/>
    <w:uiPriority w:val="0"/>
    <w:rPr>
      <w:kern w:val="2"/>
      <w:sz w:val="18"/>
      <w:szCs w:val="18"/>
    </w:rPr>
  </w:style>
  <w:style w:type="character" w:customStyle="1" w:styleId="65">
    <w:name w:val="页脚 字符"/>
    <w:link w:val="23"/>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layui-layer-tabnow"/>
    <w:basedOn w:val="38"/>
    <w:qFormat/>
    <w:uiPriority w:val="0"/>
    <w:rPr>
      <w:bdr w:val="single" w:color="CCCCCC" w:sz="6" w:space="0"/>
      <w:shd w:val="clear" w:fill="FFFFFF"/>
    </w:rPr>
  </w:style>
  <w:style w:type="character" w:customStyle="1" w:styleId="152">
    <w:name w:val="timeaxis"/>
    <w:basedOn w:val="38"/>
    <w:qFormat/>
    <w:uiPriority w:val="0"/>
  </w:style>
  <w:style w:type="character" w:customStyle="1" w:styleId="153">
    <w:name w:val="status"/>
    <w:basedOn w:val="38"/>
    <w:qFormat/>
    <w:uiPriority w:val="0"/>
    <w:rPr>
      <w:color w:val="0776DD"/>
    </w:rPr>
  </w:style>
  <w:style w:type="character" w:customStyle="1" w:styleId="154">
    <w:name w:val="room"/>
    <w:basedOn w:val="38"/>
    <w:qFormat/>
    <w:uiPriority w:val="0"/>
  </w:style>
  <w:style w:type="character" w:customStyle="1" w:styleId="155">
    <w:name w:val="time"/>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12134</Words>
  <Characters>13550</Characters>
  <Lines>358</Lines>
  <Paragraphs>100</Paragraphs>
  <TotalTime>3</TotalTime>
  <ScaleCrop>false</ScaleCrop>
  <LinksUpToDate>false</LinksUpToDate>
  <CharactersWithSpaces>13747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2026-07-16T10:08:00Z</cp:lastPrinted>
  <dcterms:modified xsi:type="dcterms:W3CDTF">2026-07-20T08:46:30Z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