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99822">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07F15264">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577BCD98">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526AF4D2">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31BA949B">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2024版本</w:t>
      </w:r>
      <w:r>
        <w:rPr>
          <w:rFonts w:hint="eastAsia"/>
          <w:b/>
          <w:bCs/>
          <w:color w:val="auto"/>
          <w:sz w:val="52"/>
          <w:szCs w:val="52"/>
          <w:highlight w:val="none"/>
        </w:rPr>
        <w:t>）</w:t>
      </w:r>
    </w:p>
    <w:bookmarkEnd w:id="0"/>
    <w:p w14:paraId="2C7FB84B">
      <w:pPr>
        <w:tabs>
          <w:tab w:val="left" w:pos="315"/>
          <w:tab w:val="left" w:pos="8820"/>
        </w:tabs>
        <w:spacing w:before="240" w:beforeLines="100" w:after="120" w:afterLines="50" w:line="500" w:lineRule="exact"/>
        <w:ind w:right="254" w:rightChars="127"/>
        <w:jc w:val="center"/>
        <w:rPr>
          <w:rFonts w:hint="eastAsia" w:ascii="兰米小标宋" w:hAnsi="兰米小标宋" w:eastAsia="兰米小标宋" w:cs="兰米小标宋"/>
          <w:bCs/>
          <w:color w:val="auto"/>
          <w:sz w:val="44"/>
          <w:szCs w:val="44"/>
          <w:highlight w:val="none"/>
        </w:rPr>
      </w:pPr>
    </w:p>
    <w:p w14:paraId="4CA4A1CC">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BA93B5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51CA7D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C1CE1B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68A4CF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651ABAD">
      <w:pPr>
        <w:keepNext w:val="0"/>
        <w:keepLines w:val="0"/>
        <w:pageBreakBefore w:val="0"/>
        <w:widowControl w:val="0"/>
        <w:tabs>
          <w:tab w:val="left" w:pos="2410"/>
        </w:tabs>
        <w:kinsoku/>
        <w:wordWrap w:val="0"/>
        <w:overflowPunct/>
        <w:topLinePunct w:val="0"/>
        <w:autoSpaceDE w:val="0"/>
        <w:autoSpaceDN w:val="0"/>
        <w:bidi w:val="0"/>
        <w:adjustRightInd w:val="0"/>
        <w:snapToGrid w:val="0"/>
        <w:spacing w:line="360" w:lineRule="auto"/>
        <w:textAlignment w:val="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2025年市直代两区管养县道增设交通安防设施项目</w:t>
      </w:r>
    </w:p>
    <w:p w14:paraId="7C49F3A2">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czsjcg202509-051</w:t>
      </w:r>
    </w:p>
    <w:p w14:paraId="3D1CD815">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滁州市公路管理服务中心</w:t>
      </w:r>
    </w:p>
    <w:p w14:paraId="0EE1BA94">
      <w:pPr>
        <w:tabs>
          <w:tab w:val="left" w:pos="2410"/>
        </w:tabs>
        <w:autoSpaceDE w:val="0"/>
        <w:autoSpaceDN w:val="0"/>
        <w:adjustRightInd w:val="0"/>
        <w:snapToGrid w:val="0"/>
        <w:spacing w:line="360" w:lineRule="auto"/>
        <w:rPr>
          <w:b/>
          <w:bCs/>
          <w:color w:val="auto"/>
          <w:sz w:val="44"/>
          <w:szCs w:val="44"/>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滁州市城投工程咨询管理有限公司</w:t>
      </w:r>
    </w:p>
    <w:p w14:paraId="785C9C2B">
      <w:pPr>
        <w:tabs>
          <w:tab w:val="left" w:pos="2410"/>
        </w:tabs>
        <w:autoSpaceDE w:val="0"/>
        <w:autoSpaceDN w:val="0"/>
        <w:adjustRightInd w:val="0"/>
        <w:snapToGrid w:val="0"/>
        <w:spacing w:line="360" w:lineRule="auto"/>
        <w:jc w:val="center"/>
        <w:rPr>
          <w:b/>
          <w:color w:val="auto"/>
          <w:sz w:val="36"/>
          <w:highlight w:val="none"/>
        </w:rPr>
      </w:pPr>
    </w:p>
    <w:p w14:paraId="38925FCE">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rPr>
        <w:t xml:space="preserve"> </w:t>
      </w:r>
      <w:r>
        <w:rPr>
          <w:rFonts w:hint="eastAsia"/>
          <w:b/>
          <w:color w:val="auto"/>
          <w:sz w:val="36"/>
          <w:highlight w:val="none"/>
          <w:u w:val="single"/>
          <w:lang w:val="en-US" w:eastAsia="zh-CN"/>
        </w:rPr>
        <w:t>2025</w:t>
      </w:r>
      <w:r>
        <w:rPr>
          <w:rFonts w:hint="eastAsia"/>
          <w:b/>
          <w:color w:val="auto"/>
          <w:sz w:val="36"/>
          <w:highlight w:val="none"/>
          <w:u w:val="single"/>
        </w:rPr>
        <w:t xml:space="preserve"> </w:t>
      </w:r>
      <w:r>
        <w:rPr>
          <w:rFonts w:hint="eastAsia"/>
          <w:b/>
          <w:color w:val="auto"/>
          <w:sz w:val="36"/>
          <w:highlight w:val="none"/>
        </w:rPr>
        <w:t>年</w:t>
      </w:r>
      <w:r>
        <w:rPr>
          <w:rFonts w:hint="eastAsia"/>
          <w:b/>
          <w:color w:val="auto"/>
          <w:sz w:val="36"/>
          <w:highlight w:val="none"/>
          <w:u w:val="single"/>
        </w:rPr>
        <w:t xml:space="preserve"> </w:t>
      </w:r>
      <w:r>
        <w:rPr>
          <w:rFonts w:hint="eastAsia"/>
          <w:b/>
          <w:color w:val="auto"/>
          <w:sz w:val="36"/>
          <w:highlight w:val="none"/>
          <w:u w:val="single"/>
          <w:lang w:val="en-US" w:eastAsia="zh-CN"/>
        </w:rPr>
        <w:t>9</w:t>
      </w:r>
      <w:r>
        <w:rPr>
          <w:rFonts w:hint="eastAsia"/>
          <w:b/>
          <w:color w:val="auto"/>
          <w:sz w:val="36"/>
          <w:highlight w:val="none"/>
          <w:u w:val="single"/>
        </w:rPr>
        <w:t xml:space="preserve"> </w:t>
      </w:r>
      <w:r>
        <w:rPr>
          <w:rFonts w:hint="eastAsia"/>
          <w:b/>
          <w:color w:val="auto"/>
          <w:sz w:val="36"/>
          <w:highlight w:val="none"/>
        </w:rPr>
        <w:t>月</w:t>
      </w:r>
      <w:r>
        <w:rPr>
          <w:b/>
          <w:color w:val="auto"/>
          <w:sz w:val="36"/>
          <w:highlight w:val="none"/>
        </w:rPr>
        <w:br w:type="page"/>
      </w:r>
    </w:p>
    <w:p w14:paraId="02BC44AD">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5A175174">
      <w:pPr>
        <w:tabs>
          <w:tab w:val="left" w:pos="2410"/>
        </w:tabs>
        <w:autoSpaceDE w:val="0"/>
        <w:autoSpaceDN w:val="0"/>
        <w:adjustRightInd w:val="0"/>
        <w:snapToGrid w:val="0"/>
        <w:spacing w:line="360" w:lineRule="auto"/>
        <w:jc w:val="center"/>
        <w:rPr>
          <w:b/>
          <w:color w:val="auto"/>
          <w:sz w:val="28"/>
          <w:highlight w:val="none"/>
        </w:rPr>
      </w:pPr>
    </w:p>
    <w:p w14:paraId="61B79670">
      <w:pPr>
        <w:pStyle w:val="35"/>
        <w:tabs>
          <w:tab w:val="right" w:leader="dot" w:pos="8279"/>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_Toc11403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w:t>
      </w:r>
      <w:r>
        <w:rPr>
          <w:rFonts w:hint="eastAsia" w:asciiTheme="minorEastAsia" w:hAnsiTheme="minorEastAsia"/>
          <w:highlight w:val="none"/>
          <w:lang w:val="en-US" w:eastAsia="zh-CN"/>
        </w:rPr>
        <w:t>邀请</w:t>
      </w:r>
      <w:r>
        <w:tab/>
      </w:r>
      <w:r>
        <w:fldChar w:fldCharType="begin"/>
      </w:r>
      <w:r>
        <w:instrText xml:space="preserve"> PAGEREF _Toc11403 \h </w:instrText>
      </w:r>
      <w:r>
        <w:fldChar w:fldCharType="separate"/>
      </w:r>
      <w:r>
        <w:t>1</w:t>
      </w:r>
      <w:r>
        <w:fldChar w:fldCharType="end"/>
      </w:r>
      <w:r>
        <w:rPr>
          <w:rFonts w:asciiTheme="minorEastAsia" w:hAnsiTheme="minorEastAsia"/>
          <w:color w:val="auto"/>
          <w:szCs w:val="24"/>
          <w:highlight w:val="none"/>
        </w:rPr>
        <w:fldChar w:fldCharType="end"/>
      </w:r>
    </w:p>
    <w:p w14:paraId="2FC5CE54">
      <w:pPr>
        <w:pStyle w:val="35"/>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_Toc28080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_Toc28080 \h </w:instrText>
      </w:r>
      <w:r>
        <w:fldChar w:fldCharType="separate"/>
      </w:r>
      <w:r>
        <w:t>5</w:t>
      </w:r>
      <w:r>
        <w:fldChar w:fldCharType="end"/>
      </w:r>
      <w:r>
        <w:rPr>
          <w:rFonts w:asciiTheme="minorEastAsia" w:hAnsiTheme="minorEastAsia"/>
          <w:color w:val="auto"/>
          <w:szCs w:val="24"/>
          <w:highlight w:val="none"/>
        </w:rPr>
        <w:fldChar w:fldCharType="end"/>
      </w:r>
    </w:p>
    <w:p w14:paraId="52591B97">
      <w:pPr>
        <w:pStyle w:val="35"/>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_Toc30873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_Toc30873 \h </w:instrText>
      </w:r>
      <w:r>
        <w:fldChar w:fldCharType="separate"/>
      </w:r>
      <w:r>
        <w:t>23</w:t>
      </w:r>
      <w:r>
        <w:fldChar w:fldCharType="end"/>
      </w:r>
      <w:r>
        <w:rPr>
          <w:rFonts w:asciiTheme="minorEastAsia" w:hAnsiTheme="minorEastAsia"/>
          <w:color w:val="auto"/>
          <w:szCs w:val="24"/>
          <w:highlight w:val="none"/>
        </w:rPr>
        <w:fldChar w:fldCharType="end"/>
      </w:r>
    </w:p>
    <w:p w14:paraId="765AB427">
      <w:pPr>
        <w:pStyle w:val="35"/>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_Toc11353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_Toc11353 \h </w:instrText>
      </w:r>
      <w:r>
        <w:fldChar w:fldCharType="separate"/>
      </w:r>
      <w:r>
        <w:t>24</w:t>
      </w:r>
      <w:r>
        <w:fldChar w:fldCharType="end"/>
      </w:r>
      <w:r>
        <w:rPr>
          <w:rFonts w:asciiTheme="minorEastAsia" w:hAnsiTheme="minorEastAsia"/>
          <w:color w:val="auto"/>
          <w:szCs w:val="24"/>
          <w:highlight w:val="none"/>
        </w:rPr>
        <w:fldChar w:fldCharType="end"/>
      </w:r>
    </w:p>
    <w:p w14:paraId="4A62DC41">
      <w:pPr>
        <w:pStyle w:val="35"/>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_Toc31277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_Toc31277 \h </w:instrText>
      </w:r>
      <w:r>
        <w:fldChar w:fldCharType="separate"/>
      </w:r>
      <w:r>
        <w:t>33</w:t>
      </w:r>
      <w:r>
        <w:fldChar w:fldCharType="end"/>
      </w:r>
      <w:r>
        <w:rPr>
          <w:rFonts w:asciiTheme="minorEastAsia" w:hAnsiTheme="minorEastAsia"/>
          <w:color w:val="auto"/>
          <w:szCs w:val="24"/>
          <w:highlight w:val="none"/>
        </w:rPr>
        <w:fldChar w:fldCharType="end"/>
      </w:r>
    </w:p>
    <w:p w14:paraId="75276FF1">
      <w:pPr>
        <w:pStyle w:val="35"/>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_Toc22734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tab/>
      </w:r>
      <w:r>
        <w:fldChar w:fldCharType="begin"/>
      </w:r>
      <w:r>
        <w:instrText xml:space="preserve"> PAGEREF _Toc22734 \h </w:instrText>
      </w:r>
      <w:r>
        <w:fldChar w:fldCharType="separate"/>
      </w:r>
      <w:r>
        <w:t>45</w:t>
      </w:r>
      <w:r>
        <w:fldChar w:fldCharType="end"/>
      </w:r>
      <w:r>
        <w:rPr>
          <w:rFonts w:asciiTheme="minorEastAsia" w:hAnsiTheme="minorEastAsia"/>
          <w:color w:val="auto"/>
          <w:szCs w:val="24"/>
          <w:highlight w:val="none"/>
        </w:rPr>
        <w:fldChar w:fldCharType="end"/>
      </w:r>
    </w:p>
    <w:p w14:paraId="57790592">
      <w:pPr>
        <w:pStyle w:val="35"/>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_Toc24879 </w:instrText>
      </w:r>
      <w:r>
        <w:rPr>
          <w:rFonts w:asciiTheme="minorEastAsia" w:hAnsiTheme="minorEastAsia"/>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tab/>
      </w:r>
      <w:r>
        <w:fldChar w:fldCharType="begin"/>
      </w:r>
      <w:r>
        <w:instrText xml:space="preserve"> PAGEREF _Toc24879 \h </w:instrText>
      </w:r>
      <w:r>
        <w:fldChar w:fldCharType="separate"/>
      </w:r>
      <w:r>
        <w:t>45</w:t>
      </w:r>
      <w:r>
        <w:fldChar w:fldCharType="end"/>
      </w:r>
      <w:r>
        <w:rPr>
          <w:rFonts w:asciiTheme="minorEastAsia" w:hAnsiTheme="minorEastAsia"/>
          <w:color w:val="auto"/>
          <w:szCs w:val="24"/>
          <w:highlight w:val="none"/>
        </w:rPr>
        <w:fldChar w:fldCharType="end"/>
      </w:r>
    </w:p>
    <w:p w14:paraId="1A68ED6A">
      <w:pPr>
        <w:pStyle w:val="45"/>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p>
    <w:p w14:paraId="164CE224">
      <w:pPr>
        <w:pStyle w:val="6"/>
        <w:sectPr>
          <w:headerReference r:id="rId3" w:type="default"/>
          <w:footerReference r:id="rId4" w:type="default"/>
          <w:pgSz w:w="11907" w:h="16840"/>
          <w:pgMar w:top="1474" w:right="1814" w:bottom="1474" w:left="1814" w:header="851" w:footer="992" w:gutter="0"/>
          <w:cols w:space="720" w:num="1"/>
          <w:docGrid w:linePitch="462" w:charSpace="0"/>
        </w:sectPr>
      </w:pPr>
    </w:p>
    <w:p w14:paraId="4033D27C">
      <w:pPr>
        <w:spacing w:line="360" w:lineRule="auto"/>
        <w:jc w:val="center"/>
        <w:outlineLvl w:val="0"/>
        <w:rPr>
          <w:rFonts w:hint="eastAsia" w:asciiTheme="minorEastAsia" w:hAnsiTheme="minorEastAsia" w:eastAsiaTheme="minorEastAsia"/>
          <w:b/>
          <w:color w:val="auto"/>
          <w:sz w:val="28"/>
          <w:highlight w:val="none"/>
          <w:lang w:eastAsia="zh-CN"/>
        </w:rPr>
      </w:pPr>
      <w:bookmarkStart w:id="1" w:name="_Toc11403"/>
      <w:bookmarkStart w:id="2" w:name="_Toc1322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w:t>
      </w:r>
      <w:bookmarkEnd w:id="1"/>
      <w:r>
        <w:rPr>
          <w:rFonts w:hint="eastAsia" w:asciiTheme="minorEastAsia" w:hAnsiTheme="minorEastAsia" w:eastAsiaTheme="minorEastAsia"/>
          <w:b/>
          <w:color w:val="auto"/>
          <w:sz w:val="28"/>
          <w:highlight w:val="none"/>
          <w:lang w:val="en-US" w:eastAsia="zh-CN"/>
        </w:rPr>
        <w:t>邀请</w:t>
      </w:r>
    </w:p>
    <w:p w14:paraId="40EB5655">
      <w:pPr>
        <w:keepNext/>
        <w:keepLines/>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9"/>
        <w:rPr>
          <w:rFonts w:hint="eastAsia" w:ascii="仿宋" w:hAnsi="仿宋" w:eastAsia="仿宋" w:cs="仿宋"/>
          <w:b w:val="0"/>
          <w:color w:val="000000"/>
          <w:sz w:val="24"/>
          <w:szCs w:val="24"/>
          <w:highlight w:val="none"/>
        </w:rPr>
      </w:pPr>
      <w:r>
        <w:rPr>
          <w:rFonts w:hint="eastAsia" w:ascii="仿宋" w:hAnsi="仿宋" w:eastAsia="仿宋" w:cs="仿宋"/>
          <w:b w:val="0"/>
          <w:color w:val="000000"/>
          <w:sz w:val="24"/>
          <w:szCs w:val="24"/>
          <w:highlight w:val="none"/>
        </w:rPr>
        <w:t>项目概况</w:t>
      </w:r>
    </w:p>
    <w:p w14:paraId="12A1F398">
      <w:pPr>
        <w:keepNext/>
        <w:keepLines/>
        <w:pageBreakBefore w:val="0"/>
        <w:widowControl w:val="0"/>
        <w:kinsoku/>
        <w:wordWrap w:val="0"/>
        <w:overflowPunct/>
        <w:topLinePunct w:val="0"/>
        <w:autoSpaceDE/>
        <w:autoSpaceDN/>
        <w:bidi w:val="0"/>
        <w:adjustRightInd/>
        <w:snapToGrid/>
        <w:spacing w:before="0" w:after="0" w:line="440" w:lineRule="exact"/>
        <w:ind w:firstLine="480" w:firstLineChars="200"/>
        <w:textAlignment w:val="auto"/>
        <w:outlineLvl w:val="9"/>
        <w:rPr>
          <w:rFonts w:hint="eastAsia" w:ascii="黑体" w:hAnsi="黑体" w:cs="宋体"/>
          <w:b w:val="0"/>
          <w:color w:val="auto"/>
          <w:sz w:val="24"/>
          <w:szCs w:val="24"/>
          <w:highlight w:val="none"/>
        </w:rPr>
      </w:pPr>
      <w:r>
        <w:rPr>
          <w:rFonts w:hint="eastAsia" w:ascii="仿宋" w:hAnsi="仿宋" w:eastAsia="仿宋" w:cs="Times New Roman"/>
          <w:b w:val="0"/>
          <w:bCs w:val="0"/>
          <w:color w:val="000000"/>
          <w:kern w:val="2"/>
          <w:sz w:val="24"/>
          <w:szCs w:val="24"/>
          <w:highlight w:val="none"/>
          <w:u w:val="single"/>
          <w:lang w:val="en-US" w:eastAsia="zh-CN"/>
        </w:rPr>
        <w:t>2025年市直代两区管养县道增设交通安防设施项目</w:t>
      </w:r>
      <w:r>
        <w:rPr>
          <w:rFonts w:hint="eastAsia" w:ascii="仿宋" w:hAnsi="仿宋" w:eastAsia="仿宋" w:cs="仿宋"/>
          <w:b w:val="0"/>
          <w:color w:val="000000"/>
          <w:sz w:val="24"/>
          <w:szCs w:val="24"/>
          <w:highlight w:val="none"/>
        </w:rPr>
        <w:t>的潜在</w:t>
      </w:r>
      <w:r>
        <w:rPr>
          <w:rFonts w:hint="eastAsia" w:ascii="仿宋" w:hAnsi="仿宋" w:eastAsia="仿宋" w:cs="仿宋"/>
          <w:b w:val="0"/>
          <w:color w:val="000000"/>
          <w:sz w:val="24"/>
          <w:szCs w:val="24"/>
          <w:highlight w:val="none"/>
          <w:lang w:eastAsia="zh-CN"/>
        </w:rPr>
        <w:t>供应商</w:t>
      </w:r>
      <w:r>
        <w:rPr>
          <w:rFonts w:hint="eastAsia" w:ascii="仿宋" w:hAnsi="仿宋" w:eastAsia="仿宋" w:cs="仿宋"/>
          <w:b w:val="0"/>
          <w:color w:val="000000"/>
          <w:sz w:val="24"/>
          <w:szCs w:val="24"/>
          <w:highlight w:val="none"/>
        </w:rPr>
        <w:t>应在</w:t>
      </w:r>
      <w:r>
        <w:rPr>
          <w:rFonts w:hint="eastAsia" w:ascii="仿宋" w:hAnsi="仿宋" w:eastAsia="仿宋" w:cs="仿宋"/>
          <w:b w:val="0"/>
          <w:color w:val="000000"/>
          <w:sz w:val="24"/>
          <w:szCs w:val="24"/>
          <w:highlight w:val="none"/>
          <w:u w:val="single"/>
        </w:rPr>
        <w:t>滁州市公共资源交易中心</w:t>
      </w:r>
      <w:r>
        <w:rPr>
          <w:rFonts w:hint="eastAsia" w:ascii="仿宋" w:hAnsi="仿宋" w:eastAsia="仿宋" w:cs="仿宋"/>
          <w:b w:val="0"/>
          <w:color w:val="auto"/>
          <w:sz w:val="24"/>
          <w:szCs w:val="24"/>
          <w:highlight w:val="none"/>
          <w:u w:val="single"/>
        </w:rPr>
        <w:t>网（</w:t>
      </w:r>
      <w:r>
        <w:rPr>
          <w:rFonts w:hint="eastAsia" w:ascii="仿宋" w:hAnsi="仿宋" w:eastAsia="仿宋" w:cs="仿宋"/>
          <w:b w:val="0"/>
          <w:color w:val="auto"/>
          <w:sz w:val="24"/>
          <w:szCs w:val="24"/>
          <w:highlight w:val="none"/>
          <w:u w:val="single"/>
          <w:lang w:eastAsia="zh-CN"/>
        </w:rPr>
        <w:t>https://ggzy.chuzhou.gov.cn/</w:t>
      </w:r>
      <w:r>
        <w:rPr>
          <w:rFonts w:hint="eastAsia" w:ascii="仿宋" w:hAnsi="仿宋" w:eastAsia="仿宋" w:cs="仿宋"/>
          <w:b w:val="0"/>
          <w:color w:val="auto"/>
          <w:sz w:val="24"/>
          <w:szCs w:val="24"/>
          <w:highlight w:val="none"/>
          <w:u w:val="single"/>
        </w:rPr>
        <w:t>）</w:t>
      </w:r>
      <w:r>
        <w:rPr>
          <w:rFonts w:hint="eastAsia" w:ascii="仿宋" w:hAnsi="仿宋" w:eastAsia="仿宋" w:cs="仿宋"/>
          <w:b w:val="0"/>
          <w:color w:val="auto"/>
          <w:sz w:val="24"/>
          <w:szCs w:val="24"/>
          <w:highlight w:val="none"/>
        </w:rPr>
        <w:t>获取</w:t>
      </w:r>
      <w:r>
        <w:rPr>
          <w:rFonts w:hint="eastAsia" w:ascii="仿宋" w:hAnsi="仿宋" w:eastAsia="仿宋" w:cs="仿宋"/>
          <w:b w:val="0"/>
          <w:color w:val="auto"/>
          <w:sz w:val="24"/>
          <w:szCs w:val="24"/>
          <w:highlight w:val="none"/>
          <w:lang w:val="en-US" w:eastAsia="zh-CN"/>
        </w:rPr>
        <w:t>采购</w:t>
      </w:r>
      <w:r>
        <w:rPr>
          <w:rFonts w:hint="eastAsia" w:ascii="仿宋" w:hAnsi="仿宋" w:eastAsia="仿宋" w:cs="仿宋"/>
          <w:b w:val="0"/>
          <w:color w:val="auto"/>
          <w:sz w:val="24"/>
          <w:szCs w:val="24"/>
          <w:highlight w:val="none"/>
        </w:rPr>
        <w:t>文件，并于</w:t>
      </w:r>
      <w:r>
        <w:rPr>
          <w:rFonts w:hint="eastAsia" w:ascii="仿宋" w:hAnsi="仿宋" w:eastAsia="仿宋" w:cs="仿宋"/>
          <w:b w:val="0"/>
          <w:color w:val="auto"/>
          <w:sz w:val="24"/>
          <w:szCs w:val="24"/>
          <w:highlight w:val="none"/>
          <w:u w:val="single"/>
          <w:lang w:val="en-US" w:eastAsia="zh-CN"/>
        </w:rPr>
        <w:t>2025年10月14日8</w:t>
      </w:r>
      <w:r>
        <w:rPr>
          <w:rFonts w:hint="eastAsia" w:ascii="仿宋" w:hAnsi="仿宋" w:eastAsia="仿宋" w:cs="仿宋"/>
          <w:b w:val="0"/>
          <w:color w:val="auto"/>
          <w:sz w:val="24"/>
          <w:szCs w:val="24"/>
          <w:highlight w:val="none"/>
          <w:u w:val="single"/>
        </w:rPr>
        <w:t>点</w:t>
      </w:r>
      <w:r>
        <w:rPr>
          <w:rFonts w:hint="eastAsia" w:ascii="仿宋" w:hAnsi="仿宋" w:eastAsia="仿宋" w:cs="仿宋"/>
          <w:b w:val="0"/>
          <w:color w:val="auto"/>
          <w:sz w:val="24"/>
          <w:szCs w:val="24"/>
          <w:highlight w:val="none"/>
          <w:u w:val="single"/>
          <w:lang w:val="en-US" w:eastAsia="zh-CN"/>
        </w:rPr>
        <w:t>00</w:t>
      </w:r>
      <w:r>
        <w:rPr>
          <w:rFonts w:hint="eastAsia" w:ascii="仿宋" w:hAnsi="仿宋" w:eastAsia="仿宋" w:cs="仿宋"/>
          <w:b w:val="0"/>
          <w:color w:val="auto"/>
          <w:sz w:val="24"/>
          <w:szCs w:val="24"/>
          <w:highlight w:val="none"/>
          <w:u w:val="single"/>
        </w:rPr>
        <w:t>分</w:t>
      </w:r>
      <w:r>
        <w:rPr>
          <w:rFonts w:hint="eastAsia" w:ascii="仿宋" w:hAnsi="仿宋" w:eastAsia="仿宋" w:cs="仿宋"/>
          <w:b w:val="0"/>
          <w:color w:val="auto"/>
          <w:sz w:val="24"/>
          <w:szCs w:val="24"/>
          <w:highlight w:val="none"/>
        </w:rPr>
        <w:t>（北京时间）前递交</w:t>
      </w:r>
      <w:r>
        <w:rPr>
          <w:rFonts w:hint="eastAsia" w:ascii="仿宋" w:hAnsi="仿宋" w:eastAsia="仿宋" w:cs="仿宋"/>
          <w:b w:val="0"/>
          <w:color w:val="auto"/>
          <w:sz w:val="24"/>
          <w:szCs w:val="24"/>
          <w:highlight w:val="none"/>
          <w:lang w:eastAsia="zh-CN"/>
        </w:rPr>
        <w:t>响应</w:t>
      </w:r>
      <w:r>
        <w:rPr>
          <w:rFonts w:hint="eastAsia" w:ascii="仿宋" w:hAnsi="仿宋" w:eastAsia="仿宋" w:cs="仿宋"/>
          <w:b w:val="0"/>
          <w:color w:val="auto"/>
          <w:sz w:val="24"/>
          <w:szCs w:val="24"/>
          <w:highlight w:val="none"/>
        </w:rPr>
        <w:t>文件。</w:t>
      </w:r>
    </w:p>
    <w:p w14:paraId="653CBA8F">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一、项目基本情况</w:t>
      </w:r>
    </w:p>
    <w:p w14:paraId="4CAC9367">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项目编号：</w:t>
      </w:r>
      <w:r>
        <w:rPr>
          <w:rFonts w:hint="eastAsia" w:ascii="仿宋" w:hAnsi="仿宋" w:eastAsia="仿宋"/>
          <w:color w:val="auto"/>
          <w:sz w:val="24"/>
          <w:szCs w:val="24"/>
          <w:highlight w:val="none"/>
          <w:lang w:eastAsia="zh-CN"/>
        </w:rPr>
        <w:t xml:space="preserve">czsjcg202509-051  </w:t>
      </w:r>
      <w:r>
        <w:rPr>
          <w:rFonts w:hint="eastAsia" w:ascii="仿宋" w:hAnsi="仿宋" w:eastAsia="仿宋"/>
          <w:color w:val="auto"/>
          <w:sz w:val="24"/>
          <w:szCs w:val="24"/>
          <w:highlight w:val="none"/>
          <w:lang w:val="en-US" w:eastAsia="zh-CN"/>
        </w:rPr>
        <w:t xml:space="preserve"> </w:t>
      </w:r>
    </w:p>
    <w:p w14:paraId="038AAD7B">
      <w:pPr>
        <w:pageBreakBefore w:val="0"/>
        <w:kinsoku/>
        <w:overflowPunct/>
        <w:topLinePunct w:val="0"/>
        <w:autoSpaceDE/>
        <w:autoSpaceDN/>
        <w:bidi w:val="0"/>
        <w:adjustRightInd/>
        <w:snapToGrid/>
        <w:spacing w:line="440" w:lineRule="exact"/>
        <w:ind w:firstLine="480" w:firstLineChars="200"/>
        <w:textAlignment w:val="auto"/>
        <w:rPr>
          <w:rFonts w:ascii="仿宋" w:hAnsi="仿宋" w:eastAsia="仿宋"/>
          <w:color w:val="auto"/>
          <w:sz w:val="24"/>
          <w:szCs w:val="24"/>
          <w:highlight w:val="none"/>
          <w:u w:val="single"/>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lang w:val="en-US" w:eastAsia="zh-CN"/>
        </w:rPr>
        <w:t>2025年市直代两区管养县道增设交通安防设施项目</w:t>
      </w:r>
      <w:r>
        <w:rPr>
          <w:rFonts w:hint="eastAsia" w:ascii="仿宋" w:hAnsi="仿宋" w:eastAsia="仿宋"/>
          <w:color w:val="auto"/>
          <w:sz w:val="24"/>
          <w:szCs w:val="24"/>
          <w:highlight w:val="none"/>
        </w:rPr>
        <w:t xml:space="preserve"> </w:t>
      </w:r>
    </w:p>
    <w:p w14:paraId="2E886F9C">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采购方式：竞争性磋商</w:t>
      </w:r>
    </w:p>
    <w:p w14:paraId="52D14632">
      <w:pPr>
        <w:pageBreakBefore w:val="0"/>
        <w:kinsoku/>
        <w:overflowPunct/>
        <w:topLinePunct w:val="0"/>
        <w:autoSpaceDE/>
        <w:autoSpaceDN/>
        <w:bidi w:val="0"/>
        <w:adjustRightInd/>
        <w:snapToGrid/>
        <w:spacing w:line="440" w:lineRule="exact"/>
        <w:ind w:firstLine="480" w:firstLineChars="200"/>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预算金额：</w:t>
      </w:r>
      <w:r>
        <w:rPr>
          <w:rFonts w:hint="eastAsia" w:ascii="仿宋" w:hAnsi="仿宋" w:eastAsia="仿宋"/>
          <w:color w:val="auto"/>
          <w:sz w:val="24"/>
          <w:szCs w:val="24"/>
          <w:highlight w:val="none"/>
          <w:lang w:val="en-US" w:eastAsia="zh-CN"/>
        </w:rPr>
        <w:t>850000.00元</w:t>
      </w:r>
    </w:p>
    <w:p w14:paraId="24B1971E">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最高限价：</w:t>
      </w:r>
      <w:r>
        <w:rPr>
          <w:rFonts w:hint="eastAsia" w:ascii="仿宋" w:hAnsi="仿宋" w:eastAsia="仿宋"/>
          <w:color w:val="auto"/>
          <w:sz w:val="24"/>
          <w:szCs w:val="24"/>
          <w:highlight w:val="none"/>
          <w:lang w:val="en-US" w:eastAsia="zh-CN"/>
        </w:rPr>
        <w:t>845533.17</w:t>
      </w:r>
      <w:r>
        <w:rPr>
          <w:rFonts w:hint="eastAsia" w:ascii="仿宋" w:hAnsi="仿宋" w:eastAsia="仿宋"/>
          <w:color w:val="auto"/>
          <w:sz w:val="24"/>
          <w:szCs w:val="24"/>
          <w:highlight w:val="none"/>
        </w:rPr>
        <w:t>元</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报价不得高于最高限价，否则按无效处理。</w:t>
      </w:r>
    </w:p>
    <w:p w14:paraId="69402B35">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采购需求：</w:t>
      </w:r>
      <w:r>
        <w:rPr>
          <w:rFonts w:hint="eastAsia" w:ascii="仿宋" w:hAnsi="仿宋" w:eastAsia="仿宋"/>
          <w:color w:val="auto"/>
          <w:sz w:val="24"/>
          <w:szCs w:val="24"/>
          <w:highlight w:val="none"/>
          <w:lang w:val="en-US" w:eastAsia="zh-CN"/>
        </w:rPr>
        <w:t>项目内容主要是对市直代两区管养的X001、X002、X004、X005、X008等5条县道增设交通标志标牌、防撞护栏等安防设施</w:t>
      </w:r>
      <w:r>
        <w:rPr>
          <w:rFonts w:hint="eastAsia" w:ascii="仿宋" w:hAnsi="仿宋" w:eastAsia="仿宋"/>
          <w:color w:val="auto"/>
          <w:sz w:val="24"/>
          <w:szCs w:val="24"/>
          <w:highlight w:val="none"/>
        </w:rPr>
        <w:t>。</w:t>
      </w:r>
    </w:p>
    <w:p w14:paraId="752094BE">
      <w:pPr>
        <w:pageBreakBefore w:val="0"/>
        <w:kinsoku/>
        <w:overflowPunct/>
        <w:topLinePunct w:val="0"/>
        <w:autoSpaceDE/>
        <w:autoSpaceDN/>
        <w:bidi w:val="0"/>
        <w:adjustRightInd/>
        <w:snapToGrid/>
        <w:spacing w:line="440" w:lineRule="exact"/>
        <w:ind w:firstLine="480" w:firstLineChars="200"/>
        <w:textAlignment w:val="auto"/>
        <w:rPr>
          <w:rFonts w:hint="default" w:ascii="仿宋" w:hAnsi="仿宋" w:eastAsia="仿宋"/>
          <w:color w:val="auto"/>
          <w:sz w:val="24"/>
          <w:szCs w:val="24"/>
          <w:highlight w:val="none"/>
          <w:u w:val="single"/>
          <w:lang w:val="en-US" w:eastAsia="zh-CN"/>
        </w:rPr>
      </w:pPr>
      <w:r>
        <w:rPr>
          <w:rFonts w:hint="eastAsia" w:ascii="仿宋" w:hAnsi="仿宋" w:eastAsia="仿宋"/>
          <w:color w:val="auto"/>
          <w:sz w:val="24"/>
          <w:szCs w:val="24"/>
          <w:highlight w:val="none"/>
        </w:rPr>
        <w:t>合同履行期限：</w:t>
      </w:r>
      <w:r>
        <w:rPr>
          <w:rFonts w:hint="eastAsia" w:ascii="仿宋" w:hAnsi="仿宋" w:eastAsia="仿宋"/>
          <w:color w:val="auto"/>
          <w:sz w:val="24"/>
          <w:szCs w:val="24"/>
          <w:highlight w:val="none"/>
          <w:lang w:val="en-US" w:eastAsia="zh-CN"/>
        </w:rPr>
        <w:t>不高于60个日历天。</w:t>
      </w:r>
    </w:p>
    <w:p w14:paraId="2340E078">
      <w:pPr>
        <w:pageBreakBefore w:val="0"/>
        <w:kinsoku/>
        <w:overflowPunct/>
        <w:topLinePunct w:val="0"/>
        <w:autoSpaceDE/>
        <w:autoSpaceDN/>
        <w:bidi w:val="0"/>
        <w:adjustRightInd/>
        <w:snapToGrid/>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本项目</w:t>
      </w:r>
      <w:r>
        <w:rPr>
          <w:rFonts w:hint="eastAsia" w:ascii="仿宋" w:hAnsi="仿宋" w:eastAsia="仿宋"/>
          <w:color w:val="auto"/>
          <w:sz w:val="24"/>
          <w:szCs w:val="24"/>
          <w:highlight w:val="none"/>
          <w:lang w:val="en-US" w:eastAsia="zh-CN"/>
        </w:rPr>
        <w:t>不</w:t>
      </w:r>
      <w:r>
        <w:rPr>
          <w:rFonts w:hint="eastAsia" w:ascii="仿宋" w:hAnsi="仿宋" w:eastAsia="仿宋"/>
          <w:color w:val="auto"/>
          <w:sz w:val="24"/>
          <w:szCs w:val="24"/>
          <w:highlight w:val="none"/>
        </w:rPr>
        <w:t>接受联合体。</w:t>
      </w:r>
    </w:p>
    <w:p w14:paraId="0275CDE0">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eastAsia" w:ascii="黑体" w:hAnsi="黑体" w:eastAsia="黑体" w:cs="黑体"/>
          <w:b w:val="0"/>
          <w:color w:val="000000"/>
          <w:sz w:val="24"/>
          <w:szCs w:val="24"/>
          <w:highlight w:val="none"/>
        </w:rPr>
      </w:pPr>
      <w:bookmarkStart w:id="3" w:name="_Toc35393630"/>
      <w:bookmarkStart w:id="4" w:name="_Toc28359090"/>
      <w:bookmarkStart w:id="5" w:name="_Toc35393799"/>
      <w:bookmarkStart w:id="6" w:name="_Toc28359013"/>
      <w:r>
        <w:rPr>
          <w:rFonts w:hint="eastAsia" w:ascii="黑体" w:hAnsi="黑体" w:eastAsia="黑体" w:cs="黑体"/>
          <w:b w:val="0"/>
          <w:color w:val="000000"/>
          <w:sz w:val="24"/>
          <w:szCs w:val="24"/>
          <w:highlight w:val="none"/>
        </w:rPr>
        <w:t>二、申请人的资格要求</w:t>
      </w:r>
      <w:bookmarkEnd w:id="3"/>
      <w:bookmarkEnd w:id="4"/>
      <w:bookmarkEnd w:id="5"/>
      <w:bookmarkEnd w:id="6"/>
    </w:p>
    <w:p w14:paraId="7FE87D49">
      <w:pPr>
        <w:pageBreakBefore w:val="0"/>
        <w:kinsoku/>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highlight w:val="none"/>
        </w:rPr>
      </w:pPr>
      <w:r>
        <w:rPr>
          <w:rFonts w:hint="eastAsia" w:ascii="仿宋" w:hAnsi="仿宋" w:eastAsia="仿宋"/>
          <w:color w:val="000000"/>
          <w:sz w:val="24"/>
          <w:szCs w:val="24"/>
          <w:highlight w:val="none"/>
        </w:rPr>
        <w:t>1.满足《中华人民共和国政府采购法》第二十二条规定；</w:t>
      </w:r>
    </w:p>
    <w:p w14:paraId="104F3572">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olor w:val="000000"/>
          <w:sz w:val="24"/>
          <w:szCs w:val="24"/>
          <w:highlight w:val="none"/>
          <w:u w:val="single"/>
          <w:lang w:eastAsia="zh-CN"/>
        </w:rPr>
      </w:pPr>
      <w:bookmarkStart w:id="7" w:name="_Toc28359091"/>
      <w:bookmarkStart w:id="8" w:name="_Toc28359014"/>
      <w:r>
        <w:rPr>
          <w:rFonts w:ascii="仿宋" w:hAnsi="仿宋" w:eastAsia="仿宋"/>
          <w:color w:val="000000"/>
          <w:sz w:val="24"/>
          <w:szCs w:val="24"/>
          <w:highlight w:val="none"/>
        </w:rPr>
        <w:t>2</w:t>
      </w:r>
      <w:r>
        <w:rPr>
          <w:rFonts w:hint="eastAsia" w:ascii="仿宋" w:hAnsi="仿宋" w:eastAsia="仿宋"/>
          <w:color w:val="000000"/>
          <w:sz w:val="24"/>
          <w:szCs w:val="24"/>
          <w:highlight w:val="none"/>
        </w:rPr>
        <w:t>.落实政府采购政策需满足的资格要求：</w:t>
      </w:r>
      <w:r>
        <w:rPr>
          <w:rFonts w:hint="eastAsia" w:ascii="仿宋" w:hAnsi="仿宋" w:eastAsia="仿宋"/>
          <w:color w:val="000000"/>
          <w:sz w:val="24"/>
          <w:szCs w:val="24"/>
          <w:highlight w:val="none"/>
          <w:u w:val="single"/>
        </w:rPr>
        <w:t>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仿宋" w:hAnsi="仿宋" w:eastAsia="仿宋"/>
          <w:color w:val="000000"/>
          <w:sz w:val="24"/>
          <w:szCs w:val="24"/>
          <w:highlight w:val="none"/>
          <w:u w:val="single"/>
          <w:lang w:eastAsia="zh-CN"/>
        </w:rPr>
        <w:t>。</w:t>
      </w:r>
    </w:p>
    <w:p w14:paraId="08743945">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Times New Roman"/>
          <w:color w:val="000000"/>
          <w:sz w:val="24"/>
          <w:szCs w:val="24"/>
          <w:highlight w:val="none"/>
          <w:u w:val="single"/>
          <w:lang w:eastAsia="zh-CN"/>
        </w:rPr>
      </w:pPr>
      <w:r>
        <w:rPr>
          <w:rFonts w:hint="eastAsia" w:ascii="仿宋" w:hAnsi="仿宋" w:eastAsia="仿宋"/>
          <w:color w:val="000000"/>
          <w:sz w:val="24"/>
          <w:szCs w:val="24"/>
          <w:highlight w:val="none"/>
        </w:rPr>
        <w:t>3.本项目的特定资格要求：</w:t>
      </w:r>
      <w:bookmarkStart w:id="9" w:name="_Toc35393800"/>
      <w:bookmarkStart w:id="10" w:name="_Toc35393631"/>
      <w:r>
        <w:rPr>
          <w:rFonts w:hint="eastAsia" w:ascii="仿宋" w:hAnsi="仿宋" w:eastAsia="仿宋"/>
          <w:color w:val="000000"/>
          <w:sz w:val="24"/>
          <w:szCs w:val="24"/>
          <w:highlight w:val="none"/>
          <w:u w:val="single"/>
        </w:rPr>
        <w:t>①</w:t>
      </w:r>
      <w:r>
        <w:rPr>
          <w:rFonts w:hint="eastAsia" w:ascii="仿宋" w:hAnsi="仿宋" w:eastAsia="仿宋"/>
          <w:color w:val="000000"/>
          <w:sz w:val="24"/>
          <w:szCs w:val="24"/>
          <w:highlight w:val="none"/>
          <w:u w:val="single"/>
          <w:lang w:eastAsia="zh-CN"/>
        </w:rPr>
        <w:t>供应商具有公路交通工程专业承包（公路安全设施分项）二级或以上资质证书</w:t>
      </w:r>
      <w:r>
        <w:rPr>
          <w:rFonts w:hint="eastAsia" w:ascii="仿宋" w:hAnsi="仿宋" w:eastAsia="仿宋"/>
          <w:color w:val="000000"/>
          <w:sz w:val="24"/>
          <w:szCs w:val="24"/>
          <w:highlight w:val="none"/>
          <w:u w:val="single"/>
        </w:rPr>
        <w:t>；②拟任项目经理须具备</w:t>
      </w:r>
      <w:r>
        <w:rPr>
          <w:rFonts w:hint="eastAsia" w:ascii="仿宋" w:hAnsi="仿宋" w:eastAsia="仿宋"/>
          <w:color w:val="000000"/>
          <w:sz w:val="24"/>
          <w:szCs w:val="24"/>
          <w:highlight w:val="none"/>
          <w:u w:val="single"/>
          <w:lang w:eastAsia="zh-CN"/>
        </w:rPr>
        <w:t>公路工程专业二级或以上注册建造师证书</w:t>
      </w:r>
      <w:r>
        <w:rPr>
          <w:rFonts w:hint="eastAsia" w:ascii="仿宋" w:hAnsi="仿宋" w:eastAsia="仿宋"/>
          <w:color w:val="000000"/>
          <w:sz w:val="24"/>
          <w:szCs w:val="24"/>
          <w:highlight w:val="none"/>
          <w:u w:val="single"/>
        </w:rPr>
        <w:t>。</w:t>
      </w:r>
    </w:p>
    <w:p w14:paraId="22CE6166">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olor w:val="000000"/>
          <w:sz w:val="24"/>
          <w:szCs w:val="24"/>
          <w:highlight w:val="none"/>
        </w:rPr>
        <w:t>.</w:t>
      </w:r>
      <w:r>
        <w:rPr>
          <w:rFonts w:hint="eastAsia" w:ascii="仿宋" w:hAnsi="仿宋" w:eastAsia="仿宋" w:cs="仿宋"/>
          <w:i w:val="0"/>
          <w:caps w:val="0"/>
          <w:color w:val="000000"/>
          <w:spacing w:val="0"/>
          <w:sz w:val="24"/>
          <w:szCs w:val="24"/>
          <w:highlight w:val="none"/>
          <w:shd w:val="clear" w:color="auto" w:fill="FFFFFF"/>
        </w:rPr>
        <w:t>信誉要求：</w:t>
      </w:r>
      <w:r>
        <w:rPr>
          <w:rFonts w:hint="eastAsia" w:ascii="仿宋" w:hAnsi="仿宋" w:eastAsia="仿宋" w:cs="仿宋"/>
          <w:i w:val="0"/>
          <w:caps w:val="0"/>
          <w:color w:val="000000"/>
          <w:spacing w:val="0"/>
          <w:sz w:val="24"/>
          <w:szCs w:val="24"/>
          <w:highlight w:val="none"/>
          <w:shd w:val="clear" w:color="auto" w:fill="FFFFFF"/>
          <w:lang w:eastAsia="zh-CN"/>
        </w:rPr>
        <w:t>供应商</w:t>
      </w:r>
      <w:r>
        <w:rPr>
          <w:rFonts w:hint="eastAsia" w:ascii="仿宋" w:hAnsi="仿宋" w:eastAsia="仿宋" w:cs="仿宋"/>
          <w:i w:val="0"/>
          <w:caps w:val="0"/>
          <w:color w:val="000000"/>
          <w:spacing w:val="0"/>
          <w:sz w:val="24"/>
          <w:szCs w:val="24"/>
          <w:highlight w:val="none"/>
          <w:shd w:val="clear" w:color="auto" w:fill="FFFFFF"/>
        </w:rPr>
        <w:t>不得存在以下情形</w:t>
      </w:r>
      <w:r>
        <w:rPr>
          <w:rFonts w:hint="eastAsia" w:ascii="仿宋" w:hAnsi="仿宋" w:eastAsia="仿宋" w:cs="仿宋"/>
          <w:color w:val="000000"/>
          <w:sz w:val="24"/>
          <w:szCs w:val="24"/>
          <w:highlight w:val="none"/>
        </w:rPr>
        <w:t>：</w:t>
      </w:r>
    </w:p>
    <w:p w14:paraId="7ACE91B7">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①被列入“信用中国”网站“失信被执行人”的；</w:t>
      </w:r>
    </w:p>
    <w:p w14:paraId="5D1B10E5">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②被列入“信用中国”网站“重大税收违法失信主体”的；</w:t>
      </w:r>
    </w:p>
    <w:p w14:paraId="38B0116A">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③被列入“信用中国”网站 “严重失信主体名单”的；</w:t>
      </w:r>
    </w:p>
    <w:p w14:paraId="4525D8E3">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④在“信用中国”网站上披露的仍在公示期的严重失信行为(具体行为类别及判定依据见“信用中国”查询的严重失信行为类别及判定依据)的；</w:t>
      </w:r>
    </w:p>
    <w:p w14:paraId="341254D2">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⑤被列入国家企业信用信息公示系统网站“经营异常名录”或者“严重违法失信名单”的。</w:t>
      </w:r>
    </w:p>
    <w:p w14:paraId="5FE1BAE5">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⑥被列入中国政府采购网站“政府采购严重违法失信行为信息记录”的；</w:t>
      </w:r>
    </w:p>
    <w:p w14:paraId="038FD7BA">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caps w:val="0"/>
          <w:color w:val="000000"/>
          <w:spacing w:val="0"/>
          <w:sz w:val="24"/>
          <w:szCs w:val="24"/>
          <w:highlight w:val="none"/>
          <w:shd w:val="clear" w:color="auto" w:fill="FFFFFF"/>
          <w:lang w:eastAsia="zh-CN"/>
        </w:rPr>
      </w:pPr>
      <w:r>
        <w:rPr>
          <w:rFonts w:hint="eastAsia" w:ascii="仿宋" w:hAnsi="仿宋" w:eastAsia="仿宋" w:cs="仿宋"/>
          <w:i w:val="0"/>
          <w:caps w:val="0"/>
          <w:color w:val="000000"/>
          <w:spacing w:val="0"/>
          <w:sz w:val="24"/>
          <w:szCs w:val="24"/>
          <w:highlight w:val="none"/>
          <w:shd w:val="clear" w:color="auto" w:fill="FFFFFF"/>
        </w:rPr>
        <w:t>⑦前三年有行贿犯罪行为的单位和个人</w:t>
      </w:r>
      <w:r>
        <w:rPr>
          <w:rFonts w:hint="eastAsia" w:ascii="仿宋" w:hAnsi="仿宋" w:eastAsia="仿宋" w:cs="仿宋"/>
          <w:i w:val="0"/>
          <w:caps w:val="0"/>
          <w:color w:val="000000"/>
          <w:spacing w:val="0"/>
          <w:sz w:val="24"/>
          <w:szCs w:val="24"/>
          <w:highlight w:val="none"/>
          <w:shd w:val="clear" w:color="auto" w:fill="FFFFFF"/>
          <w:lang w:eastAsia="zh-CN"/>
        </w:rPr>
        <w:t>。</w:t>
      </w:r>
    </w:p>
    <w:p w14:paraId="5CCAE0B1">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Times New Roman"/>
          <w:color w:val="000000"/>
          <w:sz w:val="24"/>
          <w:szCs w:val="24"/>
          <w:highlight w:val="none"/>
          <w:u w:val="none"/>
          <w:lang w:eastAsia="zh-CN"/>
        </w:rPr>
      </w:pPr>
      <w:r>
        <w:rPr>
          <w:rFonts w:hint="eastAsia" w:ascii="仿宋" w:hAnsi="仿宋" w:eastAsia="仿宋" w:cs="Times New Roman"/>
          <w:color w:val="000000"/>
          <w:sz w:val="24"/>
          <w:szCs w:val="24"/>
          <w:highlight w:val="none"/>
          <w:u w:val="none"/>
          <w:lang w:val="en-US" w:eastAsia="zh-CN"/>
        </w:rPr>
        <w:t>5</w:t>
      </w:r>
      <w:r>
        <w:rPr>
          <w:rFonts w:hint="eastAsia" w:ascii="仿宋" w:hAnsi="仿宋" w:eastAsia="仿宋" w:cs="Times New Roman"/>
          <w:color w:val="000000"/>
          <w:sz w:val="24"/>
          <w:szCs w:val="24"/>
          <w:highlight w:val="none"/>
          <w:u w:val="none"/>
          <w:lang w:eastAsia="zh-CN"/>
        </w:rPr>
        <w:t>.供应商所属分公司、办事处等分支机构存在第</w:t>
      </w:r>
      <w:r>
        <w:rPr>
          <w:rFonts w:hint="eastAsia" w:ascii="仿宋" w:hAnsi="仿宋" w:eastAsia="仿宋" w:cs="Times New Roman"/>
          <w:color w:val="000000"/>
          <w:sz w:val="24"/>
          <w:szCs w:val="24"/>
          <w:highlight w:val="none"/>
          <w:u w:val="none"/>
          <w:lang w:val="en-US" w:eastAsia="zh-CN"/>
        </w:rPr>
        <w:t>4条信誉要求</w:t>
      </w:r>
      <w:r>
        <w:rPr>
          <w:rFonts w:hint="eastAsia" w:ascii="仿宋" w:hAnsi="仿宋" w:eastAsia="仿宋" w:cs="Times New Roman"/>
          <w:color w:val="000000"/>
          <w:sz w:val="24"/>
          <w:szCs w:val="24"/>
          <w:highlight w:val="none"/>
          <w:u w:val="none"/>
          <w:lang w:eastAsia="zh-CN"/>
        </w:rPr>
        <w:t>①</w:t>
      </w:r>
      <w:r>
        <w:rPr>
          <w:rFonts w:hint="eastAsia" w:ascii="仿宋" w:hAnsi="仿宋" w:eastAsia="仿宋" w:cs="Times New Roman"/>
          <w:color w:val="000000"/>
          <w:sz w:val="24"/>
          <w:szCs w:val="24"/>
          <w:highlight w:val="none"/>
          <w:u w:val="none"/>
          <w:lang w:val="en-US" w:eastAsia="zh-CN"/>
        </w:rPr>
        <w:t>-</w:t>
      </w:r>
      <w:r>
        <w:rPr>
          <w:rFonts w:hint="eastAsia" w:ascii="仿宋" w:hAnsi="仿宋" w:eastAsia="仿宋" w:cs="Times New Roman"/>
          <w:color w:val="000000"/>
          <w:sz w:val="24"/>
          <w:szCs w:val="24"/>
          <w:highlight w:val="none"/>
          <w:u w:val="none"/>
          <w:lang w:eastAsia="zh-CN"/>
        </w:rPr>
        <w:t>⑦项情形之一的，接受供应商参加本项目</w:t>
      </w:r>
    </w:p>
    <w:p w14:paraId="2324CA96">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cs="Times New Roman"/>
          <w:color w:val="000000"/>
          <w:sz w:val="24"/>
          <w:szCs w:val="24"/>
          <w:highlight w:val="none"/>
          <w:u w:val="none"/>
          <w:lang w:eastAsia="zh-CN"/>
        </w:rPr>
      </w:pPr>
      <w:r>
        <w:rPr>
          <w:rFonts w:hint="eastAsia" w:ascii="仿宋" w:hAnsi="仿宋" w:eastAsia="仿宋" w:cs="Times New Roman"/>
          <w:color w:val="000000"/>
          <w:sz w:val="24"/>
          <w:szCs w:val="24"/>
          <w:highlight w:val="none"/>
          <w:u w:val="none"/>
          <w:lang w:val="en-US" w:eastAsia="zh-CN"/>
        </w:rPr>
        <w:t>备注：</w:t>
      </w:r>
      <w:r>
        <w:rPr>
          <w:rFonts w:hint="eastAsia" w:ascii="仿宋" w:hAnsi="仿宋" w:eastAsia="仿宋" w:cs="Times New Roman"/>
          <w:color w:val="000000"/>
          <w:sz w:val="24"/>
          <w:szCs w:val="24"/>
          <w:highlight w:val="none"/>
          <w:u w:val="none"/>
          <w:lang w:eastAsia="zh-CN"/>
        </w:rPr>
        <w:t>第4、5条按照“关于联合惩戒失信行为加强信用查询管理的通知”查询或承诺</w:t>
      </w:r>
      <w:r>
        <w:rPr>
          <w:rFonts w:hint="eastAsia" w:ascii="仿宋" w:hAnsi="仿宋" w:eastAsia="仿宋" w:cs="Times New Roman"/>
          <w:color w:val="000000"/>
          <w:sz w:val="24"/>
          <w:szCs w:val="24"/>
          <w:highlight w:val="none"/>
          <w:u w:val="none"/>
          <w:lang w:val="en-US" w:eastAsia="zh-CN"/>
        </w:rPr>
        <w:t>。</w:t>
      </w:r>
    </w:p>
    <w:p w14:paraId="6A308D1D">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eastAsia" w:ascii="黑体" w:hAnsi="黑体" w:eastAsia="黑体" w:cs="黑体"/>
          <w:b w:val="0"/>
          <w:color w:val="000000"/>
          <w:sz w:val="24"/>
          <w:szCs w:val="24"/>
          <w:highlight w:val="none"/>
        </w:rPr>
      </w:pPr>
      <w:r>
        <w:rPr>
          <w:rFonts w:hint="eastAsia" w:ascii="黑体" w:hAnsi="黑体" w:eastAsia="黑体" w:cs="黑体"/>
          <w:b w:val="0"/>
          <w:color w:val="000000"/>
          <w:sz w:val="24"/>
          <w:szCs w:val="24"/>
          <w:highlight w:val="none"/>
        </w:rPr>
        <w:t>三、获取采购文件</w:t>
      </w:r>
      <w:bookmarkEnd w:id="7"/>
      <w:bookmarkEnd w:id="8"/>
      <w:bookmarkEnd w:id="9"/>
      <w:bookmarkEnd w:id="10"/>
    </w:p>
    <w:p w14:paraId="574A6B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时间：</w:t>
      </w:r>
      <w:r>
        <w:rPr>
          <w:rFonts w:hint="eastAsia" w:ascii="仿宋" w:hAnsi="仿宋" w:eastAsia="仿宋" w:cs="宋体"/>
          <w:color w:val="auto"/>
          <w:sz w:val="24"/>
          <w:szCs w:val="24"/>
          <w:highlight w:val="none"/>
          <w:u w:val="single"/>
          <w:lang w:val="en-US" w:eastAsia="zh-CN"/>
        </w:rPr>
        <w:t>2025年9月29日</w:t>
      </w:r>
      <w:r>
        <w:rPr>
          <w:rFonts w:hint="eastAsia" w:ascii="仿宋" w:hAnsi="仿宋" w:eastAsia="仿宋" w:cs="宋体"/>
          <w:color w:val="auto"/>
          <w:sz w:val="24"/>
          <w:szCs w:val="24"/>
          <w:highlight w:val="none"/>
        </w:rPr>
        <w:t>至</w:t>
      </w:r>
      <w:r>
        <w:rPr>
          <w:rFonts w:hint="eastAsia" w:ascii="仿宋" w:hAnsi="仿宋" w:eastAsia="仿宋" w:cs="宋体"/>
          <w:color w:val="auto"/>
          <w:sz w:val="24"/>
          <w:szCs w:val="24"/>
          <w:highlight w:val="none"/>
          <w:u w:val="single"/>
          <w:lang w:val="en-US" w:eastAsia="zh-CN"/>
        </w:rPr>
        <w:t>2025年10月14日</w:t>
      </w:r>
      <w:r>
        <w:rPr>
          <w:rFonts w:hint="eastAsia" w:ascii="仿宋" w:hAnsi="仿宋" w:eastAsia="仿宋" w:cs="宋体"/>
          <w:color w:val="auto"/>
          <w:sz w:val="24"/>
          <w:szCs w:val="24"/>
          <w:highlight w:val="none"/>
          <w:lang w:val="en-US" w:eastAsia="zh-CN"/>
        </w:rPr>
        <w:t>（磋商文件的发售期限自开始之日起不得少于5个工作日）</w:t>
      </w:r>
    </w:p>
    <w:p w14:paraId="61C3E124">
      <w:pPr>
        <w:pageBreakBefore w:val="0"/>
        <w:kinsoku/>
        <w:overflowPunct/>
        <w:topLinePunct w:val="0"/>
        <w:autoSpaceDE/>
        <w:autoSpaceDN/>
        <w:bidi w:val="0"/>
        <w:adjustRightInd/>
        <w:snapToGrid/>
        <w:spacing w:line="440" w:lineRule="exact"/>
        <w:ind w:firstLine="540"/>
        <w:textAlignment w:val="auto"/>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地点：滁州市公共资源交易中心网</w:t>
      </w:r>
    </w:p>
    <w:p w14:paraId="3EEF0DA4">
      <w:pPr>
        <w:pageBreakBefore w:val="0"/>
        <w:kinsoku/>
        <w:overflowPunct/>
        <w:topLinePunct w:val="0"/>
        <w:autoSpaceDE/>
        <w:autoSpaceDN/>
        <w:bidi w:val="0"/>
        <w:adjustRightInd/>
        <w:snapToGrid/>
        <w:spacing w:line="440" w:lineRule="exact"/>
        <w:ind w:firstLine="540"/>
        <w:textAlignment w:val="auto"/>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方式：</w:t>
      </w:r>
      <w:r>
        <w:rPr>
          <w:rFonts w:hint="eastAsia" w:ascii="仿宋" w:hAnsi="仿宋" w:eastAsia="仿宋" w:cs="宋体"/>
          <w:color w:val="auto"/>
          <w:sz w:val="24"/>
          <w:szCs w:val="24"/>
          <w:highlight w:val="none"/>
          <w:lang w:eastAsia="zh-CN"/>
        </w:rPr>
        <w:t>网上下载</w:t>
      </w:r>
    </w:p>
    <w:p w14:paraId="6157B5E7">
      <w:pPr>
        <w:pageBreakBefore w:val="0"/>
        <w:kinsoku/>
        <w:overflowPunct/>
        <w:topLinePunct w:val="0"/>
        <w:autoSpaceDE/>
        <w:autoSpaceDN/>
        <w:bidi w:val="0"/>
        <w:adjustRightInd/>
        <w:snapToGrid/>
        <w:spacing w:line="440" w:lineRule="exact"/>
        <w:ind w:firstLine="540"/>
        <w:textAlignment w:val="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售价：</w:t>
      </w:r>
      <w:r>
        <w:rPr>
          <w:rFonts w:hint="eastAsia" w:ascii="仿宋" w:hAnsi="仿宋" w:eastAsia="仿宋" w:cs="宋体"/>
          <w:color w:val="auto"/>
          <w:sz w:val="24"/>
          <w:szCs w:val="24"/>
          <w:highlight w:val="none"/>
          <w:lang w:val="en-US" w:eastAsia="zh-CN"/>
        </w:rPr>
        <w:t>0元</w:t>
      </w:r>
    </w:p>
    <w:p w14:paraId="2636FE3C">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eastAsia" w:ascii="黑体" w:hAnsi="黑体" w:eastAsia="黑体" w:cs="黑体"/>
          <w:b w:val="0"/>
          <w:color w:val="auto"/>
          <w:sz w:val="24"/>
          <w:szCs w:val="24"/>
          <w:highlight w:val="none"/>
        </w:rPr>
      </w:pPr>
      <w:bookmarkStart w:id="11" w:name="_Toc28359092"/>
      <w:bookmarkStart w:id="12" w:name="_Toc35393801"/>
      <w:bookmarkStart w:id="13" w:name="_Toc28359015"/>
      <w:bookmarkStart w:id="14" w:name="_Toc35393632"/>
      <w:r>
        <w:rPr>
          <w:rFonts w:hint="eastAsia" w:ascii="黑体" w:hAnsi="黑体" w:eastAsia="黑体" w:cs="黑体"/>
          <w:b w:val="0"/>
          <w:color w:val="auto"/>
          <w:sz w:val="24"/>
          <w:szCs w:val="24"/>
          <w:highlight w:val="none"/>
        </w:rPr>
        <w:t>四、响应文件提交</w:t>
      </w:r>
      <w:bookmarkEnd w:id="11"/>
      <w:bookmarkEnd w:id="12"/>
      <w:bookmarkEnd w:id="13"/>
      <w:bookmarkEnd w:id="14"/>
    </w:p>
    <w:p w14:paraId="24B8F77F">
      <w:pPr>
        <w:pageBreakBefore w:val="0"/>
        <w:kinsoku/>
        <w:overflowPunct/>
        <w:topLinePunct w:val="0"/>
        <w:autoSpaceDE/>
        <w:autoSpaceDN/>
        <w:bidi w:val="0"/>
        <w:adjustRightInd/>
        <w:snapToGrid/>
        <w:spacing w:line="440" w:lineRule="exact"/>
        <w:ind w:firstLine="480" w:firstLineChars="200"/>
        <w:textAlignment w:val="auto"/>
        <w:rPr>
          <w:rFonts w:hint="eastAsia" w:ascii="仿宋" w:hAnsi="仿宋" w:eastAsia="仿宋"/>
          <w:bCs/>
          <w:color w:val="auto"/>
          <w:sz w:val="24"/>
          <w:szCs w:val="24"/>
          <w:highlight w:val="none"/>
        </w:rPr>
      </w:pPr>
      <w:r>
        <w:rPr>
          <w:rFonts w:hint="eastAsia" w:ascii="仿宋" w:hAnsi="仿宋" w:eastAsia="仿宋"/>
          <w:color w:val="auto"/>
          <w:sz w:val="24"/>
          <w:szCs w:val="24"/>
          <w:highlight w:val="none"/>
        </w:rPr>
        <w:t>截止时间：</w:t>
      </w:r>
      <w:r>
        <w:rPr>
          <w:rFonts w:hint="eastAsia" w:ascii="仿宋" w:hAnsi="仿宋" w:eastAsia="仿宋"/>
          <w:color w:val="auto"/>
          <w:sz w:val="24"/>
          <w:szCs w:val="24"/>
          <w:highlight w:val="none"/>
          <w:u w:val="single"/>
          <w:lang w:val="en-US" w:eastAsia="zh-CN"/>
        </w:rPr>
        <w:t>2025年</w:t>
      </w:r>
      <w:r>
        <w:rPr>
          <w:rFonts w:hint="eastAsia" w:ascii="仿宋" w:hAnsi="仿宋" w:eastAsia="仿宋" w:cs="宋体"/>
          <w:color w:val="auto"/>
          <w:sz w:val="24"/>
          <w:szCs w:val="24"/>
          <w:highlight w:val="none"/>
          <w:u w:val="single"/>
          <w:lang w:val="en-US" w:eastAsia="zh-CN"/>
        </w:rPr>
        <w:t>10月14日</w:t>
      </w:r>
      <w:r>
        <w:rPr>
          <w:rFonts w:hint="eastAsia" w:ascii="仿宋" w:hAnsi="仿宋" w:eastAsia="仿宋"/>
          <w:bCs/>
          <w:color w:val="auto"/>
          <w:sz w:val="24"/>
          <w:szCs w:val="24"/>
          <w:highlight w:val="none"/>
          <w:u w:val="single"/>
          <w:lang w:val="en-US" w:eastAsia="zh-CN"/>
        </w:rPr>
        <w:t>8</w:t>
      </w:r>
      <w:r>
        <w:rPr>
          <w:rFonts w:hint="eastAsia" w:ascii="仿宋" w:hAnsi="仿宋" w:eastAsia="仿宋"/>
          <w:bCs/>
          <w:color w:val="auto"/>
          <w:sz w:val="24"/>
          <w:szCs w:val="24"/>
          <w:highlight w:val="none"/>
          <w:u w:val="single"/>
        </w:rPr>
        <w:t>点</w:t>
      </w:r>
      <w:r>
        <w:rPr>
          <w:rFonts w:hint="eastAsia" w:ascii="仿宋" w:hAnsi="仿宋" w:eastAsia="仿宋"/>
          <w:bCs/>
          <w:color w:val="auto"/>
          <w:sz w:val="24"/>
          <w:szCs w:val="24"/>
          <w:highlight w:val="none"/>
          <w:u w:val="single"/>
          <w:lang w:val="en-US" w:eastAsia="zh-CN"/>
        </w:rPr>
        <w:t>00</w:t>
      </w:r>
      <w:r>
        <w:rPr>
          <w:rFonts w:hint="eastAsia" w:ascii="仿宋" w:hAnsi="仿宋" w:eastAsia="仿宋"/>
          <w:bCs/>
          <w:color w:val="auto"/>
          <w:sz w:val="24"/>
          <w:szCs w:val="24"/>
          <w:highlight w:val="none"/>
          <w:u w:val="single"/>
        </w:rPr>
        <w:t>分</w:t>
      </w:r>
      <w:r>
        <w:rPr>
          <w:rFonts w:hint="eastAsia" w:ascii="仿宋" w:hAnsi="仿宋" w:eastAsia="仿宋"/>
          <w:bCs/>
          <w:color w:val="auto"/>
          <w:sz w:val="24"/>
          <w:szCs w:val="24"/>
          <w:highlight w:val="none"/>
        </w:rPr>
        <w:t>（北京时间）</w:t>
      </w:r>
    </w:p>
    <w:p w14:paraId="0E57DA77">
      <w:pPr>
        <w:pageBreakBefore w:val="0"/>
        <w:kinsoku/>
        <w:overflowPunct/>
        <w:topLinePunct w:val="0"/>
        <w:autoSpaceDE/>
        <w:autoSpaceDN/>
        <w:bidi w:val="0"/>
        <w:adjustRightInd/>
        <w:snapToGrid/>
        <w:spacing w:line="440" w:lineRule="exact"/>
        <w:ind w:firstLine="480" w:firstLineChars="200"/>
        <w:textAlignment w:val="auto"/>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地点：滁州市公共资源交易中心网</w:t>
      </w:r>
    </w:p>
    <w:p w14:paraId="0BC4C5C3">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eastAsia" w:ascii="黑体" w:hAnsi="黑体" w:eastAsia="黑体" w:cs="黑体"/>
          <w:b w:val="0"/>
          <w:color w:val="auto"/>
          <w:sz w:val="24"/>
          <w:szCs w:val="24"/>
          <w:highlight w:val="none"/>
        </w:rPr>
      </w:pPr>
      <w:bookmarkStart w:id="15" w:name="_Toc28359016"/>
      <w:bookmarkStart w:id="16" w:name="_Toc35393633"/>
      <w:bookmarkStart w:id="17" w:name="_Toc35393802"/>
      <w:bookmarkStart w:id="18" w:name="_Toc28359093"/>
      <w:r>
        <w:rPr>
          <w:rFonts w:hint="eastAsia" w:ascii="黑体" w:hAnsi="黑体" w:eastAsia="黑体" w:cs="黑体"/>
          <w:b w:val="0"/>
          <w:color w:val="auto"/>
          <w:sz w:val="24"/>
          <w:szCs w:val="24"/>
          <w:highlight w:val="none"/>
        </w:rPr>
        <w:t>五、开启</w:t>
      </w:r>
      <w:bookmarkEnd w:id="15"/>
      <w:bookmarkEnd w:id="16"/>
      <w:bookmarkEnd w:id="17"/>
      <w:bookmarkEnd w:id="18"/>
    </w:p>
    <w:p w14:paraId="4007C982">
      <w:pPr>
        <w:pageBreakBefore w:val="0"/>
        <w:kinsoku/>
        <w:overflowPunct/>
        <w:topLinePunct w:val="0"/>
        <w:autoSpaceDE/>
        <w:autoSpaceDN/>
        <w:bidi w:val="0"/>
        <w:adjustRightInd/>
        <w:snapToGrid/>
        <w:spacing w:line="440" w:lineRule="exact"/>
        <w:ind w:firstLine="480" w:firstLineChars="200"/>
        <w:textAlignment w:val="auto"/>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时间：</w:t>
      </w:r>
      <w:r>
        <w:rPr>
          <w:rFonts w:hint="eastAsia" w:ascii="仿宋" w:hAnsi="仿宋" w:eastAsia="仿宋"/>
          <w:color w:val="auto"/>
          <w:sz w:val="24"/>
          <w:szCs w:val="24"/>
          <w:highlight w:val="none"/>
          <w:u w:val="single"/>
          <w:lang w:val="en-US" w:eastAsia="zh-CN"/>
        </w:rPr>
        <w:t>2025年</w:t>
      </w:r>
      <w:r>
        <w:rPr>
          <w:rFonts w:hint="eastAsia" w:ascii="仿宋" w:hAnsi="仿宋" w:eastAsia="仿宋" w:cs="宋体"/>
          <w:color w:val="auto"/>
          <w:sz w:val="24"/>
          <w:szCs w:val="24"/>
          <w:highlight w:val="none"/>
          <w:u w:val="single"/>
          <w:lang w:val="en-US" w:eastAsia="zh-CN"/>
        </w:rPr>
        <w:t>10月14日</w:t>
      </w:r>
      <w:r>
        <w:rPr>
          <w:rFonts w:hint="eastAsia" w:ascii="仿宋" w:hAnsi="仿宋" w:eastAsia="仿宋"/>
          <w:bCs/>
          <w:color w:val="auto"/>
          <w:sz w:val="24"/>
          <w:szCs w:val="24"/>
          <w:highlight w:val="none"/>
          <w:u w:val="single"/>
          <w:lang w:val="en-US" w:eastAsia="zh-CN"/>
        </w:rPr>
        <w:t>8</w:t>
      </w:r>
      <w:r>
        <w:rPr>
          <w:rFonts w:hint="eastAsia" w:ascii="仿宋" w:hAnsi="仿宋" w:eastAsia="仿宋"/>
          <w:bCs/>
          <w:color w:val="auto"/>
          <w:sz w:val="24"/>
          <w:szCs w:val="24"/>
          <w:highlight w:val="none"/>
          <w:u w:val="single"/>
        </w:rPr>
        <w:t>点</w:t>
      </w:r>
      <w:r>
        <w:rPr>
          <w:rFonts w:hint="eastAsia" w:ascii="仿宋" w:hAnsi="仿宋" w:eastAsia="仿宋"/>
          <w:bCs/>
          <w:color w:val="auto"/>
          <w:sz w:val="24"/>
          <w:szCs w:val="24"/>
          <w:highlight w:val="none"/>
          <w:u w:val="single"/>
          <w:lang w:val="en-US" w:eastAsia="zh-CN"/>
        </w:rPr>
        <w:t>00</w:t>
      </w:r>
      <w:r>
        <w:rPr>
          <w:rFonts w:hint="eastAsia" w:ascii="仿宋" w:hAnsi="仿宋" w:eastAsia="仿宋"/>
          <w:bCs/>
          <w:color w:val="auto"/>
          <w:sz w:val="24"/>
          <w:szCs w:val="24"/>
          <w:highlight w:val="none"/>
          <w:u w:val="single"/>
        </w:rPr>
        <w:t>分</w:t>
      </w:r>
      <w:r>
        <w:rPr>
          <w:rFonts w:hint="eastAsia" w:ascii="仿宋" w:hAnsi="仿宋" w:eastAsia="仿宋"/>
          <w:bCs/>
          <w:color w:val="auto"/>
          <w:sz w:val="24"/>
          <w:szCs w:val="24"/>
          <w:highlight w:val="none"/>
        </w:rPr>
        <w:t>（北京时间）</w:t>
      </w:r>
    </w:p>
    <w:p w14:paraId="0ED677E9">
      <w:pPr>
        <w:pageBreakBefore w:val="0"/>
        <w:kinsoku/>
        <w:overflowPunct/>
        <w:topLinePunct w:val="0"/>
        <w:autoSpaceDE/>
        <w:autoSpaceDN/>
        <w:bidi w:val="0"/>
        <w:adjustRightInd/>
        <w:snapToGrid/>
        <w:spacing w:line="440" w:lineRule="exact"/>
        <w:ind w:left="0" w:leftChars="0" w:firstLine="460" w:firstLineChars="192"/>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地点：滁州市公共资源交易中心网</w:t>
      </w:r>
    </w:p>
    <w:p w14:paraId="7A9FF71A">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default" w:ascii="黑体" w:hAnsi="黑体" w:eastAsia="黑体" w:cs="黑体"/>
          <w:b w:val="0"/>
          <w:color w:val="000000"/>
          <w:sz w:val="24"/>
          <w:szCs w:val="24"/>
          <w:highlight w:val="none"/>
          <w:lang w:val="en-US" w:eastAsia="zh-CN"/>
        </w:rPr>
      </w:pPr>
      <w:r>
        <w:rPr>
          <w:rFonts w:hint="eastAsia" w:ascii="黑体" w:hAnsi="黑体" w:eastAsia="黑体" w:cs="黑体"/>
          <w:b w:val="0"/>
          <w:color w:val="000000"/>
          <w:sz w:val="24"/>
          <w:szCs w:val="24"/>
          <w:highlight w:val="none"/>
          <w:lang w:val="en-US" w:eastAsia="zh-CN"/>
        </w:rPr>
        <w:t>六、公告期限</w:t>
      </w:r>
    </w:p>
    <w:p w14:paraId="22678FCF">
      <w:pPr>
        <w:pageBreakBefore w:val="0"/>
        <w:kinsoku/>
        <w:overflowPunct/>
        <w:topLinePunct w:val="0"/>
        <w:autoSpaceDE/>
        <w:autoSpaceDN/>
        <w:bidi w:val="0"/>
        <w:adjustRightInd/>
        <w:snapToGrid/>
        <w:spacing w:line="440" w:lineRule="exact"/>
        <w:ind w:firstLine="480" w:firstLineChars="200"/>
        <w:textAlignment w:val="auto"/>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自本公告发布之日起3个工作日。</w:t>
      </w:r>
    </w:p>
    <w:p w14:paraId="077BB29F">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eastAsia" w:ascii="黑体" w:hAnsi="黑体" w:eastAsia="黑体" w:cs="黑体"/>
          <w:b w:val="0"/>
          <w:color w:val="000000"/>
          <w:sz w:val="24"/>
          <w:szCs w:val="24"/>
          <w:highlight w:val="none"/>
          <w:lang w:val="en-US" w:eastAsia="zh-CN"/>
        </w:rPr>
      </w:pPr>
      <w:r>
        <w:rPr>
          <w:rFonts w:hint="eastAsia" w:ascii="黑体" w:hAnsi="黑体" w:eastAsia="黑体" w:cs="黑体"/>
          <w:b w:val="0"/>
          <w:color w:val="000000"/>
          <w:sz w:val="24"/>
          <w:szCs w:val="24"/>
          <w:highlight w:val="none"/>
          <w:lang w:val="en-US" w:eastAsia="zh-CN"/>
        </w:rPr>
        <w:t>七、保证金金额及缴纳账户</w:t>
      </w:r>
    </w:p>
    <w:p w14:paraId="3B17AE23">
      <w:pPr>
        <w:pageBreakBefore w:val="0"/>
        <w:kinsoku/>
        <w:overflowPunct/>
        <w:topLinePunct w:val="0"/>
        <w:autoSpaceDE/>
        <w:autoSpaceDN/>
        <w:bidi w:val="0"/>
        <w:adjustRightInd/>
        <w:snapToGrid/>
        <w:spacing w:line="440" w:lineRule="exact"/>
        <w:ind w:firstLine="56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是否要求</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提交保证金：不要求。</w:t>
      </w:r>
    </w:p>
    <w:p w14:paraId="3E480C1F">
      <w:pPr>
        <w:keepNext/>
        <w:keepLines/>
        <w:pageBreakBefore w:val="0"/>
        <w:widowControl w:val="0"/>
        <w:kinsoku/>
        <w:wordWrap/>
        <w:overflowPunct/>
        <w:topLinePunct w:val="0"/>
        <w:autoSpaceDE/>
        <w:autoSpaceDN/>
        <w:bidi w:val="0"/>
        <w:adjustRightInd/>
        <w:snapToGrid/>
        <w:spacing w:before="260" w:after="260" w:line="440" w:lineRule="exact"/>
        <w:textAlignment w:val="auto"/>
        <w:outlineLvl w:val="9"/>
        <w:rPr>
          <w:rFonts w:hint="eastAsia" w:ascii="黑体" w:hAnsi="黑体" w:eastAsia="黑体" w:cs="黑体"/>
          <w:b w:val="0"/>
          <w:color w:val="000000"/>
          <w:sz w:val="24"/>
          <w:szCs w:val="24"/>
          <w:highlight w:val="none"/>
          <w:lang w:val="en-US" w:eastAsia="zh-CN"/>
        </w:rPr>
      </w:pPr>
      <w:r>
        <w:rPr>
          <w:rFonts w:hint="eastAsia" w:ascii="黑体" w:hAnsi="黑体" w:eastAsia="黑体" w:cs="黑体"/>
          <w:b w:val="0"/>
          <w:color w:val="000000"/>
          <w:sz w:val="24"/>
          <w:szCs w:val="24"/>
          <w:highlight w:val="none"/>
          <w:lang w:val="en-US" w:eastAsia="zh-CN"/>
        </w:rPr>
        <w:t>八、其他补充事宜</w:t>
      </w:r>
    </w:p>
    <w:p w14:paraId="4F7033C4">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rPr>
      </w:pPr>
      <w:bookmarkStart w:id="19" w:name="_Toc15126"/>
      <w:r>
        <w:rPr>
          <w:rFonts w:ascii="仿宋" w:hAnsi="仿宋" w:eastAsia="仿宋" w:cs="仿宋"/>
          <w:b w:val="0"/>
          <w:bCs w:val="0"/>
          <w:i w:val="0"/>
          <w:iCs w:val="0"/>
          <w:caps w:val="0"/>
          <w:color w:val="000000"/>
          <w:spacing w:val="0"/>
          <w:sz w:val="24"/>
          <w:szCs w:val="24"/>
          <w:shd w:val="clear" w:color="auto" w:fill="FFFFFF"/>
        </w:rPr>
        <w:t>1.本项目只接受在安徽省公共资源交易市场主体库（</w:t>
      </w:r>
      <w:r>
        <w:rPr>
          <w:rFonts w:hint="eastAsia" w:ascii="仿宋" w:hAnsi="仿宋" w:eastAsia="仿宋" w:cs="仿宋"/>
          <w:b w:val="0"/>
          <w:bCs w:val="0"/>
          <w:i w:val="0"/>
          <w:iCs w:val="0"/>
          <w:caps w:val="0"/>
          <w:color w:val="000000"/>
          <w:spacing w:val="0"/>
          <w:sz w:val="24"/>
          <w:szCs w:val="24"/>
          <w:shd w:val="clear" w:color="auto" w:fill="FFFFFF"/>
          <w:lang w:eastAsia="zh-CN"/>
        </w:rPr>
        <w:t>https://ggzy.ah.gov.cn/ahggfwpt-zhutiku/dengludenglu</w:t>
      </w:r>
      <w:r>
        <w:rPr>
          <w:rFonts w:hint="eastAsia" w:ascii="仿宋" w:hAnsi="仿宋" w:eastAsia="仿宋" w:cs="仿宋"/>
          <w:b w:val="0"/>
          <w:bCs w:val="0"/>
          <w:i w:val="0"/>
          <w:iCs w:val="0"/>
          <w:caps w:val="0"/>
          <w:color w:val="000000"/>
          <w:spacing w:val="0"/>
          <w:sz w:val="24"/>
          <w:szCs w:val="24"/>
          <w:shd w:val="clear" w:color="auto" w:fill="FFFFFF"/>
        </w:rPr>
        <w:t>）登记并进行信息确认提交的</w:t>
      </w:r>
      <w:r>
        <w:rPr>
          <w:rFonts w:hint="eastAsia" w:ascii="仿宋" w:hAnsi="仿宋" w:eastAsia="仿宋" w:cs="仿宋"/>
          <w:b w:val="0"/>
          <w:bCs w:val="0"/>
          <w:i w:val="0"/>
          <w:iCs w:val="0"/>
          <w:caps w:val="0"/>
          <w:color w:val="000000"/>
          <w:spacing w:val="0"/>
          <w:sz w:val="24"/>
          <w:szCs w:val="24"/>
          <w:shd w:val="clear" w:color="auto" w:fill="FFFFFF"/>
          <w:lang w:eastAsia="zh-CN"/>
        </w:rPr>
        <w:t>供应商参加</w:t>
      </w:r>
      <w:r>
        <w:rPr>
          <w:rFonts w:hint="eastAsia" w:ascii="仿宋" w:hAnsi="仿宋" w:eastAsia="仿宋" w:cs="仿宋"/>
          <w:b w:val="0"/>
          <w:bCs w:val="0"/>
          <w:i w:val="0"/>
          <w:iCs w:val="0"/>
          <w:caps w:val="0"/>
          <w:color w:val="000000"/>
          <w:spacing w:val="0"/>
          <w:sz w:val="24"/>
          <w:szCs w:val="24"/>
          <w:shd w:val="clear" w:color="auto" w:fill="FFFFFF"/>
        </w:rPr>
        <w:t>，未登记的</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请及时办理CA数字证书并登录安徽省公共资源交易市场主体库进行信息填写及确认提交；已办理过CA数字证书视为已在省库登记，进行信息更新及确认提交即可。办理流程为</w:t>
      </w:r>
      <w:r>
        <w:rPr>
          <w:rFonts w:hint="eastAsia" w:ascii="仿宋" w:hAnsi="仿宋" w:eastAsia="仿宋" w:cs="仿宋"/>
          <w:b w:val="0"/>
          <w:bCs w:val="0"/>
          <w:i w:val="0"/>
          <w:iCs w:val="0"/>
          <w:caps w:val="0"/>
          <w:color w:val="000000"/>
          <w:spacing w:val="0"/>
          <w:sz w:val="24"/>
          <w:szCs w:val="24"/>
          <w:shd w:val="clear" w:color="auto" w:fill="FFFFFF"/>
          <w:lang w:eastAsia="zh-CN"/>
        </w:rPr>
        <w:t>登录</w:t>
      </w:r>
      <w:r>
        <w:rPr>
          <w:rFonts w:hint="eastAsia" w:ascii="仿宋" w:hAnsi="仿宋" w:eastAsia="仿宋" w:cs="仿宋"/>
          <w:b w:val="0"/>
          <w:bCs w:val="0"/>
          <w:i w:val="0"/>
          <w:iCs w:val="0"/>
          <w:caps w:val="0"/>
          <w:color w:val="000000"/>
          <w:spacing w:val="0"/>
          <w:sz w:val="24"/>
          <w:szCs w:val="24"/>
          <w:shd w:val="clear" w:color="auto" w:fill="FFFFFF"/>
        </w:rPr>
        <w:t>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400-880-4959、0550-3019013（工作日），CFCA客服025-66085508 、0550-3801669（工作日）；3.市场主体招标环节和投标环节系统使用问题：400-998-0000（8：00-21：00）、0550-3801701（工作日）。因未及时通过CA数字证书登录省主体库对相关信息进行补充完善并确认提交，导致无法</w:t>
      </w:r>
      <w:r>
        <w:rPr>
          <w:rFonts w:hint="eastAsia" w:ascii="仿宋" w:hAnsi="仿宋" w:eastAsia="仿宋" w:cs="仿宋"/>
          <w:b w:val="0"/>
          <w:bCs w:val="0"/>
          <w:i w:val="0"/>
          <w:iCs w:val="0"/>
          <w:caps w:val="0"/>
          <w:color w:val="000000"/>
          <w:spacing w:val="0"/>
          <w:sz w:val="24"/>
          <w:szCs w:val="24"/>
          <w:shd w:val="clear" w:color="auto" w:fill="FFFFFF"/>
          <w:lang w:eastAsia="zh-CN"/>
        </w:rPr>
        <w:t>参加本项目</w:t>
      </w:r>
      <w:r>
        <w:rPr>
          <w:rFonts w:hint="eastAsia" w:ascii="仿宋" w:hAnsi="仿宋" w:eastAsia="仿宋" w:cs="仿宋"/>
          <w:b w:val="0"/>
          <w:bCs w:val="0"/>
          <w:i w:val="0"/>
          <w:iCs w:val="0"/>
          <w:caps w:val="0"/>
          <w:color w:val="000000"/>
          <w:spacing w:val="0"/>
          <w:sz w:val="24"/>
          <w:szCs w:val="24"/>
          <w:shd w:val="clear" w:color="auto" w:fill="FFFFFF"/>
        </w:rPr>
        <w:t>的，责任自负。为保证系统使用过程中产生的问题能够及时得到解决，请各主体在工作时间进行主体信息登记、更新、</w:t>
      </w:r>
      <w:r>
        <w:rPr>
          <w:rFonts w:hint="eastAsia" w:ascii="仿宋" w:hAnsi="仿宋" w:eastAsia="仿宋" w:cs="仿宋"/>
          <w:b w:val="0"/>
          <w:bCs w:val="0"/>
          <w:i w:val="0"/>
          <w:iCs w:val="0"/>
          <w:caps w:val="0"/>
          <w:color w:val="000000"/>
          <w:spacing w:val="0"/>
          <w:sz w:val="24"/>
          <w:szCs w:val="24"/>
          <w:shd w:val="clear" w:color="auto" w:fill="FFFFFF"/>
          <w:lang w:eastAsia="zh-CN"/>
        </w:rPr>
        <w:t>响应</w:t>
      </w:r>
      <w:r>
        <w:rPr>
          <w:rFonts w:hint="eastAsia" w:ascii="仿宋" w:hAnsi="仿宋" w:eastAsia="仿宋" w:cs="仿宋"/>
          <w:b w:val="0"/>
          <w:bCs w:val="0"/>
          <w:i w:val="0"/>
          <w:iCs w:val="0"/>
          <w:caps w:val="0"/>
          <w:color w:val="000000"/>
          <w:spacing w:val="0"/>
          <w:sz w:val="24"/>
          <w:szCs w:val="24"/>
          <w:shd w:val="clear" w:color="auto" w:fill="FFFFFF"/>
        </w:rPr>
        <w:t>文件制作等相关操作。</w:t>
      </w:r>
      <w:bookmarkEnd w:id="19"/>
    </w:p>
    <w:p w14:paraId="68E13478">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rPr>
      </w:pPr>
      <w:r>
        <w:rPr>
          <w:rFonts w:hint="eastAsia" w:ascii="仿宋" w:hAnsi="仿宋" w:eastAsia="仿宋" w:cs="仿宋"/>
          <w:b w:val="0"/>
          <w:bCs w:val="0"/>
          <w:i w:val="0"/>
          <w:iCs w:val="0"/>
          <w:caps w:val="0"/>
          <w:color w:val="000000"/>
          <w:spacing w:val="0"/>
          <w:sz w:val="24"/>
          <w:szCs w:val="24"/>
          <w:shd w:val="clear" w:color="auto" w:fill="FFFFFF"/>
        </w:rPr>
        <w:t>2.请</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登录滁州市公共资源交易中心网站查看参加本项</w:t>
      </w:r>
      <w:r>
        <w:rPr>
          <w:rFonts w:hint="eastAsia" w:ascii="仿宋" w:hAnsi="仿宋" w:eastAsia="仿宋" w:cs="仿宋"/>
          <w:b w:val="0"/>
          <w:bCs w:val="0"/>
          <w:i w:val="0"/>
          <w:iCs w:val="0"/>
          <w:caps w:val="0"/>
          <w:color w:val="000000"/>
          <w:spacing w:val="0"/>
          <w:sz w:val="24"/>
          <w:szCs w:val="24"/>
          <w:shd w:val="clear" w:color="auto" w:fill="FFFFFF"/>
          <w:lang w:eastAsia="zh-CN"/>
        </w:rPr>
        <w:t>目</w:t>
      </w:r>
      <w:r>
        <w:rPr>
          <w:rFonts w:hint="eastAsia" w:ascii="仿宋" w:hAnsi="仿宋" w:eastAsia="仿宋" w:cs="仿宋"/>
          <w:b w:val="0"/>
          <w:bCs w:val="0"/>
          <w:i w:val="0"/>
          <w:iCs w:val="0"/>
          <w:caps w:val="0"/>
          <w:color w:val="000000"/>
          <w:spacing w:val="0"/>
          <w:sz w:val="24"/>
          <w:szCs w:val="24"/>
          <w:shd w:val="clear" w:color="auto" w:fill="FFFFFF"/>
        </w:rPr>
        <w:t>的程序。（具体操作步骤和程序请参见服务指南&gt;交易须知&gt;</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填写投标信息、下载文件及网上提问操作手册）。</w:t>
      </w:r>
    </w:p>
    <w:p w14:paraId="09C70AA5">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eastAsia="zh-CN"/>
        </w:rPr>
      </w:pPr>
      <w:r>
        <w:rPr>
          <w:rFonts w:hint="eastAsia" w:ascii="仿宋" w:hAnsi="仿宋" w:eastAsia="仿宋" w:cs="仿宋"/>
          <w:b w:val="0"/>
          <w:bCs w:val="0"/>
          <w:i w:val="0"/>
          <w:iCs w:val="0"/>
          <w:caps w:val="0"/>
          <w:color w:val="000000"/>
          <w:spacing w:val="0"/>
          <w:sz w:val="24"/>
          <w:szCs w:val="24"/>
          <w:shd w:val="clear" w:color="auto" w:fill="FFFFFF"/>
        </w:rPr>
        <w:t>3.本项目采用不见面（远程解密)方式，开</w:t>
      </w:r>
      <w:r>
        <w:rPr>
          <w:rFonts w:hint="eastAsia" w:ascii="仿宋" w:hAnsi="仿宋" w:eastAsia="仿宋" w:cs="仿宋"/>
          <w:b w:val="0"/>
          <w:bCs w:val="0"/>
          <w:i w:val="0"/>
          <w:iCs w:val="0"/>
          <w:caps w:val="0"/>
          <w:color w:val="000000"/>
          <w:spacing w:val="0"/>
          <w:sz w:val="24"/>
          <w:szCs w:val="24"/>
          <w:shd w:val="clear" w:color="auto" w:fill="FFFFFF"/>
          <w:lang w:eastAsia="zh-CN"/>
        </w:rPr>
        <w:t>启</w:t>
      </w:r>
      <w:r>
        <w:rPr>
          <w:rFonts w:hint="eastAsia" w:ascii="仿宋" w:hAnsi="仿宋" w:eastAsia="仿宋" w:cs="仿宋"/>
          <w:b w:val="0"/>
          <w:bCs w:val="0"/>
          <w:i w:val="0"/>
          <w:iCs w:val="0"/>
          <w:caps w:val="0"/>
          <w:color w:val="000000"/>
          <w:spacing w:val="0"/>
          <w:sz w:val="24"/>
          <w:szCs w:val="24"/>
          <w:shd w:val="clear" w:color="auto" w:fill="FFFFFF"/>
        </w:rPr>
        <w:t>时</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无须至现场进行解密，采取远程解密方式解密</w:t>
      </w:r>
      <w:r>
        <w:rPr>
          <w:rFonts w:hint="eastAsia" w:ascii="仿宋" w:hAnsi="仿宋" w:eastAsia="仿宋" w:cs="仿宋"/>
          <w:b w:val="0"/>
          <w:bCs w:val="0"/>
          <w:i w:val="0"/>
          <w:iCs w:val="0"/>
          <w:caps w:val="0"/>
          <w:color w:val="000000"/>
          <w:spacing w:val="0"/>
          <w:sz w:val="24"/>
          <w:szCs w:val="24"/>
          <w:shd w:val="clear" w:color="auto" w:fill="FFFFFF"/>
          <w:lang w:eastAsia="zh-CN"/>
        </w:rPr>
        <w:t>响应</w:t>
      </w:r>
      <w:r>
        <w:rPr>
          <w:rFonts w:hint="eastAsia" w:ascii="仿宋" w:hAnsi="仿宋" w:eastAsia="仿宋" w:cs="仿宋"/>
          <w:b w:val="0"/>
          <w:bCs w:val="0"/>
          <w:i w:val="0"/>
          <w:iCs w:val="0"/>
          <w:caps w:val="0"/>
          <w:color w:val="000000"/>
          <w:spacing w:val="0"/>
          <w:sz w:val="24"/>
          <w:szCs w:val="24"/>
          <w:shd w:val="clear" w:color="auto" w:fill="FFFFFF"/>
        </w:rPr>
        <w:t>文件，解密方式</w:t>
      </w:r>
      <w:r>
        <w:rPr>
          <w:rFonts w:hint="eastAsia" w:ascii="仿宋" w:hAnsi="仿宋" w:eastAsia="仿宋" w:cs="仿宋"/>
          <w:b w:val="0"/>
          <w:bCs w:val="0"/>
          <w:i w:val="0"/>
          <w:iCs w:val="0"/>
          <w:caps w:val="0"/>
          <w:color w:val="000000"/>
          <w:spacing w:val="0"/>
          <w:sz w:val="24"/>
          <w:szCs w:val="24"/>
          <w:shd w:val="clear" w:color="auto" w:fill="FFFFFF"/>
          <w:lang w:eastAsia="zh-CN"/>
        </w:rPr>
        <w:t>为</w:t>
      </w:r>
      <w:r>
        <w:rPr>
          <w:rFonts w:hint="eastAsia" w:ascii="仿宋" w:hAnsi="仿宋" w:eastAsia="仿宋" w:cs="仿宋"/>
          <w:b w:val="0"/>
          <w:bCs w:val="0"/>
          <w:i w:val="0"/>
          <w:iCs w:val="0"/>
          <w:caps w:val="0"/>
          <w:color w:val="000000"/>
          <w:spacing w:val="0"/>
          <w:sz w:val="24"/>
          <w:szCs w:val="24"/>
          <w:shd w:val="clear" w:color="auto" w:fill="FFFFFF"/>
        </w:rPr>
        <w:t>：</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在开</w:t>
      </w:r>
      <w:r>
        <w:rPr>
          <w:rFonts w:hint="eastAsia" w:ascii="仿宋" w:hAnsi="仿宋" w:eastAsia="仿宋" w:cs="仿宋"/>
          <w:b w:val="0"/>
          <w:bCs w:val="0"/>
          <w:i w:val="0"/>
          <w:iCs w:val="0"/>
          <w:caps w:val="0"/>
          <w:color w:val="000000"/>
          <w:spacing w:val="0"/>
          <w:sz w:val="24"/>
          <w:szCs w:val="24"/>
          <w:shd w:val="clear" w:color="auto" w:fill="FFFFFF"/>
          <w:lang w:eastAsia="zh-CN"/>
        </w:rPr>
        <w:t>启</w:t>
      </w:r>
      <w:r>
        <w:rPr>
          <w:rFonts w:hint="eastAsia" w:ascii="仿宋" w:hAnsi="仿宋" w:eastAsia="仿宋" w:cs="仿宋"/>
          <w:b w:val="0"/>
          <w:bCs w:val="0"/>
          <w:i w:val="0"/>
          <w:iCs w:val="0"/>
          <w:caps w:val="0"/>
          <w:color w:val="000000"/>
          <w:spacing w:val="0"/>
          <w:sz w:val="24"/>
          <w:szCs w:val="24"/>
          <w:shd w:val="clear" w:color="auto" w:fill="FFFFFF"/>
        </w:rPr>
        <w:t>时间前使用CA数字证书登录滁州市“不见面开标系统”，网址为</w:t>
      </w:r>
      <w:r>
        <w:rPr>
          <w:rFonts w:hint="eastAsia" w:ascii="仿宋" w:hAnsi="仿宋" w:eastAsia="仿宋" w:cs="仿宋"/>
          <w:b w:val="0"/>
          <w:bCs w:val="0"/>
          <w:i w:val="0"/>
          <w:iCs w:val="0"/>
          <w:caps w:val="0"/>
          <w:color w:val="000000"/>
          <w:spacing w:val="0"/>
          <w:sz w:val="24"/>
          <w:szCs w:val="24"/>
          <w:shd w:val="clear" w:color="auto" w:fill="FFFFFF"/>
          <w:lang w:eastAsia="zh-CN"/>
        </w:rPr>
        <w:t>https://ggzy.chuzhou.gov.cn/BidOpening</w:t>
      </w:r>
      <w:r>
        <w:rPr>
          <w:rFonts w:hint="eastAsia" w:ascii="仿宋" w:hAnsi="仿宋" w:eastAsia="仿宋" w:cs="仿宋"/>
          <w:b w:val="0"/>
          <w:bCs w:val="0"/>
          <w:i w:val="0"/>
          <w:iCs w:val="0"/>
          <w:caps w:val="0"/>
          <w:color w:val="000000"/>
          <w:spacing w:val="0"/>
          <w:sz w:val="24"/>
          <w:szCs w:val="24"/>
          <w:shd w:val="clear" w:color="auto" w:fill="FFFFFF"/>
        </w:rPr>
        <w:t>,等待开</w:t>
      </w:r>
      <w:r>
        <w:rPr>
          <w:rFonts w:hint="eastAsia" w:ascii="仿宋" w:hAnsi="仿宋" w:eastAsia="仿宋" w:cs="仿宋"/>
          <w:b w:val="0"/>
          <w:bCs w:val="0"/>
          <w:i w:val="0"/>
          <w:iCs w:val="0"/>
          <w:caps w:val="0"/>
          <w:color w:val="000000"/>
          <w:spacing w:val="0"/>
          <w:sz w:val="24"/>
          <w:szCs w:val="24"/>
          <w:shd w:val="clear" w:color="auto" w:fill="FFFFFF"/>
          <w:lang w:eastAsia="zh-CN"/>
        </w:rPr>
        <w:t>启</w:t>
      </w:r>
      <w:r>
        <w:rPr>
          <w:rFonts w:hint="eastAsia" w:ascii="仿宋" w:hAnsi="仿宋" w:eastAsia="仿宋" w:cs="仿宋"/>
          <w:b w:val="0"/>
          <w:bCs w:val="0"/>
          <w:i w:val="0"/>
          <w:iCs w:val="0"/>
          <w:caps w:val="0"/>
          <w:color w:val="000000"/>
          <w:spacing w:val="0"/>
          <w:sz w:val="24"/>
          <w:szCs w:val="24"/>
          <w:shd w:val="clear" w:color="auto" w:fill="FFFFFF"/>
        </w:rPr>
        <w:t>并按系统提示进行相应的</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解密等事项，无需到现场。采用本方式可以观看开</w:t>
      </w:r>
      <w:r>
        <w:rPr>
          <w:rFonts w:hint="eastAsia" w:ascii="仿宋" w:hAnsi="仿宋" w:eastAsia="仿宋" w:cs="仿宋"/>
          <w:b w:val="0"/>
          <w:bCs w:val="0"/>
          <w:i w:val="0"/>
          <w:iCs w:val="0"/>
          <w:caps w:val="0"/>
          <w:color w:val="000000"/>
          <w:spacing w:val="0"/>
          <w:sz w:val="24"/>
          <w:szCs w:val="24"/>
          <w:shd w:val="clear" w:color="auto" w:fill="FFFFFF"/>
          <w:lang w:eastAsia="zh-CN"/>
        </w:rPr>
        <w:t>启</w:t>
      </w:r>
      <w:r>
        <w:rPr>
          <w:rFonts w:hint="eastAsia" w:ascii="仿宋" w:hAnsi="仿宋" w:eastAsia="仿宋" w:cs="仿宋"/>
          <w:b w:val="0"/>
          <w:bCs w:val="0"/>
          <w:i w:val="0"/>
          <w:iCs w:val="0"/>
          <w:caps w:val="0"/>
          <w:color w:val="000000"/>
          <w:spacing w:val="0"/>
          <w:sz w:val="24"/>
          <w:szCs w:val="24"/>
          <w:shd w:val="clear" w:color="auto" w:fill="FFFFFF"/>
        </w:rPr>
        <w:t>现场音视频直播并进行互动交流。具体操作方法见中心网站&gt;服务指南&gt;交易须知中的《滁州市不见面开标系统操作手册》</w:t>
      </w:r>
      <w:r>
        <w:rPr>
          <w:rFonts w:hint="eastAsia" w:ascii="仿宋" w:hAnsi="仿宋" w:eastAsia="仿宋" w:cs="仿宋"/>
          <w:b w:val="0"/>
          <w:bCs w:val="0"/>
          <w:i w:val="0"/>
          <w:iCs w:val="0"/>
          <w:caps w:val="0"/>
          <w:color w:val="000000"/>
          <w:spacing w:val="0"/>
          <w:sz w:val="24"/>
          <w:szCs w:val="24"/>
          <w:shd w:val="clear" w:color="auto" w:fill="FFFFFF"/>
          <w:lang w:eastAsia="zh-CN"/>
        </w:rPr>
        <w:t>。</w:t>
      </w:r>
    </w:p>
    <w:p w14:paraId="57E62508">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rPr>
        <w:t>4.</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接到远程解密指令后，须在规定时间内解密。因</w:t>
      </w:r>
      <w:r>
        <w:rPr>
          <w:rFonts w:hint="eastAsia" w:ascii="仿宋" w:hAnsi="仿宋" w:eastAsia="仿宋" w:cs="仿宋"/>
          <w:b w:val="0"/>
          <w:bCs w:val="0"/>
          <w:i w:val="0"/>
          <w:iCs w:val="0"/>
          <w:caps w:val="0"/>
          <w:color w:val="000000"/>
          <w:spacing w:val="0"/>
          <w:sz w:val="24"/>
          <w:szCs w:val="24"/>
          <w:shd w:val="clear" w:color="auto" w:fill="FFFFFF"/>
          <w:lang w:eastAsia="zh-CN"/>
        </w:rPr>
        <w:t>供应商</w:t>
      </w:r>
      <w:r>
        <w:rPr>
          <w:rFonts w:hint="eastAsia" w:ascii="仿宋" w:hAnsi="仿宋" w:eastAsia="仿宋" w:cs="仿宋"/>
          <w:b w:val="0"/>
          <w:bCs w:val="0"/>
          <w:i w:val="0"/>
          <w:iCs w:val="0"/>
          <w:caps w:val="0"/>
          <w:color w:val="000000"/>
          <w:spacing w:val="0"/>
          <w:sz w:val="24"/>
          <w:szCs w:val="24"/>
          <w:shd w:val="clear" w:color="auto" w:fill="FFFFFF"/>
        </w:rPr>
        <w:t>自身原因导致</w:t>
      </w:r>
      <w:r>
        <w:rPr>
          <w:rFonts w:hint="eastAsia" w:ascii="仿宋" w:hAnsi="仿宋" w:eastAsia="仿宋" w:cs="仿宋"/>
          <w:b w:val="0"/>
          <w:bCs w:val="0"/>
          <w:i w:val="0"/>
          <w:iCs w:val="0"/>
          <w:caps w:val="0"/>
          <w:color w:val="000000"/>
          <w:spacing w:val="0"/>
          <w:sz w:val="24"/>
          <w:szCs w:val="24"/>
          <w:shd w:val="clear" w:color="auto" w:fill="FFFFFF"/>
          <w:lang w:eastAsia="zh-CN"/>
        </w:rPr>
        <w:t>响应</w:t>
      </w:r>
      <w:r>
        <w:rPr>
          <w:rFonts w:hint="eastAsia" w:ascii="仿宋" w:hAnsi="仿宋" w:eastAsia="仿宋" w:cs="仿宋"/>
          <w:b w:val="0"/>
          <w:bCs w:val="0"/>
          <w:i w:val="0"/>
          <w:iCs w:val="0"/>
          <w:caps w:val="0"/>
          <w:color w:val="000000"/>
          <w:spacing w:val="0"/>
          <w:sz w:val="24"/>
          <w:szCs w:val="24"/>
          <w:shd w:val="clear" w:color="auto" w:fill="FFFFFF"/>
        </w:rPr>
        <w:t>文件在规定时间内未能解密、解密失败或解密超时，</w:t>
      </w:r>
      <w:r>
        <w:rPr>
          <w:rFonts w:hint="eastAsia" w:ascii="仿宋" w:hAnsi="仿宋" w:eastAsia="仿宋" w:cs="仿宋"/>
          <w:b w:val="0"/>
          <w:bCs w:val="0"/>
          <w:i w:val="0"/>
          <w:iCs w:val="0"/>
          <w:caps w:val="0"/>
          <w:color w:val="000000"/>
          <w:spacing w:val="0"/>
          <w:sz w:val="24"/>
          <w:szCs w:val="24"/>
          <w:shd w:val="clear" w:color="auto" w:fill="FFFFFF"/>
          <w:lang w:eastAsia="zh-CN"/>
        </w:rPr>
        <w:t>响应</w:t>
      </w:r>
      <w:r>
        <w:rPr>
          <w:rFonts w:hint="eastAsia" w:ascii="仿宋" w:hAnsi="仿宋" w:eastAsia="仿宋" w:cs="仿宋"/>
          <w:b w:val="0"/>
          <w:bCs w:val="0"/>
          <w:i w:val="0"/>
          <w:iCs w:val="0"/>
          <w:caps w:val="0"/>
          <w:color w:val="000000"/>
          <w:spacing w:val="0"/>
          <w:sz w:val="24"/>
          <w:szCs w:val="24"/>
          <w:shd w:val="clear" w:color="auto" w:fill="FFFFFF"/>
        </w:rPr>
        <w:t>文件无效；因采购代理机构原因或网上平台发生故障，导致无法按时完成</w:t>
      </w:r>
      <w:r>
        <w:rPr>
          <w:rFonts w:hint="eastAsia" w:ascii="仿宋" w:hAnsi="仿宋" w:eastAsia="仿宋" w:cs="仿宋"/>
          <w:b w:val="0"/>
          <w:bCs w:val="0"/>
          <w:i w:val="0"/>
          <w:iCs w:val="0"/>
          <w:caps w:val="0"/>
          <w:color w:val="000000"/>
          <w:spacing w:val="0"/>
          <w:sz w:val="24"/>
          <w:szCs w:val="24"/>
          <w:shd w:val="clear" w:color="auto" w:fill="FFFFFF"/>
          <w:lang w:eastAsia="zh-CN"/>
        </w:rPr>
        <w:t>响应</w:t>
      </w:r>
      <w:r>
        <w:rPr>
          <w:rFonts w:hint="eastAsia" w:ascii="仿宋" w:hAnsi="仿宋" w:eastAsia="仿宋" w:cs="仿宋"/>
          <w:b w:val="0"/>
          <w:bCs w:val="0"/>
          <w:i w:val="0"/>
          <w:iCs w:val="0"/>
          <w:caps w:val="0"/>
          <w:color w:val="000000"/>
          <w:spacing w:val="0"/>
          <w:sz w:val="24"/>
          <w:szCs w:val="24"/>
          <w:shd w:val="clear" w:color="auto" w:fill="FFFFFF"/>
        </w:rPr>
        <w:t>文件解密的，经采购代理机构申请后可延迟解密时间。</w:t>
      </w:r>
    </w:p>
    <w:p w14:paraId="3AE9D423">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outlineLvl w:val="9"/>
        <w:rPr>
          <w:rFonts w:hint="eastAsia" w:asciiTheme="minorEastAsia" w:hAnsiTheme="minorEastAsia" w:eastAsiaTheme="minorEastAsia" w:cstheme="minorEastAsia"/>
          <w:b/>
          <w:bCs/>
          <w:iCs/>
          <w:color w:val="auto"/>
          <w:sz w:val="24"/>
          <w:szCs w:val="24"/>
          <w:highlight w:val="none"/>
          <w:u w:val="none"/>
          <w:lang w:val="en-US" w:eastAsia="zh-CN" w:bidi="ar-SA"/>
        </w:rPr>
      </w:pPr>
      <w:r>
        <w:rPr>
          <w:rFonts w:hint="eastAsia" w:asciiTheme="minorEastAsia" w:hAnsiTheme="minorEastAsia" w:eastAsiaTheme="minorEastAsia" w:cstheme="minorEastAsia"/>
          <w:b/>
          <w:bCs/>
          <w:iCs/>
          <w:color w:val="auto"/>
          <w:sz w:val="24"/>
          <w:szCs w:val="24"/>
          <w:highlight w:val="none"/>
          <w:u w:val="none"/>
          <w:lang w:val="en-US" w:eastAsia="zh-CN" w:bidi="ar-SA"/>
        </w:rPr>
        <w:t>九、凡对本次采购提出询问，请按以下方式联系</w:t>
      </w:r>
    </w:p>
    <w:p w14:paraId="312F1314">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bookmarkStart w:id="20" w:name="_Toc6559"/>
      <w:r>
        <w:rPr>
          <w:rFonts w:hint="eastAsia" w:ascii="仿宋" w:hAnsi="仿宋" w:eastAsia="仿宋" w:cs="仿宋"/>
          <w:b w:val="0"/>
          <w:bCs w:val="0"/>
          <w:i w:val="0"/>
          <w:iCs w:val="0"/>
          <w:caps w:val="0"/>
          <w:color w:val="000000"/>
          <w:spacing w:val="0"/>
          <w:sz w:val="24"/>
          <w:szCs w:val="24"/>
          <w:shd w:val="clear" w:color="auto" w:fill="FFFFFF"/>
          <w:lang w:val="en-US" w:eastAsia="zh-CN"/>
        </w:rPr>
        <w:t>1.采购人信息</w:t>
      </w:r>
      <w:bookmarkEnd w:id="20"/>
    </w:p>
    <w:p w14:paraId="600BEDA5">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名    称：滁州市公路管理服务中心</w:t>
      </w:r>
    </w:p>
    <w:p w14:paraId="782AA16A">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地    址：滁州市龙蟠大道200号</w:t>
      </w:r>
    </w:p>
    <w:p w14:paraId="74B08567">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联系人：李锦辉</w:t>
      </w:r>
    </w:p>
    <w:p w14:paraId="5F0F4EBC">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联系方式：0550-3033370</w:t>
      </w:r>
    </w:p>
    <w:p w14:paraId="2D3406B0">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bookmarkStart w:id="21" w:name="_Toc20321"/>
      <w:r>
        <w:rPr>
          <w:rFonts w:hint="eastAsia" w:ascii="仿宋" w:hAnsi="仿宋" w:eastAsia="仿宋" w:cs="仿宋"/>
          <w:b w:val="0"/>
          <w:bCs w:val="0"/>
          <w:i w:val="0"/>
          <w:iCs w:val="0"/>
          <w:caps w:val="0"/>
          <w:color w:val="000000"/>
          <w:spacing w:val="0"/>
          <w:sz w:val="24"/>
          <w:szCs w:val="24"/>
          <w:shd w:val="clear" w:color="auto" w:fill="FFFFFF"/>
          <w:lang w:val="en-US" w:eastAsia="zh-CN"/>
        </w:rPr>
        <w:t>2.采购代理机构信息</w:t>
      </w:r>
      <w:bookmarkEnd w:id="21"/>
    </w:p>
    <w:p w14:paraId="7C8E93AC">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名    称：滁州市城投工程咨询管理有限公司</w:t>
      </w:r>
    </w:p>
    <w:p w14:paraId="18C173AE">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地　　址：滁州市龙蟠大道109号房产商务大厦6楼</w:t>
      </w:r>
    </w:p>
    <w:p w14:paraId="1622742A">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联系人：张夏骄</w:t>
      </w:r>
    </w:p>
    <w:p w14:paraId="2B2CA12A">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联系方式：0550-3519512、18155023588</w:t>
      </w:r>
    </w:p>
    <w:p w14:paraId="777144DD">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3</w:t>
      </w:r>
      <w:r>
        <w:rPr>
          <w:rFonts w:hint="eastAsia" w:ascii="仿宋" w:hAnsi="仿宋" w:eastAsia="仿宋" w:cs="仿宋"/>
          <w:b w:val="0"/>
          <w:bCs w:val="0"/>
          <w:i w:val="0"/>
          <w:iCs w:val="0"/>
          <w:caps w:val="0"/>
          <w:color w:val="000000"/>
          <w:spacing w:val="0"/>
          <w:sz w:val="24"/>
          <w:szCs w:val="24"/>
          <w:shd w:val="clear" w:color="auto" w:fill="FFFFFF"/>
        </w:rPr>
        <w:t>.政府采购监督管理部门</w:t>
      </w:r>
      <w:r>
        <w:rPr>
          <w:rFonts w:hint="eastAsia" w:ascii="仿宋" w:hAnsi="仿宋" w:eastAsia="仿宋" w:cs="仿宋"/>
          <w:b w:val="0"/>
          <w:bCs w:val="0"/>
          <w:i w:val="0"/>
          <w:iCs w:val="0"/>
          <w:caps w:val="0"/>
          <w:color w:val="000000"/>
          <w:spacing w:val="0"/>
          <w:sz w:val="24"/>
          <w:szCs w:val="24"/>
          <w:shd w:val="clear" w:color="auto" w:fill="FFFFFF"/>
          <w:lang w:val="en-US" w:eastAsia="zh-CN"/>
        </w:rPr>
        <w:t>信息</w:t>
      </w:r>
    </w:p>
    <w:p w14:paraId="1AEED33A">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default" w:ascii="仿宋" w:hAnsi="仿宋" w:eastAsia="仿宋" w:cs="仿宋"/>
          <w:b w:val="0"/>
          <w:bCs w:val="0"/>
          <w:i w:val="0"/>
          <w:iCs w:val="0"/>
          <w:caps w:val="0"/>
          <w:color w:val="000000"/>
          <w:spacing w:val="0"/>
          <w:sz w:val="24"/>
          <w:szCs w:val="24"/>
          <w:shd w:val="clear" w:color="auto" w:fill="FFFFFF"/>
          <w:lang w:val="en-US" w:eastAsia="zh-CN"/>
        </w:rPr>
      </w:pPr>
      <w:r>
        <w:rPr>
          <w:rFonts w:hint="eastAsia" w:ascii="仿宋" w:hAnsi="仿宋" w:eastAsia="仿宋" w:cs="仿宋"/>
          <w:b w:val="0"/>
          <w:bCs w:val="0"/>
          <w:i w:val="0"/>
          <w:iCs w:val="0"/>
          <w:caps w:val="0"/>
          <w:color w:val="000000"/>
          <w:spacing w:val="0"/>
          <w:sz w:val="24"/>
          <w:szCs w:val="24"/>
          <w:shd w:val="clear" w:color="auto" w:fill="FFFFFF"/>
          <w:lang w:val="en-US" w:eastAsia="zh-CN"/>
        </w:rPr>
        <w:t>名    称</w:t>
      </w:r>
      <w:r>
        <w:rPr>
          <w:rFonts w:hint="eastAsia" w:ascii="仿宋" w:hAnsi="仿宋" w:eastAsia="仿宋" w:cs="仿宋"/>
          <w:b w:val="0"/>
          <w:bCs w:val="0"/>
          <w:i w:val="0"/>
          <w:iCs w:val="0"/>
          <w:caps w:val="0"/>
          <w:color w:val="000000"/>
          <w:spacing w:val="0"/>
          <w:sz w:val="24"/>
          <w:szCs w:val="24"/>
          <w:shd w:val="clear" w:color="auto" w:fill="FFFFFF"/>
        </w:rPr>
        <w:t>：</w:t>
      </w:r>
      <w:r>
        <w:rPr>
          <w:rFonts w:hint="eastAsia" w:ascii="仿宋" w:hAnsi="仿宋" w:eastAsia="仿宋" w:cs="仿宋"/>
          <w:b w:val="0"/>
          <w:bCs w:val="0"/>
          <w:i w:val="0"/>
          <w:iCs w:val="0"/>
          <w:caps w:val="0"/>
          <w:color w:val="000000"/>
          <w:spacing w:val="0"/>
          <w:sz w:val="24"/>
          <w:szCs w:val="24"/>
          <w:shd w:val="clear" w:color="auto" w:fill="FFFFFF"/>
          <w:lang w:val="en-US" w:eastAsia="zh-CN"/>
        </w:rPr>
        <w:t>滁州市公共资源交易监督管理局</w:t>
      </w:r>
    </w:p>
    <w:p w14:paraId="6268EC3C">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eastAsia" w:ascii="仿宋" w:hAnsi="仿宋" w:eastAsia="仿宋" w:cs="仿宋"/>
          <w:b w:val="0"/>
          <w:bCs w:val="0"/>
          <w:i w:val="0"/>
          <w:iCs w:val="0"/>
          <w:caps w:val="0"/>
          <w:color w:val="000000"/>
          <w:spacing w:val="0"/>
          <w:sz w:val="24"/>
          <w:szCs w:val="24"/>
          <w:shd w:val="clear" w:color="auto" w:fill="FFFFFF"/>
        </w:rPr>
      </w:pPr>
      <w:r>
        <w:rPr>
          <w:rFonts w:hint="eastAsia" w:ascii="仿宋" w:hAnsi="仿宋" w:eastAsia="仿宋" w:cs="仿宋"/>
          <w:b w:val="0"/>
          <w:bCs w:val="0"/>
          <w:i w:val="0"/>
          <w:iCs w:val="0"/>
          <w:caps w:val="0"/>
          <w:color w:val="000000"/>
          <w:spacing w:val="0"/>
          <w:sz w:val="24"/>
          <w:szCs w:val="24"/>
          <w:shd w:val="clear" w:color="auto" w:fill="FFFFFF"/>
        </w:rPr>
        <w:t>地</w:t>
      </w:r>
      <w:r>
        <w:rPr>
          <w:rFonts w:hint="eastAsia" w:ascii="仿宋" w:hAnsi="仿宋" w:eastAsia="仿宋" w:cs="仿宋"/>
          <w:b w:val="0"/>
          <w:bCs w:val="0"/>
          <w:i w:val="0"/>
          <w:iCs w:val="0"/>
          <w:caps w:val="0"/>
          <w:color w:val="000000"/>
          <w:spacing w:val="0"/>
          <w:sz w:val="24"/>
          <w:szCs w:val="24"/>
          <w:shd w:val="clear" w:color="auto" w:fill="FFFFFF"/>
          <w:lang w:val="en-US" w:eastAsia="zh-CN"/>
        </w:rPr>
        <w:t xml:space="preserve">    </w:t>
      </w:r>
      <w:r>
        <w:rPr>
          <w:rFonts w:hint="eastAsia" w:ascii="仿宋" w:hAnsi="仿宋" w:eastAsia="仿宋" w:cs="仿宋"/>
          <w:b w:val="0"/>
          <w:bCs w:val="0"/>
          <w:i w:val="0"/>
          <w:iCs w:val="0"/>
          <w:caps w:val="0"/>
          <w:color w:val="000000"/>
          <w:spacing w:val="0"/>
          <w:sz w:val="24"/>
          <w:szCs w:val="24"/>
          <w:shd w:val="clear" w:color="auto" w:fill="FFFFFF"/>
        </w:rPr>
        <w:t>址</w:t>
      </w:r>
      <w:r>
        <w:rPr>
          <w:rFonts w:hint="eastAsia" w:ascii="仿宋" w:hAnsi="仿宋" w:eastAsia="仿宋" w:cs="仿宋"/>
          <w:b w:val="0"/>
          <w:bCs w:val="0"/>
          <w:i w:val="0"/>
          <w:iCs w:val="0"/>
          <w:caps w:val="0"/>
          <w:color w:val="000000"/>
          <w:spacing w:val="0"/>
          <w:sz w:val="24"/>
          <w:szCs w:val="24"/>
          <w:shd w:val="clear" w:color="auto" w:fill="FFFFFF"/>
          <w:lang w:val="en-US" w:eastAsia="zh-CN"/>
        </w:rPr>
        <w:t>：</w:t>
      </w:r>
      <w:r>
        <w:rPr>
          <w:rFonts w:hint="eastAsia" w:ascii="仿宋" w:hAnsi="仿宋" w:eastAsia="仿宋" w:cs="仿宋"/>
          <w:b w:val="0"/>
          <w:bCs w:val="0"/>
          <w:i w:val="0"/>
          <w:iCs w:val="0"/>
          <w:caps w:val="0"/>
          <w:color w:val="000000"/>
          <w:spacing w:val="0"/>
          <w:sz w:val="24"/>
          <w:szCs w:val="24"/>
          <w:shd w:val="clear" w:color="auto" w:fill="FFFFFF"/>
        </w:rPr>
        <w:t>滁州市龙蟠大道109号房产大厦</w:t>
      </w:r>
      <w:r>
        <w:rPr>
          <w:rFonts w:hint="eastAsia" w:ascii="仿宋" w:hAnsi="仿宋" w:eastAsia="仿宋" w:cs="仿宋"/>
          <w:b w:val="0"/>
          <w:bCs w:val="0"/>
          <w:i w:val="0"/>
          <w:iCs w:val="0"/>
          <w:caps w:val="0"/>
          <w:color w:val="000000"/>
          <w:spacing w:val="0"/>
          <w:sz w:val="24"/>
          <w:szCs w:val="24"/>
          <w:shd w:val="clear" w:color="auto" w:fill="FFFFFF"/>
          <w:lang w:val="en-US" w:eastAsia="zh-CN"/>
        </w:rPr>
        <w:t>3</w:t>
      </w:r>
      <w:r>
        <w:rPr>
          <w:rFonts w:hint="eastAsia" w:ascii="仿宋" w:hAnsi="仿宋" w:eastAsia="仿宋" w:cs="仿宋"/>
          <w:b w:val="0"/>
          <w:bCs w:val="0"/>
          <w:i w:val="0"/>
          <w:iCs w:val="0"/>
          <w:caps w:val="0"/>
          <w:color w:val="000000"/>
          <w:spacing w:val="0"/>
          <w:sz w:val="24"/>
          <w:szCs w:val="24"/>
          <w:shd w:val="clear" w:color="auto" w:fill="FFFFFF"/>
        </w:rPr>
        <w:t>楼</w:t>
      </w:r>
    </w:p>
    <w:p w14:paraId="32ACDCD4">
      <w:pPr>
        <w:pStyle w:val="3"/>
        <w:keepNext/>
        <w:keepLines/>
        <w:pageBreakBefore w:val="0"/>
        <w:widowControl w:val="0"/>
        <w:numPr>
          <w:ilvl w:val="0"/>
          <w:numId w:val="0"/>
        </w:numPr>
        <w:kinsoku/>
        <w:wordWrap w:val="0"/>
        <w:overflowPunct/>
        <w:topLinePunct w:val="0"/>
        <w:autoSpaceDE/>
        <w:autoSpaceDN/>
        <w:bidi w:val="0"/>
        <w:adjustRightInd/>
        <w:snapToGrid/>
        <w:spacing w:before="0" w:after="0" w:line="440" w:lineRule="exact"/>
        <w:ind w:left="0" w:leftChars="0" w:firstLine="547" w:firstLineChars="228"/>
        <w:textAlignment w:val="auto"/>
        <w:rPr>
          <w:rFonts w:hint="default" w:ascii="仿宋" w:hAnsi="仿宋" w:eastAsia="仿宋" w:cs="仿宋"/>
          <w:b w:val="0"/>
          <w:bCs w:val="0"/>
          <w:i w:val="0"/>
          <w:iCs w:val="0"/>
          <w:caps w:val="0"/>
          <w:color w:val="000000"/>
          <w:spacing w:val="0"/>
          <w:sz w:val="24"/>
          <w:szCs w:val="24"/>
          <w:shd w:val="clear" w:color="auto" w:fill="FFFFFF"/>
          <w:lang w:val="en-US"/>
        </w:rPr>
      </w:pPr>
      <w:r>
        <w:rPr>
          <w:rFonts w:hint="eastAsia" w:ascii="仿宋" w:hAnsi="仿宋" w:eastAsia="仿宋" w:cs="仿宋"/>
          <w:b w:val="0"/>
          <w:bCs w:val="0"/>
          <w:i w:val="0"/>
          <w:iCs w:val="0"/>
          <w:caps w:val="0"/>
          <w:color w:val="000000"/>
          <w:spacing w:val="0"/>
          <w:sz w:val="24"/>
          <w:szCs w:val="24"/>
          <w:shd w:val="clear" w:color="auto" w:fill="FFFFFF"/>
        </w:rPr>
        <w:t>联系</w:t>
      </w:r>
      <w:r>
        <w:rPr>
          <w:rFonts w:hint="eastAsia" w:ascii="仿宋" w:hAnsi="仿宋" w:eastAsia="仿宋" w:cs="仿宋"/>
          <w:b w:val="0"/>
          <w:bCs w:val="0"/>
          <w:i w:val="0"/>
          <w:iCs w:val="0"/>
          <w:caps w:val="0"/>
          <w:color w:val="000000"/>
          <w:spacing w:val="0"/>
          <w:sz w:val="24"/>
          <w:szCs w:val="24"/>
          <w:shd w:val="clear" w:color="auto" w:fill="FFFFFF"/>
          <w:lang w:val="en-US" w:eastAsia="zh-CN"/>
        </w:rPr>
        <w:t>方式</w:t>
      </w:r>
      <w:r>
        <w:rPr>
          <w:rFonts w:hint="eastAsia" w:ascii="仿宋" w:hAnsi="仿宋" w:eastAsia="仿宋" w:cs="仿宋"/>
          <w:b w:val="0"/>
          <w:bCs w:val="0"/>
          <w:i w:val="0"/>
          <w:iCs w:val="0"/>
          <w:caps w:val="0"/>
          <w:color w:val="000000"/>
          <w:spacing w:val="0"/>
          <w:sz w:val="24"/>
          <w:szCs w:val="24"/>
          <w:shd w:val="clear" w:color="auto" w:fill="FFFFFF"/>
        </w:rPr>
        <w:t>：</w:t>
      </w:r>
      <w:r>
        <w:rPr>
          <w:rFonts w:hint="eastAsia" w:ascii="仿宋" w:hAnsi="仿宋" w:eastAsia="仿宋" w:cs="仿宋"/>
          <w:b w:val="0"/>
          <w:bCs w:val="0"/>
          <w:i w:val="0"/>
          <w:iCs w:val="0"/>
          <w:caps w:val="0"/>
          <w:color w:val="000000"/>
          <w:spacing w:val="0"/>
          <w:sz w:val="24"/>
          <w:szCs w:val="24"/>
          <w:shd w:val="clear" w:color="auto" w:fill="FFFFFF"/>
          <w:lang w:val="en-US" w:eastAsia="zh-CN"/>
        </w:rPr>
        <w:t>0550-3801656</w:t>
      </w:r>
    </w:p>
    <w:p w14:paraId="0CDED497">
      <w:pPr>
        <w:spacing w:line="360" w:lineRule="auto"/>
        <w:ind w:firstLine="435"/>
        <w:rPr>
          <w:rFonts w:ascii="宋体" w:hAnsi="宋体" w:eastAsia="宋体"/>
          <w:color w:val="auto"/>
          <w:sz w:val="24"/>
          <w:szCs w:val="18"/>
          <w:highlight w:val="none"/>
          <w:u w:val="single"/>
        </w:rPr>
      </w:pPr>
    </w:p>
    <w:bookmarkEnd w:id="2"/>
    <w:p w14:paraId="78B339F4">
      <w:pPr>
        <w:spacing w:line="360" w:lineRule="auto"/>
        <w:ind w:firstLine="435"/>
        <w:rPr>
          <w:color w:val="auto"/>
          <w:sz w:val="24"/>
          <w:szCs w:val="18"/>
          <w:highlight w:val="none"/>
        </w:rPr>
      </w:pPr>
      <w:r>
        <w:rPr>
          <w:color w:val="auto"/>
          <w:sz w:val="24"/>
          <w:szCs w:val="18"/>
          <w:highlight w:val="none"/>
        </w:rPr>
        <w:br w:type="page"/>
      </w:r>
    </w:p>
    <w:p w14:paraId="49E91463">
      <w:pPr>
        <w:spacing w:line="360" w:lineRule="auto"/>
        <w:jc w:val="center"/>
        <w:outlineLvl w:val="0"/>
        <w:rPr>
          <w:rFonts w:asciiTheme="minorEastAsia" w:hAnsiTheme="minorEastAsia" w:eastAsiaTheme="minorEastAsia"/>
          <w:b/>
          <w:color w:val="auto"/>
          <w:sz w:val="28"/>
          <w:highlight w:val="none"/>
        </w:rPr>
      </w:pPr>
      <w:bookmarkStart w:id="22"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2"/>
    </w:p>
    <w:p w14:paraId="3EE60A4B">
      <w:pPr>
        <w:keepNext w:val="0"/>
        <w:keepLines w:val="0"/>
        <w:pageBreakBefore w:val="0"/>
        <w:kinsoku/>
        <w:overflowPunct/>
        <w:autoSpaceDE/>
        <w:autoSpaceDN/>
        <w:bidi w:val="0"/>
        <w:spacing w:line="440" w:lineRule="exact"/>
        <w:jc w:val="center"/>
        <w:textAlignment w:val="auto"/>
        <w:outlineLvl w:val="1"/>
        <w:rPr>
          <w:rFonts w:asciiTheme="minorEastAsia" w:hAnsiTheme="minorEastAsia" w:eastAsiaTheme="minorEastAsia"/>
          <w:b/>
          <w:color w:val="auto"/>
          <w:sz w:val="24"/>
          <w:highlight w:val="none"/>
        </w:rPr>
      </w:pPr>
      <w:bookmarkStart w:id="23" w:name="_Toc18621"/>
      <w:bookmarkStart w:id="24"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3"/>
      <w:bookmarkEnd w:id="24"/>
    </w:p>
    <w:p w14:paraId="4F9B6F70">
      <w:pPr>
        <w:keepNext w:val="0"/>
        <w:keepLines w:val="0"/>
        <w:pageBreakBefore w:val="0"/>
        <w:kinsoku/>
        <w:overflowPunct/>
        <w:autoSpaceDE/>
        <w:autoSpaceDN/>
        <w:bidi w:val="0"/>
        <w:spacing w:line="440" w:lineRule="exact"/>
        <w:ind w:firstLine="435"/>
        <w:textAlignment w:val="auto"/>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853"/>
        <w:gridCol w:w="6760"/>
      </w:tblGrid>
      <w:tr w14:paraId="4153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pct"/>
            <w:vAlign w:val="center"/>
          </w:tcPr>
          <w:p w14:paraId="51CAB496">
            <w:pPr>
              <w:pStyle w:val="75"/>
              <w:keepNext w:val="0"/>
              <w:keepLines w:val="0"/>
              <w:pageBreakBefore w:val="0"/>
              <w:widowControl w:val="0"/>
              <w:kinsoku/>
              <w:overflowPunct/>
              <w:autoSpaceDE/>
              <w:autoSpaceDN/>
              <w:bidi w:val="0"/>
              <w:spacing w:before="0" w:beforeAutospacing="0" w:after="0" w:afterAutospacing="0" w:line="440" w:lineRule="exact"/>
              <w:textAlignment w:val="auto"/>
              <w:rPr>
                <w:bCs w:val="0"/>
                <w:color w:val="auto"/>
                <w:kern w:val="2"/>
                <w:sz w:val="24"/>
                <w:szCs w:val="20"/>
                <w:highlight w:val="none"/>
              </w:rPr>
            </w:pPr>
            <w:r>
              <w:rPr>
                <w:rFonts w:hint="eastAsia"/>
                <w:bCs w:val="0"/>
                <w:color w:val="auto"/>
                <w:kern w:val="2"/>
                <w:sz w:val="24"/>
                <w:szCs w:val="20"/>
                <w:highlight w:val="none"/>
              </w:rPr>
              <w:t>条款号</w:t>
            </w:r>
          </w:p>
        </w:tc>
        <w:tc>
          <w:tcPr>
            <w:tcW w:w="967" w:type="pct"/>
            <w:vAlign w:val="center"/>
          </w:tcPr>
          <w:p w14:paraId="3500F40D">
            <w:pPr>
              <w:pStyle w:val="75"/>
              <w:keepNext w:val="0"/>
              <w:keepLines w:val="0"/>
              <w:pageBreakBefore w:val="0"/>
              <w:widowControl w:val="0"/>
              <w:kinsoku/>
              <w:overflowPunct/>
              <w:autoSpaceDE/>
              <w:autoSpaceDN/>
              <w:bidi w:val="0"/>
              <w:spacing w:before="0" w:beforeAutospacing="0" w:after="0" w:afterAutospacing="0" w:line="440" w:lineRule="exact"/>
              <w:textAlignment w:val="auto"/>
              <w:rPr>
                <w:bCs w:val="0"/>
                <w:color w:val="auto"/>
                <w:kern w:val="2"/>
                <w:sz w:val="24"/>
                <w:szCs w:val="20"/>
                <w:highlight w:val="none"/>
              </w:rPr>
            </w:pPr>
            <w:r>
              <w:rPr>
                <w:rFonts w:hint="eastAsia"/>
                <w:bCs w:val="0"/>
                <w:color w:val="auto"/>
                <w:kern w:val="2"/>
                <w:sz w:val="24"/>
                <w:szCs w:val="20"/>
                <w:highlight w:val="none"/>
              </w:rPr>
              <w:t>条款名称</w:t>
            </w:r>
          </w:p>
        </w:tc>
        <w:tc>
          <w:tcPr>
            <w:tcW w:w="3528" w:type="pct"/>
            <w:vAlign w:val="center"/>
          </w:tcPr>
          <w:p w14:paraId="7176972D">
            <w:pPr>
              <w:pStyle w:val="75"/>
              <w:keepNext w:val="0"/>
              <w:keepLines w:val="0"/>
              <w:pageBreakBefore w:val="0"/>
              <w:widowControl w:val="0"/>
              <w:kinsoku/>
              <w:overflowPunct/>
              <w:autoSpaceDE/>
              <w:autoSpaceDN/>
              <w:bidi w:val="0"/>
              <w:spacing w:before="0" w:beforeAutospacing="0" w:after="0" w:afterAutospacing="0" w:line="440" w:lineRule="exact"/>
              <w:textAlignment w:val="auto"/>
              <w:rPr>
                <w:bCs w:val="0"/>
                <w:color w:val="auto"/>
                <w:kern w:val="2"/>
                <w:sz w:val="24"/>
                <w:szCs w:val="20"/>
                <w:highlight w:val="none"/>
              </w:rPr>
            </w:pPr>
            <w:r>
              <w:rPr>
                <w:rFonts w:hint="eastAsia"/>
                <w:bCs w:val="0"/>
                <w:color w:val="auto"/>
                <w:kern w:val="2"/>
                <w:sz w:val="24"/>
                <w:szCs w:val="20"/>
                <w:highlight w:val="none"/>
              </w:rPr>
              <w:t>内容、说明与要求</w:t>
            </w:r>
          </w:p>
        </w:tc>
      </w:tr>
      <w:tr w14:paraId="630F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50F462D1">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67" w:type="pct"/>
            <w:vAlign w:val="center"/>
          </w:tcPr>
          <w:p w14:paraId="76D9F29F">
            <w:pPr>
              <w:pStyle w:val="75"/>
              <w:keepNext w:val="0"/>
              <w:keepLines w:val="0"/>
              <w:pageBreakBefore w:val="0"/>
              <w:widowControl w:val="0"/>
              <w:kinsoku/>
              <w:overflowPunct/>
              <w:autoSpaceDE/>
              <w:autoSpaceDN/>
              <w:bidi w:val="0"/>
              <w:spacing w:before="0" w:beforeAutospacing="0" w:after="0" w:afterAutospacing="0" w:line="440" w:lineRule="exact"/>
              <w:jc w:val="left"/>
              <w:textAlignment w:val="auto"/>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28" w:type="pct"/>
            <w:vAlign w:val="center"/>
          </w:tcPr>
          <w:p w14:paraId="0C36A7E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20E33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34CBC8CB">
            <w:pPr>
              <w:keepNext w:val="0"/>
              <w:keepLines w:val="0"/>
              <w:pageBreakBefore w:val="0"/>
              <w:kinsoku/>
              <w:overflowPunct/>
              <w:autoSpaceDE/>
              <w:autoSpaceDN/>
              <w:bidi w:val="0"/>
              <w:spacing w:line="440" w:lineRule="exact"/>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bCs/>
                <w:color w:val="auto"/>
                <w:sz w:val="24"/>
                <w:highlight w:val="none"/>
                <w:u w:val="single"/>
                <w:lang w:val="en-US" w:eastAsia="zh-CN"/>
              </w:rPr>
              <w:t>/</w:t>
            </w:r>
            <w:r>
              <w:rPr>
                <w:rFonts w:hint="eastAsia" w:ascii="宋体" w:hAnsi="宋体" w:eastAsia="宋体"/>
                <w:bCs/>
                <w:color w:val="auto"/>
                <w:sz w:val="24"/>
                <w:highlight w:val="none"/>
              </w:rPr>
              <w:t>年</w:t>
            </w:r>
            <w:r>
              <w:rPr>
                <w:rFonts w:hint="eastAsia"/>
                <w:bCs/>
                <w:color w:val="auto"/>
                <w:sz w:val="24"/>
                <w:highlight w:val="none"/>
                <w:u w:val="single"/>
                <w:lang w:val="en-US" w:eastAsia="zh-CN"/>
              </w:rPr>
              <w:t>/</w:t>
            </w:r>
            <w:r>
              <w:rPr>
                <w:rFonts w:hint="eastAsia" w:ascii="宋体" w:hAnsi="宋体" w:eastAsia="宋体"/>
                <w:bCs/>
                <w:color w:val="auto"/>
                <w:sz w:val="24"/>
                <w:highlight w:val="none"/>
              </w:rPr>
              <w:t>月</w:t>
            </w:r>
            <w:r>
              <w:rPr>
                <w:rFonts w:hint="eastAsia"/>
                <w:bCs/>
                <w:color w:val="auto"/>
                <w:sz w:val="24"/>
                <w:highlight w:val="none"/>
                <w:u w:val="single"/>
                <w:lang w:val="en-US" w:eastAsia="zh-CN"/>
              </w:rPr>
              <w:t>/</w:t>
            </w:r>
            <w:r>
              <w:rPr>
                <w:rFonts w:hint="eastAsia" w:ascii="宋体" w:hAnsi="宋体" w:eastAsia="宋体"/>
                <w:bCs/>
                <w:color w:val="auto"/>
                <w:sz w:val="24"/>
                <w:highlight w:val="none"/>
              </w:rPr>
              <w:t>日</w:t>
            </w:r>
            <w:r>
              <w:rPr>
                <w:rFonts w:hint="eastAsia"/>
                <w:bCs/>
                <w:color w:val="auto"/>
                <w:sz w:val="24"/>
                <w:highlight w:val="none"/>
                <w:u w:val="single"/>
                <w:lang w:val="en-US" w:eastAsia="zh-CN"/>
              </w:rPr>
              <w:t>/</w:t>
            </w:r>
            <w:r>
              <w:rPr>
                <w:rFonts w:hint="eastAsia" w:ascii="宋体" w:hAnsi="宋体" w:eastAsia="宋体"/>
                <w:bCs/>
                <w:color w:val="auto"/>
                <w:sz w:val="24"/>
                <w:highlight w:val="none"/>
              </w:rPr>
              <w:t>时</w:t>
            </w:r>
            <w:r>
              <w:rPr>
                <w:rFonts w:hint="eastAsia"/>
                <w:bCs/>
                <w:color w:val="auto"/>
                <w:sz w:val="24"/>
                <w:highlight w:val="none"/>
                <w:u w:val="single"/>
                <w:lang w:val="en-US" w:eastAsia="zh-CN"/>
              </w:rPr>
              <w:t>/</w:t>
            </w:r>
            <w:r>
              <w:rPr>
                <w:rFonts w:hint="eastAsia" w:ascii="宋体" w:hAnsi="宋体" w:eastAsia="宋体"/>
                <w:bCs/>
                <w:color w:val="auto"/>
                <w:sz w:val="24"/>
                <w:highlight w:val="none"/>
              </w:rPr>
              <w:t>分</w:t>
            </w:r>
          </w:p>
          <w:p w14:paraId="04468BF8">
            <w:pPr>
              <w:keepNext w:val="0"/>
              <w:keepLines w:val="0"/>
              <w:pageBreakBefore w:val="0"/>
              <w:kinsoku/>
              <w:overflowPunct/>
              <w:autoSpaceDE/>
              <w:autoSpaceDN/>
              <w:bidi w:val="0"/>
              <w:spacing w:line="440" w:lineRule="exact"/>
              <w:textAlignment w:val="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r>
              <w:rPr>
                <w:rFonts w:hint="eastAsia"/>
                <w:bCs/>
                <w:color w:val="auto"/>
                <w:sz w:val="24"/>
                <w:highlight w:val="none"/>
                <w:u w:val="single"/>
                <w:lang w:val="en-US" w:eastAsia="zh-CN"/>
              </w:rPr>
              <w:t>/</w:t>
            </w:r>
          </w:p>
          <w:p w14:paraId="62F8DC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联系人及联系电话：</w:t>
            </w:r>
            <w:r>
              <w:rPr>
                <w:rFonts w:hint="eastAsia"/>
                <w:bCs/>
                <w:color w:val="auto"/>
                <w:sz w:val="24"/>
                <w:highlight w:val="none"/>
                <w:u w:val="single"/>
                <w:lang w:val="en-US" w:eastAsia="zh-CN"/>
              </w:rPr>
              <w:t>/</w:t>
            </w:r>
          </w:p>
          <w:p w14:paraId="0E27EA0F">
            <w:pPr>
              <w:pStyle w:val="7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52A6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03" w:type="pct"/>
            <w:vAlign w:val="center"/>
          </w:tcPr>
          <w:p w14:paraId="49D10807">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67" w:type="pct"/>
            <w:vAlign w:val="center"/>
          </w:tcPr>
          <w:p w14:paraId="3A275115">
            <w:pPr>
              <w:pStyle w:val="75"/>
              <w:keepNext w:val="0"/>
              <w:keepLines w:val="0"/>
              <w:pageBreakBefore w:val="0"/>
              <w:widowControl w:val="0"/>
              <w:kinsoku/>
              <w:overflowPunct/>
              <w:autoSpaceDE/>
              <w:autoSpaceDN/>
              <w:bidi w:val="0"/>
              <w:spacing w:before="0" w:beforeAutospacing="0" w:after="0" w:afterAutospacing="0" w:line="440" w:lineRule="exact"/>
              <w:jc w:val="left"/>
              <w:textAlignment w:val="auto"/>
              <w:rPr>
                <w:b w:val="0"/>
                <w:color w:val="auto"/>
                <w:sz w:val="24"/>
                <w:highlight w:val="none"/>
              </w:rPr>
            </w:pPr>
            <w:r>
              <w:rPr>
                <w:rFonts w:hint="eastAsia"/>
                <w:b w:val="0"/>
                <w:color w:val="auto"/>
                <w:sz w:val="24"/>
                <w:highlight w:val="none"/>
              </w:rPr>
              <w:t>网上询问截止时间</w:t>
            </w:r>
          </w:p>
        </w:tc>
        <w:tc>
          <w:tcPr>
            <w:tcW w:w="3528" w:type="pct"/>
            <w:vAlign w:val="center"/>
          </w:tcPr>
          <w:p w14:paraId="575BE3A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lang w:eastAsia="zh-CN"/>
              </w:rPr>
              <w:t>2025年</w:t>
            </w:r>
            <w:r>
              <w:rPr>
                <w:rFonts w:hint="eastAsia"/>
                <w:b w:val="0"/>
                <w:color w:val="auto"/>
                <w:sz w:val="24"/>
                <w:highlight w:val="none"/>
                <w:lang w:val="en-US" w:eastAsia="zh-CN"/>
              </w:rPr>
              <w:t>10</w:t>
            </w:r>
            <w:r>
              <w:rPr>
                <w:rFonts w:hint="eastAsia"/>
                <w:b w:val="0"/>
                <w:color w:val="auto"/>
                <w:sz w:val="24"/>
                <w:highlight w:val="none"/>
                <w:lang w:eastAsia="zh-CN"/>
              </w:rPr>
              <w:t>月</w:t>
            </w:r>
            <w:r>
              <w:rPr>
                <w:rFonts w:hint="eastAsia"/>
                <w:b w:val="0"/>
                <w:color w:val="auto"/>
                <w:sz w:val="24"/>
                <w:highlight w:val="none"/>
                <w:lang w:val="en-US" w:eastAsia="zh-CN"/>
              </w:rPr>
              <w:t>13</w:t>
            </w:r>
            <w:bookmarkStart w:id="173" w:name="_GoBack"/>
            <w:bookmarkEnd w:id="173"/>
            <w:r>
              <w:rPr>
                <w:rFonts w:hint="eastAsia"/>
                <w:b w:val="0"/>
                <w:color w:val="auto"/>
                <w:sz w:val="24"/>
                <w:highlight w:val="none"/>
                <w:lang w:eastAsia="zh-CN"/>
              </w:rPr>
              <w:t>日</w:t>
            </w:r>
            <w:r>
              <w:rPr>
                <w:rFonts w:hint="eastAsia"/>
                <w:b w:val="0"/>
                <w:color w:val="auto"/>
                <w:sz w:val="24"/>
                <w:highlight w:val="none"/>
                <w:lang w:val="en-US" w:eastAsia="zh-CN"/>
              </w:rPr>
              <w:t>17</w:t>
            </w:r>
            <w:r>
              <w:rPr>
                <w:rFonts w:hint="eastAsia"/>
                <w:b w:val="0"/>
                <w:color w:val="auto"/>
                <w:sz w:val="24"/>
                <w:highlight w:val="none"/>
              </w:rPr>
              <w:t>时</w:t>
            </w:r>
            <w:r>
              <w:rPr>
                <w:rFonts w:hint="eastAsia"/>
                <w:b w:val="0"/>
                <w:color w:val="auto"/>
                <w:sz w:val="24"/>
                <w:highlight w:val="none"/>
                <w:lang w:val="en-US" w:eastAsia="zh-CN"/>
              </w:rPr>
              <w:t>3</w:t>
            </w:r>
            <w:r>
              <w:rPr>
                <w:rFonts w:hint="eastAsia"/>
                <w:b w:val="0"/>
                <w:color w:val="auto"/>
                <w:sz w:val="24"/>
                <w:highlight w:val="none"/>
              </w:rPr>
              <w:t>0分</w:t>
            </w:r>
          </w:p>
        </w:tc>
      </w:tr>
      <w:tr w14:paraId="170B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03" w:type="pct"/>
            <w:vAlign w:val="center"/>
          </w:tcPr>
          <w:p w14:paraId="2F3FB61F">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67" w:type="pct"/>
            <w:vAlign w:val="center"/>
          </w:tcPr>
          <w:p w14:paraId="08EEA240">
            <w:pPr>
              <w:pStyle w:val="75"/>
              <w:keepNext w:val="0"/>
              <w:keepLines w:val="0"/>
              <w:pageBreakBefore w:val="0"/>
              <w:widowControl w:val="0"/>
              <w:kinsoku/>
              <w:overflowPunct/>
              <w:autoSpaceDE/>
              <w:autoSpaceDN/>
              <w:bidi w:val="0"/>
              <w:spacing w:before="0" w:beforeAutospacing="0" w:after="0" w:afterAutospacing="0" w:line="440" w:lineRule="exact"/>
              <w:jc w:val="left"/>
              <w:textAlignment w:val="auto"/>
              <w:rPr>
                <w:b w:val="0"/>
                <w:color w:val="auto"/>
                <w:sz w:val="24"/>
                <w:highlight w:val="none"/>
              </w:rPr>
            </w:pPr>
            <w:r>
              <w:rPr>
                <w:rFonts w:hint="eastAsia"/>
                <w:b w:val="0"/>
                <w:color w:val="auto"/>
                <w:sz w:val="24"/>
                <w:highlight w:val="none"/>
              </w:rPr>
              <w:t>包别划分</w:t>
            </w:r>
          </w:p>
        </w:tc>
        <w:tc>
          <w:tcPr>
            <w:tcW w:w="3528" w:type="pct"/>
            <w:vAlign w:val="center"/>
          </w:tcPr>
          <w:p w14:paraId="05D4218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不分包     □分为  个包</w:t>
            </w:r>
          </w:p>
          <w:p w14:paraId="7ACA1DF9">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77D7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03" w:type="pct"/>
            <w:vAlign w:val="center"/>
          </w:tcPr>
          <w:p w14:paraId="0B1247DD">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67" w:type="pct"/>
            <w:vAlign w:val="center"/>
          </w:tcPr>
          <w:p w14:paraId="643C3459">
            <w:pPr>
              <w:pStyle w:val="75"/>
              <w:keepNext w:val="0"/>
              <w:keepLines w:val="0"/>
              <w:pageBreakBefore w:val="0"/>
              <w:widowControl w:val="0"/>
              <w:kinsoku/>
              <w:overflowPunct/>
              <w:autoSpaceDE/>
              <w:autoSpaceDN/>
              <w:bidi w:val="0"/>
              <w:spacing w:before="0" w:beforeAutospacing="0" w:after="0" w:afterAutospacing="0" w:line="440" w:lineRule="exact"/>
              <w:jc w:val="left"/>
              <w:textAlignment w:val="auto"/>
              <w:rPr>
                <w:b w:val="0"/>
                <w:color w:val="auto"/>
                <w:sz w:val="24"/>
                <w:highlight w:val="none"/>
              </w:rPr>
            </w:pPr>
            <w:r>
              <w:rPr>
                <w:rFonts w:hint="eastAsia"/>
                <w:b w:val="0"/>
                <w:color w:val="auto"/>
                <w:sz w:val="24"/>
                <w:highlight w:val="none"/>
              </w:rPr>
              <w:t>磋商保证金</w:t>
            </w:r>
          </w:p>
        </w:tc>
        <w:tc>
          <w:tcPr>
            <w:tcW w:w="3528" w:type="pct"/>
            <w:vAlign w:val="center"/>
          </w:tcPr>
          <w:p w14:paraId="22F919EB">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不收取</w:t>
            </w:r>
          </w:p>
        </w:tc>
      </w:tr>
      <w:tr w14:paraId="7C3E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3DF7E20C">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67" w:type="pct"/>
            <w:vAlign w:val="center"/>
          </w:tcPr>
          <w:p w14:paraId="3228FD91">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磋商有效期</w:t>
            </w:r>
          </w:p>
        </w:tc>
        <w:tc>
          <w:tcPr>
            <w:tcW w:w="3528" w:type="pct"/>
            <w:vAlign w:val="center"/>
          </w:tcPr>
          <w:p w14:paraId="777FC9CA">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u w:val="single"/>
              </w:rPr>
              <w:t xml:space="preserve"> </w:t>
            </w:r>
            <w:r>
              <w:rPr>
                <w:rFonts w:hint="eastAsia"/>
                <w:b w:val="0"/>
                <w:color w:val="auto"/>
                <w:sz w:val="24"/>
                <w:highlight w:val="none"/>
                <w:u w:val="single"/>
                <w:lang w:val="en-US" w:eastAsia="zh-CN"/>
              </w:rPr>
              <w:t>90</w:t>
            </w:r>
            <w:r>
              <w:rPr>
                <w:rFonts w:hint="eastAsia"/>
                <w:b w:val="0"/>
                <w:color w:val="auto"/>
                <w:sz w:val="24"/>
                <w:highlight w:val="none"/>
                <w:u w:val="single"/>
              </w:rPr>
              <w:t xml:space="preserve"> </w:t>
            </w:r>
            <w:r>
              <w:rPr>
                <w:rFonts w:hint="eastAsia"/>
                <w:b w:val="0"/>
                <w:color w:val="auto"/>
                <w:sz w:val="24"/>
                <w:highlight w:val="none"/>
              </w:rPr>
              <w:t>日历日</w:t>
            </w:r>
          </w:p>
        </w:tc>
      </w:tr>
      <w:tr w14:paraId="576A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69F528CB">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67" w:type="pct"/>
            <w:vAlign w:val="center"/>
          </w:tcPr>
          <w:p w14:paraId="2B78BA64">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响应文件解密时间</w:t>
            </w:r>
          </w:p>
        </w:tc>
        <w:tc>
          <w:tcPr>
            <w:tcW w:w="3528" w:type="pct"/>
            <w:vAlign w:val="center"/>
          </w:tcPr>
          <w:p w14:paraId="3A04CE2C">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 60 </w:t>
            </w:r>
            <w:r>
              <w:rPr>
                <w:rFonts w:hint="eastAsia"/>
                <w:b w:val="0"/>
                <w:color w:val="auto"/>
                <w:sz w:val="24"/>
                <w:highlight w:val="none"/>
                <w:u w:val="none"/>
              </w:rPr>
              <w:t>分钟内</w:t>
            </w:r>
          </w:p>
        </w:tc>
      </w:tr>
      <w:tr w14:paraId="1A3E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43E13611">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67" w:type="pct"/>
            <w:vAlign w:val="center"/>
          </w:tcPr>
          <w:p w14:paraId="42961A0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评审方法</w:t>
            </w:r>
          </w:p>
        </w:tc>
        <w:tc>
          <w:tcPr>
            <w:tcW w:w="3528" w:type="pct"/>
            <w:vAlign w:val="center"/>
          </w:tcPr>
          <w:p w14:paraId="6119639C">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u w:val="none"/>
              </w:rPr>
              <w:t>综合评分法</w:t>
            </w:r>
          </w:p>
        </w:tc>
      </w:tr>
      <w:tr w14:paraId="0723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720318E2">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67" w:type="pct"/>
            <w:vAlign w:val="center"/>
          </w:tcPr>
          <w:p w14:paraId="7411A59C">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最后报价扣除</w:t>
            </w:r>
          </w:p>
          <w:p w14:paraId="2166763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i/>
                <w:color w:val="auto"/>
                <w:sz w:val="24"/>
                <w:highlight w:val="none"/>
              </w:rPr>
              <w:t>（非专门面向中小企业采购项目适用）</w:t>
            </w:r>
          </w:p>
        </w:tc>
        <w:tc>
          <w:tcPr>
            <w:tcW w:w="3528" w:type="pct"/>
            <w:vAlign w:val="center"/>
          </w:tcPr>
          <w:p w14:paraId="360A0917">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2BDAC1F4">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A8BF7BE">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66C7BF9">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408C59B5">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271C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Merge w:val="restart"/>
            <w:vAlign w:val="center"/>
          </w:tcPr>
          <w:p w14:paraId="51946F06">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67" w:type="pct"/>
            <w:vMerge w:val="restart"/>
            <w:vAlign w:val="center"/>
          </w:tcPr>
          <w:p w14:paraId="5BAC8D1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28" w:type="pct"/>
            <w:vAlign w:val="center"/>
          </w:tcPr>
          <w:p w14:paraId="6C2F1178">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p>
          <w:p w14:paraId="3DE7930D">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170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Merge w:val="continue"/>
            <w:vAlign w:val="center"/>
          </w:tcPr>
          <w:p w14:paraId="01767190">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p>
        </w:tc>
        <w:tc>
          <w:tcPr>
            <w:tcW w:w="967" w:type="pct"/>
            <w:vMerge w:val="continue"/>
            <w:vAlign w:val="center"/>
          </w:tcPr>
          <w:p w14:paraId="463E8978">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p>
        </w:tc>
        <w:tc>
          <w:tcPr>
            <w:tcW w:w="3528" w:type="pct"/>
            <w:vAlign w:val="center"/>
          </w:tcPr>
          <w:p w14:paraId="291285E3">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确定成交供应商：</w:t>
            </w:r>
          </w:p>
          <w:p w14:paraId="58F48A6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6BA9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6D500736">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67" w:type="pct"/>
            <w:vAlign w:val="center"/>
          </w:tcPr>
          <w:p w14:paraId="4D8252A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随成交结果公告同时公告的内容</w:t>
            </w:r>
          </w:p>
        </w:tc>
        <w:tc>
          <w:tcPr>
            <w:tcW w:w="3528" w:type="pct"/>
            <w:vAlign w:val="center"/>
          </w:tcPr>
          <w:p w14:paraId="3BF09CF1">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4D50DD13">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19E9B009">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1541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59FA7A8C">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67" w:type="pct"/>
            <w:vAlign w:val="center"/>
          </w:tcPr>
          <w:p w14:paraId="4563D44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成交通知书发出的形式</w:t>
            </w:r>
          </w:p>
        </w:tc>
        <w:tc>
          <w:tcPr>
            <w:tcW w:w="3528" w:type="pct"/>
            <w:vAlign w:val="center"/>
          </w:tcPr>
          <w:p w14:paraId="5396A34A">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1614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44E13D8D">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ascii="宋体" w:hAnsi="宋体" w:eastAsia="宋体" w:cs="宋体"/>
                <w:b w:val="0"/>
                <w:bCs/>
                <w:color w:val="auto"/>
                <w:sz w:val="24"/>
                <w:szCs w:val="24"/>
                <w:lang w:val="en-US" w:eastAsia="zh-CN"/>
              </w:rPr>
              <w:t>2</w:t>
            </w:r>
            <w:r>
              <w:rPr>
                <w:rFonts w:hint="eastAsia"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.1</w:t>
            </w:r>
          </w:p>
        </w:tc>
        <w:tc>
          <w:tcPr>
            <w:tcW w:w="967" w:type="pct"/>
            <w:vAlign w:val="center"/>
          </w:tcPr>
          <w:p w14:paraId="1E85BF58">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告知磋商结果的形式</w:t>
            </w:r>
          </w:p>
        </w:tc>
        <w:tc>
          <w:tcPr>
            <w:tcW w:w="3528" w:type="pct"/>
            <w:vAlign w:val="center"/>
          </w:tcPr>
          <w:p w14:paraId="748AE0D8">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5CA2C60F">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b w:val="0"/>
                <w:color w:val="auto"/>
                <w:sz w:val="24"/>
                <w:highlight w:val="none"/>
              </w:rPr>
            </w:pPr>
            <w:r>
              <w:rPr>
                <w:rFonts w:hint="eastAsia"/>
                <w:b w:val="0"/>
                <w:color w:val="auto"/>
                <w:sz w:val="24"/>
                <w:highlight w:val="none"/>
              </w:rPr>
              <w:t>□磋商现场告知</w:t>
            </w:r>
          </w:p>
        </w:tc>
      </w:tr>
      <w:tr w14:paraId="3B6C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338E7011">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67" w:type="pct"/>
            <w:vAlign w:val="center"/>
          </w:tcPr>
          <w:p w14:paraId="21C478CC">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履约保证金</w:t>
            </w:r>
          </w:p>
        </w:tc>
        <w:tc>
          <w:tcPr>
            <w:tcW w:w="3528" w:type="pct"/>
          </w:tcPr>
          <w:p w14:paraId="24AE06C1">
            <w:pPr>
              <w:keepNext w:val="0"/>
              <w:keepLines w:val="0"/>
              <w:pageBreakBefore w:val="0"/>
              <w:kinsoku/>
              <w:overflowPunct/>
              <w:autoSpaceDE/>
              <w:autoSpaceDN/>
              <w:bidi w:val="0"/>
              <w:spacing w:line="440" w:lineRule="exact"/>
              <w:textAlignment w:val="auto"/>
              <w:rPr>
                <w:bCs/>
                <w:color w:val="auto"/>
                <w:sz w:val="24"/>
                <w:szCs w:val="28"/>
                <w:highlight w:val="none"/>
              </w:rPr>
            </w:pPr>
            <w:r>
              <w:rPr>
                <w:rFonts w:hint="eastAsia"/>
                <w:bCs/>
                <w:color w:val="auto"/>
                <w:sz w:val="24"/>
                <w:szCs w:val="28"/>
                <w:highlight w:val="none"/>
              </w:rPr>
              <w:t>（1）金额：</w:t>
            </w:r>
          </w:p>
          <w:p w14:paraId="7EA6733D">
            <w:pPr>
              <w:keepNext w:val="0"/>
              <w:keepLines w:val="0"/>
              <w:pageBreakBefore w:val="0"/>
              <w:kinsoku/>
              <w:overflowPunct/>
              <w:autoSpaceDE/>
              <w:autoSpaceDN/>
              <w:bidi w:val="0"/>
              <w:spacing w:line="440" w:lineRule="exact"/>
              <w:textAlignment w:val="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免收</w:t>
            </w:r>
          </w:p>
          <w:p w14:paraId="0B38A1EB">
            <w:pPr>
              <w:keepNext w:val="0"/>
              <w:keepLines w:val="0"/>
              <w:pageBreakBefore w:val="0"/>
              <w:kinsoku/>
              <w:overflowPunct/>
              <w:autoSpaceDE/>
              <w:autoSpaceDN/>
              <w:bidi w:val="0"/>
              <w:spacing w:line="440" w:lineRule="exact"/>
              <w:textAlignment w:val="auto"/>
              <w:rPr>
                <w:bCs/>
                <w:color w:val="auto"/>
                <w:sz w:val="24"/>
                <w:szCs w:val="28"/>
                <w:highlight w:val="none"/>
              </w:rPr>
            </w:pPr>
            <w:r>
              <w:rPr>
                <w:bCs/>
                <w:color w:val="auto"/>
                <w:sz w:val="24"/>
                <w:szCs w:val="28"/>
                <w:highlight w:val="none"/>
              </w:rPr>
              <w:t>□</w:t>
            </w:r>
            <w:r>
              <w:rPr>
                <w:rFonts w:hint="eastAsia"/>
                <w:bCs/>
                <w:color w:val="auto"/>
                <w:sz w:val="24"/>
                <w:szCs w:val="28"/>
                <w:highlight w:val="none"/>
              </w:rPr>
              <w:t>合同价的</w:t>
            </w:r>
            <w:r>
              <w:rPr>
                <w:bCs/>
                <w:color w:val="auto"/>
                <w:sz w:val="24"/>
                <w:szCs w:val="28"/>
                <w:highlight w:val="none"/>
                <w:u w:val="single"/>
              </w:rPr>
              <w:t xml:space="preserve"> </w:t>
            </w:r>
            <w:r>
              <w:rPr>
                <w:rFonts w:hint="eastAsia"/>
                <w:bCs/>
                <w:color w:val="auto"/>
                <w:sz w:val="24"/>
                <w:szCs w:val="28"/>
                <w:highlight w:val="none"/>
                <w:u w:val="single"/>
                <w:lang w:val="en-US" w:eastAsia="zh-CN"/>
              </w:rPr>
              <w:t>/</w:t>
            </w:r>
            <w:r>
              <w:rPr>
                <w:bCs/>
                <w:color w:val="auto"/>
                <w:sz w:val="24"/>
                <w:szCs w:val="28"/>
                <w:highlight w:val="none"/>
                <w:u w:val="single"/>
              </w:rPr>
              <w:t xml:space="preserve"> </w:t>
            </w:r>
            <w:r>
              <w:rPr>
                <w:bCs/>
                <w:color w:val="auto"/>
                <w:sz w:val="24"/>
                <w:szCs w:val="28"/>
                <w:highlight w:val="none"/>
              </w:rPr>
              <w:t>%</w:t>
            </w:r>
          </w:p>
          <w:p w14:paraId="2B358999">
            <w:pPr>
              <w:keepNext w:val="0"/>
              <w:keepLines w:val="0"/>
              <w:pageBreakBefore w:val="0"/>
              <w:kinsoku/>
              <w:overflowPunct/>
              <w:autoSpaceDE/>
              <w:autoSpaceDN/>
              <w:bidi w:val="0"/>
              <w:spacing w:line="440" w:lineRule="exact"/>
              <w:textAlignment w:val="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u w:val="single"/>
              </w:rPr>
              <w:t xml:space="preserve"> </w:t>
            </w:r>
            <w:r>
              <w:rPr>
                <w:rFonts w:hint="eastAsia"/>
                <w:bCs/>
                <w:color w:val="auto"/>
                <w:sz w:val="24"/>
                <w:szCs w:val="28"/>
                <w:highlight w:val="none"/>
                <w:u w:val="single"/>
                <w:lang w:val="en-US" w:eastAsia="zh-CN"/>
              </w:rPr>
              <w:t>/</w:t>
            </w:r>
            <w:r>
              <w:rPr>
                <w:rFonts w:hint="eastAsia"/>
                <w:bCs/>
                <w:color w:val="auto"/>
                <w:sz w:val="24"/>
                <w:szCs w:val="28"/>
                <w:highlight w:val="none"/>
                <w:u w:val="single"/>
              </w:rPr>
              <w:t xml:space="preserve">   </w:t>
            </w:r>
            <w:r>
              <w:rPr>
                <w:rFonts w:hint="eastAsia"/>
                <w:bCs/>
                <w:color w:val="auto"/>
                <w:sz w:val="24"/>
                <w:szCs w:val="28"/>
                <w:highlight w:val="none"/>
              </w:rPr>
              <w:t>元</w:t>
            </w:r>
          </w:p>
          <w:p w14:paraId="5E5C00F7">
            <w:pPr>
              <w:keepNext w:val="0"/>
              <w:keepLines w:val="0"/>
              <w:pageBreakBefore w:val="0"/>
              <w:kinsoku/>
              <w:overflowPunct/>
              <w:autoSpaceDE/>
              <w:autoSpaceDN/>
              <w:bidi w:val="0"/>
              <w:spacing w:line="440" w:lineRule="exact"/>
              <w:textAlignment w:val="auto"/>
              <w:rPr>
                <w:bCs/>
                <w:color w:val="auto"/>
                <w:sz w:val="24"/>
                <w:szCs w:val="28"/>
                <w:highlight w:val="none"/>
              </w:rPr>
            </w:pPr>
            <w:r>
              <w:rPr>
                <w:rFonts w:hint="eastAsia"/>
                <w:bCs/>
                <w:color w:val="auto"/>
                <w:sz w:val="24"/>
                <w:szCs w:val="28"/>
                <w:highlight w:val="none"/>
              </w:rPr>
              <w:t>（2）支付方式：</w:t>
            </w:r>
          </w:p>
          <w:p w14:paraId="31EEEAEB">
            <w:pPr>
              <w:keepNext w:val="0"/>
              <w:keepLines w:val="0"/>
              <w:pageBreakBefore w:val="0"/>
              <w:kinsoku/>
              <w:overflowPunct/>
              <w:autoSpaceDE/>
              <w:autoSpaceDN/>
              <w:bidi w:val="0"/>
              <w:spacing w:line="440" w:lineRule="exact"/>
              <w:textAlignment w:val="auto"/>
              <w:rPr>
                <w:bCs/>
                <w:color w:val="auto"/>
                <w:sz w:val="24"/>
                <w:szCs w:val="28"/>
                <w:highlight w:val="none"/>
              </w:rPr>
            </w:pPr>
            <w:r>
              <w:rPr>
                <w:rFonts w:hint="eastAsia"/>
                <w:bCs/>
                <w:color w:val="auto"/>
                <w:sz w:val="24"/>
                <w:szCs w:val="28"/>
                <w:highlight w:val="none"/>
              </w:rPr>
              <w:sym w:font="Wingdings" w:char="00A8"/>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A8"/>
            </w:r>
            <w:r>
              <w:rPr>
                <w:bCs/>
                <w:color w:val="auto"/>
                <w:sz w:val="24"/>
                <w:szCs w:val="28"/>
                <w:highlight w:val="none"/>
              </w:rPr>
              <w:t xml:space="preserve">支票 </w:t>
            </w:r>
            <w:r>
              <w:rPr>
                <w:rFonts w:hint="eastAsia"/>
                <w:bCs/>
                <w:color w:val="auto"/>
                <w:sz w:val="24"/>
                <w:szCs w:val="28"/>
                <w:highlight w:val="none"/>
              </w:rPr>
              <w:sym w:font="Wingdings" w:char="00A8"/>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A8"/>
            </w:r>
            <w:r>
              <w:rPr>
                <w:rFonts w:hint="eastAsia"/>
                <w:bCs/>
                <w:color w:val="auto"/>
                <w:sz w:val="24"/>
                <w:szCs w:val="28"/>
                <w:highlight w:val="none"/>
              </w:rPr>
              <w:t xml:space="preserve">本票 </w:t>
            </w:r>
            <w:r>
              <w:rPr>
                <w:rFonts w:hint="eastAsia"/>
                <w:bCs/>
                <w:color w:val="auto"/>
                <w:sz w:val="24"/>
                <w:szCs w:val="28"/>
                <w:highlight w:val="none"/>
              </w:rPr>
              <w:sym w:font="Wingdings" w:char="00A8"/>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A8"/>
            </w:r>
            <w:r>
              <w:rPr>
                <w:rFonts w:hint="eastAsia"/>
                <w:bCs/>
                <w:color w:val="auto"/>
                <w:sz w:val="24"/>
                <w:szCs w:val="28"/>
                <w:highlight w:val="none"/>
              </w:rPr>
              <w:t>保</w:t>
            </w:r>
            <w:r>
              <w:rPr>
                <w:bCs/>
                <w:color w:val="auto"/>
                <w:sz w:val="24"/>
                <w:szCs w:val="28"/>
                <w:highlight w:val="none"/>
              </w:rPr>
              <w:t>函</w:t>
            </w:r>
          </w:p>
          <w:p w14:paraId="3A649E38">
            <w:pPr>
              <w:keepNext w:val="0"/>
              <w:keepLines w:val="0"/>
              <w:pageBreakBefore w:val="0"/>
              <w:numPr>
                <w:ilvl w:val="0"/>
                <w:numId w:val="0"/>
              </w:numPr>
              <w:kinsoku/>
              <w:overflowPunct/>
              <w:autoSpaceDE/>
              <w:autoSpaceDN/>
              <w:bidi w:val="0"/>
              <w:spacing w:line="440" w:lineRule="exact"/>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EB6D365">
            <w:pPr>
              <w:keepNext w:val="0"/>
              <w:keepLines w:val="0"/>
              <w:pageBreakBefore w:val="0"/>
              <w:kinsoku/>
              <w:overflowPunct/>
              <w:autoSpaceDE/>
              <w:autoSpaceDN/>
              <w:bidi w:val="0"/>
              <w:spacing w:line="440" w:lineRule="exact"/>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13C0D4A0">
            <w:pPr>
              <w:keepNext w:val="0"/>
              <w:keepLines w:val="0"/>
              <w:pageBreakBefore w:val="0"/>
              <w:kinsoku/>
              <w:overflowPunct/>
              <w:autoSpaceDE/>
              <w:autoSpaceDN/>
              <w:bidi w:val="0"/>
              <w:spacing w:line="440" w:lineRule="exact"/>
              <w:textAlignment w:val="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0CC1F45A">
            <w:pPr>
              <w:keepNext w:val="0"/>
              <w:keepLines w:val="0"/>
              <w:pageBreakBefore w:val="0"/>
              <w:kinsoku/>
              <w:overflowPunct/>
              <w:autoSpaceDE/>
              <w:autoSpaceDN/>
              <w:bidi w:val="0"/>
              <w:spacing w:line="440" w:lineRule="exact"/>
              <w:textAlignment w:val="auto"/>
              <w:rPr>
                <w:b/>
                <w:bCs/>
                <w:color w:val="auto"/>
                <w:sz w:val="24"/>
                <w:szCs w:val="24"/>
                <w:highlight w:val="none"/>
              </w:rPr>
            </w:pPr>
            <w:r>
              <w:rPr>
                <w:rFonts w:hint="eastAsia"/>
                <w:b/>
                <w:bCs/>
                <w:color w:val="auto"/>
                <w:sz w:val="24"/>
                <w:szCs w:val="24"/>
                <w:highlight w:val="none"/>
              </w:rPr>
              <w:t>注意事项：</w:t>
            </w:r>
          </w:p>
          <w:p w14:paraId="335E4386">
            <w:pPr>
              <w:keepNext w:val="0"/>
              <w:keepLines w:val="0"/>
              <w:pageBreakBefore w:val="0"/>
              <w:kinsoku/>
              <w:overflowPunct/>
              <w:autoSpaceDE/>
              <w:autoSpaceDN/>
              <w:bidi w:val="0"/>
              <w:spacing w:line="440" w:lineRule="exact"/>
              <w:textAlignment w:val="auto"/>
              <w:rPr>
                <w:b/>
                <w:bCs/>
                <w:color w:val="auto"/>
                <w:sz w:val="24"/>
                <w:szCs w:val="24"/>
                <w:highlight w:val="none"/>
              </w:rPr>
            </w:pPr>
            <w:r>
              <w:rPr>
                <w:rFonts w:hint="eastAsia"/>
                <w:b/>
                <w:bCs/>
                <w:color w:val="auto"/>
                <w:sz w:val="24"/>
                <w:szCs w:val="24"/>
                <w:highlight w:val="none"/>
              </w:rPr>
              <w:t>（1）以上各类机构出具的以担保函、保证保险承担责任的方式均须满足无条件见索即付条件。</w:t>
            </w:r>
          </w:p>
          <w:p w14:paraId="67BE4095">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color w:val="auto"/>
                <w:sz w:val="24"/>
                <w:highlight w:val="none"/>
              </w:rPr>
            </w:pPr>
            <w:r>
              <w:rPr>
                <w:rFonts w:hint="eastAsia"/>
                <w:bCs w:val="0"/>
                <w:color w:val="auto"/>
                <w:sz w:val="24"/>
                <w:szCs w:val="24"/>
                <w:highlight w:val="none"/>
              </w:rPr>
              <w:t>（2）以担保函、保证保险形式缴纳履约保证金的，受益人和收取单位须为采购人。</w:t>
            </w:r>
          </w:p>
        </w:tc>
      </w:tr>
      <w:tr w14:paraId="512A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638163FD">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highlight w:val="none"/>
                <w:lang w:val="en-US" w:eastAsia="zh-CN"/>
              </w:rPr>
              <w:t>26.1</w:t>
            </w:r>
          </w:p>
        </w:tc>
        <w:tc>
          <w:tcPr>
            <w:tcW w:w="967" w:type="pct"/>
            <w:vAlign w:val="center"/>
          </w:tcPr>
          <w:p w14:paraId="0C15A9F5">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28" w:type="pct"/>
            <w:vAlign w:val="center"/>
          </w:tcPr>
          <w:p w14:paraId="32A0889D">
            <w:pPr>
              <w:keepNext w:val="0"/>
              <w:keepLines w:val="0"/>
              <w:pageBreakBefore w:val="0"/>
              <w:widowControl w:val="0"/>
              <w:kinsoku/>
              <w:wordWrap/>
              <w:overflowPunct/>
              <w:topLinePunct w:val="0"/>
              <w:autoSpaceDE/>
              <w:autoSpaceDN/>
              <w:bidi w:val="0"/>
              <w:adjustRightInd/>
              <w:snapToGrid/>
              <w:spacing w:before="39" w:line="440" w:lineRule="exact"/>
              <w:textAlignment w:val="auto"/>
              <w:rPr>
                <w:rFonts w:hint="default" w:ascii="宋体" w:hAnsi="宋体" w:eastAsia="宋体" w:cs="宋体"/>
                <w:color w:val="auto"/>
                <w:sz w:val="24"/>
                <w:szCs w:val="24"/>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rPr>
              <w:t>采购人</w:t>
            </w:r>
            <w:r>
              <w:rPr>
                <w:rFonts w:hint="eastAsia" w:ascii="宋体" w:hAnsi="宋体" w:eastAsia="宋体" w:cs="宋体"/>
                <w:color w:val="auto"/>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hint="eastAsia" w:cs="宋体"/>
                <w:color w:val="auto"/>
                <w:spacing w:val="14"/>
                <w:sz w:val="24"/>
                <w:szCs w:val="24"/>
                <w:lang w:val="en-US" w:eastAsia="zh-CN"/>
              </w:rPr>
              <w:t>成交供应商</w:t>
            </w:r>
          </w:p>
          <w:p w14:paraId="41EAECBF">
            <w:pPr>
              <w:keepNext w:val="0"/>
              <w:keepLines w:val="0"/>
              <w:pageBreakBefore w:val="0"/>
              <w:widowControl w:val="0"/>
              <w:kinsoku/>
              <w:wordWrap/>
              <w:overflowPunct/>
              <w:topLinePunct w:val="0"/>
              <w:autoSpaceDE/>
              <w:autoSpaceDN/>
              <w:bidi w:val="0"/>
              <w:adjustRightInd/>
              <w:snapToGrid/>
              <w:spacing w:before="24" w:line="440" w:lineRule="exact"/>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rPr>
              <w:t>：</w:t>
            </w:r>
            <w:r>
              <w:rPr>
                <w:rFonts w:hint="eastAsia" w:ascii="宋体" w:hAnsi="宋体" w:eastAsia="宋体" w:cs="宋体"/>
                <w:color w:val="auto"/>
                <w:sz w:val="24"/>
                <w:szCs w:val="24"/>
                <w:u w:val="single" w:color="auto"/>
              </w:rPr>
              <w:t>成交</w:t>
            </w:r>
            <w:r>
              <w:rPr>
                <w:rFonts w:hint="eastAsia" w:ascii="宋体" w:hAnsi="宋体" w:eastAsia="宋体" w:cs="宋体"/>
                <w:color w:val="auto"/>
                <w:sz w:val="24"/>
                <w:szCs w:val="24"/>
                <w:u w:val="single" w:color="auto"/>
                <w:lang w:val="en-US" w:eastAsia="zh-CN"/>
              </w:rPr>
              <w:t>供应商</w:t>
            </w:r>
            <w:r>
              <w:rPr>
                <w:rFonts w:hint="eastAsia" w:ascii="宋体" w:hAnsi="宋体" w:eastAsia="宋体" w:cs="宋体"/>
                <w:color w:val="auto"/>
                <w:sz w:val="24"/>
                <w:szCs w:val="24"/>
                <w:u w:val="single" w:color="auto"/>
              </w:rPr>
              <w:t>在获取成交通知书时一次性支付给代理机构</w:t>
            </w:r>
            <w:r>
              <w:rPr>
                <w:rFonts w:ascii="宋体" w:hAnsi="宋体" w:eastAsia="宋体" w:cs="宋体"/>
                <w:color w:val="auto"/>
                <w:sz w:val="24"/>
                <w:szCs w:val="24"/>
                <w:u w:val="single" w:color="auto"/>
              </w:rPr>
              <w:t xml:space="preserve"> </w:t>
            </w:r>
          </w:p>
          <w:p w14:paraId="269B6284">
            <w:pPr>
              <w:pStyle w:val="7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bCs/>
                <w:color w:val="auto"/>
                <w:sz w:val="24"/>
                <w:szCs w:val="28"/>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cs="宋体"/>
                <w:b w:val="0"/>
                <w:bCs w:val="0"/>
                <w:color w:val="auto"/>
                <w:kern w:val="2"/>
                <w:sz w:val="24"/>
                <w:szCs w:val="24"/>
                <w:highlight w:val="none"/>
                <w:u w:val="single"/>
                <w:lang w:val="en-US" w:eastAsia="zh-CN"/>
              </w:rPr>
              <w:t>参考</w:t>
            </w:r>
            <w:r>
              <w:rPr>
                <w:rFonts w:hint="eastAsia" w:ascii="宋体" w:hAnsi="宋体" w:eastAsia="宋体" w:cs="宋体"/>
                <w:b w:val="0"/>
                <w:bCs w:val="0"/>
                <w:color w:val="auto"/>
                <w:kern w:val="2"/>
                <w:sz w:val="24"/>
                <w:szCs w:val="24"/>
                <w:highlight w:val="none"/>
                <w:u w:val="single" w:color="auto"/>
                <w:lang w:val="en-US" w:eastAsia="zh-CN" w:bidi="ar-SA"/>
              </w:rPr>
              <w:t>《滁州市公共资源交易代理机构及从业人员管理暂行办法》滁公管〔2022〕5号，以及补充文件滁公管综〔2023〕19号《关于进一步明确代理费计取标准的通知》标准，</w:t>
            </w:r>
            <w:r>
              <w:rPr>
                <w:rFonts w:hint="eastAsia" w:cs="@仿宋_GB2312"/>
                <w:b w:val="0"/>
                <w:bCs/>
                <w:color w:val="auto"/>
                <w:kern w:val="0"/>
                <w:sz w:val="24"/>
                <w:szCs w:val="28"/>
                <w:highlight w:val="none"/>
                <w:u w:val="single" w:color="auto"/>
                <w:lang w:val="en-US" w:eastAsia="zh-CN" w:bidi="ar-SA"/>
              </w:rPr>
              <w:t>代理费</w:t>
            </w:r>
            <w:r>
              <w:rPr>
                <w:rFonts w:hint="eastAsia" w:cs="宋体"/>
                <w:b w:val="0"/>
                <w:bCs w:val="0"/>
                <w:color w:val="auto"/>
                <w:kern w:val="2"/>
                <w:sz w:val="24"/>
                <w:szCs w:val="24"/>
                <w:highlight w:val="none"/>
                <w:u w:val="single" w:color="auto"/>
                <w:lang w:val="en-US" w:eastAsia="zh-CN" w:bidi="ar-SA"/>
              </w:rPr>
              <w:t>5000</w:t>
            </w:r>
            <w:r>
              <w:rPr>
                <w:rFonts w:hint="eastAsia" w:ascii="宋体" w:hAnsi="宋体" w:eastAsia="宋体" w:cs="宋体"/>
                <w:b w:val="0"/>
                <w:bCs w:val="0"/>
                <w:color w:val="auto"/>
                <w:kern w:val="2"/>
                <w:sz w:val="24"/>
                <w:szCs w:val="24"/>
                <w:highlight w:val="none"/>
                <w:u w:val="single" w:color="auto"/>
                <w:lang w:val="en-US" w:eastAsia="zh-CN" w:bidi="ar-SA"/>
              </w:rPr>
              <w:t>元</w:t>
            </w:r>
          </w:p>
        </w:tc>
      </w:tr>
      <w:tr w14:paraId="276E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62C0F2EC">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67" w:type="pct"/>
            <w:vAlign w:val="center"/>
          </w:tcPr>
          <w:p w14:paraId="392A0B5B">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28" w:type="pct"/>
            <w:vAlign w:val="center"/>
          </w:tcPr>
          <w:p w14:paraId="64BCCB39">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65DAF6A">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在安徽省政府采购网、滁州市公共资源交易中心网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1A98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0CFF7585">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67" w:type="pct"/>
            <w:vAlign w:val="center"/>
          </w:tcPr>
          <w:p w14:paraId="2D8FA65F">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质疑函递交方式、接收部门、联系电话和通讯地址</w:t>
            </w:r>
          </w:p>
        </w:tc>
        <w:tc>
          <w:tcPr>
            <w:tcW w:w="3528" w:type="pct"/>
            <w:vAlign w:val="center"/>
          </w:tcPr>
          <w:p w14:paraId="52A1297A">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宋体" w:hAnsi="宋体" w:eastAsia="宋体"/>
                <w:b/>
                <w:bCs w:val="0"/>
                <w:color w:val="auto"/>
                <w:sz w:val="24"/>
                <w:highlight w:val="none"/>
                <w:u w:val="single"/>
                <w:lang w:val="en-US" w:eastAsia="zh-CN"/>
              </w:rPr>
            </w:pPr>
            <w:r>
              <w:rPr>
                <w:rFonts w:hint="eastAsia" w:ascii="宋体" w:hAnsi="宋体" w:eastAsia="宋体"/>
                <w:b w:val="0"/>
                <w:color w:val="auto"/>
                <w:sz w:val="24"/>
                <w:highlight w:val="none"/>
              </w:rPr>
              <w:t>递交方式：</w:t>
            </w:r>
            <w:r>
              <w:rPr>
                <w:rFonts w:hint="eastAsia" w:ascii="宋体" w:hAnsi="宋体" w:eastAsia="宋体"/>
                <w:b/>
                <w:bCs w:val="0"/>
                <w:color w:val="auto"/>
                <w:sz w:val="24"/>
                <w:highlight w:val="none"/>
                <w:u w:val="single"/>
                <w:lang w:val="en-US" w:eastAsia="zh-CN"/>
              </w:rPr>
              <w:t>如供应商对磋商文件有质疑，依据中华人民共和国财政部令第94号《政府采购质疑和投诉办法》规定提出质疑</w:t>
            </w:r>
            <w:r>
              <w:rPr>
                <w:rFonts w:hint="eastAsia"/>
                <w:b/>
                <w:bCs w:val="0"/>
                <w:color w:val="auto"/>
                <w:sz w:val="24"/>
                <w:highlight w:val="none"/>
                <w:u w:val="single"/>
                <w:lang w:val="en-US" w:eastAsia="zh-CN"/>
              </w:rPr>
              <w:t>；</w:t>
            </w:r>
          </w:p>
          <w:p w14:paraId="6DB61598">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bCs w:val="0"/>
                <w:color w:val="auto"/>
                <w:sz w:val="24"/>
                <w:highlight w:val="none"/>
                <w:u w:val="single"/>
              </w:rPr>
            </w:pPr>
            <w:r>
              <w:rPr>
                <w:rFonts w:hint="eastAsia" w:ascii="宋体" w:hAnsi="宋体" w:eastAsia="宋体"/>
                <w:b/>
                <w:bCs w:val="0"/>
                <w:color w:val="auto"/>
                <w:sz w:val="24"/>
                <w:highlight w:val="none"/>
                <w:u w:val="single"/>
                <w:lang w:val="en-US" w:eastAsia="zh-CN"/>
              </w:rPr>
              <w:t>供应商</w:t>
            </w:r>
            <w:r>
              <w:rPr>
                <w:rFonts w:hint="eastAsia" w:ascii="宋体" w:hAnsi="宋体" w:eastAsia="宋体"/>
                <w:b/>
                <w:bCs w:val="0"/>
                <w:color w:val="auto"/>
                <w:sz w:val="24"/>
                <w:highlight w:val="none"/>
                <w:u w:val="single"/>
              </w:rPr>
              <w:t>可以通过书面形式提出，也可以通过线上提出质疑</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通过线上向滁州市公共资源交易中心网电子交易系统提出质疑(具体操作步骤和程序请参见服务指南&gt;交易须知&gt;在线异议、质疑和投诉操作手册)</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。一份质疑函只能针对一个项目提出质疑，且针对同一采购程序环节的质疑应当</w:t>
            </w:r>
            <w:r>
              <w:rPr>
                <w:rFonts w:hint="eastAsia" w:ascii="宋体" w:hAnsi="宋体" w:eastAsia="宋体"/>
                <w:b/>
                <w:bCs w:val="0"/>
                <w:color w:val="auto"/>
                <w:sz w:val="24"/>
                <w:highlight w:val="none"/>
                <w:u w:val="single"/>
                <w:lang w:val="en-US" w:eastAsia="zh-CN"/>
              </w:rPr>
              <w:t>一</w:t>
            </w:r>
            <w:r>
              <w:rPr>
                <w:rFonts w:hint="eastAsia" w:ascii="宋体" w:hAnsi="宋体" w:eastAsia="宋体"/>
                <w:b/>
                <w:bCs w:val="0"/>
                <w:color w:val="auto"/>
                <w:sz w:val="24"/>
                <w:highlight w:val="none"/>
                <w:u w:val="single"/>
              </w:rPr>
              <w:t>次性提出</w:t>
            </w:r>
          </w:p>
          <w:p w14:paraId="448B910B">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rPr>
              <w:t xml:space="preserve"> 滁州市公路管理服务中心</w:t>
            </w:r>
            <w:r>
              <w:rPr>
                <w:rFonts w:hint="eastAsia" w:ascii="宋体" w:hAnsi="宋体" w:eastAsia="宋体"/>
                <w:bCs/>
                <w:color w:val="auto"/>
                <w:kern w:val="0"/>
                <w:sz w:val="24"/>
                <w:szCs w:val="28"/>
                <w:highlight w:val="none"/>
                <w:u w:val="single"/>
                <w:lang w:val="en-US" w:eastAsia="zh-CN"/>
              </w:rPr>
              <w:t>或滁州市城投工程咨询管理有限公司</w:t>
            </w:r>
            <w:r>
              <w:rPr>
                <w:rFonts w:hint="eastAsia" w:ascii="宋体" w:hAnsi="宋体" w:eastAsia="宋体"/>
                <w:bCs/>
                <w:color w:val="auto"/>
                <w:kern w:val="0"/>
                <w:sz w:val="24"/>
                <w:szCs w:val="28"/>
                <w:highlight w:val="none"/>
                <w:u w:val="single"/>
              </w:rPr>
              <w:t xml:space="preserve">  </w:t>
            </w:r>
          </w:p>
          <w:p w14:paraId="38F017E5">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bCs/>
                <w:color w:val="auto"/>
                <w:kern w:val="0"/>
                <w:sz w:val="24"/>
                <w:szCs w:val="28"/>
                <w:highlight w:val="none"/>
                <w:u w:val="single"/>
                <w:lang w:val="en-US" w:eastAsia="zh-CN"/>
              </w:rPr>
              <w:t>0</w:t>
            </w:r>
            <w:r>
              <w:rPr>
                <w:rFonts w:hint="eastAsia"/>
                <w:bCs/>
                <w:color w:val="auto"/>
                <w:kern w:val="0"/>
                <w:sz w:val="24"/>
                <w:szCs w:val="28"/>
                <w:highlight w:val="none"/>
                <w:u w:val="single"/>
                <w:lang w:eastAsia="zh-CN"/>
              </w:rPr>
              <w:t>550-3033370</w:t>
            </w:r>
            <w:r>
              <w:rPr>
                <w:rFonts w:hint="eastAsia" w:ascii="宋体" w:hAnsi="宋体" w:eastAsia="宋体"/>
                <w:bCs/>
                <w:color w:val="auto"/>
                <w:kern w:val="0"/>
                <w:sz w:val="24"/>
                <w:szCs w:val="28"/>
                <w:highlight w:val="none"/>
                <w:u w:val="single"/>
              </w:rPr>
              <w:t>、</w:t>
            </w:r>
            <w:r>
              <w:rPr>
                <w:rFonts w:hint="eastAsia"/>
                <w:bCs/>
                <w:color w:val="auto"/>
                <w:kern w:val="0"/>
                <w:sz w:val="24"/>
                <w:szCs w:val="28"/>
                <w:highlight w:val="none"/>
                <w:u w:val="single"/>
                <w:lang w:eastAsia="zh-CN"/>
              </w:rPr>
              <w:t>0550-3519512</w:t>
            </w:r>
            <w:r>
              <w:rPr>
                <w:rFonts w:hint="eastAsia" w:ascii="宋体" w:hAnsi="宋体" w:eastAsia="宋体"/>
                <w:bCs/>
                <w:color w:val="auto"/>
                <w:kern w:val="0"/>
                <w:sz w:val="24"/>
                <w:szCs w:val="28"/>
                <w:highlight w:val="none"/>
                <w:u w:val="single"/>
              </w:rPr>
              <w:t>、</w:t>
            </w:r>
            <w:r>
              <w:rPr>
                <w:rFonts w:hint="eastAsia"/>
                <w:bCs/>
                <w:color w:val="auto"/>
                <w:kern w:val="0"/>
                <w:sz w:val="24"/>
                <w:szCs w:val="28"/>
                <w:highlight w:val="none"/>
                <w:u w:val="single"/>
                <w:lang w:eastAsia="zh-CN"/>
              </w:rPr>
              <w:t>18155023588</w:t>
            </w:r>
            <w:r>
              <w:rPr>
                <w:rFonts w:hint="eastAsia" w:ascii="宋体" w:hAnsi="宋体" w:eastAsia="宋体"/>
                <w:bCs/>
                <w:color w:val="auto"/>
                <w:kern w:val="0"/>
                <w:sz w:val="24"/>
                <w:szCs w:val="28"/>
                <w:highlight w:val="none"/>
                <w:u w:val="single"/>
              </w:rPr>
              <w:t xml:space="preserve"> </w:t>
            </w:r>
          </w:p>
          <w:p w14:paraId="711D66EA">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rPr>
              <w:t>滁州市龙蟠大道200号</w:t>
            </w:r>
            <w:r>
              <w:rPr>
                <w:rFonts w:hint="eastAsia"/>
                <w:bCs/>
                <w:color w:val="auto"/>
                <w:kern w:val="0"/>
                <w:sz w:val="24"/>
                <w:szCs w:val="28"/>
                <w:highlight w:val="none"/>
                <w:u w:val="single"/>
                <w:lang w:eastAsia="zh-CN"/>
              </w:rPr>
              <w:t>、滁州市龙蟠大道109号房产商务大厦6楼</w:t>
            </w:r>
            <w:r>
              <w:rPr>
                <w:rFonts w:hint="eastAsia" w:ascii="宋体" w:hAnsi="宋体" w:eastAsia="宋体"/>
                <w:bCs/>
                <w:color w:val="auto"/>
                <w:kern w:val="0"/>
                <w:sz w:val="24"/>
                <w:szCs w:val="28"/>
                <w:highlight w:val="none"/>
                <w:u w:val="single"/>
              </w:rPr>
              <w:t xml:space="preserve"> </w:t>
            </w:r>
          </w:p>
        </w:tc>
      </w:tr>
      <w:tr w14:paraId="08B4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03" w:type="pct"/>
            <w:vAlign w:val="center"/>
          </w:tcPr>
          <w:p w14:paraId="3518B145">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67" w:type="pct"/>
            <w:vAlign w:val="center"/>
          </w:tcPr>
          <w:p w14:paraId="382929D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其他内容</w:t>
            </w:r>
          </w:p>
        </w:tc>
        <w:tc>
          <w:tcPr>
            <w:tcW w:w="3528" w:type="pct"/>
            <w:vAlign w:val="center"/>
          </w:tcPr>
          <w:p w14:paraId="74122789">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1、系统中提供的表格与磋商文件中不一致时，以磋商文件中提供的表格格式为准。</w:t>
            </w:r>
          </w:p>
          <w:p w14:paraId="29B8FF1C">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2、本磋商文件前后条款若有不一致之处，在澄清答疑时又未作出明确规定时，各供应商的响应文件只要满足其中任一条款，均视为对本磋商文件的响应。</w:t>
            </w:r>
          </w:p>
          <w:p w14:paraId="5C34754E">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3、本项目竞争性磋商公告与本磋商文件不一致之处，以本磋商文件为准；如供应商须知前附表的规定与供应商须知的规定不一致，以供应商须知前附表为准。</w:t>
            </w:r>
          </w:p>
          <w:p w14:paraId="127F935A">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4、本文件的最终解释权归采购人、采购代理机构所有。</w:t>
            </w:r>
          </w:p>
          <w:p w14:paraId="645CC299">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5、5.1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4A3F1DC9">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5.2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7D80F0F9">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5.3政府采购监督管理部门在处理投诉事项期间，可以视具体情况书面通知采购人暂停采购活动，但暂停时间最长不得超过30日。</w:t>
            </w:r>
          </w:p>
          <w:p w14:paraId="3D197A46">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5、5.1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22D81ADF">
            <w:pPr>
              <w:keepNext w:val="0"/>
              <w:keepLines w:val="0"/>
              <w:pageBreakBefore w:val="0"/>
              <w:kinsoku/>
              <w:wordWrap w:val="0"/>
              <w:overflowPunct/>
              <w:autoSpaceDE/>
              <w:autoSpaceDN/>
              <w:bidi w:val="0"/>
              <w:spacing w:line="440" w:lineRule="exac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5.2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08C36FAC">
            <w:pPr>
              <w:keepNext w:val="0"/>
              <w:keepLines w:val="0"/>
              <w:pageBreakBefore w:val="0"/>
              <w:kinsoku/>
              <w:wordWrap w:val="0"/>
              <w:overflowPunct/>
              <w:autoSpaceDE/>
              <w:autoSpaceDN/>
              <w:bidi w:val="0"/>
              <w:spacing w:line="440" w:lineRule="exact"/>
              <w:textAlignment w:val="auto"/>
              <w:rPr>
                <w:b w:val="0"/>
                <w:color w:val="auto"/>
                <w:sz w:val="24"/>
                <w:highlight w:val="none"/>
              </w:rPr>
            </w:pPr>
            <w:r>
              <w:rPr>
                <w:rFonts w:hint="eastAsia" w:ascii="宋体" w:hAnsi="宋体" w:eastAsia="宋体" w:cstheme="minorBidi"/>
                <w:b w:val="0"/>
                <w:bCs/>
                <w:color w:val="auto"/>
                <w:sz w:val="24"/>
                <w:szCs w:val="28"/>
                <w:highlight w:val="none"/>
                <w:lang w:val="en-US" w:eastAsia="zh-CN" w:bidi="ar-SA"/>
              </w:rPr>
              <w:t>5.3政府采购监督管理部门在处理投诉事项期间，可以视具体情况书面通知采购人暂停采购活动，但暂停时间最长不得超过30日。</w:t>
            </w:r>
          </w:p>
        </w:tc>
      </w:tr>
      <w:tr w14:paraId="4B3A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66BE42C4">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67" w:type="pct"/>
            <w:vAlign w:val="center"/>
          </w:tcPr>
          <w:p w14:paraId="3097367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承包方式</w:t>
            </w:r>
          </w:p>
        </w:tc>
        <w:tc>
          <w:tcPr>
            <w:tcW w:w="3528" w:type="pct"/>
            <w:vAlign w:val="center"/>
          </w:tcPr>
          <w:p w14:paraId="107F173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7C26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0BFFA760">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67" w:type="pct"/>
            <w:vAlign w:val="center"/>
          </w:tcPr>
          <w:p w14:paraId="5D2C23E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计价方式</w:t>
            </w:r>
          </w:p>
        </w:tc>
        <w:tc>
          <w:tcPr>
            <w:tcW w:w="3528" w:type="pct"/>
            <w:vAlign w:val="center"/>
          </w:tcPr>
          <w:p w14:paraId="275B90B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7BB5243E">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□全费用综合单价报价法</w:t>
            </w:r>
          </w:p>
        </w:tc>
      </w:tr>
      <w:tr w14:paraId="3343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7A528922">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67" w:type="pct"/>
            <w:vAlign w:val="center"/>
          </w:tcPr>
          <w:p w14:paraId="4EA1BB6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28" w:type="pct"/>
            <w:vAlign w:val="center"/>
          </w:tcPr>
          <w:p w14:paraId="52C29BA7">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val="en-US" w:eastAsia="zh-CN"/>
              </w:rPr>
              <w:t>60</w:t>
            </w:r>
            <w:r>
              <w:rPr>
                <w:b w:val="0"/>
                <w:color w:val="auto"/>
                <w:sz w:val="24"/>
                <w:highlight w:val="none"/>
              </w:rPr>
              <w:t>日历天</w:t>
            </w:r>
          </w:p>
          <w:p w14:paraId="468C6F2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b w:val="0"/>
                <w:color w:val="auto"/>
                <w:sz w:val="24"/>
                <w:highlight w:val="none"/>
              </w:rPr>
              <w:t>计划开工日期：</w:t>
            </w:r>
            <w:r>
              <w:rPr>
                <w:rFonts w:hint="eastAsia"/>
                <w:b w:val="0"/>
                <w:color w:val="auto"/>
                <w:sz w:val="24"/>
                <w:highlight w:val="none"/>
                <w:u w:val="single"/>
                <w:lang w:val="en-US" w:eastAsia="zh-CN"/>
              </w:rPr>
              <w:t>2025</w:t>
            </w:r>
            <w:r>
              <w:rPr>
                <w:b w:val="0"/>
                <w:color w:val="auto"/>
                <w:sz w:val="24"/>
                <w:highlight w:val="none"/>
                <w:u w:val="single"/>
              </w:rPr>
              <w:t xml:space="preserve"> </w:t>
            </w:r>
            <w:r>
              <w:rPr>
                <w:b w:val="0"/>
                <w:color w:val="auto"/>
                <w:sz w:val="24"/>
                <w:highlight w:val="none"/>
              </w:rPr>
              <w:t>年</w:t>
            </w:r>
            <w:r>
              <w:rPr>
                <w:rFonts w:hint="eastAsia"/>
                <w:b w:val="0"/>
                <w:color w:val="auto"/>
                <w:sz w:val="24"/>
                <w:highlight w:val="none"/>
                <w:u w:val="single"/>
                <w:lang w:val="en-US" w:eastAsia="zh-CN"/>
              </w:rPr>
              <w:t>10</w:t>
            </w:r>
            <w:r>
              <w:rPr>
                <w:b w:val="0"/>
                <w:color w:val="auto"/>
                <w:sz w:val="24"/>
                <w:highlight w:val="none"/>
              </w:rPr>
              <w:t>月</w:t>
            </w:r>
            <w:r>
              <w:rPr>
                <w:rFonts w:hint="eastAsia"/>
                <w:b w:val="0"/>
                <w:color w:val="auto"/>
                <w:sz w:val="24"/>
                <w:highlight w:val="none"/>
                <w:u w:val="single"/>
                <w:lang w:val="en-US" w:eastAsia="zh-CN"/>
              </w:rPr>
              <w:t>20</w:t>
            </w:r>
            <w:r>
              <w:rPr>
                <w:b w:val="0"/>
                <w:color w:val="auto"/>
                <w:sz w:val="24"/>
                <w:highlight w:val="none"/>
              </w:rPr>
              <w:t>日</w:t>
            </w:r>
            <w:r>
              <w:rPr>
                <w:rFonts w:hint="eastAsia"/>
                <w:b w:val="0"/>
                <w:color w:val="auto"/>
                <w:sz w:val="24"/>
                <w:highlight w:val="none"/>
              </w:rPr>
              <w:t>，</w:t>
            </w:r>
            <w:bookmarkStart w:id="25" w:name="EB2a2e1a22d449405a860670c095486ab8"/>
            <w:r>
              <w:rPr>
                <w:rFonts w:hint="eastAsia"/>
                <w:b w:val="0"/>
                <w:color w:val="auto"/>
                <w:sz w:val="24"/>
                <w:highlight w:val="none"/>
              </w:rPr>
              <w:t>具体开工时间以开工令为准。</w:t>
            </w:r>
            <w:bookmarkEnd w:id="25"/>
          </w:p>
        </w:tc>
      </w:tr>
      <w:tr w14:paraId="5400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682DBEE8">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67" w:type="pct"/>
            <w:vAlign w:val="center"/>
          </w:tcPr>
          <w:p w14:paraId="1CDD5A6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质量标准要求</w:t>
            </w:r>
          </w:p>
        </w:tc>
        <w:tc>
          <w:tcPr>
            <w:tcW w:w="3528" w:type="pct"/>
            <w:vAlign w:val="center"/>
          </w:tcPr>
          <w:p w14:paraId="0050AEF3">
            <w:pPr>
              <w:pStyle w:val="102"/>
              <w:keepNext w:val="0"/>
              <w:keepLines w:val="0"/>
              <w:pageBreakBefore w:val="0"/>
              <w:tabs>
                <w:tab w:val="left" w:pos="1152"/>
              </w:tabs>
              <w:kinsoku/>
              <w:overflowPunct/>
              <w:autoSpaceDE/>
              <w:autoSpaceDN/>
              <w:bidi w:val="0"/>
              <w:spacing w:before="0" w:beforeAutospacing="0" w:after="0" w:afterAutospacing="0" w:line="440" w:lineRule="exact"/>
              <w:textAlignment w:val="auto"/>
              <w:rPr>
                <w:b/>
                <w:color w:val="auto"/>
                <w:highlight w:val="none"/>
              </w:rPr>
            </w:pPr>
            <w:r>
              <w:rPr>
                <w:rFonts w:hint="eastAsia" w:cs="@仿宋_GB2312"/>
                <w:bCs/>
                <w:color w:val="auto"/>
                <w:szCs w:val="28"/>
                <w:highlight w:val="none"/>
              </w:rPr>
              <w:t>质量标准：合格</w:t>
            </w:r>
          </w:p>
        </w:tc>
      </w:tr>
      <w:tr w14:paraId="0535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48922E3C">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67" w:type="pct"/>
            <w:vAlign w:val="center"/>
          </w:tcPr>
          <w:p w14:paraId="7CD403C1">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安全文明要求</w:t>
            </w:r>
          </w:p>
        </w:tc>
        <w:tc>
          <w:tcPr>
            <w:tcW w:w="3528" w:type="pct"/>
            <w:vAlign w:val="center"/>
          </w:tcPr>
          <w:p w14:paraId="7D9A1D5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6B08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4F7E6CAB">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67" w:type="pct"/>
            <w:vAlign w:val="center"/>
          </w:tcPr>
          <w:p w14:paraId="61F9C30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总包及分包规定</w:t>
            </w:r>
          </w:p>
        </w:tc>
        <w:tc>
          <w:tcPr>
            <w:tcW w:w="3528" w:type="pct"/>
            <w:vAlign w:val="center"/>
          </w:tcPr>
          <w:p w14:paraId="61101154">
            <w:pPr>
              <w:keepNext w:val="0"/>
              <w:keepLines w:val="0"/>
              <w:pageBreakBefore w:val="0"/>
              <w:kinsoku/>
              <w:overflowPunct/>
              <w:autoSpaceDE/>
              <w:autoSpaceDN/>
              <w:bidi w:val="0"/>
              <w:spacing w:line="440" w:lineRule="exact"/>
              <w:textAlignment w:val="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3E8C7D65">
            <w:pPr>
              <w:keepNext w:val="0"/>
              <w:keepLines w:val="0"/>
              <w:pageBreakBefore w:val="0"/>
              <w:kinsoku/>
              <w:overflowPunct/>
              <w:autoSpaceDE/>
              <w:autoSpaceDN/>
              <w:bidi w:val="0"/>
              <w:spacing w:line="440" w:lineRule="exact"/>
              <w:jc w:val="left"/>
              <w:textAlignment w:val="auto"/>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4F9F02BA">
            <w:pPr>
              <w:keepNext w:val="0"/>
              <w:keepLines w:val="0"/>
              <w:pageBreakBefore w:val="0"/>
              <w:kinsoku/>
              <w:overflowPunct/>
              <w:autoSpaceDE/>
              <w:autoSpaceDN/>
              <w:bidi w:val="0"/>
              <w:spacing w:line="440" w:lineRule="exact"/>
              <w:jc w:val="left"/>
              <w:textAlignment w:val="auto"/>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8582BB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F7A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36235EE1">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67" w:type="pct"/>
            <w:vAlign w:val="center"/>
          </w:tcPr>
          <w:p w14:paraId="7E67FB68">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现场条件</w:t>
            </w:r>
          </w:p>
        </w:tc>
        <w:tc>
          <w:tcPr>
            <w:tcW w:w="3528" w:type="pct"/>
            <w:vAlign w:val="center"/>
          </w:tcPr>
          <w:p w14:paraId="213C069B">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bCs w:val="0"/>
                <w:color w:val="auto"/>
                <w:sz w:val="24"/>
                <w:highlight w:val="none"/>
              </w:rPr>
              <w:t>具备开工条件</w:t>
            </w:r>
          </w:p>
        </w:tc>
      </w:tr>
      <w:tr w14:paraId="73B3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1EEB4612">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67" w:type="pct"/>
            <w:vAlign w:val="center"/>
          </w:tcPr>
          <w:p w14:paraId="0E83A91F">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bCs w:val="0"/>
                <w:color w:val="auto"/>
                <w:sz w:val="24"/>
                <w:highlight w:val="none"/>
              </w:rPr>
              <w:t>采购人提供的资料</w:t>
            </w:r>
          </w:p>
        </w:tc>
        <w:tc>
          <w:tcPr>
            <w:tcW w:w="3528" w:type="pct"/>
            <w:vAlign w:val="center"/>
          </w:tcPr>
          <w:p w14:paraId="50DA50E1">
            <w:pPr>
              <w:keepNext w:val="0"/>
              <w:keepLines w:val="0"/>
              <w:pageBreakBefore w:val="0"/>
              <w:kinsoku/>
              <w:overflowPunct/>
              <w:autoSpaceDE/>
              <w:autoSpaceDN/>
              <w:bidi w:val="0"/>
              <w:adjustRightInd w:val="0"/>
              <w:snapToGrid w:val="0"/>
              <w:spacing w:line="440" w:lineRule="exact"/>
              <w:jc w:val="left"/>
              <w:textAlignment w:val="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4B2ED5E8">
            <w:pPr>
              <w:keepNext w:val="0"/>
              <w:keepLines w:val="0"/>
              <w:pageBreakBefore w:val="0"/>
              <w:kinsoku/>
              <w:overflowPunct/>
              <w:autoSpaceDE/>
              <w:autoSpaceDN/>
              <w:bidi w:val="0"/>
              <w:adjustRightInd w:val="0"/>
              <w:snapToGrid w:val="0"/>
              <w:spacing w:line="440" w:lineRule="exact"/>
              <w:jc w:val="left"/>
              <w:textAlignment w:val="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643815E2">
            <w:pPr>
              <w:keepNext w:val="0"/>
              <w:keepLines w:val="0"/>
              <w:pageBreakBefore w:val="0"/>
              <w:kinsoku/>
              <w:overflowPunct/>
              <w:autoSpaceDE/>
              <w:autoSpaceDN/>
              <w:bidi w:val="0"/>
              <w:adjustRightInd w:val="0"/>
              <w:snapToGrid w:val="0"/>
              <w:spacing w:line="440" w:lineRule="exact"/>
              <w:jc w:val="left"/>
              <w:textAlignment w:val="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5633F62D">
            <w:pPr>
              <w:keepNext w:val="0"/>
              <w:keepLines w:val="0"/>
              <w:pageBreakBefore w:val="0"/>
              <w:kinsoku/>
              <w:overflowPunct/>
              <w:autoSpaceDE/>
              <w:autoSpaceDN/>
              <w:bidi w:val="0"/>
              <w:adjustRightInd w:val="0"/>
              <w:snapToGrid w:val="0"/>
              <w:spacing w:line="440" w:lineRule="exact"/>
              <w:jc w:val="left"/>
              <w:textAlignment w:val="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201C0480">
            <w:pPr>
              <w:keepNext w:val="0"/>
              <w:keepLines w:val="0"/>
              <w:pageBreakBefore w:val="0"/>
              <w:kinsoku/>
              <w:overflowPunct/>
              <w:autoSpaceDE/>
              <w:autoSpaceDN/>
              <w:bidi w:val="0"/>
              <w:adjustRightInd w:val="0"/>
              <w:snapToGrid w:val="0"/>
              <w:spacing w:line="440" w:lineRule="exact"/>
              <w:jc w:val="left"/>
              <w:textAlignment w:val="auto"/>
              <w:rPr>
                <w:rFonts w:hint="eastAsia"/>
                <w:bCs/>
                <w:color w:val="auto"/>
                <w:sz w:val="24"/>
                <w:szCs w:val="28"/>
                <w:highlight w:val="none"/>
                <w:lang w:val="en-US" w:eastAsia="zh-CN"/>
              </w:rPr>
            </w:pPr>
            <w:r>
              <w:rPr>
                <w:rFonts w:hint="eastAsia"/>
                <w:bCs/>
                <w:color w:val="auto"/>
                <w:sz w:val="24"/>
                <w:szCs w:val="28"/>
                <w:highlight w:val="none"/>
              </w:rPr>
              <w:t>获得方式：</w:t>
            </w:r>
            <w:r>
              <w:rPr>
                <w:rFonts w:hint="eastAsia"/>
                <w:bCs/>
                <w:color w:val="auto"/>
                <w:sz w:val="24"/>
                <w:szCs w:val="28"/>
                <w:highlight w:val="none"/>
                <w:lang w:val="en-US" w:eastAsia="zh-CN"/>
              </w:rPr>
              <w:t>网上下载</w:t>
            </w:r>
          </w:p>
          <w:p w14:paraId="444B42F4">
            <w:pPr>
              <w:keepNext w:val="0"/>
              <w:keepLines w:val="0"/>
              <w:pageBreakBefore w:val="0"/>
              <w:kinsoku/>
              <w:overflowPunct/>
              <w:autoSpaceDE/>
              <w:autoSpaceDN/>
              <w:bidi w:val="0"/>
              <w:adjustRightInd w:val="0"/>
              <w:snapToGrid w:val="0"/>
              <w:spacing w:line="440" w:lineRule="exact"/>
              <w:jc w:val="left"/>
              <w:textAlignment w:val="auto"/>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2727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1298C7A9">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67" w:type="pct"/>
            <w:vAlign w:val="center"/>
          </w:tcPr>
          <w:p w14:paraId="737ABA6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bCs w:val="0"/>
                <w:color w:val="auto"/>
                <w:sz w:val="24"/>
                <w:highlight w:val="none"/>
              </w:rPr>
              <w:t>工程量清单和最高投标限价编制费</w:t>
            </w:r>
          </w:p>
        </w:tc>
        <w:tc>
          <w:tcPr>
            <w:tcW w:w="3528" w:type="pct"/>
            <w:vAlign w:val="center"/>
          </w:tcPr>
          <w:p w14:paraId="00B27B4F">
            <w:pPr>
              <w:keepNext w:val="0"/>
              <w:keepLines w:val="0"/>
              <w:pageBreakBefore w:val="0"/>
              <w:widowControl w:val="0"/>
              <w:kinsoku/>
              <w:wordWrap/>
              <w:overflowPunct/>
              <w:topLinePunct w:val="0"/>
              <w:autoSpaceDE/>
              <w:autoSpaceDN/>
              <w:bidi w:val="0"/>
              <w:adjustRightInd/>
              <w:snapToGrid/>
              <w:spacing w:before="39"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cs="宋体"/>
                <w:color w:val="auto"/>
                <w:spacing w:val="-12"/>
                <w:sz w:val="24"/>
                <w:szCs w:val="24"/>
                <w:highlight w:val="none"/>
                <w:lang w:val="en-US" w:eastAsia="zh-CN"/>
              </w:rPr>
              <w:t>采购人</w:t>
            </w:r>
          </w:p>
          <w:p w14:paraId="4C11229F">
            <w:pPr>
              <w:keepNext w:val="0"/>
              <w:keepLines w:val="0"/>
              <w:pageBreakBefore w:val="0"/>
              <w:widowControl w:val="0"/>
              <w:kinsoku/>
              <w:wordWrap/>
              <w:overflowPunct/>
              <w:topLinePunct w:val="0"/>
              <w:autoSpaceDE/>
              <w:autoSpaceDN/>
              <w:bidi w:val="0"/>
              <w:adjustRightInd/>
              <w:snapToGrid/>
              <w:spacing w:before="24" w:line="440" w:lineRule="exact"/>
              <w:textAlignment w:val="auto"/>
              <w:rPr>
                <w:rFonts w:hint="eastAsia"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cs="宋体"/>
                <w:color w:val="auto"/>
                <w:sz w:val="24"/>
                <w:szCs w:val="24"/>
                <w:highlight w:val="none"/>
                <w:lang w:val="en-US" w:eastAsia="zh-CN"/>
              </w:rPr>
              <w:t>转账</w:t>
            </w:r>
          </w:p>
          <w:p w14:paraId="79F4A95F">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cs="宋体"/>
                <w:b w:val="0"/>
                <w:bCs w:val="0"/>
                <w:color w:val="auto"/>
                <w:sz w:val="24"/>
                <w:szCs w:val="24"/>
                <w:highlight w:val="none"/>
                <w:u w:val="none" w:color="auto"/>
                <w:lang w:val="en-US" w:eastAsia="zh-CN"/>
              </w:rPr>
              <w:t>双方约定为准</w:t>
            </w:r>
          </w:p>
        </w:tc>
      </w:tr>
      <w:tr w14:paraId="5B71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515FB4CC">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67" w:type="pct"/>
            <w:vAlign w:val="center"/>
          </w:tcPr>
          <w:p w14:paraId="1A638029">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b w:val="0"/>
                <w:color w:val="auto"/>
                <w:sz w:val="24"/>
                <w:highlight w:val="none"/>
              </w:rPr>
            </w:pPr>
            <w:r>
              <w:rPr>
                <w:rFonts w:hint="eastAsia"/>
                <w:b w:val="0"/>
                <w:color w:val="auto"/>
                <w:sz w:val="24"/>
                <w:highlight w:val="none"/>
              </w:rPr>
              <w:t>其他补充说明</w:t>
            </w:r>
          </w:p>
        </w:tc>
        <w:tc>
          <w:tcPr>
            <w:tcW w:w="3528" w:type="pct"/>
            <w:vAlign w:val="center"/>
          </w:tcPr>
          <w:p w14:paraId="4799E1A5">
            <w:pPr>
              <w:keepNext w:val="0"/>
              <w:keepLines w:val="0"/>
              <w:pageBreakBefore w:val="0"/>
              <w:numPr>
                <w:ilvl w:val="0"/>
                <w:numId w:val="0"/>
              </w:numPr>
              <w:kinsoku/>
              <w:overflowPunct/>
              <w:autoSpaceDE/>
              <w:autoSpaceDN/>
              <w:bidi w:val="0"/>
              <w:spacing w:line="440" w:lineRule="exact"/>
              <w:textAlignment w:val="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1B5B5BB2">
            <w:pPr>
              <w:keepNext w:val="0"/>
              <w:keepLines w:val="0"/>
              <w:pageBreakBefore w:val="0"/>
              <w:numPr>
                <w:ilvl w:val="0"/>
                <w:numId w:val="0"/>
              </w:numPr>
              <w:kinsoku/>
              <w:overflowPunct/>
              <w:autoSpaceDE/>
              <w:autoSpaceDN/>
              <w:bidi w:val="0"/>
              <w:spacing w:line="44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D35BC">
            <w:pPr>
              <w:keepNext w:val="0"/>
              <w:keepLines w:val="0"/>
              <w:pageBreakBefore w:val="0"/>
              <w:kinsoku/>
              <w:overflowPunct/>
              <w:autoSpaceDE/>
              <w:autoSpaceDN/>
              <w:bidi w:val="0"/>
              <w:spacing w:line="44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AF1D3E2">
            <w:pPr>
              <w:keepNext w:val="0"/>
              <w:keepLines w:val="0"/>
              <w:pageBreakBefore w:val="0"/>
              <w:kinsoku/>
              <w:overflowPunct/>
              <w:autoSpaceDE/>
              <w:autoSpaceDN/>
              <w:bidi w:val="0"/>
              <w:spacing w:line="44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8B25009">
            <w:pPr>
              <w:keepNext w:val="0"/>
              <w:keepLines w:val="0"/>
              <w:pageBreakBefore w:val="0"/>
              <w:kinsoku/>
              <w:overflowPunct/>
              <w:autoSpaceDE/>
              <w:autoSpaceDN/>
              <w:bidi w:val="0"/>
              <w:spacing w:line="44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025BA1CF">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EEAB598">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p>
          <w:p w14:paraId="09404872">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p w14:paraId="19D9A21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4.部分可提供线下政采贷的金融机构</w:t>
            </w:r>
          </w:p>
          <w:p w14:paraId="24F50B2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市本级</w:t>
            </w:r>
          </w:p>
          <w:p w14:paraId="3A720F5E">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金融机构名称：兴业银行滁州分行</w:t>
            </w:r>
          </w:p>
          <w:p w14:paraId="010E5D0E">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安徽省滁州市琅琊区丰乐大道1090号</w:t>
            </w:r>
          </w:p>
          <w:p w14:paraId="6E234B6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伏庚：17755080811</w:t>
            </w:r>
          </w:p>
        </w:tc>
      </w:tr>
      <w:tr w14:paraId="4775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2D9B00BE">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bCs/>
                <w:color w:val="auto"/>
                <w:kern w:val="2"/>
                <w:highlight w:val="none"/>
              </w:rPr>
            </w:pPr>
            <w:r>
              <w:rPr>
                <w:rFonts w:hint="eastAsia"/>
                <w:bCs/>
                <w:color w:val="auto"/>
                <w:kern w:val="2"/>
                <w:sz w:val="24"/>
                <w:szCs w:val="24"/>
                <w:highlight w:val="none"/>
                <w:lang w:val="en-US" w:eastAsia="zh-CN"/>
              </w:rPr>
              <w:t>30.11</w:t>
            </w:r>
          </w:p>
        </w:tc>
        <w:tc>
          <w:tcPr>
            <w:tcW w:w="967" w:type="pct"/>
            <w:vAlign w:val="center"/>
          </w:tcPr>
          <w:p w14:paraId="6518F8E8">
            <w:pPr>
              <w:pStyle w:val="75"/>
              <w:keepNext w:val="0"/>
              <w:keepLines w:val="0"/>
              <w:pageBreakBefore w:val="0"/>
              <w:widowControl w:val="0"/>
              <w:kinsoku/>
              <w:overflowPunct/>
              <w:autoSpaceDE/>
              <w:autoSpaceDN/>
              <w:bidi w:val="0"/>
              <w:spacing w:before="0" w:beforeAutospacing="0" w:after="0" w:afterAutospacing="0" w:line="440" w:lineRule="exact"/>
              <w:jc w:val="center"/>
              <w:textAlignment w:val="auto"/>
              <w:rPr>
                <w:rFonts w:hint="eastAsia"/>
                <w:b w:val="0"/>
                <w:color w:val="auto"/>
                <w:sz w:val="24"/>
                <w:highlight w:val="none"/>
              </w:rPr>
            </w:pPr>
            <w:r>
              <w:rPr>
                <w:rFonts w:hint="eastAsia"/>
                <w:b w:val="0"/>
                <w:color w:val="auto"/>
                <w:sz w:val="24"/>
                <w:szCs w:val="24"/>
                <w:highlight w:val="none"/>
              </w:rPr>
              <w:t>特别提示</w:t>
            </w:r>
          </w:p>
        </w:tc>
        <w:tc>
          <w:tcPr>
            <w:tcW w:w="3528" w:type="pct"/>
            <w:vAlign w:val="center"/>
          </w:tcPr>
          <w:p w14:paraId="52068CD3">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供应商应填写投标信息并下载磋商文件，否则无法上传响应文件。</w:t>
            </w:r>
          </w:p>
          <w:p w14:paraId="781C668C">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本项目采用电子磋商，请供应商在滁州市公共资源交易中心网&gt;服务指南&gt;软件下载栏目点击下载响应文件制作工具。供应商需采用最新版响应文件制作工具。软件运行需在国际互联网络通畅状态，供应商需注意更新，以免造成响应文件制作错误，如因此导致评审委员会否决其磋商资格，责任自负。如有技术问题请联系0550-3801701，4009980000。</w:t>
            </w:r>
          </w:p>
          <w:p w14:paraId="186297A6">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3.如果过程中出现磋商文件更改，应以最后发布的招标答疑澄清文件中的模板制作本项目最新响应文件。</w:t>
            </w:r>
          </w:p>
          <w:p w14:paraId="616CF35F">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 xml:space="preserve">4.供应商应当用本单位CA数字证书制作响应文件，制作成功后进行响应文件上传。 </w:t>
            </w:r>
          </w:p>
          <w:p w14:paraId="70C10C2B">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68483D6D">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6.请供应商注意加密响应文件CA数字证书的有效期，不在有效期的CA数字证书无法解密响应文件。</w:t>
            </w:r>
          </w:p>
          <w:p w14:paraId="28C6F223">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7.供应商响应MAC地址或供应商联系人或联系电话相同的，否决其响应，并报告监管部门作不良行为处理和进一步调查。</w:t>
            </w:r>
          </w:p>
          <w:p w14:paraId="6529458A">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8.供应商单方面出现其他供应商材料的，否决其磋商资格。</w:t>
            </w:r>
          </w:p>
          <w:p w14:paraId="163EE9A0">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9.评审时查询响应文件制作机器码、文件创建标识码及造价软件加密锁号。若存在响应文件制作机器码或创建标识码或造价软件加密锁号信息与其他供应商雷同的，否决其磋商资格，保证金不予退还，依法依规予以处理。</w:t>
            </w:r>
          </w:p>
          <w:p w14:paraId="489D085B">
            <w:pPr>
              <w:pStyle w:val="75"/>
              <w:keepNext w:val="0"/>
              <w:keepLines w:val="0"/>
              <w:pageBreakBefore w:val="0"/>
              <w:widowControl w:val="0"/>
              <w:kinsoku/>
              <w:overflowPunct/>
              <w:autoSpaceDE/>
              <w:autoSpaceDN/>
              <w:bidi w:val="0"/>
              <w:spacing w:before="0" w:beforeAutospacing="0" w:after="0" w:afterAutospacing="0" w:line="440" w:lineRule="exact"/>
              <w:jc w:val="both"/>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10.电子加密响应文件上传到系统后，需要供应商和代理公司到磋商截止时间后共同解锁，不存在商务报价等信息通过系统泄密的风险；磋商截止时间前，已上传的响应文件也可以撤回修改。集中到磋商截止时间前上传电子加密响应文件，可能出现由于供应商制作电子响应文件不熟练、网络拥堵等不可预知的情况而且无法及时解决，丧失磋商机会，请各供应商提前制作、上传电子加密响应文件，否则由于无法及时上传电子加密响应文件而无效响应的情况，责任自负！</w:t>
            </w:r>
          </w:p>
        </w:tc>
      </w:tr>
      <w:tr w14:paraId="1DD1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 w:type="pct"/>
            <w:vAlign w:val="center"/>
          </w:tcPr>
          <w:p w14:paraId="5A0B6635">
            <w:pPr>
              <w:pStyle w:val="76"/>
              <w:keepNext w:val="0"/>
              <w:keepLines w:val="0"/>
              <w:pageBreakBefore w:val="0"/>
              <w:pBdr>
                <w:bottom w:val="none" w:color="auto" w:sz="0" w:space="0"/>
              </w:pBdr>
              <w:tabs>
                <w:tab w:val="clear" w:pos="4153"/>
                <w:tab w:val="clear" w:pos="8306"/>
              </w:tabs>
              <w:kinsoku/>
              <w:overflowPunct/>
              <w:autoSpaceDE/>
              <w:autoSpaceDN/>
              <w:bidi w:val="0"/>
              <w:adjustRightInd/>
              <w:spacing w:line="440" w:lineRule="exact"/>
              <w:textAlignment w:val="auto"/>
              <w:rPr>
                <w:rFonts w:hint="default" w:ascii="宋体" w:hAnsi="宋体" w:eastAsia="宋体"/>
                <w:bCs/>
                <w:color w:val="auto"/>
                <w:kern w:val="2"/>
                <w:highlight w:val="none"/>
                <w:lang w:val="en-US" w:eastAsia="zh-CN"/>
              </w:rPr>
            </w:pPr>
            <w:r>
              <w:rPr>
                <w:rFonts w:hint="eastAsia"/>
                <w:bCs/>
                <w:color w:val="auto"/>
                <w:kern w:val="2"/>
                <w:sz w:val="24"/>
                <w:szCs w:val="24"/>
                <w:highlight w:val="none"/>
                <w:lang w:val="en-US" w:eastAsia="zh-CN"/>
              </w:rPr>
              <w:t>30.12</w:t>
            </w:r>
          </w:p>
        </w:tc>
        <w:tc>
          <w:tcPr>
            <w:tcW w:w="967" w:type="pct"/>
            <w:vAlign w:val="center"/>
          </w:tcPr>
          <w:p w14:paraId="6718F65E">
            <w:pPr>
              <w:keepNext w:val="0"/>
              <w:keepLines w:val="0"/>
              <w:pageBreakBefore w:val="0"/>
              <w:kinsoku/>
              <w:overflowPunct/>
              <w:autoSpaceDE/>
              <w:autoSpaceDN/>
              <w:bidi w:val="0"/>
              <w:adjustRightInd/>
              <w:snapToGrid/>
              <w:spacing w:line="440" w:lineRule="exact"/>
              <w:jc w:val="center"/>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重要要求</w:t>
            </w:r>
          </w:p>
        </w:tc>
        <w:tc>
          <w:tcPr>
            <w:tcW w:w="3528" w:type="pct"/>
            <w:vAlign w:val="top"/>
          </w:tcPr>
          <w:p w14:paraId="25F49F66">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1.本项目为面向中小企业预留份额的采购包，专门面向中小企业采购。专门面向中小企业采购的项目或者采购包，不再执行价格评审优惠的扶持政策。</w:t>
            </w:r>
          </w:p>
          <w:p w14:paraId="175745E5">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2.采购标的对应的中小企业划分标准所属行业：建筑业。</w:t>
            </w:r>
          </w:p>
        </w:tc>
      </w:tr>
    </w:tbl>
    <w:p w14:paraId="55513A01">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6" w:name="_Toc18784"/>
      <w:bookmarkStart w:id="27"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6"/>
      <w:bookmarkEnd w:id="27"/>
    </w:p>
    <w:p w14:paraId="7849F4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EFFBAD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24AE833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0C356F7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643F6A52">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44662F2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50035762">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60B6D39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rPr>
        <w:t>联合体参加磋商的，</w:t>
      </w:r>
      <w:r>
        <w:rPr>
          <w:rFonts w:hint="eastAsia"/>
          <w:b w:val="0"/>
          <w:sz w:val="24"/>
        </w:rPr>
        <w:t>磋商文件获取</w:t>
      </w:r>
      <w:r>
        <w:rPr>
          <w:b w:val="0"/>
          <w:sz w:val="24"/>
        </w:rPr>
        <w:t>手续由联合体</w:t>
      </w:r>
      <w:r>
        <w:rPr>
          <w:rFonts w:hint="eastAsia"/>
          <w:b w:val="0"/>
          <w:sz w:val="24"/>
        </w:rPr>
        <w:t>中</w:t>
      </w:r>
      <w:r>
        <w:rPr>
          <w:b w:val="0"/>
          <w:sz w:val="24"/>
        </w:rPr>
        <w:t>任一</w:t>
      </w:r>
      <w:r>
        <w:rPr>
          <w:rFonts w:hint="eastAsia"/>
          <w:b w:val="0"/>
          <w:sz w:val="24"/>
        </w:rPr>
        <w:t>成员单位</w:t>
      </w:r>
      <w:r>
        <w:rPr>
          <w:b w:val="0"/>
          <w:sz w:val="24"/>
        </w:rPr>
        <w:t>办理均可。</w:t>
      </w:r>
    </w:p>
    <w:p w14:paraId="01A31B2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745363C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3FB2BA6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349A4BF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10B04862">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1E2BA60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E68F22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14E1B6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4C6226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6F010A3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D1D7511">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7CFE03B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5B6E8F17">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8ED8A5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18B33B98">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3F28FA9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0EBE1A3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3664EA6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600D31B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6F70E5E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041A29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66CB0C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77E19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1169B0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313037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41D3D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2BA15B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ascii="宋体" w:hAnsi="宋体" w:eastAsia="宋体" w:cs="宋体"/>
          <w:color w:val="auto"/>
          <w:sz w:val="24"/>
          <w:szCs w:val="24"/>
          <w:highlight w:val="none"/>
        </w:rPr>
        <w:t>安徽省政府采购网</w:t>
      </w:r>
      <w:r>
        <w:rPr>
          <w:rFonts w:hint="eastAsia" w:cs="宋体"/>
          <w:color w:val="auto"/>
          <w:sz w:val="24"/>
          <w:szCs w:val="24"/>
          <w:highlight w:val="none"/>
          <w:lang w:eastAsia="zh-CN"/>
        </w:rPr>
        <w:t>、</w:t>
      </w:r>
      <w:r>
        <w:rPr>
          <w:rFonts w:hint="eastAsia"/>
          <w:color w:val="auto"/>
          <w:sz w:val="24"/>
          <w:szCs w:val="18"/>
          <w:highlight w:val="none"/>
          <w:lang w:eastAsia="zh-CN"/>
        </w:rPr>
        <w:t>滁州市公共资源交易</w:t>
      </w:r>
      <w:r>
        <w:rPr>
          <w:rFonts w:hint="eastAsia"/>
          <w:color w:val="auto"/>
          <w:sz w:val="24"/>
          <w:szCs w:val="18"/>
          <w:highlight w:val="none"/>
          <w:lang w:val="en-US" w:eastAsia="zh-CN"/>
        </w:rPr>
        <w:t>中心</w:t>
      </w:r>
      <w:r>
        <w:rPr>
          <w:rFonts w:hint="eastAsia"/>
          <w:color w:val="auto"/>
          <w:sz w:val="24"/>
          <w:szCs w:val="18"/>
          <w:highlight w:val="none"/>
          <w:lang w:eastAsia="zh-CN"/>
        </w:rPr>
        <w:t>网</w:t>
      </w:r>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50735BA8">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7B361537">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5A728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68B1ED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311D34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3106A2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020C87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7D3097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033F466">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2B363546">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8" w:name="_Hlk11703583"/>
      <w:r>
        <w:rPr>
          <w:rFonts w:hint="eastAsia" w:asciiTheme="minorEastAsia" w:hAnsiTheme="minorEastAsia" w:eastAsiaTheme="minorEastAsia"/>
          <w:color w:val="auto"/>
          <w:sz w:val="24"/>
          <w:highlight w:val="none"/>
        </w:rPr>
        <w:t>。</w:t>
      </w:r>
      <w:bookmarkEnd w:id="28"/>
    </w:p>
    <w:p w14:paraId="252F71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2FA554B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D767D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1CBFEC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3DBE9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DEF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3E81567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479D46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0C73AD1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CF699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61720C8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8AF901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AA1F3C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E8BCB1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滁州市公共资源交易中心网，利用用户名或CA锁登录下载磋商文件(.czzf格式)后，在下载“响应文件制作工具”安装后，在线制作响应文件，制作好的响应文件格式有2种:第一种.cztf格式加密响应文件；第二种.ncztf格式是非加密响应文件。请供应商将第一种响应文件通过系统“上传响应文件”上传到系统中。</w:t>
      </w:r>
    </w:p>
    <w:p w14:paraId="6102783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（2）如果一个项目有多个标段，则需按标段下载对应标段磋商文件分别生成对应的响应文件，通过系统“上传响应文件”按标段分别上传到系统中。</w:t>
      </w:r>
    </w:p>
    <w:p w14:paraId="27B9E7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（3）请供应商通过系统下载“响应文件制作工具”制作响应文件，并利用CA锁进行上传响应文件，上传已加密的响应文件，务必通过此方式上传响应文件。</w:t>
      </w:r>
    </w:p>
    <w:p w14:paraId="02F7EF5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（4）供应商在响应文件编制、签章、上传过程中如有任何操作的疑问请及时联系技术支持，电话：0550-3801701。</w:t>
      </w:r>
    </w:p>
    <w:p w14:paraId="06FDBE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如果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7ACD946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4DDCD30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12.3供应商应在供应商须知前附表规定的解密时间前对其响应文件进行解密，未在规定时间内进行解密的，响应无效。</w:t>
      </w:r>
    </w:p>
    <w:p w14:paraId="402CC71B">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12.4在响应文件提交截止时间之后，供应商不得对其响应文件做任何修改。但属于磋商小组在评审中发现的计算错误并进行核实的修改、按照磋商文件的变动情况和磋商小组的要求重新提交响应文件的，不在此列</w:t>
      </w:r>
      <w:r>
        <w:rPr>
          <w:rFonts w:hint="eastAsia"/>
          <w:color w:val="auto"/>
          <w:sz w:val="24"/>
          <w:highlight w:val="none"/>
        </w:rPr>
        <w:t>。</w:t>
      </w:r>
    </w:p>
    <w:p w14:paraId="1F5BF0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47B291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633457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149BEC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29285979">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29BD2B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6CFD65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7A3F22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5D4ABA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68F1DC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590DDEF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A277F4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09846CF4">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7CB903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6C042F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5B592C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58D215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54B052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0F72AE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53239BD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0C6011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2AF894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463C38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229913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959A4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18A7B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F3D53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3EE32D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6D111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2F1F7FF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2AFAA064">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1D1B434">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5EE3FEC3">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522DE88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413AFF1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本项目约定为两次报价</w:t>
      </w:r>
      <w:r>
        <w:rPr>
          <w:rFonts w:hint="eastAsia" w:asciiTheme="minorEastAsia" w:hAnsiTheme="minorEastAsia" w:eastAsiaTheme="minorEastAsia"/>
          <w:color w:val="auto"/>
          <w:sz w:val="24"/>
          <w:highlight w:val="none"/>
          <w:lang w:eastAsia="zh-CN"/>
        </w:rPr>
        <w:t>）</w:t>
      </w:r>
    </w:p>
    <w:p w14:paraId="2B945F6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宋体" w:hAnsi="宋体" w:eastAsia="宋体" w:cstheme="minorBidi"/>
          <w:b/>
          <w:color w:val="auto"/>
          <w:kern w:val="0"/>
          <w:sz w:val="24"/>
          <w:szCs w:val="20"/>
          <w:highlight w:val="none"/>
          <w:lang w:val="en-US" w:eastAsia="zh-CN" w:bidi="ar-SA"/>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第二次报价即为最后报价，若供应商未在系统询标规定的时间内进行二次报价（最后报价）或二次报价被磋商小组认为不符合要求的，磋商小组默认其响应文件中填报的价格为供应商的最后报价，磋商价格分以供应商的最后报价为准，即满足磋商文件要求且最后报价最低的供应商的价格为磋商基准价，其价格分为满分。二次报价（最后报价）不得高于其一次报价，否则取消其磋商资格。望各供应商务必全程在线，及时进行回复，否则，因此给其造成相关后果，自行承担。采用分项报价的项目，最后报价的各分项结合一次报价中的各项单价按总价同比例下浮，价款结算时按成交下浮比率进行调整。</w:t>
      </w:r>
    </w:p>
    <w:p w14:paraId="545AA6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DF918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714EC4ED">
      <w:pPr>
        <w:spacing w:line="360" w:lineRule="auto"/>
        <w:ind w:firstLine="435"/>
        <w:rPr>
          <w:rFonts w:asciiTheme="majorEastAsia" w:hAnsiTheme="majorEastAsia" w:eastAsiaTheme="majorEastAsia"/>
          <w:color w:val="auto"/>
          <w:sz w:val="24"/>
          <w:highlight w:val="none"/>
        </w:rPr>
      </w:pPr>
      <w:bookmarkStart w:id="29"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7D1B631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3DEE3AFE">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29"/>
    </w:p>
    <w:p w14:paraId="71F5303E">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71001C0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42BAE04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7B17B41D">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159FA4BA">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20339D9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09E3D57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363E7E1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601FDF6">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7DD2240F">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5C7E9DBD">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0D8D27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1942E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8EA319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423D2C50">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376218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30CFD9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1604F6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302EA3B">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F72E6C1">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3EDA808F">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41ADBDC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w:t>
      </w:r>
      <w:r>
        <w:rPr>
          <w:rFonts w:hint="eastAsia"/>
          <w:color w:val="auto"/>
          <w:sz w:val="24"/>
          <w:szCs w:val="18"/>
          <w:highlight w:val="none"/>
          <w:lang w:eastAsia="zh-CN"/>
        </w:rPr>
        <w:t>、滁州市公共资源交易中心（https://ggzy.chuzhou.gov.cn/）</w:t>
      </w:r>
      <w:r>
        <w:rPr>
          <w:rFonts w:hint="eastAsia"/>
          <w:color w:val="auto"/>
          <w:sz w:val="24"/>
          <w:szCs w:val="18"/>
          <w:highlight w:val="none"/>
        </w:rPr>
        <w:t>上</w:t>
      </w:r>
      <w:r>
        <w:rPr>
          <w:rFonts w:asciiTheme="minorEastAsia" w:hAnsiTheme="minorEastAsia" w:eastAsiaTheme="minorEastAsia"/>
          <w:color w:val="auto"/>
          <w:sz w:val="24"/>
          <w:highlight w:val="none"/>
        </w:rPr>
        <w:t>发布成交结果公告。</w:t>
      </w:r>
    </w:p>
    <w:p w14:paraId="3FC97BC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69A95B56">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5AD3A786">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37115021">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5B9C438C">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6BFBF83D">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4C6B06DE">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3A03AF38">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59236318">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B36BC12">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4EDB8FF8">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7E064F9">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0C809381">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2A707F9D">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670B6F0">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19B52D4">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10253D4D">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061A21C1">
      <w:pPr>
        <w:spacing w:line="360" w:lineRule="auto"/>
        <w:ind w:firstLine="470" w:firstLineChars="196"/>
        <w:rPr>
          <w:color w:val="auto"/>
          <w:sz w:val="24"/>
          <w:highlight w:val="none"/>
        </w:rPr>
      </w:pPr>
      <w:bookmarkStart w:id="30"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0"/>
    </w:p>
    <w:p w14:paraId="19D969F2">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50DA24D7">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42AFDCDA">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26651ED1">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274E4361">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6859211C">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112F762A">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7DB68A0A">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529C805B">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0BBD67F8">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E3C3A1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tbl>
      <w:tblPr>
        <w:tblStyle w:val="103"/>
        <w:tblpPr w:leftFromText="180" w:rightFromText="180" w:vertAnchor="text" w:horzAnchor="page" w:tblpX="1470" w:tblpY="5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684"/>
        <w:gridCol w:w="6848"/>
      </w:tblGrid>
      <w:tr w14:paraId="708E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47AB92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cs="@仿宋_GB2312" w:asciiTheme="minorEastAsia" w:hAnsiTheme="minorEastAsia" w:eastAsiaTheme="minorEastAsia"/>
                <w:b/>
                <w:color w:val="auto"/>
                <w:kern w:val="2"/>
                <w:sz w:val="24"/>
                <w:szCs w:val="22"/>
                <w:highlight w:val="none"/>
              </w:rPr>
            </w:pPr>
            <w:bookmarkStart w:id="31" w:name="_Toc30873"/>
            <w:r>
              <w:rPr>
                <w:rFonts w:hint="eastAsia" w:cs="@仿宋_GB2312" w:asciiTheme="minorEastAsia" w:hAnsiTheme="minorEastAsia" w:eastAsiaTheme="minorEastAsia"/>
                <w:b/>
                <w:color w:val="auto"/>
                <w:kern w:val="2"/>
                <w:sz w:val="24"/>
                <w:szCs w:val="22"/>
                <w:highlight w:val="none"/>
              </w:rPr>
              <w:t>序号</w:t>
            </w:r>
          </w:p>
        </w:tc>
        <w:tc>
          <w:tcPr>
            <w:tcW w:w="911" w:type="pct"/>
            <w:vAlign w:val="center"/>
          </w:tcPr>
          <w:p w14:paraId="5B913FBE">
            <w:pPr>
              <w:keepNext w:val="0"/>
              <w:keepLines w:val="0"/>
              <w:pageBreakBefore w:val="0"/>
              <w:widowControl w:val="0"/>
              <w:kinsoku/>
              <w:wordWrap/>
              <w:overflowPunct/>
              <w:topLinePunct w:val="0"/>
              <w:autoSpaceDE/>
              <w:autoSpaceDN/>
              <w:bidi w:val="0"/>
              <w:adjustRightInd/>
              <w:snapToGrid/>
              <w:spacing w:line="440" w:lineRule="exact"/>
              <w:ind w:firstLine="435"/>
              <w:jc w:val="center"/>
              <w:textAlignment w:val="auto"/>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704" w:type="pct"/>
            <w:vAlign w:val="center"/>
          </w:tcPr>
          <w:p w14:paraId="254B3EEB">
            <w:pPr>
              <w:keepNext w:val="0"/>
              <w:keepLines w:val="0"/>
              <w:pageBreakBefore w:val="0"/>
              <w:widowControl w:val="0"/>
              <w:kinsoku/>
              <w:wordWrap/>
              <w:overflowPunct/>
              <w:topLinePunct w:val="0"/>
              <w:autoSpaceDE/>
              <w:autoSpaceDN/>
              <w:bidi w:val="0"/>
              <w:adjustRightInd/>
              <w:snapToGrid/>
              <w:spacing w:line="440" w:lineRule="exact"/>
              <w:ind w:firstLine="435"/>
              <w:jc w:val="center"/>
              <w:textAlignment w:val="auto"/>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7174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384" w:type="pct"/>
            <w:vAlign w:val="center"/>
          </w:tcPr>
          <w:p w14:paraId="772630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911" w:type="pct"/>
            <w:vAlign w:val="center"/>
          </w:tcPr>
          <w:p w14:paraId="58DF03DE">
            <w:pPr>
              <w:keepNext w:val="0"/>
              <w:keepLines w:val="0"/>
              <w:pageBreakBefore w:val="0"/>
              <w:widowControl w:val="0"/>
              <w:kinsoku/>
              <w:wordWrap/>
              <w:overflowPunct/>
              <w:topLinePunct w:val="0"/>
              <w:autoSpaceDE/>
              <w:autoSpaceDN/>
              <w:bidi w:val="0"/>
              <w:adjustRightInd/>
              <w:snapToGrid/>
              <w:spacing w:line="44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704" w:type="pct"/>
            <w:vAlign w:val="center"/>
          </w:tcPr>
          <w:p w14:paraId="7B5CA3A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人员必须按照施工需要及采购人要求按时到岗</w:t>
            </w:r>
          </w:p>
        </w:tc>
      </w:tr>
      <w:tr w14:paraId="7670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501AA7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911" w:type="pct"/>
            <w:vAlign w:val="center"/>
          </w:tcPr>
          <w:p w14:paraId="3882BEAC">
            <w:pPr>
              <w:keepNext w:val="0"/>
              <w:keepLines w:val="0"/>
              <w:pageBreakBefore w:val="0"/>
              <w:widowControl w:val="0"/>
              <w:kinsoku/>
              <w:wordWrap/>
              <w:overflowPunct/>
              <w:topLinePunct w:val="0"/>
              <w:autoSpaceDE/>
              <w:autoSpaceDN/>
              <w:bidi w:val="0"/>
              <w:adjustRightInd/>
              <w:snapToGrid/>
              <w:spacing w:line="44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704" w:type="pct"/>
            <w:vAlign w:val="center"/>
          </w:tcPr>
          <w:p w14:paraId="160E3C7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成交供应商自行采购</w:t>
            </w:r>
          </w:p>
        </w:tc>
      </w:tr>
      <w:tr w14:paraId="3098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39B81C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911" w:type="pct"/>
            <w:vAlign w:val="center"/>
          </w:tcPr>
          <w:p w14:paraId="6817198F">
            <w:pPr>
              <w:keepNext w:val="0"/>
              <w:keepLines w:val="0"/>
              <w:pageBreakBefore w:val="0"/>
              <w:widowControl w:val="0"/>
              <w:kinsoku/>
              <w:wordWrap/>
              <w:overflowPunct/>
              <w:topLinePunct w:val="0"/>
              <w:autoSpaceDE/>
              <w:autoSpaceDN/>
              <w:bidi w:val="0"/>
              <w:adjustRightInd/>
              <w:snapToGrid/>
              <w:spacing w:line="44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704" w:type="pct"/>
            <w:vAlign w:val="center"/>
          </w:tcPr>
          <w:p w14:paraId="2E83E50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供应商</w:t>
            </w:r>
            <w:r>
              <w:rPr>
                <w:rFonts w:hint="default" w:cs="@仿宋_GB2312" w:asciiTheme="minorEastAsia" w:hAnsiTheme="minorEastAsia" w:eastAsiaTheme="minorEastAsia"/>
                <w:color w:val="auto"/>
                <w:kern w:val="2"/>
                <w:sz w:val="24"/>
                <w:szCs w:val="22"/>
                <w:highlight w:val="none"/>
                <w:lang w:val="en-US" w:eastAsia="zh-CN"/>
              </w:rPr>
              <w:t>结合图纸和现场情况自行考虑</w:t>
            </w:r>
          </w:p>
        </w:tc>
      </w:tr>
      <w:tr w14:paraId="7FD8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1886E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911" w:type="pct"/>
            <w:vAlign w:val="center"/>
          </w:tcPr>
          <w:p w14:paraId="5278A149">
            <w:pPr>
              <w:keepNext w:val="0"/>
              <w:keepLines w:val="0"/>
              <w:pageBreakBefore w:val="0"/>
              <w:widowControl w:val="0"/>
              <w:kinsoku/>
              <w:wordWrap/>
              <w:overflowPunct/>
              <w:topLinePunct w:val="0"/>
              <w:autoSpaceDE/>
              <w:autoSpaceDN/>
              <w:bidi w:val="0"/>
              <w:adjustRightInd/>
              <w:snapToGrid/>
              <w:spacing w:line="44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704" w:type="pct"/>
            <w:vAlign w:val="center"/>
          </w:tcPr>
          <w:p w14:paraId="2F16AF8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eastAsia="兰米小标宋"/>
                <w:kern w:val="2"/>
                <w:sz w:val="21"/>
                <w:szCs w:val="22"/>
                <w:lang w:eastAsia="zh-CN"/>
              </w:rPr>
            </w:pP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供应商最后报价均不得高于磋商文件（公告）列明的项目预算、最高投标限价，否则其响应文件将被认定为响应无效。</w:t>
            </w:r>
          </w:p>
        </w:tc>
      </w:tr>
      <w:tr w14:paraId="4219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244DC9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911" w:type="pct"/>
            <w:vAlign w:val="center"/>
          </w:tcPr>
          <w:p w14:paraId="409F276D">
            <w:pPr>
              <w:keepNext w:val="0"/>
              <w:keepLines w:val="0"/>
              <w:pageBreakBefore w:val="0"/>
              <w:widowControl w:val="0"/>
              <w:kinsoku/>
              <w:wordWrap/>
              <w:overflowPunct/>
              <w:topLinePunct w:val="0"/>
              <w:autoSpaceDE/>
              <w:autoSpaceDN/>
              <w:bidi w:val="0"/>
              <w:adjustRightInd/>
              <w:snapToGrid/>
              <w:spacing w:line="44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704" w:type="pct"/>
            <w:vAlign w:val="center"/>
          </w:tcPr>
          <w:p w14:paraId="684C09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218D00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3126BEF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30E8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49707D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911" w:type="pct"/>
            <w:vAlign w:val="center"/>
          </w:tcPr>
          <w:p w14:paraId="08861B1B">
            <w:pPr>
              <w:keepNext w:val="0"/>
              <w:keepLines w:val="0"/>
              <w:pageBreakBefore w:val="0"/>
              <w:widowControl w:val="0"/>
              <w:kinsoku/>
              <w:wordWrap/>
              <w:overflowPunct/>
              <w:topLinePunct w:val="0"/>
              <w:autoSpaceDE/>
              <w:autoSpaceDN/>
              <w:bidi w:val="0"/>
              <w:adjustRightInd/>
              <w:snapToGrid/>
              <w:spacing w:line="44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704" w:type="pct"/>
            <w:vAlign w:val="center"/>
          </w:tcPr>
          <w:p w14:paraId="1629A7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rPr>
              <w:t>具备</w:t>
            </w:r>
            <w:r>
              <w:rPr>
                <w:rFonts w:hint="eastAsia" w:cs="@仿宋_GB2312" w:asciiTheme="minorEastAsia" w:hAnsiTheme="minorEastAsia" w:eastAsiaTheme="minorEastAsia"/>
                <w:color w:val="auto"/>
                <w:kern w:val="2"/>
                <w:sz w:val="24"/>
                <w:szCs w:val="22"/>
                <w:highlight w:val="none"/>
                <w:lang w:eastAsia="zh-CN"/>
              </w:rPr>
              <w:t>公路工程专业二级或以上注册建造师证书</w:t>
            </w:r>
          </w:p>
        </w:tc>
      </w:tr>
      <w:tr w14:paraId="5AC3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28B23A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911" w:type="pct"/>
            <w:vAlign w:val="center"/>
          </w:tcPr>
          <w:p w14:paraId="67D47185">
            <w:pPr>
              <w:pStyle w:val="7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704" w:type="pct"/>
            <w:vAlign w:val="center"/>
          </w:tcPr>
          <w:p w14:paraId="38C9C68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olor w:val="auto"/>
                <w:kern w:val="2"/>
                <w:sz w:val="24"/>
                <w:szCs w:val="22"/>
                <w:highlight w:val="none"/>
                <w:lang w:eastAsia="zh-CN"/>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lang w:eastAsia="zh-CN"/>
              </w:rPr>
              <w:t>2025年市直代两区管养县道增设交通安防设施项目</w:t>
            </w:r>
          </w:p>
          <w:p w14:paraId="51C779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HAnsi" w:hAnsiTheme="minorHAnsi"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lang w:val="en-US" w:eastAsia="zh-CN"/>
              </w:rPr>
              <w:t>建筑业</w:t>
            </w:r>
          </w:p>
        </w:tc>
      </w:tr>
    </w:tbl>
    <w:p w14:paraId="241BBF58">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第三章  采购需求</w:t>
      </w:r>
      <w:bookmarkEnd w:id="31"/>
    </w:p>
    <w:p w14:paraId="029EA53B">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487A50D">
      <w:pPr>
        <w:spacing w:line="360" w:lineRule="auto"/>
        <w:jc w:val="center"/>
        <w:outlineLvl w:val="0"/>
        <w:rPr>
          <w:rFonts w:asciiTheme="minorEastAsia" w:hAnsiTheme="minorEastAsia" w:eastAsiaTheme="minorEastAsia"/>
          <w:b/>
          <w:color w:val="auto"/>
          <w:sz w:val="28"/>
          <w:highlight w:val="none"/>
        </w:rPr>
      </w:pPr>
      <w:bookmarkStart w:id="32" w:name="_Toc11353"/>
      <w:r>
        <w:rPr>
          <w:rFonts w:hint="eastAsia" w:asciiTheme="minorEastAsia" w:hAnsiTheme="minorEastAsia" w:eastAsiaTheme="minorEastAsia"/>
          <w:b/>
          <w:color w:val="auto"/>
          <w:sz w:val="28"/>
          <w:highlight w:val="none"/>
        </w:rPr>
        <w:t>第四章  评审方法和标准</w:t>
      </w:r>
      <w:bookmarkEnd w:id="32"/>
    </w:p>
    <w:p w14:paraId="5A040EC9">
      <w:pPr>
        <w:spacing w:line="360" w:lineRule="auto"/>
        <w:ind w:firstLine="437"/>
        <w:outlineLvl w:val="1"/>
        <w:rPr>
          <w:rFonts w:asciiTheme="minorEastAsia" w:hAnsiTheme="minorEastAsia" w:eastAsiaTheme="minorEastAsia"/>
          <w:b/>
          <w:color w:val="auto"/>
          <w:sz w:val="24"/>
          <w:highlight w:val="none"/>
        </w:rPr>
      </w:pPr>
      <w:bookmarkStart w:id="33" w:name="_Toc31533"/>
      <w:bookmarkStart w:id="34" w:name="_Toc3679"/>
      <w:r>
        <w:rPr>
          <w:rFonts w:hint="eastAsia" w:asciiTheme="minorEastAsia" w:hAnsiTheme="minorEastAsia" w:eastAsiaTheme="minorEastAsia"/>
          <w:b/>
          <w:color w:val="auto"/>
          <w:sz w:val="24"/>
          <w:highlight w:val="none"/>
        </w:rPr>
        <w:t>一、总则</w:t>
      </w:r>
      <w:bookmarkEnd w:id="33"/>
      <w:bookmarkEnd w:id="34"/>
    </w:p>
    <w:p w14:paraId="50D956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71DDE31">
      <w:pPr>
        <w:spacing w:line="360" w:lineRule="auto"/>
        <w:ind w:firstLine="437"/>
        <w:outlineLvl w:val="1"/>
        <w:rPr>
          <w:rFonts w:asciiTheme="minorEastAsia" w:hAnsiTheme="minorEastAsia" w:eastAsiaTheme="minorEastAsia"/>
          <w:b/>
          <w:color w:val="auto"/>
          <w:sz w:val="24"/>
          <w:highlight w:val="none"/>
        </w:rPr>
      </w:pPr>
      <w:bookmarkStart w:id="35" w:name="_Toc13405"/>
      <w:bookmarkStart w:id="36" w:name="_Toc16232"/>
      <w:r>
        <w:rPr>
          <w:rFonts w:hint="eastAsia" w:asciiTheme="minorEastAsia" w:hAnsiTheme="minorEastAsia" w:eastAsiaTheme="minorEastAsia"/>
          <w:b/>
          <w:color w:val="auto"/>
          <w:sz w:val="24"/>
          <w:highlight w:val="none"/>
        </w:rPr>
        <w:t>二、评审方法</w:t>
      </w:r>
      <w:bookmarkEnd w:id="35"/>
      <w:bookmarkEnd w:id="36"/>
    </w:p>
    <w:p w14:paraId="47B45D14">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51AEF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471"/>
        <w:gridCol w:w="4194"/>
        <w:gridCol w:w="2819"/>
      </w:tblGrid>
      <w:tr w14:paraId="2AB1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1F4BAA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0F22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4C2AF0C">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52AECB2F">
            <w:pPr>
              <w:pStyle w:val="7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65E2A9E8">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676C811B">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5EB6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06A0F635">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50AC4DB4">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ascii="Calibri" w:hAnsi="Calibri" w:cs="Times New Roman"/>
                <w:color w:val="auto"/>
                <w:kern w:val="2"/>
                <w:sz w:val="24"/>
                <w:szCs w:val="24"/>
                <w:highlight w:val="none"/>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268" w:type="pct"/>
            <w:tcBorders>
              <w:bottom w:val="single" w:color="auto" w:sz="4" w:space="0"/>
            </w:tcBorders>
            <w:vAlign w:val="center"/>
          </w:tcPr>
          <w:p w14:paraId="3A1770AC">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0B4E971C">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7706928C">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315DE828">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4D7501C4">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p>
        </w:tc>
        <w:tc>
          <w:tcPr>
            <w:tcW w:w="1524" w:type="pct"/>
            <w:tcBorders>
              <w:bottom w:val="single" w:color="auto" w:sz="4" w:space="0"/>
            </w:tcBorders>
            <w:vAlign w:val="center"/>
          </w:tcPr>
          <w:p w14:paraId="7A9D62CA">
            <w:pPr>
              <w:keepNext w:val="0"/>
              <w:keepLines w:val="0"/>
              <w:pageBreakBefore w:val="0"/>
              <w:widowControl w:val="0"/>
              <w:kinsoku/>
              <w:wordWrap/>
              <w:overflowPunct/>
              <w:topLinePunct w:val="0"/>
              <w:autoSpaceDE/>
              <w:autoSpaceDN/>
              <w:bidi w:val="0"/>
              <w:spacing w:line="440" w:lineRule="exact"/>
              <w:jc w:val="left"/>
              <w:textAlignment w:val="auto"/>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3B9A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980A3FC">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437978B7">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71073146">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cs="宋体"/>
                <w:sz w:val="24"/>
                <w:szCs w:val="24"/>
                <w:lang w:val="en-US" w:eastAsia="zh-CN"/>
              </w:rPr>
              <w:t>磋商</w:t>
            </w:r>
            <w:r>
              <w:rPr>
                <w:rFonts w:ascii="宋体" w:hAnsi="宋体" w:eastAsia="宋体" w:cs="宋体"/>
                <w:sz w:val="24"/>
                <w:szCs w:val="24"/>
              </w:rPr>
              <w:t>文件要求的《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524" w:type="pct"/>
            <w:vAlign w:val="center"/>
          </w:tcPr>
          <w:p w14:paraId="04943279">
            <w:pPr>
              <w:keepNext w:val="0"/>
              <w:keepLines w:val="0"/>
              <w:pageBreakBefore w:val="0"/>
              <w:widowControl w:val="0"/>
              <w:kinsoku/>
              <w:wordWrap/>
              <w:overflowPunct/>
              <w:topLinePunct w:val="0"/>
              <w:autoSpaceDE/>
              <w:autoSpaceDN/>
              <w:bidi w:val="0"/>
              <w:spacing w:line="440" w:lineRule="exact"/>
              <w:jc w:val="left"/>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924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C0639AB">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6875E840">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506D111D">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Calibri" w:hAnsi="Calibri" w:cs="Times New Roman"/>
                <w:color w:val="auto"/>
                <w:kern w:val="2"/>
                <w:sz w:val="24"/>
                <w:szCs w:val="22"/>
                <w:highlight w:val="none"/>
              </w:rPr>
            </w:pPr>
            <w:r>
              <w:rPr>
                <w:rFonts w:hint="eastAsia" w:cs="宋体"/>
                <w:sz w:val="24"/>
                <w:szCs w:val="24"/>
                <w:lang w:val="en-US" w:eastAsia="zh-CN"/>
              </w:rPr>
              <w:t>供应商</w:t>
            </w:r>
            <w:r>
              <w:rPr>
                <w:rFonts w:hint="eastAsia" w:ascii="宋体" w:hAnsi="宋体" w:eastAsia="宋体" w:cs="宋体"/>
                <w:sz w:val="24"/>
                <w:szCs w:val="24"/>
                <w:lang w:val="zh-CN" w:eastAsia="zh-CN"/>
              </w:rPr>
              <w:t>不得存在</w:t>
            </w:r>
            <w:r>
              <w:rPr>
                <w:rFonts w:hint="eastAsia" w:cs="宋体"/>
                <w:sz w:val="24"/>
                <w:szCs w:val="24"/>
                <w:lang w:val="en-US" w:eastAsia="zh-CN"/>
              </w:rPr>
              <w:t>供应商</w:t>
            </w:r>
            <w:r>
              <w:rPr>
                <w:rFonts w:hint="eastAsia" w:ascii="宋体" w:hAnsi="宋体" w:eastAsia="宋体" w:cs="宋体"/>
                <w:sz w:val="24"/>
                <w:szCs w:val="24"/>
                <w:lang w:val="zh-CN" w:eastAsia="zh-CN"/>
              </w:rPr>
              <w:t>须</w:t>
            </w:r>
            <w:r>
              <w:rPr>
                <w:rFonts w:hint="eastAsia" w:ascii="宋体" w:hAnsi="宋体" w:eastAsia="宋体" w:cs="宋体"/>
                <w:sz w:val="24"/>
                <w:szCs w:val="24"/>
                <w:highlight w:val="none"/>
                <w:lang w:val="zh-CN" w:eastAsia="zh-CN"/>
              </w:rPr>
              <w:t>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627EAE3">
            <w:pPr>
              <w:keepNext w:val="0"/>
              <w:keepLines w:val="0"/>
              <w:pageBreakBefore w:val="0"/>
              <w:widowControl w:val="0"/>
              <w:kinsoku/>
              <w:wordWrap/>
              <w:overflowPunct/>
              <w:topLinePunct w:val="0"/>
              <w:autoSpaceDE/>
              <w:autoSpaceDN/>
              <w:bidi w:val="0"/>
              <w:spacing w:line="440" w:lineRule="exact"/>
              <w:jc w:val="left"/>
              <w:textAlignment w:val="auto"/>
              <w:rPr>
                <w:rFonts w:hint="eastAsia" w:cs="Times New Roman"/>
                <w:color w:val="auto"/>
                <w:kern w:val="2"/>
                <w:sz w:val="24"/>
                <w:szCs w:val="22"/>
                <w:highlight w:val="none"/>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2774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BF4B92">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4532C97E">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268" w:type="pct"/>
            <w:vAlign w:val="top"/>
          </w:tcPr>
          <w:p w14:paraId="1A8038E2">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7CD3F376">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648254FF">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文件关于预留份额的要求。</w:t>
            </w:r>
          </w:p>
        </w:tc>
        <w:tc>
          <w:tcPr>
            <w:tcW w:w="1524" w:type="pct"/>
            <w:vAlign w:val="center"/>
          </w:tcPr>
          <w:p w14:paraId="37A87340">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45E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10978D70">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1DA28379">
            <w:pPr>
              <w:keepNext w:val="0"/>
              <w:keepLines w:val="0"/>
              <w:pageBreakBefore w:val="0"/>
              <w:widowControl w:val="0"/>
              <w:kinsoku/>
              <w:wordWrap/>
              <w:overflowPunct/>
              <w:topLinePunct w:val="0"/>
              <w:autoSpaceDE/>
              <w:autoSpaceDN/>
              <w:bidi w:val="0"/>
              <w:spacing w:after="50" w:line="440" w:lineRule="exact"/>
              <w:ind w:right="-10" w:rightChars="0"/>
              <w:jc w:val="both"/>
              <w:textAlignment w:val="auto"/>
              <w:rPr>
                <w:rFonts w:ascii="Calibri" w:hAnsi="Calibri" w:cs="Times New Roman"/>
                <w:color w:val="auto"/>
                <w:kern w:val="2"/>
                <w:sz w:val="24"/>
                <w:szCs w:val="24"/>
                <w:highlight w:val="none"/>
              </w:rPr>
            </w:pPr>
            <w:r>
              <w:rPr>
                <w:rFonts w:ascii="宋体" w:hAnsi="宋体" w:eastAsia="宋体" w:cs="宋体"/>
                <w:spacing w:val="10"/>
                <w:sz w:val="24"/>
                <w:szCs w:val="24"/>
              </w:rPr>
              <w:t>其他特定资格要求</w:t>
            </w:r>
          </w:p>
        </w:tc>
        <w:tc>
          <w:tcPr>
            <w:tcW w:w="2268" w:type="pct"/>
            <w:vAlign w:val="center"/>
          </w:tcPr>
          <w:p w14:paraId="59896EF3">
            <w:pPr>
              <w:keepNext w:val="0"/>
              <w:keepLines w:val="0"/>
              <w:pageBreakBefore w:val="0"/>
              <w:widowControl w:val="0"/>
              <w:kinsoku/>
              <w:wordWrap/>
              <w:overflowPunct/>
              <w:topLinePunct w:val="0"/>
              <w:autoSpaceDE/>
              <w:autoSpaceDN/>
              <w:bidi w:val="0"/>
              <w:spacing w:after="50" w:line="440" w:lineRule="exact"/>
              <w:ind w:right="-10" w:rightChars="0"/>
              <w:jc w:val="both"/>
              <w:textAlignment w:val="auto"/>
              <w:rPr>
                <w:rFonts w:ascii="Calibri" w:hAnsi="Calibri" w:cs="Times New Roman"/>
                <w:color w:val="auto"/>
                <w:kern w:val="2"/>
                <w:sz w:val="24"/>
                <w:szCs w:val="22"/>
                <w:highlight w:val="none"/>
              </w:rPr>
            </w:pPr>
            <w:r>
              <w:rPr>
                <w:rFonts w:hint="eastAsia" w:cs="宋体"/>
                <w:spacing w:val="10"/>
                <w:sz w:val="24"/>
                <w:szCs w:val="24"/>
                <w:lang w:val="en-US" w:eastAsia="zh-CN"/>
              </w:rPr>
              <w:t>详</w:t>
            </w:r>
            <w:r>
              <w:rPr>
                <w:rFonts w:ascii="宋体" w:hAnsi="宋体" w:eastAsia="宋体" w:cs="宋体"/>
                <w:spacing w:val="10"/>
                <w:sz w:val="24"/>
                <w:szCs w:val="24"/>
              </w:rPr>
              <w:t>见第一章《</w:t>
            </w:r>
            <w:r>
              <w:rPr>
                <w:rFonts w:hint="eastAsia" w:ascii="宋体" w:hAnsi="宋体" w:eastAsia="宋体" w:cs="宋体"/>
                <w:spacing w:val="10"/>
                <w:sz w:val="24"/>
                <w:szCs w:val="24"/>
                <w:lang w:val="en-US" w:eastAsia="zh-CN"/>
              </w:rPr>
              <w:t>磋商</w:t>
            </w:r>
            <w:r>
              <w:rPr>
                <w:rFonts w:ascii="宋体" w:hAnsi="宋体" w:eastAsia="宋体" w:cs="宋体"/>
                <w:spacing w:val="10"/>
                <w:sz w:val="24"/>
                <w:szCs w:val="24"/>
              </w:rPr>
              <w:t>邀请》</w:t>
            </w:r>
          </w:p>
        </w:tc>
        <w:tc>
          <w:tcPr>
            <w:tcW w:w="1524" w:type="pct"/>
            <w:vAlign w:val="center"/>
          </w:tcPr>
          <w:p w14:paraId="1F5AE915">
            <w:pPr>
              <w:keepNext w:val="0"/>
              <w:keepLines w:val="0"/>
              <w:pageBreakBefore w:val="0"/>
              <w:widowControl w:val="0"/>
              <w:kinsoku/>
              <w:wordWrap/>
              <w:overflowPunct/>
              <w:topLinePunct w:val="0"/>
              <w:autoSpaceDE/>
              <w:autoSpaceDN/>
              <w:bidi w:val="0"/>
              <w:spacing w:after="50" w:line="440" w:lineRule="exact"/>
              <w:ind w:right="-10" w:rightChars="0"/>
              <w:jc w:val="both"/>
              <w:textAlignment w:val="auto"/>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4EBB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B83B279">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796" w:type="pct"/>
            <w:vAlign w:val="center"/>
          </w:tcPr>
          <w:p w14:paraId="5E05044C">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268" w:type="pct"/>
            <w:vAlign w:val="center"/>
          </w:tcPr>
          <w:p w14:paraId="1C2F170F">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6136BE53">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left"/>
              <w:textAlignment w:val="auto"/>
              <w:rPr>
                <w:rFonts w:hint="eastAsia" w:cs="Times New Roman"/>
                <w:color w:val="auto"/>
                <w:kern w:val="2"/>
                <w:sz w:val="24"/>
                <w:szCs w:val="22"/>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4C64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BDBEDCB">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796" w:type="pct"/>
            <w:vAlign w:val="center"/>
          </w:tcPr>
          <w:p w14:paraId="270FEF51">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268" w:type="pct"/>
            <w:vAlign w:val="center"/>
          </w:tcPr>
          <w:p w14:paraId="7A28D556">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065CBBFA">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left"/>
              <w:textAlignment w:val="auto"/>
              <w:rPr>
                <w:rFonts w:hint="eastAsia" w:cs="Times New Roman"/>
                <w:color w:val="auto"/>
                <w:kern w:val="2"/>
                <w:sz w:val="24"/>
                <w:szCs w:val="22"/>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515C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1FF325B">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796" w:type="pct"/>
            <w:vAlign w:val="center"/>
          </w:tcPr>
          <w:p w14:paraId="05DCEAC6">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68" w:type="pct"/>
            <w:vAlign w:val="center"/>
          </w:tcPr>
          <w:p w14:paraId="083A147B">
            <w:pPr>
              <w:keepNext w:val="0"/>
              <w:keepLines w:val="0"/>
              <w:pageBreakBefore w:val="0"/>
              <w:widowControl w:val="0"/>
              <w:kinsoku/>
              <w:wordWrap/>
              <w:overflowPunct/>
              <w:topLinePunct w:val="0"/>
              <w:autoSpaceDE/>
              <w:autoSpaceDN/>
              <w:bidi w:val="0"/>
              <w:spacing w:after="50" w:line="440" w:lineRule="exact"/>
              <w:ind w:right="-10" w:rightChars="0"/>
              <w:jc w:val="both"/>
              <w:textAlignment w:val="auto"/>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09AEE668">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cs="Times New Roman"/>
                <w:color w:val="auto"/>
                <w:kern w:val="2"/>
                <w:sz w:val="24"/>
                <w:szCs w:val="22"/>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21DF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20409AB7">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1C108E65">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Calibri" w:hAnsi="Calibri" w:cs="Times New Roman"/>
                <w:color w:val="auto"/>
                <w:kern w:val="2"/>
                <w:sz w:val="24"/>
                <w:szCs w:val="22"/>
                <w:highlight w:val="none"/>
              </w:rPr>
            </w:pPr>
          </w:p>
        </w:tc>
      </w:tr>
    </w:tbl>
    <w:p w14:paraId="3EB6EF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09C9FD89">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589A6F5D">
      <w:pPr>
        <w:keepNext w:val="0"/>
        <w:keepLines w:val="0"/>
        <w:pageBreakBefore w:val="0"/>
        <w:widowControl w:val="0"/>
        <w:kinsoku/>
        <w:wordWrap/>
        <w:overflowPunct/>
        <w:topLinePunct w:val="0"/>
        <w:autoSpaceDE/>
        <w:autoSpaceDN/>
        <w:bidi w:val="0"/>
        <w:spacing w:line="44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26AE357B">
      <w:pPr>
        <w:keepNext w:val="0"/>
        <w:keepLines w:val="0"/>
        <w:pageBreakBefore w:val="0"/>
        <w:widowControl w:val="0"/>
        <w:tabs>
          <w:tab w:val="left" w:pos="1080"/>
        </w:tabs>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55"/>
        <w:tblpPr w:leftFromText="180" w:rightFromText="180" w:vertAnchor="text" w:horzAnchor="page" w:tblpX="1094" w:tblpY="47"/>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227"/>
        <w:gridCol w:w="7530"/>
      </w:tblGrid>
      <w:tr w14:paraId="0D70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noWrap w:val="0"/>
            <w:vAlign w:val="center"/>
          </w:tcPr>
          <w:p w14:paraId="0153AFDC">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color w:val="auto"/>
                <w:szCs w:val="21"/>
                <w:highlight w:val="none"/>
              </w:rPr>
            </w:pPr>
            <w:r>
              <w:rPr>
                <w:rFonts w:hint="eastAsia" w:asciiTheme="minorEastAsia" w:hAnsiTheme="minorEastAsia" w:eastAsiaTheme="minorEastAsia"/>
                <w:b/>
                <w:bCs/>
                <w:color w:val="auto"/>
                <w:sz w:val="24"/>
                <w:highlight w:val="none"/>
              </w:rPr>
              <w:t>类别</w:t>
            </w:r>
          </w:p>
        </w:tc>
        <w:tc>
          <w:tcPr>
            <w:tcW w:w="1227" w:type="dxa"/>
            <w:noWrap w:val="0"/>
            <w:vAlign w:val="center"/>
          </w:tcPr>
          <w:p w14:paraId="54029556">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bCs/>
                <w:szCs w:val="21"/>
                <w:lang w:val="en-US" w:eastAsia="zh-CN"/>
              </w:rPr>
            </w:pPr>
            <w:r>
              <w:rPr>
                <w:rFonts w:hint="eastAsia" w:asciiTheme="minorEastAsia" w:hAnsiTheme="minorEastAsia" w:eastAsiaTheme="minorEastAsia"/>
                <w:b/>
                <w:bCs/>
                <w:color w:val="auto"/>
                <w:sz w:val="24"/>
                <w:highlight w:val="none"/>
              </w:rPr>
              <w:t>评分内容</w:t>
            </w:r>
          </w:p>
        </w:tc>
        <w:tc>
          <w:tcPr>
            <w:tcW w:w="7530" w:type="dxa"/>
            <w:noWrap w:val="0"/>
            <w:vAlign w:val="center"/>
          </w:tcPr>
          <w:p w14:paraId="1F1A7B6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bCs/>
                <w:szCs w:val="21"/>
                <w:lang w:val="en-US" w:eastAsia="zh-CN"/>
              </w:rPr>
            </w:pPr>
            <w:r>
              <w:rPr>
                <w:rFonts w:hint="eastAsia" w:asciiTheme="minorEastAsia" w:hAnsiTheme="minorEastAsia" w:eastAsiaTheme="minorEastAsia"/>
                <w:b/>
                <w:bCs/>
                <w:color w:val="auto"/>
                <w:sz w:val="24"/>
                <w:highlight w:val="none"/>
              </w:rPr>
              <w:t>评分标准</w:t>
            </w:r>
          </w:p>
        </w:tc>
      </w:tr>
      <w:tr w14:paraId="4CE6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restart"/>
            <w:noWrap w:val="0"/>
            <w:vAlign w:val="center"/>
          </w:tcPr>
          <w:p w14:paraId="3542E81D">
            <w:pPr>
              <w:keepNext w:val="0"/>
              <w:keepLines w:val="0"/>
              <w:pageBreakBefore w:val="0"/>
              <w:widowControl w:val="0"/>
              <w:kinsoku/>
              <w:wordWrap/>
              <w:overflowPunct/>
              <w:topLinePunct w:val="0"/>
              <w:autoSpaceDE/>
              <w:autoSpaceDN/>
              <w:bidi w:val="0"/>
              <w:spacing w:line="44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3D69B079">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90</w:t>
            </w:r>
            <w:r>
              <w:rPr>
                <w:rFonts w:hint="eastAsia" w:asciiTheme="minorEastAsia" w:hAnsiTheme="minorEastAsia" w:eastAsiaTheme="minorEastAsia"/>
                <w:color w:val="auto"/>
                <w:sz w:val="24"/>
                <w:highlight w:val="none"/>
              </w:rPr>
              <w:t>分）</w:t>
            </w:r>
          </w:p>
        </w:tc>
        <w:tc>
          <w:tcPr>
            <w:tcW w:w="1227" w:type="dxa"/>
            <w:noWrap w:val="0"/>
            <w:vAlign w:val="center"/>
          </w:tcPr>
          <w:p w14:paraId="7FCD5D27">
            <w:pPr>
              <w:pStyle w:val="20"/>
              <w:keepNext w:val="0"/>
              <w:keepLines w:val="0"/>
              <w:pageBreakBefore w:val="0"/>
              <w:widowControl w:val="0"/>
              <w:kinsoku/>
              <w:wordWrap/>
              <w:overflowPunct/>
              <w:topLinePunct w:val="0"/>
              <w:autoSpaceDE/>
              <w:autoSpaceDN/>
              <w:bidi w:val="0"/>
              <w:spacing w:line="440" w:lineRule="exact"/>
              <w:ind w:left="0" w:leftChars="0"/>
              <w:jc w:val="center"/>
              <w:textAlignment w:val="auto"/>
              <w:rPr>
                <w:rFonts w:hint="eastAsia" w:ascii="宋体" w:hAnsi="宋体" w:eastAsia="宋体" w:cstheme="minorBidi"/>
                <w:bCs/>
                <w:color w:val="auto"/>
                <w:kern w:val="2"/>
                <w:sz w:val="24"/>
                <w:szCs w:val="24"/>
                <w:lang w:val="en-US" w:eastAsia="zh-CN" w:bidi="ar-SA"/>
              </w:rPr>
            </w:pPr>
            <w:r>
              <w:rPr>
                <w:rFonts w:hint="eastAsia" w:ascii="宋体" w:hAnsi="宋体" w:eastAsia="宋体"/>
                <w:bCs/>
                <w:color w:val="auto"/>
                <w:sz w:val="24"/>
                <w:szCs w:val="24"/>
                <w:lang w:val="en-US" w:eastAsia="zh-CN"/>
              </w:rPr>
              <w:t>供应商业绩（</w:t>
            </w:r>
            <w:r>
              <w:rPr>
                <w:rFonts w:hint="eastAsia" w:ascii="宋体" w:hAnsi="宋体"/>
                <w:bCs/>
                <w:color w:val="auto"/>
                <w:sz w:val="24"/>
                <w:szCs w:val="24"/>
                <w:lang w:val="en-US" w:eastAsia="zh-CN"/>
              </w:rPr>
              <w:t>4</w:t>
            </w:r>
            <w:r>
              <w:rPr>
                <w:rFonts w:hint="eastAsia" w:ascii="宋体" w:hAnsi="宋体" w:eastAsia="宋体"/>
                <w:bCs/>
                <w:color w:val="auto"/>
                <w:sz w:val="24"/>
                <w:szCs w:val="24"/>
                <w:lang w:val="en-US" w:eastAsia="zh-CN"/>
              </w:rPr>
              <w:t>分）</w:t>
            </w:r>
          </w:p>
        </w:tc>
        <w:tc>
          <w:tcPr>
            <w:tcW w:w="7530" w:type="dxa"/>
            <w:noWrap w:val="0"/>
            <w:vAlign w:val="center"/>
          </w:tcPr>
          <w:p w14:paraId="7417F2F2">
            <w:pPr>
              <w:pStyle w:val="20"/>
              <w:keepNext w:val="0"/>
              <w:keepLines w:val="0"/>
              <w:pageBreakBefore w:val="0"/>
              <w:widowControl w:val="0"/>
              <w:kinsoku/>
              <w:wordWrap/>
              <w:overflowPunct/>
              <w:topLinePunct w:val="0"/>
              <w:autoSpaceDE/>
              <w:autoSpaceDN/>
              <w:bidi w:val="0"/>
              <w:spacing w:line="440" w:lineRule="exact"/>
              <w:ind w:left="0" w:leftChars="0" w:right="-10" w:rightChars="0"/>
              <w:textAlignment w:val="auto"/>
              <w:rPr>
                <w:rFonts w:hint="default" w:ascii="宋体" w:hAnsi="宋体" w:eastAsia="宋体" w:cstheme="minorBidi"/>
                <w:bCs/>
                <w:color w:val="auto"/>
                <w:kern w:val="2"/>
                <w:sz w:val="24"/>
                <w:szCs w:val="24"/>
                <w:lang w:val="en-US" w:eastAsia="zh-CN" w:bidi="ar-SA"/>
              </w:rPr>
            </w:pPr>
            <w:r>
              <w:rPr>
                <w:rFonts w:hint="eastAsia" w:ascii="宋体" w:hAnsi="宋体"/>
                <w:bCs/>
                <w:color w:val="auto"/>
                <w:sz w:val="24"/>
                <w:szCs w:val="24"/>
                <w:lang w:val="en-US" w:eastAsia="zh-CN"/>
              </w:rPr>
              <w:t>供应商自2022年1月1日至今每提供</w:t>
            </w:r>
            <w:r>
              <w:rPr>
                <w:rFonts w:hint="eastAsia" w:ascii="宋体" w:hAnsi="宋体" w:eastAsia="宋体"/>
                <w:bCs/>
                <w:color w:val="auto"/>
                <w:sz w:val="24"/>
                <w:szCs w:val="24"/>
                <w:lang w:val="en-US" w:eastAsia="zh-CN"/>
              </w:rPr>
              <w:t>1个公路安全设施工程</w:t>
            </w:r>
            <w:r>
              <w:rPr>
                <w:rFonts w:hint="eastAsia" w:ascii="宋体" w:hAnsi="宋体"/>
                <w:bCs/>
                <w:color w:val="auto"/>
                <w:sz w:val="24"/>
                <w:szCs w:val="24"/>
                <w:lang w:val="en-US" w:eastAsia="zh-CN"/>
              </w:rPr>
              <w:t>施工业绩的，得2分，本项满分4分。提供</w:t>
            </w:r>
            <w:r>
              <w:rPr>
                <w:rFonts w:hint="eastAsia" w:ascii="宋体" w:hAnsi="宋体"/>
                <w:bCs/>
                <w:color w:val="auto"/>
                <w:sz w:val="24"/>
                <w:szCs w:val="24"/>
              </w:rPr>
              <w:t>合同扫描件</w:t>
            </w:r>
            <w:r>
              <w:rPr>
                <w:rFonts w:hint="eastAsia" w:ascii="宋体" w:hAnsi="宋体"/>
                <w:bCs/>
                <w:color w:val="auto"/>
                <w:sz w:val="24"/>
                <w:szCs w:val="24"/>
                <w:lang w:eastAsia="zh-CN"/>
              </w:rPr>
              <w:t>，</w:t>
            </w:r>
            <w:r>
              <w:rPr>
                <w:rFonts w:hint="eastAsia" w:ascii="宋体" w:hAnsi="宋体"/>
                <w:bCs/>
                <w:color w:val="auto"/>
                <w:sz w:val="24"/>
                <w:szCs w:val="24"/>
                <w:lang w:val="en-US" w:eastAsia="zh-CN"/>
              </w:rPr>
              <w:t>时间以合同签订时间为准。</w:t>
            </w:r>
          </w:p>
        </w:tc>
      </w:tr>
      <w:tr w14:paraId="72DC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26AFC142">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color w:val="auto"/>
                <w:szCs w:val="21"/>
                <w:highlight w:val="none"/>
              </w:rPr>
            </w:pPr>
          </w:p>
        </w:tc>
        <w:tc>
          <w:tcPr>
            <w:tcW w:w="1227" w:type="dxa"/>
            <w:noWrap w:val="0"/>
            <w:vAlign w:val="center"/>
          </w:tcPr>
          <w:p w14:paraId="7C953A6C">
            <w:pPr>
              <w:pStyle w:val="20"/>
              <w:keepNext w:val="0"/>
              <w:keepLines w:val="0"/>
              <w:pageBreakBefore w:val="0"/>
              <w:widowControl w:val="0"/>
              <w:kinsoku/>
              <w:wordWrap/>
              <w:overflowPunct/>
              <w:topLinePunct w:val="0"/>
              <w:autoSpaceDE/>
              <w:autoSpaceDN/>
              <w:bidi w:val="0"/>
              <w:spacing w:line="440" w:lineRule="exact"/>
              <w:ind w:left="0" w:leftChars="0"/>
              <w:jc w:val="center"/>
              <w:textAlignment w:val="auto"/>
              <w:rPr>
                <w:rFonts w:hint="default" w:ascii="宋体" w:hAnsi="宋体" w:eastAsia="宋体" w:cstheme="minorBidi"/>
                <w:bCs/>
                <w:color w:val="auto"/>
                <w:kern w:val="2"/>
                <w:sz w:val="24"/>
                <w:szCs w:val="24"/>
                <w:lang w:val="en-US" w:eastAsia="zh-CN" w:bidi="ar-SA"/>
              </w:rPr>
            </w:pPr>
            <w:r>
              <w:rPr>
                <w:rFonts w:hint="eastAsia" w:ascii="宋体" w:hAnsi="宋体" w:eastAsia="宋体"/>
                <w:bCs/>
                <w:color w:val="auto"/>
                <w:sz w:val="24"/>
                <w:szCs w:val="24"/>
                <w:lang w:val="en-US" w:eastAsia="zh-CN"/>
              </w:rPr>
              <w:t>人员证书（6分）</w:t>
            </w:r>
          </w:p>
        </w:tc>
        <w:tc>
          <w:tcPr>
            <w:tcW w:w="7530" w:type="dxa"/>
            <w:noWrap w:val="0"/>
            <w:vAlign w:val="center"/>
          </w:tcPr>
          <w:p w14:paraId="4994D4D6">
            <w:pPr>
              <w:pStyle w:val="20"/>
              <w:keepNext w:val="0"/>
              <w:keepLines w:val="0"/>
              <w:pageBreakBefore w:val="0"/>
              <w:widowControl w:val="0"/>
              <w:kinsoku/>
              <w:wordWrap/>
              <w:overflowPunct/>
              <w:topLinePunct w:val="0"/>
              <w:autoSpaceDE/>
              <w:autoSpaceDN/>
              <w:bidi w:val="0"/>
              <w:spacing w:line="440" w:lineRule="exact"/>
              <w:ind w:left="0" w:leftChars="0" w:right="-10" w:rightChars="0"/>
              <w:textAlignment w:val="auto"/>
              <w:rPr>
                <w:rFonts w:hint="default" w:eastAsia="宋体" w:asciiTheme="minorHAnsi" w:hAnsiTheme="minorHAnsi" w:cstheme="minorBidi"/>
                <w:color w:val="auto"/>
                <w:kern w:val="2"/>
                <w:sz w:val="24"/>
                <w:szCs w:val="24"/>
                <w:lang w:val="en-US" w:eastAsia="zh-CN" w:bidi="ar-SA"/>
              </w:rPr>
            </w:pPr>
            <w:r>
              <w:rPr>
                <w:rFonts w:hint="eastAsia" w:ascii="宋体" w:hAnsi="宋体" w:eastAsia="宋体" w:cs="Times New Roman"/>
                <w:bCs/>
                <w:color w:val="auto"/>
                <w:sz w:val="24"/>
                <w:szCs w:val="24"/>
                <w:lang w:val="en-US" w:eastAsia="zh-CN"/>
              </w:rPr>
              <w:t>供应商拟派人员（含项目负责人）中每具有一个</w:t>
            </w:r>
            <w:r>
              <w:rPr>
                <w:rFonts w:hint="eastAsia" w:ascii="宋体" w:hAnsi="宋体" w:cs="Times New Roman"/>
                <w:bCs/>
                <w:color w:val="auto"/>
                <w:sz w:val="24"/>
                <w:szCs w:val="24"/>
                <w:lang w:val="en-US" w:eastAsia="zh-CN"/>
              </w:rPr>
              <w:t>公路</w:t>
            </w:r>
            <w:r>
              <w:rPr>
                <w:rFonts w:hint="eastAsia" w:ascii="宋体" w:hAnsi="宋体" w:eastAsia="宋体" w:cs="Times New Roman"/>
                <w:bCs/>
                <w:color w:val="auto"/>
                <w:sz w:val="24"/>
                <w:szCs w:val="24"/>
                <w:lang w:val="en-US" w:eastAsia="zh-CN"/>
              </w:rPr>
              <w:t>工程或公路与桥梁工程中级及以上职称的得2分，满分6分；</w:t>
            </w:r>
            <w:r>
              <w:rPr>
                <w:rFonts w:hint="eastAsia" w:ascii="宋体" w:hAnsi="宋体" w:eastAsia="宋体" w:cs="宋体"/>
                <w:b w:val="0"/>
                <w:bCs w:val="0"/>
                <w:color w:val="auto"/>
                <w:sz w:val="24"/>
                <w:szCs w:val="24"/>
                <w:highlight w:val="none"/>
                <w:lang w:val="en-US" w:eastAsia="en-US"/>
              </w:rPr>
              <w:t>提供证书</w:t>
            </w:r>
            <w:r>
              <w:rPr>
                <w:rFonts w:hint="eastAsia" w:ascii="宋体" w:hAnsi="宋体" w:eastAsia="宋体" w:cs="宋体"/>
                <w:b w:val="0"/>
                <w:bCs w:val="0"/>
                <w:color w:val="auto"/>
                <w:sz w:val="24"/>
                <w:szCs w:val="24"/>
                <w:highlight w:val="none"/>
                <w:lang w:val="en-US" w:eastAsia="zh-CN"/>
              </w:rPr>
              <w:t>扫描件</w:t>
            </w:r>
            <w:r>
              <w:rPr>
                <w:rFonts w:hint="eastAsia" w:ascii="宋体" w:hAnsi="宋体" w:eastAsia="宋体" w:cs="宋体"/>
                <w:b w:val="0"/>
                <w:bCs w:val="0"/>
                <w:color w:val="auto"/>
                <w:sz w:val="24"/>
                <w:szCs w:val="24"/>
                <w:highlight w:val="none"/>
                <w:lang w:val="en-US" w:eastAsia="en-US"/>
              </w:rPr>
              <w:t>。</w:t>
            </w:r>
          </w:p>
        </w:tc>
      </w:tr>
      <w:tr w14:paraId="6ACC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4C10244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宋体"/>
                <w:bCs/>
                <w:color w:val="auto"/>
                <w:kern w:val="2"/>
                <w:sz w:val="21"/>
                <w:szCs w:val="21"/>
                <w:highlight w:val="none"/>
                <w:lang w:val="en-US" w:eastAsia="zh-CN" w:bidi="ar-SA"/>
              </w:rPr>
            </w:pPr>
          </w:p>
        </w:tc>
        <w:tc>
          <w:tcPr>
            <w:tcW w:w="1227" w:type="dxa"/>
            <w:noWrap w:val="0"/>
            <w:vAlign w:val="center"/>
          </w:tcPr>
          <w:p w14:paraId="5E47CB9A">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宋体"/>
                <w:b/>
                <w:color w:val="auto"/>
                <w:szCs w:val="21"/>
                <w:highlight w:val="none"/>
              </w:rPr>
            </w:pPr>
            <w:r>
              <w:rPr>
                <w:rFonts w:hint="eastAsia" w:ascii="宋体" w:hAnsi="宋体" w:eastAsia="宋体" w:cs="宋体"/>
                <w:color w:val="auto"/>
                <w:sz w:val="24"/>
                <w:szCs w:val="24"/>
                <w:highlight w:val="none"/>
                <w:lang w:eastAsia="zh-CN"/>
              </w:rPr>
              <w:t>总体</w:t>
            </w:r>
            <w:r>
              <w:rPr>
                <w:rFonts w:hint="eastAsia" w:ascii="宋体" w:hAnsi="宋体" w:eastAsia="宋体" w:cs="宋体"/>
                <w:color w:val="auto"/>
                <w:sz w:val="24"/>
                <w:szCs w:val="24"/>
                <w:highlight w:val="none"/>
                <w:lang w:val="en-US" w:eastAsia="zh-CN"/>
              </w:rPr>
              <w:t>规划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7530" w:type="dxa"/>
            <w:noWrap w:val="0"/>
            <w:vAlign w:val="center"/>
          </w:tcPr>
          <w:p w14:paraId="36740D7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①根据工程特点和各种影响因素，以方便、合理、经济、施工总体要求和适合施工需要为原则，进行施工区域划分和施工现场总体布置。布置的主要临时设施包括材料场、水、电、生活区、办公区等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总体</w:t>
            </w:r>
            <w:r>
              <w:rPr>
                <w:rFonts w:hint="eastAsia" w:ascii="宋体" w:hAnsi="宋体" w:eastAsia="宋体" w:cs="宋体"/>
                <w:color w:val="auto"/>
                <w:sz w:val="24"/>
                <w:szCs w:val="24"/>
                <w:highlight w:val="none"/>
                <w:lang w:val="en-US" w:eastAsia="zh-CN"/>
              </w:rPr>
              <w:t>规划</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合理、可行</w:t>
            </w:r>
            <w:r>
              <w:rPr>
                <w:rFonts w:hint="eastAsia" w:ascii="宋体" w:hAnsi="宋体" w:cs="宋体"/>
                <w:color w:val="auto"/>
                <w:sz w:val="24"/>
                <w:szCs w:val="24"/>
                <w:highlight w:val="none"/>
                <w:lang w:val="en-US" w:eastAsia="zh-CN"/>
              </w:rPr>
              <w:t>得5分；</w:t>
            </w:r>
          </w:p>
          <w:p w14:paraId="158293E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②根据工程特点和各种影响因素，以方便、合理、经济、施工总体要求和适合施工需要为原则，进行施工区域划分和施工现场总体布置，</w:t>
            </w:r>
            <w:r>
              <w:rPr>
                <w:rFonts w:hint="eastAsia" w:ascii="宋体" w:hAnsi="宋体" w:eastAsia="宋体" w:cs="宋体"/>
                <w:color w:val="auto"/>
                <w:sz w:val="24"/>
                <w:szCs w:val="24"/>
                <w:highlight w:val="none"/>
                <w:lang w:eastAsia="zh-CN"/>
              </w:rPr>
              <w:t>总体</w:t>
            </w:r>
            <w:r>
              <w:rPr>
                <w:rFonts w:hint="eastAsia" w:ascii="宋体" w:hAnsi="宋体" w:eastAsia="宋体" w:cs="宋体"/>
                <w:color w:val="auto"/>
                <w:sz w:val="24"/>
                <w:szCs w:val="24"/>
                <w:highlight w:val="none"/>
                <w:lang w:val="en-US" w:eastAsia="zh-CN"/>
              </w:rPr>
              <w:t>规划</w:t>
            </w:r>
            <w:r>
              <w:rPr>
                <w:rFonts w:hint="eastAsia" w:ascii="宋体" w:hAnsi="宋体" w:cs="宋体"/>
                <w:color w:val="auto"/>
                <w:sz w:val="24"/>
                <w:szCs w:val="24"/>
                <w:highlight w:val="none"/>
              </w:rPr>
              <w:t>方案</w:t>
            </w:r>
            <w:r>
              <w:rPr>
                <w:rFonts w:hint="eastAsia" w:ascii="宋体" w:hAnsi="宋体" w:cs="宋体"/>
                <w:color w:val="auto"/>
                <w:sz w:val="24"/>
                <w:szCs w:val="24"/>
                <w:highlight w:val="none"/>
                <w:lang w:val="en-US" w:eastAsia="zh-CN"/>
              </w:rPr>
              <w:t>能够满足施工需求的得4分；</w:t>
            </w:r>
          </w:p>
          <w:p w14:paraId="18AB4C7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w:t>
            </w:r>
            <w:r>
              <w:rPr>
                <w:rFonts w:hint="eastAsia" w:ascii="宋体" w:hAnsi="宋体" w:cs="宋体"/>
                <w:color w:val="auto"/>
                <w:sz w:val="24"/>
                <w:szCs w:val="24"/>
                <w:highlight w:val="none"/>
                <w:lang w:val="en-US" w:eastAsia="zh-CN"/>
              </w:rPr>
              <w:t>方案清晰，</w:t>
            </w:r>
            <w:r>
              <w:rPr>
                <w:rFonts w:hint="eastAsia" w:ascii="宋体" w:hAnsi="宋体" w:cs="宋体"/>
                <w:color w:val="auto"/>
                <w:sz w:val="24"/>
                <w:szCs w:val="24"/>
                <w:highlight w:val="none"/>
              </w:rPr>
              <w:t>但缺项或关键点缺失</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出现非专门针对本项目特性内容的得3分；</w:t>
            </w:r>
          </w:p>
          <w:p w14:paraId="481D4ED3">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cs="宋体"/>
                <w:b/>
                <w:color w:val="auto"/>
                <w:szCs w:val="21"/>
                <w:highlight w:val="none"/>
              </w:rPr>
            </w:pPr>
            <w:r>
              <w:rPr>
                <w:rFonts w:hint="eastAsia" w:ascii="宋体" w:hAnsi="宋体" w:cs="宋体"/>
                <w:color w:val="auto"/>
                <w:sz w:val="24"/>
                <w:szCs w:val="24"/>
                <w:highlight w:val="none"/>
                <w:lang w:val="en-US" w:eastAsia="zh-CN"/>
              </w:rPr>
              <w:t>④方案不能满足项目实施要求或未提供的不得分。</w:t>
            </w:r>
          </w:p>
        </w:tc>
      </w:tr>
      <w:tr w14:paraId="00CC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55EC0394">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1227" w:type="dxa"/>
            <w:noWrap w:val="0"/>
            <w:vAlign w:val="center"/>
          </w:tcPr>
          <w:p w14:paraId="37E3DAC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rPr>
              <w:t>主要施工</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4FB665D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①各主要分部施工</w:t>
            </w:r>
            <w:r>
              <w:rPr>
                <w:rFonts w:hint="eastAsia" w:ascii="宋体" w:hAnsi="宋体" w:cs="宋体"/>
                <w:color w:val="auto"/>
                <w:sz w:val="24"/>
                <w:szCs w:val="24"/>
                <w:highlight w:val="none"/>
                <w:lang w:val="en-US" w:eastAsia="zh-CN"/>
              </w:rPr>
              <w:t>方案贴合项目实际</w:t>
            </w:r>
            <w:r>
              <w:rPr>
                <w:rFonts w:hint="eastAsia" w:ascii="宋体" w:hAnsi="宋体" w:cs="宋体"/>
                <w:color w:val="auto"/>
                <w:sz w:val="24"/>
                <w:szCs w:val="24"/>
                <w:highlight w:val="none"/>
              </w:rPr>
              <w:t>，施工技术方案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方法</w:t>
            </w:r>
            <w:r>
              <w:rPr>
                <w:rFonts w:hint="eastAsia" w:ascii="宋体" w:hAnsi="宋体" w:cs="宋体"/>
                <w:color w:val="auto"/>
                <w:sz w:val="24"/>
                <w:szCs w:val="24"/>
                <w:highlight w:val="none"/>
              </w:rPr>
              <w:t>详尽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结合目前先进</w:t>
            </w:r>
            <w:r>
              <w:rPr>
                <w:rFonts w:hint="eastAsia" w:ascii="宋体" w:hAnsi="宋体" w:cs="宋体"/>
                <w:color w:val="auto"/>
                <w:sz w:val="24"/>
                <w:szCs w:val="24"/>
                <w:highlight w:val="none"/>
              </w:rPr>
              <w:t>工艺、</w:t>
            </w:r>
            <w:r>
              <w:rPr>
                <w:rFonts w:hint="eastAsia" w:ascii="宋体" w:hAnsi="宋体" w:cs="宋体"/>
                <w:color w:val="auto"/>
                <w:sz w:val="24"/>
                <w:szCs w:val="24"/>
                <w:highlight w:val="none"/>
                <w:lang w:val="en-US" w:eastAsia="zh-CN"/>
              </w:rPr>
              <w:t>施工实施</w:t>
            </w:r>
            <w:r>
              <w:rPr>
                <w:rFonts w:hint="eastAsia" w:ascii="宋体" w:hAnsi="宋体" w:cs="宋体"/>
                <w:color w:val="auto"/>
                <w:sz w:val="24"/>
                <w:szCs w:val="24"/>
                <w:highlight w:val="none"/>
              </w:rPr>
              <w:t>方法</w:t>
            </w:r>
            <w:r>
              <w:rPr>
                <w:rFonts w:hint="eastAsia" w:cs="宋体"/>
                <w:color w:val="auto"/>
                <w:sz w:val="24"/>
                <w:szCs w:val="24"/>
                <w:highlight w:val="none"/>
                <w:lang w:val="en-US" w:eastAsia="zh-CN"/>
              </w:rPr>
              <w:t>有针对性</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施工方案高质高效</w:t>
            </w:r>
            <w:r>
              <w:rPr>
                <w:rFonts w:hint="eastAsia" w:ascii="宋体" w:hAnsi="宋体" w:cs="宋体"/>
                <w:color w:val="auto"/>
                <w:sz w:val="24"/>
                <w:szCs w:val="24"/>
                <w:highlight w:val="none"/>
              </w:rPr>
              <w:t>并确保安全</w:t>
            </w:r>
            <w:r>
              <w:rPr>
                <w:rFonts w:hint="eastAsia" w:ascii="宋体" w:hAnsi="宋体" w:cs="宋体"/>
                <w:color w:val="auto"/>
                <w:sz w:val="24"/>
                <w:szCs w:val="24"/>
                <w:highlight w:val="none"/>
                <w:lang w:val="en-US" w:eastAsia="zh-CN"/>
              </w:rPr>
              <w:t>得5分；</w:t>
            </w:r>
          </w:p>
          <w:p w14:paraId="1AA0F46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②各主要分部施工</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符合项目实际，施工技术方案</w:t>
            </w:r>
            <w:r>
              <w:rPr>
                <w:rFonts w:hint="eastAsia" w:ascii="宋体" w:hAnsi="宋体" w:cs="宋体"/>
                <w:color w:val="auto"/>
                <w:sz w:val="24"/>
                <w:szCs w:val="24"/>
                <w:highlight w:val="none"/>
                <w:lang w:val="en-US" w:eastAsia="zh-CN"/>
              </w:rPr>
              <w:t>完整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对项目实施流程有相关把控，施工方案中的</w:t>
            </w:r>
            <w:r>
              <w:rPr>
                <w:rFonts w:hint="eastAsia" w:ascii="宋体" w:hAnsi="宋体" w:cs="宋体"/>
                <w:color w:val="auto"/>
                <w:sz w:val="24"/>
                <w:szCs w:val="24"/>
                <w:highlight w:val="none"/>
              </w:rPr>
              <w:t>工艺</w:t>
            </w:r>
            <w:r>
              <w:rPr>
                <w:rFonts w:hint="eastAsia" w:ascii="宋体" w:hAnsi="宋体" w:cs="宋体"/>
                <w:color w:val="auto"/>
                <w:sz w:val="24"/>
                <w:szCs w:val="24"/>
                <w:highlight w:val="none"/>
                <w:lang w:val="en-US" w:eastAsia="zh-CN"/>
              </w:rPr>
              <w:t>符合施工需求得4分；</w:t>
            </w:r>
          </w:p>
          <w:p w14:paraId="68E54A6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③各主要分部施工</w:t>
            </w:r>
            <w:r>
              <w:rPr>
                <w:rFonts w:hint="eastAsia" w:ascii="宋体" w:hAnsi="宋体" w:cs="宋体"/>
                <w:color w:val="auto"/>
                <w:sz w:val="24"/>
                <w:szCs w:val="24"/>
                <w:highlight w:val="none"/>
                <w:lang w:val="en-US" w:eastAsia="zh-CN"/>
              </w:rPr>
              <w:t>方案清晰，但</w:t>
            </w:r>
            <w:r>
              <w:rPr>
                <w:rFonts w:hint="eastAsia" w:ascii="宋体" w:hAnsi="宋体" w:cs="宋体"/>
                <w:color w:val="auto"/>
                <w:sz w:val="24"/>
                <w:szCs w:val="24"/>
                <w:highlight w:val="none"/>
              </w:rPr>
              <w:t>施工技术方案</w:t>
            </w:r>
            <w:r>
              <w:rPr>
                <w:rFonts w:hint="eastAsia" w:ascii="宋体" w:hAnsi="宋体" w:cs="宋体"/>
                <w:color w:val="auto"/>
                <w:sz w:val="24"/>
                <w:szCs w:val="24"/>
                <w:highlight w:val="none"/>
                <w:lang w:val="en-US" w:eastAsia="zh-CN"/>
              </w:rPr>
              <w:t>中的实施步骤混乱欠缺或出现非专门针对本项目特性内容</w:t>
            </w:r>
            <w:r>
              <w:rPr>
                <w:rFonts w:hint="eastAsia" w:ascii="宋体" w:hAnsi="宋体" w:cs="宋体"/>
                <w:color w:val="auto"/>
                <w:sz w:val="24"/>
                <w:szCs w:val="24"/>
                <w:highlight w:val="none"/>
              </w:rPr>
              <w:t>，工艺</w:t>
            </w:r>
            <w:r>
              <w:rPr>
                <w:rFonts w:hint="eastAsia" w:ascii="宋体" w:hAnsi="宋体" w:cs="宋体"/>
                <w:color w:val="auto"/>
                <w:sz w:val="24"/>
                <w:szCs w:val="24"/>
                <w:highlight w:val="none"/>
                <w:lang w:val="en-US" w:eastAsia="zh-CN"/>
              </w:rPr>
              <w:t>描述较为落后得3分；</w:t>
            </w:r>
          </w:p>
          <w:p w14:paraId="60FF752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④方案不能满足项目实施要求或未提供的不得分。</w:t>
            </w:r>
          </w:p>
        </w:tc>
      </w:tr>
      <w:tr w14:paraId="5C06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1A3236B5">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1227" w:type="dxa"/>
            <w:noWrap w:val="0"/>
            <w:vAlign w:val="center"/>
          </w:tcPr>
          <w:p w14:paraId="07A7A0A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rPr>
              <w:t>拟投入的主要施工机械、设备计划</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51439B5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①投入的施工机械、设备、机具有详细计划且计划周密，设备数量、选型配置、进场数量、时间合理、满足施工需要</w:t>
            </w:r>
            <w:r>
              <w:rPr>
                <w:rFonts w:hint="eastAsia" w:ascii="宋体" w:hAnsi="宋体" w:cs="宋体"/>
                <w:color w:val="auto"/>
                <w:sz w:val="24"/>
                <w:szCs w:val="24"/>
                <w:highlight w:val="none"/>
                <w:lang w:val="en-US" w:eastAsia="zh-CN"/>
              </w:rPr>
              <w:t>得5分；</w:t>
            </w:r>
          </w:p>
          <w:p w14:paraId="17ED573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②投入的施工机械、设备、机具有计划且计划</w:t>
            </w:r>
            <w:r>
              <w:rPr>
                <w:rFonts w:hint="eastAsia" w:ascii="宋体" w:hAnsi="宋体" w:cs="宋体"/>
                <w:color w:val="auto"/>
                <w:sz w:val="24"/>
                <w:szCs w:val="24"/>
                <w:highlight w:val="none"/>
                <w:lang w:val="en-US" w:eastAsia="zh-CN"/>
              </w:rPr>
              <w:t>完整</w:t>
            </w:r>
            <w:r>
              <w:rPr>
                <w:rFonts w:hint="eastAsia" w:ascii="宋体" w:hAnsi="宋体" w:cs="宋体"/>
                <w:color w:val="auto"/>
                <w:sz w:val="24"/>
                <w:szCs w:val="24"/>
                <w:highlight w:val="none"/>
              </w:rPr>
              <w:t>，设备数量、选型配置、进场数量、时间合理</w:t>
            </w:r>
            <w:r>
              <w:rPr>
                <w:rFonts w:hint="eastAsia" w:ascii="宋体" w:hAnsi="宋体" w:cs="宋体"/>
                <w:color w:val="auto"/>
                <w:sz w:val="24"/>
                <w:szCs w:val="24"/>
                <w:highlight w:val="none"/>
                <w:lang w:val="en-US" w:eastAsia="zh-CN"/>
              </w:rPr>
              <w:t>得4分；</w:t>
            </w:r>
          </w:p>
          <w:p w14:paraId="2FB6AD1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w:t>
            </w:r>
            <w:r>
              <w:rPr>
                <w:rFonts w:hint="eastAsia" w:ascii="宋体" w:hAnsi="宋体" w:cs="宋体"/>
                <w:color w:val="auto"/>
                <w:sz w:val="24"/>
                <w:szCs w:val="24"/>
                <w:highlight w:val="none"/>
                <w:lang w:val="en-US" w:eastAsia="zh-CN"/>
              </w:rPr>
              <w:t>投入的施工机械、设备、机具设备描述不清、缺项，</w:t>
            </w:r>
            <w:r>
              <w:rPr>
                <w:rFonts w:hint="eastAsia" w:ascii="宋体" w:hAnsi="宋体" w:cs="宋体"/>
                <w:color w:val="auto"/>
                <w:sz w:val="24"/>
                <w:szCs w:val="24"/>
                <w:highlight w:val="none"/>
              </w:rPr>
              <w:t>选型配置、进场数量、时间</w:t>
            </w:r>
            <w:r>
              <w:rPr>
                <w:rFonts w:hint="eastAsia" w:ascii="宋体" w:hAnsi="宋体" w:cs="宋体"/>
                <w:color w:val="auto"/>
                <w:sz w:val="24"/>
                <w:szCs w:val="24"/>
                <w:highlight w:val="none"/>
                <w:lang w:val="en-US" w:eastAsia="zh-CN"/>
              </w:rPr>
              <w:t>、关键点混乱欠缺</w:t>
            </w:r>
            <w:r>
              <w:rPr>
                <w:rFonts w:hint="eastAsia" w:cs="宋体"/>
                <w:color w:val="auto"/>
                <w:sz w:val="24"/>
                <w:szCs w:val="24"/>
                <w:highlight w:val="none"/>
                <w:lang w:val="en-US" w:eastAsia="zh-CN"/>
              </w:rPr>
              <w:t>的</w:t>
            </w:r>
            <w:r>
              <w:rPr>
                <w:rFonts w:hint="eastAsia" w:ascii="宋体" w:hAnsi="宋体" w:cs="宋体"/>
                <w:color w:val="auto"/>
                <w:sz w:val="24"/>
                <w:szCs w:val="24"/>
                <w:highlight w:val="none"/>
                <w:lang w:val="en-US" w:eastAsia="zh-CN"/>
              </w:rPr>
              <w:t>得3分。</w:t>
            </w:r>
          </w:p>
          <w:p w14:paraId="325EE01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21B3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1CF6D46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1227" w:type="dxa"/>
            <w:noWrap w:val="0"/>
            <w:vAlign w:val="center"/>
          </w:tcPr>
          <w:p w14:paraId="13EA215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rPr>
              <w:t>劳动力安排计划</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4F5E38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①各主要施工工序应有详细周密的劳动力安排计划明细，有各工种劳动力安排计划，计划完整周密，劳动力投入经济高效，满足施工需要</w:t>
            </w:r>
            <w:r>
              <w:rPr>
                <w:rFonts w:hint="eastAsia" w:ascii="宋体" w:hAnsi="宋体" w:cs="宋体"/>
                <w:color w:val="auto"/>
                <w:sz w:val="24"/>
                <w:szCs w:val="24"/>
                <w:highlight w:val="none"/>
                <w:lang w:val="en-US" w:eastAsia="zh-CN"/>
              </w:rPr>
              <w:t>得5分；</w:t>
            </w:r>
          </w:p>
          <w:p w14:paraId="5D5C75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②各主要施工工序应有劳动力安排计划，有各工种劳动力安排计划</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计划完整周密</w:t>
            </w:r>
            <w:r>
              <w:rPr>
                <w:rFonts w:hint="eastAsia" w:ascii="宋体" w:hAnsi="宋体" w:cs="宋体"/>
                <w:color w:val="auto"/>
                <w:sz w:val="24"/>
                <w:szCs w:val="24"/>
                <w:highlight w:val="none"/>
              </w:rPr>
              <w:t>。劳动力投入合理，</w:t>
            </w:r>
            <w:r>
              <w:rPr>
                <w:rFonts w:hint="eastAsia" w:cs="宋体"/>
                <w:color w:val="auto"/>
                <w:sz w:val="24"/>
                <w:szCs w:val="24"/>
                <w:highlight w:val="none"/>
                <w:lang w:val="en-US" w:eastAsia="zh-CN"/>
              </w:rPr>
              <w:t>符合</w:t>
            </w:r>
            <w:r>
              <w:rPr>
                <w:rFonts w:hint="eastAsia" w:ascii="宋体" w:hAnsi="宋体" w:cs="宋体"/>
                <w:color w:val="auto"/>
                <w:sz w:val="24"/>
                <w:szCs w:val="24"/>
                <w:highlight w:val="none"/>
              </w:rPr>
              <w:t>施工需要</w:t>
            </w:r>
            <w:r>
              <w:rPr>
                <w:rFonts w:hint="eastAsia" w:ascii="宋体" w:hAnsi="宋体" w:cs="宋体"/>
                <w:color w:val="auto"/>
                <w:sz w:val="24"/>
                <w:szCs w:val="24"/>
                <w:highlight w:val="none"/>
                <w:lang w:val="en-US" w:eastAsia="zh-CN"/>
              </w:rPr>
              <w:t>得4分；</w:t>
            </w:r>
          </w:p>
          <w:p w14:paraId="50FE0E2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③各主要施工工序</w:t>
            </w:r>
            <w:r>
              <w:rPr>
                <w:rFonts w:hint="eastAsia" w:ascii="宋体" w:hAnsi="宋体" w:cs="宋体"/>
                <w:color w:val="auto"/>
                <w:sz w:val="24"/>
                <w:szCs w:val="24"/>
                <w:highlight w:val="none"/>
                <w:lang w:val="en-US" w:eastAsia="zh-CN"/>
              </w:rPr>
              <w:t>有基础的</w:t>
            </w:r>
            <w:r>
              <w:rPr>
                <w:rFonts w:hint="eastAsia" w:ascii="宋体" w:hAnsi="宋体" w:cs="宋体"/>
                <w:color w:val="auto"/>
                <w:sz w:val="24"/>
                <w:szCs w:val="24"/>
                <w:highlight w:val="none"/>
              </w:rPr>
              <w:t>劳动力安排计划，有</w:t>
            </w:r>
            <w:r>
              <w:rPr>
                <w:rFonts w:hint="eastAsia" w:ascii="宋体" w:hAnsi="宋体" w:cs="宋体"/>
                <w:color w:val="auto"/>
                <w:sz w:val="24"/>
                <w:szCs w:val="24"/>
                <w:highlight w:val="none"/>
                <w:lang w:val="en-US" w:eastAsia="zh-CN"/>
              </w:rPr>
              <w:t>基础的</w:t>
            </w:r>
            <w:r>
              <w:rPr>
                <w:rFonts w:hint="eastAsia" w:ascii="宋体" w:hAnsi="宋体" w:cs="宋体"/>
                <w:color w:val="auto"/>
                <w:sz w:val="24"/>
                <w:szCs w:val="24"/>
                <w:highlight w:val="none"/>
              </w:rPr>
              <w:t>各工种劳动力安排计划</w:t>
            </w:r>
            <w:r>
              <w:rPr>
                <w:rFonts w:hint="eastAsia" w:ascii="宋体" w:hAnsi="宋体" w:cs="宋体"/>
                <w:color w:val="auto"/>
                <w:sz w:val="24"/>
                <w:szCs w:val="24"/>
                <w:highlight w:val="none"/>
                <w:lang w:val="en-US" w:eastAsia="zh-CN"/>
              </w:rPr>
              <w:t>能满足施工需要但</w:t>
            </w:r>
            <w:r>
              <w:rPr>
                <w:rFonts w:hint="eastAsia" w:cs="宋体"/>
                <w:color w:val="auto"/>
                <w:sz w:val="24"/>
                <w:szCs w:val="24"/>
                <w:highlight w:val="none"/>
                <w:lang w:val="en-US" w:eastAsia="zh-CN"/>
              </w:rPr>
              <w:t>有待完善</w:t>
            </w:r>
            <w:r>
              <w:rPr>
                <w:rFonts w:hint="eastAsia" w:ascii="宋体" w:hAnsi="宋体" w:cs="宋体"/>
                <w:color w:val="auto"/>
                <w:sz w:val="24"/>
                <w:szCs w:val="24"/>
                <w:highlight w:val="none"/>
                <w:lang w:val="en-US" w:eastAsia="zh-CN"/>
              </w:rPr>
              <w:t>的得3分。</w:t>
            </w:r>
          </w:p>
          <w:p w14:paraId="719BDB9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7225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20DF8DA5">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1227" w:type="dxa"/>
            <w:noWrap w:val="0"/>
            <w:vAlign w:val="center"/>
          </w:tcPr>
          <w:p w14:paraId="61ED645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lang w:val="en-US" w:eastAsia="zh-CN"/>
              </w:rPr>
              <w:t>质量保证措施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4BB940B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①施工项目应有专门的质量技术管理班子和制度，且人员配备合理，制度健全，主要工序应有质量技术保证措施和手段，自控体系完整，能有效的保证技术质量，达到承诺的质量标准</w:t>
            </w:r>
            <w:r>
              <w:rPr>
                <w:rFonts w:hint="eastAsia" w:ascii="宋体" w:hAnsi="宋体" w:cs="宋体"/>
                <w:color w:val="auto"/>
                <w:sz w:val="24"/>
                <w:szCs w:val="24"/>
                <w:highlight w:val="none"/>
                <w:lang w:val="en-US" w:eastAsia="zh-CN"/>
              </w:rPr>
              <w:t>的能满足施工需要得5分；</w:t>
            </w:r>
          </w:p>
          <w:p w14:paraId="697F3C5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②施工项目</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专门的质量技术管理班子和制度，主要工序应有质量技术保证措施和手段，自控体系完整，能</w:t>
            </w:r>
            <w:r>
              <w:rPr>
                <w:rFonts w:hint="eastAsia" w:ascii="宋体" w:hAnsi="宋体" w:cs="宋体"/>
                <w:color w:val="auto"/>
                <w:sz w:val="24"/>
                <w:szCs w:val="24"/>
                <w:highlight w:val="none"/>
                <w:lang w:val="en-US" w:eastAsia="zh-CN"/>
              </w:rPr>
              <w:t>够</w:t>
            </w:r>
            <w:r>
              <w:rPr>
                <w:rFonts w:hint="eastAsia" w:ascii="宋体" w:hAnsi="宋体" w:cs="宋体"/>
                <w:color w:val="auto"/>
                <w:sz w:val="24"/>
                <w:szCs w:val="24"/>
                <w:highlight w:val="none"/>
              </w:rPr>
              <w:t>保证技术质量，达到承诺的质量标准</w:t>
            </w:r>
            <w:r>
              <w:rPr>
                <w:rFonts w:hint="eastAsia" w:ascii="宋体" w:hAnsi="宋体" w:cs="宋体"/>
                <w:color w:val="auto"/>
                <w:sz w:val="24"/>
                <w:szCs w:val="24"/>
                <w:highlight w:val="none"/>
                <w:lang w:val="en-US" w:eastAsia="zh-CN"/>
              </w:rPr>
              <w:t>得4分；</w:t>
            </w:r>
          </w:p>
          <w:p w14:paraId="613DD4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③施工项目</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专门的质量技术管理班子和制度，</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人员配备，</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制度，</w:t>
            </w:r>
            <w:r>
              <w:rPr>
                <w:rFonts w:hint="eastAsia" w:ascii="宋体" w:hAnsi="宋体" w:cs="宋体"/>
                <w:color w:val="auto"/>
                <w:sz w:val="24"/>
                <w:szCs w:val="24"/>
                <w:highlight w:val="none"/>
                <w:lang w:val="en-US" w:eastAsia="zh-CN"/>
              </w:rPr>
              <w:t>但缺项或关键点缺失、出现非专门针对本项目特性内容的得3分；</w:t>
            </w:r>
          </w:p>
          <w:p w14:paraId="1CB6D4F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50FF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1D7CB628">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1227" w:type="dxa"/>
            <w:noWrap w:val="0"/>
            <w:vAlign w:val="center"/>
          </w:tcPr>
          <w:p w14:paraId="271CB20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lang w:val="en-US" w:eastAsia="zh-CN"/>
              </w:rPr>
              <w:t>安全生产保障措施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3778B0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①施工项目应有专门的安全管理人员和制度，且人员配备合理，制度</w:t>
            </w:r>
            <w:r>
              <w:rPr>
                <w:rFonts w:hint="eastAsia" w:ascii="宋体" w:hAnsi="宋体" w:cs="宋体"/>
                <w:color w:val="auto"/>
                <w:sz w:val="24"/>
                <w:szCs w:val="24"/>
                <w:highlight w:val="none"/>
                <w:lang w:val="en-US" w:eastAsia="zh-CN"/>
              </w:rPr>
              <w:t>清晰、</w:t>
            </w:r>
            <w:r>
              <w:rPr>
                <w:rFonts w:hint="eastAsia" w:ascii="宋体" w:hAnsi="宋体" w:cs="宋体"/>
                <w:color w:val="auto"/>
                <w:sz w:val="24"/>
                <w:szCs w:val="24"/>
                <w:highlight w:val="none"/>
              </w:rPr>
              <w:t>健全，各道工序安全技术措施针对性强，符合实际且满足有关安全技术标准要求。现场防火、社会治安安全措施得力</w:t>
            </w:r>
            <w:r>
              <w:rPr>
                <w:rFonts w:hint="eastAsia" w:ascii="宋体" w:hAnsi="宋体" w:cs="宋体"/>
                <w:color w:val="auto"/>
                <w:sz w:val="24"/>
                <w:szCs w:val="24"/>
                <w:highlight w:val="none"/>
                <w:lang w:val="en-US" w:eastAsia="zh-CN"/>
              </w:rPr>
              <w:t>满足施工需求得5分；</w:t>
            </w:r>
          </w:p>
          <w:p w14:paraId="74092E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②施工项目有专门的安全管理人员和制度，且人员配备适中，制度完整，各道工序安全技术措施完善，能够满足项目需求得 4 分；</w:t>
            </w:r>
          </w:p>
          <w:p w14:paraId="3EE557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③施工项目有专门的安全管理人员和制度，</w:t>
            </w:r>
            <w:r>
              <w:rPr>
                <w:rFonts w:hint="eastAsia" w:ascii="宋体" w:hAnsi="宋体" w:cs="宋体"/>
                <w:color w:val="auto"/>
                <w:sz w:val="24"/>
                <w:szCs w:val="24"/>
                <w:highlight w:val="none"/>
                <w:lang w:val="en-US" w:eastAsia="zh-CN"/>
              </w:rPr>
              <w:t>但</w:t>
            </w:r>
            <w:r>
              <w:rPr>
                <w:rFonts w:hint="eastAsia" w:ascii="宋体" w:hAnsi="宋体" w:cs="宋体"/>
                <w:color w:val="auto"/>
                <w:sz w:val="24"/>
                <w:szCs w:val="24"/>
                <w:highlight w:val="none"/>
              </w:rPr>
              <w:t>制度</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各道工序安全技术措施</w:t>
            </w:r>
            <w:r>
              <w:rPr>
                <w:rFonts w:hint="eastAsia" w:ascii="宋体" w:hAnsi="宋体" w:cs="宋体"/>
                <w:color w:val="auto"/>
                <w:sz w:val="24"/>
                <w:szCs w:val="24"/>
                <w:highlight w:val="none"/>
                <w:lang w:val="en-US" w:eastAsia="zh-CN"/>
              </w:rPr>
              <w:t>缺项或关键点缺失或出现非专门针对本项目特性内容的得3分；</w:t>
            </w:r>
          </w:p>
          <w:p w14:paraId="4767B3D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249A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43C132D2">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宋体"/>
                <w:bCs/>
                <w:color w:val="auto"/>
                <w:kern w:val="2"/>
                <w:sz w:val="21"/>
                <w:szCs w:val="21"/>
                <w:highlight w:val="none"/>
                <w:lang w:val="en-US" w:eastAsia="zh-CN" w:bidi="ar-SA"/>
              </w:rPr>
            </w:pPr>
          </w:p>
        </w:tc>
        <w:tc>
          <w:tcPr>
            <w:tcW w:w="1227" w:type="dxa"/>
            <w:noWrap w:val="0"/>
            <w:vAlign w:val="center"/>
          </w:tcPr>
          <w:p w14:paraId="075EE2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
                <w:color w:val="auto"/>
                <w:szCs w:val="21"/>
                <w:highlight w:val="none"/>
              </w:rPr>
            </w:pPr>
            <w:r>
              <w:rPr>
                <w:rFonts w:hint="eastAsia" w:ascii="宋体" w:hAnsi="宋体" w:cs="宋体"/>
                <w:color w:val="auto"/>
                <w:sz w:val="24"/>
                <w:szCs w:val="24"/>
                <w:highlight w:val="none"/>
                <w:lang w:val="en-US" w:eastAsia="zh-CN"/>
              </w:rPr>
              <w:t>施工进度控制</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356304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在施工工艺、施工方法、材料选用、劳动力安排、技术等方面有保证工期的具体措施且措施得当。有控制工期的施工进度计划。应有施工总进度表或施工网络图，各项计划图表编制完善，安排合理，符合本项目施工实际要求</w:t>
            </w:r>
            <w:r>
              <w:rPr>
                <w:rFonts w:hint="eastAsia" w:ascii="宋体" w:hAnsi="宋体" w:cs="宋体"/>
                <w:color w:val="auto"/>
                <w:sz w:val="24"/>
                <w:szCs w:val="24"/>
                <w:highlight w:val="none"/>
                <w:lang w:val="en-US" w:eastAsia="zh-CN"/>
              </w:rPr>
              <w:t>得5分；</w:t>
            </w:r>
          </w:p>
          <w:p w14:paraId="4F5CD7E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②在施工工艺、施工方法、材料选用、劳动力安排、技术等方面有保证工期的措施且措施</w:t>
            </w:r>
            <w:r>
              <w:rPr>
                <w:rFonts w:hint="eastAsia" w:ascii="宋体" w:hAnsi="宋体" w:cs="宋体"/>
                <w:color w:val="auto"/>
                <w:sz w:val="24"/>
                <w:szCs w:val="24"/>
                <w:highlight w:val="none"/>
                <w:lang w:val="en-US" w:eastAsia="zh-CN"/>
              </w:rPr>
              <w:t>得当</w:t>
            </w:r>
            <w:r>
              <w:rPr>
                <w:rFonts w:hint="eastAsia" w:ascii="宋体" w:hAnsi="宋体" w:cs="宋体"/>
                <w:color w:val="auto"/>
                <w:sz w:val="24"/>
                <w:szCs w:val="24"/>
                <w:highlight w:val="none"/>
              </w:rPr>
              <w:t>。符合本项目施工实际要求</w:t>
            </w:r>
            <w:r>
              <w:rPr>
                <w:rFonts w:hint="eastAsia" w:ascii="宋体" w:hAnsi="宋体" w:cs="宋体"/>
                <w:color w:val="auto"/>
                <w:sz w:val="24"/>
                <w:szCs w:val="24"/>
                <w:highlight w:val="none"/>
                <w:lang w:val="en-US" w:eastAsia="zh-CN"/>
              </w:rPr>
              <w:t>得4分；</w:t>
            </w:r>
          </w:p>
          <w:p w14:paraId="1762BD8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③在施工工艺、施工方法、材料选用、劳动力安排、技术等方面有保证工期的措施。有控制工期的施工进度计划。有施工总进度表或施工网络图，</w:t>
            </w:r>
            <w:r>
              <w:rPr>
                <w:rFonts w:hint="eastAsia" w:ascii="宋体" w:hAnsi="宋体" w:cs="宋体"/>
                <w:color w:val="auto"/>
                <w:sz w:val="24"/>
                <w:szCs w:val="24"/>
                <w:highlight w:val="none"/>
                <w:lang w:val="en-US" w:eastAsia="zh-CN"/>
              </w:rPr>
              <w:t>但缺项或关键点缺失</w:t>
            </w:r>
            <w:r>
              <w:rPr>
                <w:rFonts w:hint="eastAsia" w:cs="宋体"/>
                <w:color w:val="auto"/>
                <w:sz w:val="24"/>
                <w:szCs w:val="24"/>
                <w:highlight w:val="none"/>
                <w:lang w:val="en-US" w:eastAsia="zh-CN"/>
              </w:rPr>
              <w:t>，措施有待完善</w:t>
            </w:r>
            <w:r>
              <w:rPr>
                <w:rFonts w:hint="eastAsia" w:ascii="宋体" w:hAnsi="宋体" w:cs="宋体"/>
                <w:color w:val="auto"/>
                <w:sz w:val="24"/>
                <w:szCs w:val="24"/>
                <w:highlight w:val="none"/>
                <w:lang w:val="en-US" w:eastAsia="zh-CN"/>
              </w:rPr>
              <w:t>的得3分；</w:t>
            </w:r>
          </w:p>
          <w:p w14:paraId="192AE0F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641C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46803A27">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kern w:val="2"/>
                <w:sz w:val="21"/>
                <w:szCs w:val="21"/>
                <w:highlight w:val="none"/>
                <w:lang w:val="en-US" w:eastAsia="zh-CN" w:bidi="ar-SA"/>
              </w:rPr>
            </w:pPr>
          </w:p>
        </w:tc>
        <w:tc>
          <w:tcPr>
            <w:tcW w:w="1227" w:type="dxa"/>
            <w:noWrap w:val="0"/>
            <w:vAlign w:val="center"/>
          </w:tcPr>
          <w:p w14:paraId="08E70B6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4"/>
                <w:szCs w:val="24"/>
                <w:highlight w:val="none"/>
                <w:lang w:val="en-US" w:eastAsia="zh-CN"/>
              </w:rPr>
              <w:t>施工文明组织措施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364D081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特点，应有现场文明施工计划，环境保护措施，且计划措施内容应达到“安全文明示范工地”标准。各项措施周全、具体、有效。有具体实现现场文明施工目标的承诺</w:t>
            </w:r>
            <w:r>
              <w:rPr>
                <w:rFonts w:hint="eastAsia" w:ascii="宋体" w:hAnsi="宋体" w:cs="宋体"/>
                <w:color w:val="auto"/>
                <w:sz w:val="24"/>
                <w:szCs w:val="24"/>
                <w:highlight w:val="none"/>
                <w:lang w:val="en-US" w:eastAsia="zh-CN"/>
              </w:rPr>
              <w:t>得5分；</w:t>
            </w:r>
          </w:p>
          <w:p w14:paraId="56AF29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特点，有现场文明施工计划，环境保护措施，且计划措施内容</w:t>
            </w:r>
            <w:r>
              <w:rPr>
                <w:rFonts w:hint="eastAsia" w:ascii="宋体" w:hAnsi="宋体" w:cs="宋体"/>
                <w:color w:val="auto"/>
                <w:sz w:val="24"/>
                <w:szCs w:val="24"/>
                <w:highlight w:val="none"/>
                <w:lang w:val="en-US" w:eastAsia="zh-CN"/>
              </w:rPr>
              <w:t>完善</w:t>
            </w:r>
            <w:r>
              <w:rPr>
                <w:rFonts w:hint="eastAsia" w:ascii="宋体" w:hAnsi="宋体" w:cs="宋体"/>
                <w:color w:val="auto"/>
                <w:sz w:val="24"/>
                <w:szCs w:val="24"/>
                <w:highlight w:val="none"/>
              </w:rPr>
              <w:t>。各项措施周全、具体、有效</w:t>
            </w:r>
            <w:r>
              <w:rPr>
                <w:rFonts w:hint="eastAsia" w:cs="宋体"/>
                <w:color w:val="auto"/>
                <w:sz w:val="24"/>
                <w:szCs w:val="24"/>
                <w:highlight w:val="none"/>
                <w:lang w:val="en-US" w:eastAsia="zh-CN"/>
              </w:rPr>
              <w:t>的</w:t>
            </w:r>
            <w:r>
              <w:rPr>
                <w:rFonts w:hint="eastAsia" w:ascii="宋体" w:hAnsi="宋体" w:cs="宋体"/>
                <w:color w:val="auto"/>
                <w:sz w:val="24"/>
                <w:szCs w:val="24"/>
                <w:highlight w:val="none"/>
                <w:lang w:val="en-US" w:eastAsia="zh-CN"/>
              </w:rPr>
              <w:t>得4分；</w:t>
            </w:r>
          </w:p>
          <w:p w14:paraId="14E6946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rPr>
              <w:t>③针对本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特点，有现场文明施工计划，环境保护措施。</w:t>
            </w:r>
            <w:r>
              <w:rPr>
                <w:rFonts w:hint="eastAsia" w:ascii="宋体" w:hAnsi="宋体" w:cs="宋体"/>
                <w:color w:val="auto"/>
                <w:sz w:val="24"/>
                <w:szCs w:val="24"/>
                <w:highlight w:val="none"/>
                <w:lang w:val="en-US" w:eastAsia="zh-CN"/>
              </w:rPr>
              <w:t>但</w:t>
            </w:r>
            <w:r>
              <w:rPr>
                <w:rFonts w:hint="eastAsia" w:cs="宋体"/>
                <w:color w:val="auto"/>
                <w:sz w:val="24"/>
                <w:szCs w:val="24"/>
                <w:highlight w:val="none"/>
                <w:lang w:val="en-US" w:eastAsia="zh-CN"/>
              </w:rPr>
              <w:t>措施</w:t>
            </w:r>
            <w:r>
              <w:rPr>
                <w:rFonts w:hint="eastAsia" w:ascii="宋体" w:hAnsi="宋体" w:cs="宋体"/>
                <w:color w:val="auto"/>
                <w:sz w:val="24"/>
                <w:szCs w:val="24"/>
                <w:highlight w:val="none"/>
                <w:lang w:val="en-US" w:eastAsia="zh-CN"/>
              </w:rPr>
              <w:t>缺项或关键点缺失或出现非专门针对本项目特性内容的得3分；</w:t>
            </w:r>
          </w:p>
          <w:p w14:paraId="09BB530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5B53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3191F7F5">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7E179AD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环保措施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3D18A0E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特点，应有现场</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施工计划，</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措施。各项措施周全、具体、</w:t>
            </w:r>
            <w:r>
              <w:rPr>
                <w:rFonts w:hint="eastAsia" w:cs="宋体"/>
                <w:color w:val="auto"/>
                <w:sz w:val="24"/>
                <w:szCs w:val="24"/>
                <w:highlight w:val="none"/>
                <w:lang w:val="en-US" w:eastAsia="zh-CN"/>
              </w:rPr>
              <w:t>有针对性的</w:t>
            </w:r>
            <w:r>
              <w:rPr>
                <w:rFonts w:hint="eastAsia" w:ascii="宋体" w:hAnsi="宋体" w:cs="宋体"/>
                <w:color w:val="auto"/>
                <w:sz w:val="24"/>
                <w:szCs w:val="24"/>
                <w:highlight w:val="none"/>
                <w:lang w:val="en-US" w:eastAsia="zh-CN"/>
              </w:rPr>
              <w:t>得5分；</w:t>
            </w:r>
          </w:p>
          <w:p w14:paraId="4941629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特点，应有现场</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施工计划，</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措施。各项措施周全、具体</w:t>
            </w:r>
            <w:r>
              <w:rPr>
                <w:rFonts w:hint="eastAsia" w:cs="宋体"/>
                <w:color w:val="auto"/>
                <w:sz w:val="24"/>
                <w:szCs w:val="24"/>
                <w:highlight w:val="none"/>
                <w:lang w:val="en-US" w:eastAsia="zh-CN"/>
              </w:rPr>
              <w:t>但有待完善的</w:t>
            </w:r>
            <w:r>
              <w:rPr>
                <w:rFonts w:hint="eastAsia" w:ascii="宋体" w:hAnsi="宋体" w:cs="宋体"/>
                <w:color w:val="auto"/>
                <w:sz w:val="24"/>
                <w:szCs w:val="24"/>
                <w:highlight w:val="none"/>
                <w:lang w:val="en-US" w:eastAsia="zh-CN"/>
              </w:rPr>
              <w:t>得4分；</w:t>
            </w:r>
          </w:p>
          <w:p w14:paraId="7ADD0C5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rPr>
              <w:t>③针对本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特点，有现场</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施工计划，</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但缺项或关键点缺失的得3分；</w:t>
            </w:r>
          </w:p>
          <w:p w14:paraId="60823AF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5D34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161C4B55">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kern w:val="2"/>
                <w:sz w:val="21"/>
                <w:szCs w:val="21"/>
                <w:highlight w:val="none"/>
                <w:lang w:val="en-US" w:eastAsia="zh-CN" w:bidi="ar-SA"/>
              </w:rPr>
            </w:pPr>
          </w:p>
        </w:tc>
        <w:tc>
          <w:tcPr>
            <w:tcW w:w="1227" w:type="dxa"/>
            <w:noWrap w:val="0"/>
            <w:vAlign w:val="center"/>
          </w:tcPr>
          <w:p w14:paraId="0D27341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4"/>
                <w:szCs w:val="24"/>
                <w:highlight w:val="none"/>
              </w:rPr>
              <w:t>重点及保证措施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2E422DE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①针对本工程特点，列出本工程的重点，并且有具体的保证措施。</w:t>
            </w:r>
            <w:r>
              <w:rPr>
                <w:rFonts w:hint="eastAsia" w:ascii="宋体" w:hAnsi="宋体" w:cs="宋体"/>
                <w:color w:val="auto"/>
                <w:sz w:val="24"/>
                <w:szCs w:val="24"/>
                <w:highlight w:val="none"/>
              </w:rPr>
              <w:t>各项措施周全、具体、有效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78860E1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②针对本工程特点，列出本工程的重点，并且有具体的保证措施。</w:t>
            </w:r>
            <w:r>
              <w:rPr>
                <w:rFonts w:hint="eastAsia" w:ascii="宋体" w:hAnsi="宋体" w:cs="宋体"/>
                <w:color w:val="auto"/>
                <w:sz w:val="24"/>
                <w:szCs w:val="24"/>
                <w:highlight w:val="none"/>
              </w:rPr>
              <w:t>各项措施内容</w:t>
            </w:r>
            <w:r>
              <w:rPr>
                <w:rFonts w:hint="eastAsia" w:ascii="宋体" w:hAnsi="宋体" w:cs="宋体"/>
                <w:color w:val="auto"/>
                <w:sz w:val="24"/>
                <w:szCs w:val="24"/>
                <w:highlight w:val="none"/>
                <w:lang w:val="en-US" w:eastAsia="zh-CN"/>
              </w:rPr>
              <w:t>清晰、完善的得4分；</w:t>
            </w:r>
          </w:p>
          <w:p w14:paraId="428B072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③针对本工程特点，列出本工程的重点，并且有具体的保证措施。但</w:t>
            </w:r>
            <w:r>
              <w:rPr>
                <w:rFonts w:hint="eastAsia" w:cs="宋体"/>
                <w:color w:val="auto"/>
                <w:sz w:val="24"/>
                <w:szCs w:val="24"/>
                <w:highlight w:val="none"/>
                <w:lang w:val="en-US" w:eastAsia="zh-CN"/>
              </w:rPr>
              <w:t>措施</w:t>
            </w:r>
            <w:r>
              <w:rPr>
                <w:rFonts w:hint="eastAsia" w:ascii="宋体" w:hAnsi="宋体" w:cs="宋体"/>
                <w:color w:val="auto"/>
                <w:sz w:val="24"/>
                <w:szCs w:val="24"/>
                <w:highlight w:val="none"/>
                <w:lang w:val="en-US" w:eastAsia="zh-CN"/>
              </w:rPr>
              <w:t>缺项或关键点缺失的得3分；</w:t>
            </w:r>
          </w:p>
          <w:p w14:paraId="24B54E5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409A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2CF7C120">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257AAD6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4"/>
                <w:szCs w:val="24"/>
                <w:highlight w:val="none"/>
              </w:rPr>
              <w:t>难点及保证措施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530" w:type="dxa"/>
            <w:noWrap w:val="0"/>
            <w:vAlign w:val="center"/>
          </w:tcPr>
          <w:p w14:paraId="208C83E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①对本项目工作难点分析透彻、准确，并有针对性的实施策略和切实可行的解决方案的，得5分；</w:t>
            </w:r>
          </w:p>
          <w:p w14:paraId="48AE1EC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②针对本工程特点，列出本工程的难点，并且有具体的保证措施。</w:t>
            </w:r>
            <w:r>
              <w:rPr>
                <w:rFonts w:hint="eastAsia" w:ascii="宋体" w:hAnsi="宋体" w:cs="宋体"/>
                <w:color w:val="auto"/>
                <w:sz w:val="24"/>
                <w:szCs w:val="24"/>
                <w:highlight w:val="none"/>
              </w:rPr>
              <w:t>各项措施内容</w:t>
            </w:r>
            <w:r>
              <w:rPr>
                <w:rFonts w:hint="eastAsia" w:ascii="宋体" w:hAnsi="宋体" w:cs="宋体"/>
                <w:color w:val="auto"/>
                <w:sz w:val="24"/>
                <w:szCs w:val="24"/>
                <w:highlight w:val="none"/>
                <w:lang w:val="en-US" w:eastAsia="zh-CN"/>
              </w:rPr>
              <w:t>清晰、完善的得4分；</w:t>
            </w:r>
          </w:p>
          <w:p w14:paraId="78684D2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③对本项目工作难点分析不准确，缺乏理解的，得3分；</w:t>
            </w:r>
          </w:p>
          <w:p w14:paraId="0E00DA1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5231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3A198B83">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56311C4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4"/>
                <w:szCs w:val="24"/>
                <w:highlight w:val="none"/>
                <w:lang w:val="en-US" w:eastAsia="zh-CN"/>
              </w:rPr>
              <w:t>新技术、新工艺、新方法（5分）</w:t>
            </w:r>
          </w:p>
        </w:tc>
        <w:tc>
          <w:tcPr>
            <w:tcW w:w="7530" w:type="dxa"/>
            <w:noWrap w:val="0"/>
            <w:vAlign w:val="center"/>
          </w:tcPr>
          <w:p w14:paraId="30ED1F6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①根据本项目实际情况和性质，对施工中可能会产生的新技术、新产品、新工艺、新材料应用进行分析梳理，并有相应的各项保证措施，合理有效、能节省资金且保证项目质量的得 5 分</w:t>
            </w:r>
          </w:p>
          <w:p w14:paraId="51AC23C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②针对本工程特点，能提出新技术、新工艺、新方法，</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清晰、完善的得4分；</w:t>
            </w:r>
          </w:p>
          <w:p w14:paraId="003979E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③针对本工程特点，能提出新技术、新工艺、新方法但缺项或关键点缺失或出现非专门针对本项目特性内容的得3分；</w:t>
            </w:r>
          </w:p>
          <w:p w14:paraId="0FC1AB1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5367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4CB3428F">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4D53E91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成本控制措施（5分）</w:t>
            </w:r>
          </w:p>
        </w:tc>
        <w:tc>
          <w:tcPr>
            <w:tcW w:w="7530" w:type="dxa"/>
            <w:noWrap w:val="0"/>
            <w:vAlign w:val="center"/>
          </w:tcPr>
          <w:p w14:paraId="3D15395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w:t>
            </w:r>
            <w:r>
              <w:rPr>
                <w:rFonts w:hint="eastAsia" w:ascii="宋体" w:hAnsi="宋体" w:cs="宋体"/>
                <w:color w:val="auto"/>
                <w:sz w:val="24"/>
                <w:szCs w:val="24"/>
                <w:highlight w:val="none"/>
                <w:lang w:val="en-US" w:eastAsia="zh-CN"/>
              </w:rPr>
              <w:t>有详细的成本控制</w:t>
            </w:r>
            <w:r>
              <w:rPr>
                <w:rFonts w:hint="eastAsia" w:ascii="宋体" w:hAnsi="宋体" w:cs="宋体"/>
                <w:color w:val="auto"/>
                <w:sz w:val="24"/>
                <w:szCs w:val="24"/>
                <w:highlight w:val="none"/>
              </w:rPr>
              <w:t>措施，在施工过程中,对影响施工</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各种因素增强管理并采用各种有效举措,将施工中实际发生</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各种消耗和支出严格控制在范围内,随时揭示并及时反应,严格审查各项费用是否符合标准消除施工中</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损失浪费现象并尽可能地将实际</w:t>
            </w:r>
            <w:r>
              <w:rPr>
                <w:rFonts w:hint="eastAsia" w:ascii="宋体" w:hAnsi="宋体" w:cs="宋体"/>
                <w:color w:val="auto"/>
                <w:sz w:val="24"/>
                <w:szCs w:val="24"/>
                <w:highlight w:val="none"/>
                <w:lang w:val="en-US" w:eastAsia="zh-CN"/>
              </w:rPr>
              <w:t>成本</w:t>
            </w:r>
            <w:r>
              <w:rPr>
                <w:rFonts w:hint="eastAsia" w:ascii="宋体" w:hAnsi="宋体" w:cs="宋体"/>
                <w:color w:val="auto"/>
                <w:sz w:val="24"/>
                <w:szCs w:val="24"/>
                <w:highlight w:val="none"/>
              </w:rPr>
              <w:t>降到最低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方案有针对性</w:t>
            </w:r>
            <w:r>
              <w:rPr>
                <w:rFonts w:hint="eastAsia" w:ascii="宋体" w:hAnsi="宋体" w:cs="宋体"/>
                <w:color w:val="auto"/>
                <w:sz w:val="24"/>
                <w:szCs w:val="24"/>
                <w:highlight w:val="none"/>
              </w:rPr>
              <w:t>合理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满足施工需要</w:t>
            </w:r>
            <w:r>
              <w:rPr>
                <w:rFonts w:hint="eastAsia" w:cs="宋体"/>
                <w:color w:val="auto"/>
                <w:sz w:val="24"/>
                <w:szCs w:val="24"/>
                <w:highlight w:val="none"/>
                <w:lang w:val="en-US" w:eastAsia="zh-CN"/>
              </w:rPr>
              <w:t>且对施工有利的</w:t>
            </w:r>
            <w:r>
              <w:rPr>
                <w:rFonts w:hint="eastAsia" w:ascii="宋体" w:hAnsi="宋体" w:cs="宋体"/>
                <w:color w:val="auto"/>
                <w:sz w:val="24"/>
                <w:szCs w:val="24"/>
                <w:highlight w:val="none"/>
                <w:lang w:val="en-US" w:eastAsia="zh-CN"/>
              </w:rPr>
              <w:t>得5分；</w:t>
            </w:r>
          </w:p>
          <w:p w14:paraId="317E180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w:t>
            </w:r>
            <w:r>
              <w:rPr>
                <w:rFonts w:hint="eastAsia" w:ascii="宋体" w:hAnsi="宋体" w:cs="宋体"/>
                <w:color w:val="auto"/>
                <w:sz w:val="24"/>
                <w:szCs w:val="24"/>
                <w:highlight w:val="none"/>
                <w:lang w:val="en-US" w:eastAsia="zh-CN"/>
              </w:rPr>
              <w:t>有详细的成本控制</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成本控制</w:t>
            </w:r>
            <w:r>
              <w:rPr>
                <w:rFonts w:hint="eastAsia" w:ascii="宋体" w:hAnsi="宋体" w:cs="宋体"/>
                <w:color w:val="auto"/>
                <w:sz w:val="24"/>
                <w:szCs w:val="24"/>
                <w:highlight w:val="none"/>
              </w:rPr>
              <w:t>措施合理，</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rPr>
              <w:t>满足施工需要</w:t>
            </w:r>
            <w:r>
              <w:rPr>
                <w:rFonts w:hint="eastAsia" w:ascii="宋体" w:hAnsi="宋体" w:cs="宋体"/>
                <w:color w:val="auto"/>
                <w:sz w:val="24"/>
                <w:szCs w:val="24"/>
                <w:highlight w:val="none"/>
                <w:lang w:val="en-US" w:eastAsia="zh-CN"/>
              </w:rPr>
              <w:t>得4分；</w:t>
            </w:r>
          </w:p>
          <w:p w14:paraId="3E11DF8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w:t>
            </w:r>
            <w:r>
              <w:rPr>
                <w:rFonts w:hint="eastAsia" w:ascii="宋体" w:hAnsi="宋体" w:cs="宋体"/>
                <w:color w:val="auto"/>
                <w:sz w:val="24"/>
                <w:szCs w:val="24"/>
                <w:highlight w:val="none"/>
                <w:lang w:val="en-US" w:eastAsia="zh-CN"/>
              </w:rPr>
              <w:t>有详细的成本控制</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但</w:t>
            </w:r>
            <w:r>
              <w:rPr>
                <w:rFonts w:hint="eastAsia" w:cs="宋体"/>
                <w:color w:val="auto"/>
                <w:sz w:val="24"/>
                <w:szCs w:val="24"/>
                <w:highlight w:val="none"/>
                <w:lang w:val="en-US" w:eastAsia="zh-CN"/>
              </w:rPr>
              <w:t>措施</w:t>
            </w:r>
            <w:r>
              <w:rPr>
                <w:rFonts w:hint="eastAsia" w:ascii="宋体" w:hAnsi="宋体" w:cs="宋体"/>
                <w:color w:val="auto"/>
                <w:sz w:val="24"/>
                <w:szCs w:val="24"/>
                <w:highlight w:val="none"/>
                <w:lang w:val="en-US" w:eastAsia="zh-CN"/>
              </w:rPr>
              <w:t>缺项</w:t>
            </w:r>
            <w:r>
              <w:rPr>
                <w:rFonts w:hint="eastAsia" w:cs="宋体"/>
                <w:color w:val="auto"/>
                <w:sz w:val="24"/>
                <w:szCs w:val="24"/>
                <w:highlight w:val="none"/>
                <w:lang w:val="en-US" w:eastAsia="zh-CN"/>
              </w:rPr>
              <w:t>有待完善</w:t>
            </w:r>
            <w:r>
              <w:rPr>
                <w:rFonts w:hint="eastAsia" w:ascii="宋体" w:hAnsi="宋体" w:cs="宋体"/>
                <w:color w:val="auto"/>
                <w:sz w:val="24"/>
                <w:szCs w:val="24"/>
                <w:highlight w:val="none"/>
                <w:lang w:val="en-US" w:eastAsia="zh-CN"/>
              </w:rPr>
              <w:t>的得3分。</w:t>
            </w:r>
          </w:p>
          <w:p w14:paraId="1968065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w:t>
            </w:r>
            <w:r>
              <w:rPr>
                <w:rFonts w:hint="default" w:ascii="宋体" w:hAnsi="Times New Roman" w:eastAsia="宋体" w:cs="Times New Roman"/>
                <w:b w:val="0"/>
                <w:bCs w:val="0"/>
                <w:color w:val="auto"/>
                <w:sz w:val="24"/>
                <w:szCs w:val="24"/>
                <w:highlight w:val="none"/>
                <w:lang w:val="en-US" w:eastAsia="zh-CN"/>
              </w:rPr>
              <w:t>工作内容偏离项目需求、偏离客观现实或未提供的不得分。</w:t>
            </w:r>
          </w:p>
        </w:tc>
      </w:tr>
      <w:tr w14:paraId="7134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4FDFDBEA">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7EB8FD2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合同管理（5分）</w:t>
            </w:r>
          </w:p>
        </w:tc>
        <w:tc>
          <w:tcPr>
            <w:tcW w:w="7530" w:type="dxa"/>
            <w:noWrap w:val="0"/>
            <w:vAlign w:val="center"/>
          </w:tcPr>
          <w:p w14:paraId="043F1B8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①有详细的合同管理方案或措施，合同管理方案或措施和项目实际需要适应度高，</w:t>
            </w:r>
            <w:r>
              <w:rPr>
                <w:rFonts w:hint="eastAsia" w:ascii="宋体" w:hAnsi="宋体" w:cs="宋体"/>
                <w:color w:val="auto"/>
                <w:sz w:val="24"/>
                <w:szCs w:val="24"/>
                <w:highlight w:val="none"/>
              </w:rPr>
              <w:t>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78EECBE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②合同管理方案或措施</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清晰、完善的得4分；</w:t>
            </w:r>
          </w:p>
          <w:p w14:paraId="7A33002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③有合同管理方案或措施，但缺项或关键点缺失或出现非专门针对本项目特性内容的得3分；</w:t>
            </w:r>
          </w:p>
          <w:p w14:paraId="60B82C9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064F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25408FC3">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kern w:val="2"/>
                <w:sz w:val="21"/>
                <w:szCs w:val="21"/>
                <w:highlight w:val="none"/>
                <w:lang w:val="en-US" w:eastAsia="zh-CN" w:bidi="ar-SA"/>
              </w:rPr>
            </w:pPr>
          </w:p>
        </w:tc>
        <w:tc>
          <w:tcPr>
            <w:tcW w:w="1227" w:type="dxa"/>
            <w:noWrap w:val="0"/>
            <w:vAlign w:val="center"/>
          </w:tcPr>
          <w:p w14:paraId="304E43F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4"/>
                <w:szCs w:val="24"/>
                <w:highlight w:val="none"/>
                <w:lang w:val="en-US" w:eastAsia="zh-CN"/>
              </w:rPr>
              <w:t>合理化建议（5分）</w:t>
            </w:r>
          </w:p>
        </w:tc>
        <w:tc>
          <w:tcPr>
            <w:tcW w:w="7530" w:type="dxa"/>
            <w:noWrap w:val="0"/>
            <w:vAlign w:val="center"/>
          </w:tcPr>
          <w:p w14:paraId="35F7DCA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①针对本工程特点，列出对本工程的建议，建议</w:t>
            </w:r>
            <w:r>
              <w:rPr>
                <w:rFonts w:hint="eastAsia" w:cs="宋体"/>
                <w:color w:val="auto"/>
                <w:sz w:val="24"/>
                <w:szCs w:val="24"/>
                <w:highlight w:val="none"/>
                <w:lang w:val="en-US" w:eastAsia="zh-CN"/>
              </w:rPr>
              <w:t>合理</w:t>
            </w:r>
            <w:r>
              <w:rPr>
                <w:rFonts w:hint="eastAsia" w:ascii="宋体" w:hAnsi="宋体" w:cs="宋体"/>
                <w:color w:val="auto"/>
                <w:sz w:val="24"/>
                <w:szCs w:val="24"/>
                <w:highlight w:val="none"/>
                <w:lang w:val="en-US" w:eastAsia="zh-CN"/>
              </w:rPr>
              <w:t>并且有具体的保证措施。</w:t>
            </w:r>
            <w:r>
              <w:rPr>
                <w:rFonts w:hint="eastAsia" w:ascii="宋体" w:hAnsi="宋体" w:cs="宋体"/>
                <w:color w:val="auto"/>
                <w:sz w:val="24"/>
                <w:szCs w:val="24"/>
                <w:highlight w:val="none"/>
              </w:rPr>
              <w:t>各项措施周全、具体、有效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43E9D0A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②针对本工程特点，列出本工程的建议，且有具体的保证措施。</w:t>
            </w:r>
            <w:r>
              <w:rPr>
                <w:rFonts w:hint="eastAsia" w:ascii="宋体" w:hAnsi="宋体" w:cs="宋体"/>
                <w:color w:val="auto"/>
                <w:sz w:val="24"/>
                <w:szCs w:val="24"/>
                <w:highlight w:val="none"/>
              </w:rPr>
              <w:t>各项措施内容</w:t>
            </w:r>
            <w:r>
              <w:rPr>
                <w:rFonts w:hint="eastAsia" w:ascii="宋体" w:hAnsi="宋体" w:cs="宋体"/>
                <w:color w:val="auto"/>
                <w:sz w:val="24"/>
                <w:szCs w:val="24"/>
                <w:highlight w:val="none"/>
                <w:lang w:val="en-US" w:eastAsia="zh-CN"/>
              </w:rPr>
              <w:t>清晰、完善的得4分；</w:t>
            </w:r>
          </w:p>
          <w:p w14:paraId="1B6586E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③对本项目</w:t>
            </w:r>
            <w:r>
              <w:rPr>
                <w:rFonts w:hint="eastAsia" w:cs="宋体"/>
                <w:color w:val="auto"/>
                <w:sz w:val="24"/>
                <w:szCs w:val="24"/>
                <w:highlight w:val="none"/>
                <w:lang w:val="en-US" w:eastAsia="zh-CN"/>
              </w:rPr>
              <w:t>建议</w:t>
            </w:r>
            <w:r>
              <w:rPr>
                <w:rFonts w:hint="eastAsia" w:ascii="宋体" w:hAnsi="宋体" w:cs="宋体"/>
                <w:color w:val="auto"/>
                <w:sz w:val="24"/>
                <w:szCs w:val="24"/>
                <w:highlight w:val="none"/>
                <w:lang w:val="en-US" w:eastAsia="zh-CN"/>
              </w:rPr>
              <w:t>分析不准确，缺乏理解的，得3分；</w:t>
            </w:r>
          </w:p>
          <w:p w14:paraId="02E9C85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47F7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vMerge w:val="continue"/>
            <w:noWrap w:val="0"/>
            <w:vAlign w:val="center"/>
          </w:tcPr>
          <w:p w14:paraId="5E50E925">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Cs/>
                <w:color w:val="auto"/>
                <w:szCs w:val="21"/>
                <w:highlight w:val="none"/>
                <w:lang w:val="en-US" w:eastAsia="zh-CN"/>
              </w:rPr>
            </w:pPr>
          </w:p>
        </w:tc>
        <w:tc>
          <w:tcPr>
            <w:tcW w:w="1227" w:type="dxa"/>
            <w:noWrap w:val="0"/>
            <w:vAlign w:val="center"/>
          </w:tcPr>
          <w:p w14:paraId="6F829AD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缺陷期服务（5分）</w:t>
            </w:r>
          </w:p>
        </w:tc>
        <w:tc>
          <w:tcPr>
            <w:tcW w:w="7530" w:type="dxa"/>
            <w:noWrap w:val="0"/>
            <w:vAlign w:val="center"/>
          </w:tcPr>
          <w:p w14:paraId="21F95D2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①有详细的施工缺陷责任期服务计划，包括但不限于维修、响应时间、人员安排等。</w:t>
            </w:r>
            <w:r>
              <w:rPr>
                <w:rFonts w:hint="eastAsia" w:ascii="宋体" w:hAnsi="宋体" w:cs="宋体"/>
                <w:color w:val="auto"/>
                <w:sz w:val="24"/>
                <w:szCs w:val="24"/>
                <w:highlight w:val="none"/>
              </w:rPr>
              <w:t>各项</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61FBB61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②有详细的施工缺陷责任期服务计划，</w:t>
            </w:r>
            <w:r>
              <w:rPr>
                <w:rFonts w:hint="eastAsia" w:ascii="宋体" w:hAnsi="宋体" w:cs="宋体"/>
                <w:color w:val="auto"/>
                <w:sz w:val="24"/>
                <w:szCs w:val="24"/>
                <w:highlight w:val="none"/>
              </w:rPr>
              <w:t>各项</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清晰、完善的得4分；</w:t>
            </w:r>
          </w:p>
          <w:p w14:paraId="5261B46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③有详细的施工缺陷责任期服务计划，但</w:t>
            </w:r>
            <w:r>
              <w:rPr>
                <w:rFonts w:hint="eastAsia" w:cs="宋体"/>
                <w:color w:val="auto"/>
                <w:sz w:val="24"/>
                <w:szCs w:val="24"/>
                <w:highlight w:val="none"/>
                <w:lang w:val="en-US" w:eastAsia="zh-CN"/>
              </w:rPr>
              <w:t>明显</w:t>
            </w:r>
            <w:r>
              <w:rPr>
                <w:rFonts w:hint="eastAsia" w:ascii="宋体" w:hAnsi="宋体" w:cs="宋体"/>
                <w:color w:val="auto"/>
                <w:sz w:val="24"/>
                <w:szCs w:val="24"/>
                <w:highlight w:val="none"/>
                <w:lang w:val="en-US" w:eastAsia="zh-CN"/>
              </w:rPr>
              <w:t>缺项或关键点缺失的得3分；</w:t>
            </w:r>
          </w:p>
          <w:p w14:paraId="46D5F45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cs="宋体"/>
                <w:color w:val="auto"/>
                <w:szCs w:val="21"/>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3C0D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3" w:type="dxa"/>
            <w:noWrap w:val="0"/>
            <w:vAlign w:val="center"/>
          </w:tcPr>
          <w:p w14:paraId="76E8BE54">
            <w:pPr>
              <w:keepNext w:val="0"/>
              <w:keepLines w:val="0"/>
              <w:pageBreakBefore w:val="0"/>
              <w:widowControl w:val="0"/>
              <w:kinsoku/>
              <w:wordWrap/>
              <w:overflowPunct/>
              <w:topLinePunct w:val="0"/>
              <w:autoSpaceDE/>
              <w:autoSpaceDN/>
              <w:bidi w:val="0"/>
              <w:spacing w:line="44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61116853">
            <w:pPr>
              <w:keepNext w:val="0"/>
              <w:keepLines w:val="0"/>
              <w:pageBreakBefore w:val="0"/>
              <w:widowControl w:val="0"/>
              <w:kinsoku/>
              <w:wordWrap/>
              <w:overflowPunct/>
              <w:topLinePunct w:val="0"/>
              <w:autoSpaceDE/>
              <w:autoSpaceDN/>
              <w:bidi w:val="0"/>
              <w:spacing w:line="440" w:lineRule="exact"/>
              <w:jc w:val="center"/>
              <w:textAlignment w:val="auto"/>
              <w:rPr>
                <w:rFonts w:hint="default" w:asciiTheme="minorEastAsia" w:hAnsiTheme="minorEastAsia" w:eastAsiaTheme="minorEastAsia" w:cstheme="minorBidi"/>
                <w:b/>
                <w:bCs/>
                <w:color w:val="auto"/>
                <w:sz w:val="24"/>
                <w:highlight w:val="none"/>
                <w:lang w:val="en-US" w:eastAsia="zh-CN" w:bidi="ar-SA"/>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分）</w:t>
            </w:r>
          </w:p>
        </w:tc>
        <w:tc>
          <w:tcPr>
            <w:tcW w:w="8757" w:type="dxa"/>
            <w:gridSpan w:val="2"/>
            <w:noWrap w:val="0"/>
            <w:vAlign w:val="center"/>
          </w:tcPr>
          <w:p w14:paraId="6930D778">
            <w:pPr>
              <w:keepNext w:val="0"/>
              <w:keepLines w:val="0"/>
              <w:pageBreakBefore w:val="0"/>
              <w:widowControl w:val="0"/>
              <w:kinsoku/>
              <w:wordWrap/>
              <w:overflowPunct/>
              <w:topLinePunct w:val="0"/>
              <w:autoSpaceDE/>
              <w:autoSpaceDN/>
              <w:bidi w:val="0"/>
              <w:spacing w:line="440" w:lineRule="exac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分。其他供应商的价格分统一按照下列公式计算：</w:t>
            </w:r>
          </w:p>
          <w:p w14:paraId="3C764570">
            <w:pPr>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Bidi"/>
                <w:b/>
                <w:bCs/>
                <w:color w:val="auto"/>
                <w:sz w:val="24"/>
                <w:highlight w:val="none"/>
                <w:lang w:val="en-US" w:eastAsia="zh-CN" w:bidi="ar-SA"/>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％×100</w:t>
            </w:r>
          </w:p>
        </w:tc>
      </w:tr>
    </w:tbl>
    <w:p w14:paraId="6A002614">
      <w:pPr>
        <w:spacing w:line="360" w:lineRule="auto"/>
        <w:ind w:firstLine="435"/>
        <w:rPr>
          <w:rFonts w:asciiTheme="minorEastAsia" w:hAnsiTheme="minorEastAsia" w:eastAsiaTheme="minorEastAsia"/>
          <w:color w:val="auto"/>
          <w:sz w:val="24"/>
          <w:highlight w:val="none"/>
        </w:rPr>
      </w:pPr>
    </w:p>
    <w:p w14:paraId="4EF1E0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43FC4F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296B12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将每个供应商的技术资信分加上根据上述标准计算出的价格分，即为该供应商的综合总得分</w:t>
      </w:r>
      <w:r>
        <w:rPr>
          <w:rFonts w:asciiTheme="minorEastAsia" w:hAnsiTheme="minorEastAsia" w:eastAsiaTheme="minorEastAsia"/>
          <w:color w:val="auto"/>
          <w:sz w:val="24"/>
          <w:highlight w:val="none"/>
        </w:rPr>
        <w:t>。</w:t>
      </w:r>
    </w:p>
    <w:p w14:paraId="5F5D3DED">
      <w:pPr>
        <w:spacing w:line="360" w:lineRule="auto"/>
        <w:ind w:firstLine="437"/>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无效响应条款</w:t>
      </w:r>
    </w:p>
    <w:p w14:paraId="5952B18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.1响应文件有下列情形之一的,其响应文件拒收:</w:t>
      </w:r>
    </w:p>
    <w:p w14:paraId="7196AFE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4917278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60分钟，否则响应文件将被拒绝。</w:t>
      </w:r>
    </w:p>
    <w:p w14:paraId="7A8C8C2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.2供应商有下列情形之一的,资格审查后其作无效响应处理：</w:t>
      </w:r>
    </w:p>
    <w:p w14:paraId="75C3992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0D14432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7BD0BB7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31F6F23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eastAsia="zh-CN"/>
        </w:rPr>
        <w:t>竞争性</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公告</w:t>
      </w:r>
      <w:r>
        <w:rPr>
          <w:rFonts w:hint="eastAsia" w:asciiTheme="minorEastAsia" w:hAnsiTheme="minorEastAsia" w:eastAsiaTheme="minorEastAsia"/>
          <w:color w:val="auto"/>
          <w:sz w:val="24"/>
          <w:highlight w:val="none"/>
        </w:rPr>
        <w:t>写明专门面向中小企业采购，供应商提供的货物非中小企业制造的；</w:t>
      </w:r>
    </w:p>
    <w:p w14:paraId="16FAC1F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（5）要求供应商以联合体形式参加采购活动，供应商非联合体或者联合协议中中小企业合同金额未达到应当达到的比例；</w:t>
      </w:r>
    </w:p>
    <w:p w14:paraId="2E442F0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（6）要求获得采购合同的供应商向中小企业分包，供应商未提供分包意向协议或者分包意向协议中中小企业合同金额未达到应当达到的比例；</w:t>
      </w:r>
    </w:p>
    <w:p w14:paraId="59CEBD8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（7）无法查看并检验电子响应文件中相关资料的；</w:t>
      </w:r>
    </w:p>
    <w:p w14:paraId="136BF25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（8）联合体参与未提交联合体协议的；</w:t>
      </w:r>
    </w:p>
    <w:p w14:paraId="7F6C3B7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）责令停产停业</w:t>
      </w:r>
      <w:r>
        <w:rPr>
          <w:rFonts w:hint="eastAsia" w:asciiTheme="minorEastAsia" w:hAnsiTheme="minorEastAsia" w:eastAsiaTheme="minorEastAsia"/>
          <w:color w:val="auto"/>
          <w:sz w:val="24"/>
          <w:highlight w:val="none"/>
          <w:lang w:val="en-US" w:eastAsia="zh-CN"/>
        </w:rPr>
        <w:t>的；</w:t>
      </w:r>
    </w:p>
    <w:p w14:paraId="3C89452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暂停或者取消参与政府采购项目资格的；</w:t>
      </w:r>
    </w:p>
    <w:p w14:paraId="272AD8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11</w:t>
      </w:r>
      <w:r>
        <w:rPr>
          <w:rFonts w:hint="eastAsia" w:asciiTheme="minorEastAsia" w:hAnsiTheme="minorEastAsia" w:eastAsiaTheme="minorEastAsia"/>
          <w:color w:val="auto"/>
          <w:sz w:val="24"/>
          <w:highlight w:val="none"/>
        </w:rPr>
        <w:t>）单位负责人为同一人或者存在</w:t>
      </w:r>
      <w:r>
        <w:rPr>
          <w:rFonts w:hint="eastAsia" w:asciiTheme="minorEastAsia" w:hAnsiTheme="minorEastAsia" w:eastAsiaTheme="minorEastAsia"/>
          <w:color w:val="auto"/>
          <w:sz w:val="24"/>
          <w:highlight w:val="none"/>
          <w:lang w:val="en-US" w:eastAsia="zh-CN"/>
        </w:rPr>
        <w:t>直接</w:t>
      </w:r>
      <w:r>
        <w:rPr>
          <w:rFonts w:hint="eastAsia" w:asciiTheme="minorEastAsia" w:hAnsiTheme="minorEastAsia" w:eastAsiaTheme="minorEastAsia"/>
          <w:color w:val="auto"/>
          <w:sz w:val="24"/>
          <w:highlight w:val="none"/>
        </w:rPr>
        <w:t>控股、管理关系的不同</w:t>
      </w:r>
      <w:r>
        <w:rPr>
          <w:rFonts w:hint="eastAsia" w:asciiTheme="minorEastAsia" w:hAnsiTheme="minorEastAsia" w:eastAsiaTheme="minorEastAsia"/>
          <w:color w:val="auto"/>
          <w:sz w:val="24"/>
          <w:highlight w:val="none"/>
          <w:lang w:val="en-US" w:eastAsia="zh-CN"/>
        </w:rPr>
        <w:t>单位</w:t>
      </w:r>
      <w:r>
        <w:rPr>
          <w:rFonts w:hint="eastAsia" w:asciiTheme="minorEastAsia" w:hAnsiTheme="minorEastAsia" w:eastAsiaTheme="minorEastAsia"/>
          <w:color w:val="auto"/>
          <w:sz w:val="24"/>
          <w:highlight w:val="none"/>
        </w:rPr>
        <w:t>的；</w:t>
      </w:r>
    </w:p>
    <w:p w14:paraId="097A9AA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）供应商基本资格条件和特定资格条件中有一项及以上不符合要求的；</w:t>
      </w:r>
    </w:p>
    <w:p w14:paraId="11E37AA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398F1B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）其它情形按无效响应处理，并经公共资源交易监督部门核准的；</w:t>
      </w:r>
    </w:p>
    <w:p w14:paraId="1BA632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）供应商响应MAC地址或供应商联系人或联系电话相同的，由</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否决其响应，并报告监管部门作不良行为处理和进一步调查；</w:t>
      </w:r>
    </w:p>
    <w:p w14:paraId="753AF97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）供应商单方面出现其他供应商材料的；</w:t>
      </w:r>
    </w:p>
    <w:p w14:paraId="78E43E5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竞争性</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公告</w:t>
      </w:r>
      <w:r>
        <w:rPr>
          <w:rFonts w:hint="eastAsia" w:asciiTheme="minorEastAsia" w:hAnsiTheme="minorEastAsia" w:eastAsiaTheme="minorEastAsia"/>
          <w:color w:val="auto"/>
          <w:sz w:val="24"/>
          <w:highlight w:val="none"/>
        </w:rPr>
        <w:t>未写明允许采购进口产品，供应商所投产品为进口产品的；</w:t>
      </w:r>
    </w:p>
    <w:p w14:paraId="6D99517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规定的其它无效情形。</w:t>
      </w:r>
    </w:p>
    <w:p w14:paraId="61A163B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 供应商有下列情形之一的,符合性审查后其按无效响应处理：</w:t>
      </w:r>
    </w:p>
    <w:p w14:paraId="506B058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一致认定对响应内容有实质性影响并经公共资源交易监督部门核准的；</w:t>
      </w:r>
    </w:p>
    <w:p w14:paraId="7BD923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（2）未按规定的格式填写导致实质性内容不全以及实质上不响应，或者关键字迹模糊、无法辨认；经公共资源交易监督部门核准的；</w:t>
      </w:r>
    </w:p>
    <w:p w14:paraId="75FB6D0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规定提交备选方案的除外；</w:t>
      </w:r>
    </w:p>
    <w:p w14:paraId="5908DDE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的实质性要求和条件作出响应；</w:t>
      </w:r>
    </w:p>
    <w:p w14:paraId="43E1B2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给定的单价最高限价；</w:t>
      </w:r>
    </w:p>
    <w:p w14:paraId="6856C5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要求澄清、说明或补正的，或者</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根据</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的计算错误进行修正后，供应商不接受修正的报价的。</w:t>
      </w:r>
    </w:p>
    <w:p w14:paraId="5A9E8DD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提出按无效响应处理，并经公共资源交易监督部门核准的；</w:t>
      </w:r>
    </w:p>
    <w:p w14:paraId="0D1390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3D0955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规定的其它无效响应情形。</w:t>
      </w:r>
    </w:p>
    <w:p w14:paraId="7B06EC0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.4 供应商有下列情形之一的, 详细评审后其按无效响应处理：</w:t>
      </w:r>
    </w:p>
    <w:p w14:paraId="297D963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278B71E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1108141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0ABCB8D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45D5C4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评审修正的响应无效；</w:t>
      </w:r>
    </w:p>
    <w:p w14:paraId="5045ED2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提出按无效响应处理，并经公共资源交易监督部门核准的；</w:t>
      </w:r>
    </w:p>
    <w:p w14:paraId="7F02C7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规定的其它无效响应情形。</w:t>
      </w:r>
    </w:p>
    <w:p w14:paraId="42A8554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12719D3">
      <w:pPr>
        <w:spacing w:line="360" w:lineRule="auto"/>
        <w:jc w:val="center"/>
        <w:outlineLvl w:val="0"/>
        <w:rPr>
          <w:rFonts w:asciiTheme="minorEastAsia" w:hAnsiTheme="minorEastAsia" w:eastAsiaTheme="minorEastAsia"/>
          <w:b/>
          <w:color w:val="auto"/>
          <w:sz w:val="28"/>
          <w:highlight w:val="none"/>
        </w:rPr>
      </w:pPr>
      <w:bookmarkStart w:id="37"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7"/>
    </w:p>
    <w:p w14:paraId="2B447C46">
      <w:pPr>
        <w:spacing w:line="480" w:lineRule="auto"/>
        <w:jc w:val="center"/>
        <w:rPr>
          <w:b/>
          <w:sz w:val="32"/>
        </w:rPr>
      </w:pPr>
      <w:bookmarkStart w:id="38" w:name="_Toc470528208"/>
      <w:bookmarkStart w:id="39" w:name="_Toc29918569"/>
      <w:bookmarkStart w:id="40" w:name="_Toc246996996"/>
      <w:bookmarkStart w:id="41" w:name="_Toc247085768"/>
      <w:bookmarkStart w:id="42" w:name="_Toc144974578"/>
      <w:bookmarkStart w:id="43" w:name="_Toc152042388"/>
      <w:bookmarkStart w:id="44" w:name="_Toc179632628"/>
      <w:bookmarkStart w:id="45" w:name="_Toc246996253"/>
      <w:bookmarkStart w:id="46" w:name="_Toc152045610"/>
      <w:r>
        <w:rPr>
          <w:rFonts w:hint="eastAsia"/>
          <w:b/>
          <w:sz w:val="32"/>
        </w:rPr>
        <w:t>第一节 合同协议书</w:t>
      </w:r>
      <w:bookmarkEnd w:id="38"/>
      <w:bookmarkEnd w:id="39"/>
    </w:p>
    <w:bookmarkEnd w:id="40"/>
    <w:bookmarkEnd w:id="41"/>
    <w:bookmarkEnd w:id="42"/>
    <w:bookmarkEnd w:id="43"/>
    <w:bookmarkEnd w:id="44"/>
    <w:bookmarkEnd w:id="45"/>
    <w:bookmarkEnd w:id="46"/>
    <w:p w14:paraId="43651B03">
      <w:pPr>
        <w:spacing w:line="480" w:lineRule="exact"/>
        <w:ind w:firstLine="480" w:firstLineChars="200"/>
        <w:rPr>
          <w:rStyle w:val="95"/>
          <w:rFonts w:hint="eastAsia" w:ascii="宋体" w:hAnsi="宋体" w:eastAsia="宋体" w:cs="宋体"/>
          <w:sz w:val="24"/>
          <w:szCs w:val="24"/>
          <w:lang w:eastAsia="zh-CN"/>
        </w:rPr>
      </w:pPr>
      <w:r>
        <w:rPr>
          <w:rFonts w:hint="eastAsia" w:ascii="宋体" w:hAnsi="宋体" w:eastAsia="宋体" w:cs="宋体"/>
          <w:color w:val="000000"/>
          <w:sz w:val="24"/>
          <w:szCs w:val="24"/>
        </w:rPr>
        <w:t>_____________</w:t>
      </w:r>
      <w:r>
        <w:rPr>
          <w:rStyle w:val="95"/>
          <w:rFonts w:hint="eastAsia" w:ascii="宋体" w:hAnsi="宋体" w:eastAsia="宋体" w:cs="宋体"/>
          <w:sz w:val="24"/>
          <w:szCs w:val="24"/>
        </w:rPr>
        <w:t>（发包人名称，以下简称</w:t>
      </w:r>
      <w:r>
        <w:rPr>
          <w:rStyle w:val="278"/>
          <w:rFonts w:hint="eastAsia" w:ascii="宋体" w:hAnsi="宋体" w:eastAsia="宋体" w:cs="宋体"/>
          <w:sz w:val="24"/>
          <w:szCs w:val="24"/>
        </w:rPr>
        <w:t>“</w:t>
      </w:r>
      <w:r>
        <w:rPr>
          <w:rStyle w:val="95"/>
          <w:rFonts w:hint="eastAsia" w:ascii="宋体" w:hAnsi="宋体" w:eastAsia="宋体" w:cs="宋体"/>
          <w:sz w:val="24"/>
          <w:szCs w:val="24"/>
        </w:rPr>
        <w:t>发包人</w:t>
      </w:r>
      <w:r>
        <w:rPr>
          <w:rStyle w:val="278"/>
          <w:rFonts w:hint="eastAsia" w:ascii="宋体" w:hAnsi="宋体" w:eastAsia="宋体" w:cs="宋体"/>
          <w:sz w:val="24"/>
          <w:szCs w:val="24"/>
        </w:rPr>
        <w:t>”</w:t>
      </w:r>
      <w:r>
        <w:rPr>
          <w:rStyle w:val="95"/>
          <w:rFonts w:hint="eastAsia" w:ascii="宋体" w:hAnsi="宋体" w:eastAsia="宋体" w:cs="宋体"/>
          <w:sz w:val="24"/>
          <w:szCs w:val="24"/>
        </w:rPr>
        <w:t>） 为实施__________（项目名称），已接受_____________（承包人名称，以下简称</w:t>
      </w:r>
      <w:r>
        <w:rPr>
          <w:rStyle w:val="278"/>
          <w:rFonts w:hint="eastAsia" w:ascii="宋体" w:hAnsi="宋体" w:eastAsia="宋体" w:cs="宋体"/>
          <w:sz w:val="24"/>
          <w:szCs w:val="24"/>
        </w:rPr>
        <w:t>“</w:t>
      </w:r>
      <w:r>
        <w:rPr>
          <w:rStyle w:val="95"/>
          <w:rFonts w:hint="eastAsia" w:ascii="宋体" w:hAnsi="宋体" w:eastAsia="宋体" w:cs="宋体"/>
          <w:sz w:val="24"/>
          <w:szCs w:val="24"/>
        </w:rPr>
        <w:t>承包人</w:t>
      </w:r>
      <w:r>
        <w:rPr>
          <w:rStyle w:val="278"/>
          <w:rFonts w:hint="eastAsia" w:ascii="宋体" w:hAnsi="宋体" w:eastAsia="宋体" w:cs="宋体"/>
          <w:sz w:val="24"/>
          <w:szCs w:val="24"/>
        </w:rPr>
        <w:t>”</w:t>
      </w:r>
      <w:r>
        <w:rPr>
          <w:rStyle w:val="95"/>
          <w:rFonts w:hint="eastAsia" w:ascii="宋体" w:hAnsi="宋体" w:eastAsia="宋体" w:cs="宋体"/>
          <w:sz w:val="24"/>
          <w:szCs w:val="24"/>
        </w:rPr>
        <w:t>）对该项目_________施工的投标。发包人和承包人共同达成如下协议。</w:t>
      </w:r>
    </w:p>
    <w:p w14:paraId="264C7597">
      <w:pPr>
        <w:spacing w:line="480" w:lineRule="exact"/>
        <w:ind w:firstLine="480" w:firstLineChars="200"/>
        <w:rPr>
          <w:rStyle w:val="278"/>
          <w:rFonts w:hint="eastAsia" w:ascii="宋体" w:hAnsi="宋体" w:eastAsia="宋体" w:cs="宋体"/>
          <w:sz w:val="24"/>
          <w:szCs w:val="24"/>
          <w:lang w:eastAsia="zh-CN"/>
        </w:rPr>
      </w:pPr>
      <w:r>
        <w:rPr>
          <w:rStyle w:val="278"/>
          <w:rFonts w:hint="eastAsia" w:ascii="宋体" w:hAnsi="宋体" w:eastAsia="宋体" w:cs="宋体"/>
          <w:sz w:val="24"/>
          <w:szCs w:val="24"/>
        </w:rPr>
        <w:t>1.项目概况：</w:t>
      </w:r>
    </w:p>
    <w:p w14:paraId="06244A7C">
      <w:pPr>
        <w:spacing w:line="480" w:lineRule="exact"/>
        <w:ind w:firstLine="480" w:firstLineChars="200"/>
        <w:rPr>
          <w:rStyle w:val="95"/>
          <w:rFonts w:hint="eastAsia" w:ascii="宋体" w:hAnsi="宋体" w:eastAsia="宋体" w:cs="宋体"/>
          <w:sz w:val="24"/>
          <w:szCs w:val="24"/>
          <w:lang w:eastAsia="zh-CN"/>
        </w:rPr>
      </w:pPr>
      <w:r>
        <w:rPr>
          <w:rStyle w:val="278"/>
          <w:rFonts w:hint="eastAsia" w:ascii="宋体" w:hAnsi="宋体" w:eastAsia="宋体" w:cs="宋体"/>
          <w:sz w:val="24"/>
          <w:szCs w:val="24"/>
        </w:rPr>
        <w:t>2.</w:t>
      </w:r>
      <w:r>
        <w:rPr>
          <w:rStyle w:val="95"/>
          <w:rFonts w:hint="eastAsia" w:ascii="宋体" w:hAnsi="宋体" w:eastAsia="宋体" w:cs="宋体"/>
          <w:sz w:val="24"/>
          <w:szCs w:val="24"/>
        </w:rPr>
        <w:t>下列文件应视为构成合同文件的组成部分：</w:t>
      </w:r>
    </w:p>
    <w:p w14:paraId="6F4A2E3D">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（1）本协议书及各种合同附件（ 含</w:t>
      </w:r>
      <w:r>
        <w:rPr>
          <w:rStyle w:val="95"/>
          <w:rFonts w:hint="eastAsia" w:ascii="宋体" w:hAnsi="宋体" w:eastAsia="宋体" w:cs="宋体"/>
          <w:sz w:val="24"/>
          <w:szCs w:val="24"/>
          <w:lang w:val="en-US" w:eastAsia="zh-CN"/>
        </w:rPr>
        <w:t>评审</w:t>
      </w:r>
      <w:r>
        <w:rPr>
          <w:rStyle w:val="95"/>
          <w:rFonts w:hint="eastAsia" w:ascii="宋体" w:hAnsi="宋体" w:eastAsia="宋体" w:cs="宋体"/>
          <w:sz w:val="24"/>
          <w:szCs w:val="24"/>
        </w:rPr>
        <w:t>期间和合同谈判过程中的澄清文件和补充资料）；</w:t>
      </w:r>
    </w:p>
    <w:p w14:paraId="02BE61D2">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（2）</w:t>
      </w:r>
      <w:r>
        <w:rPr>
          <w:rStyle w:val="95"/>
          <w:rFonts w:hint="eastAsia" w:ascii="宋体" w:hAnsi="宋体" w:eastAsia="宋体" w:cs="宋体"/>
          <w:sz w:val="24"/>
          <w:szCs w:val="24"/>
          <w:lang w:val="en-US" w:eastAsia="zh-CN"/>
        </w:rPr>
        <w:t>成交</w:t>
      </w:r>
      <w:r>
        <w:rPr>
          <w:rStyle w:val="95"/>
          <w:rFonts w:hint="eastAsia" w:ascii="宋体" w:hAnsi="宋体" w:eastAsia="宋体" w:cs="宋体"/>
          <w:sz w:val="24"/>
          <w:szCs w:val="24"/>
        </w:rPr>
        <w:t>通知书；</w:t>
      </w:r>
    </w:p>
    <w:p w14:paraId="208F7C13">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（3）</w:t>
      </w:r>
      <w:r>
        <w:rPr>
          <w:rStyle w:val="95"/>
          <w:rFonts w:hint="eastAsia" w:ascii="宋体" w:hAnsi="宋体" w:eastAsia="宋体" w:cs="宋体"/>
          <w:sz w:val="24"/>
          <w:szCs w:val="24"/>
          <w:lang w:val="en-US" w:eastAsia="zh-CN"/>
        </w:rPr>
        <w:t>响应函</w:t>
      </w:r>
      <w:r>
        <w:rPr>
          <w:rStyle w:val="95"/>
          <w:rFonts w:hint="eastAsia" w:ascii="宋体" w:hAnsi="宋体" w:eastAsia="宋体" w:cs="宋体"/>
          <w:sz w:val="24"/>
          <w:szCs w:val="24"/>
        </w:rPr>
        <w:t>；</w:t>
      </w:r>
    </w:p>
    <w:p w14:paraId="341A9A05">
      <w:pPr>
        <w:spacing w:line="480" w:lineRule="exact"/>
        <w:ind w:left="400" w:leftChars="200"/>
        <w:rPr>
          <w:rStyle w:val="95"/>
          <w:rFonts w:hint="eastAsia" w:ascii="宋体" w:hAnsi="宋体" w:eastAsia="宋体" w:cs="宋体"/>
          <w:sz w:val="24"/>
          <w:szCs w:val="24"/>
        </w:rPr>
      </w:pPr>
      <w:r>
        <w:rPr>
          <w:rStyle w:val="95"/>
          <w:rFonts w:hint="eastAsia" w:ascii="宋体" w:hAnsi="宋体" w:eastAsia="宋体" w:cs="宋体"/>
          <w:sz w:val="24"/>
          <w:szCs w:val="24"/>
        </w:rPr>
        <w:t>（4）项目专用合同条款；</w:t>
      </w:r>
    </w:p>
    <w:p w14:paraId="12AD50F2">
      <w:pPr>
        <w:spacing w:line="480" w:lineRule="exact"/>
        <w:ind w:left="400" w:leftChars="200"/>
        <w:rPr>
          <w:rStyle w:val="95"/>
          <w:rFonts w:hint="eastAsia" w:ascii="宋体" w:hAnsi="宋体" w:eastAsia="宋体" w:cs="宋体"/>
          <w:sz w:val="24"/>
          <w:szCs w:val="24"/>
        </w:rPr>
      </w:pPr>
      <w:r>
        <w:rPr>
          <w:rStyle w:val="95"/>
          <w:rFonts w:hint="eastAsia" w:ascii="宋体" w:hAnsi="宋体" w:eastAsia="宋体" w:cs="宋体"/>
          <w:sz w:val="24"/>
          <w:szCs w:val="24"/>
        </w:rPr>
        <w:t>（5）公路工程专用合同条款；</w:t>
      </w:r>
    </w:p>
    <w:p w14:paraId="65B2D618">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（6）通用合同条款；</w:t>
      </w:r>
    </w:p>
    <w:p w14:paraId="5D112F32">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（7）工程量清单计量规则；</w:t>
      </w:r>
    </w:p>
    <w:p w14:paraId="1A13BACB">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（8）技术规范；</w:t>
      </w:r>
    </w:p>
    <w:p w14:paraId="737D24EF">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（9）图纸；</w:t>
      </w:r>
    </w:p>
    <w:p w14:paraId="0DAD2B79">
      <w:pPr>
        <w:spacing w:line="480" w:lineRule="exact"/>
        <w:ind w:left="400" w:left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（10）已标价工程量清单；</w:t>
      </w:r>
    </w:p>
    <w:p w14:paraId="6E500BC7">
      <w:pPr>
        <w:spacing w:line="480" w:lineRule="exact"/>
        <w:ind w:left="400" w:leftChars="200"/>
        <w:rPr>
          <w:rFonts w:hint="eastAsia" w:ascii="宋体" w:hAnsi="宋体" w:eastAsia="宋体" w:cs="宋体"/>
          <w:color w:val="000000"/>
          <w:sz w:val="24"/>
          <w:szCs w:val="24"/>
        </w:rPr>
      </w:pPr>
      <w:r>
        <w:rPr>
          <w:rStyle w:val="95"/>
          <w:rFonts w:hint="eastAsia" w:ascii="宋体" w:hAnsi="宋体" w:eastAsia="宋体" w:cs="宋体"/>
          <w:sz w:val="24"/>
          <w:szCs w:val="24"/>
        </w:rPr>
        <w:t>（</w:t>
      </w:r>
      <w:r>
        <w:rPr>
          <w:rStyle w:val="278"/>
          <w:rFonts w:hint="eastAsia" w:ascii="宋体" w:hAnsi="宋体" w:eastAsia="宋体" w:cs="宋体"/>
          <w:sz w:val="24"/>
          <w:szCs w:val="24"/>
        </w:rPr>
        <w:t>11</w:t>
      </w:r>
      <w:r>
        <w:rPr>
          <w:rStyle w:val="95"/>
          <w:rFonts w:hint="eastAsia" w:ascii="宋体" w:hAnsi="宋体" w:eastAsia="宋体" w:cs="宋体"/>
          <w:sz w:val="24"/>
          <w:szCs w:val="24"/>
        </w:rPr>
        <w:t>）承包人有关人员、设备投入的承诺及投标文件中的施工组织设计；</w:t>
      </w:r>
    </w:p>
    <w:p w14:paraId="3EDA61A9">
      <w:pPr>
        <w:spacing w:line="480" w:lineRule="exact"/>
        <w:ind w:firstLine="480" w:firstLineChars="200"/>
        <w:rPr>
          <w:rFonts w:hint="eastAsia" w:ascii="宋体" w:hAnsi="宋体" w:eastAsia="宋体" w:cs="宋体"/>
          <w:color w:val="000000"/>
          <w:sz w:val="24"/>
          <w:szCs w:val="24"/>
        </w:rPr>
      </w:pPr>
      <w:r>
        <w:rPr>
          <w:rStyle w:val="95"/>
          <w:rFonts w:hint="eastAsia" w:ascii="宋体" w:hAnsi="宋体" w:eastAsia="宋体" w:cs="宋体"/>
          <w:sz w:val="24"/>
          <w:szCs w:val="24"/>
        </w:rPr>
        <w:t>（</w:t>
      </w:r>
      <w:r>
        <w:rPr>
          <w:rStyle w:val="278"/>
          <w:rFonts w:hint="eastAsia" w:ascii="宋体" w:hAnsi="宋体" w:eastAsia="宋体" w:cs="宋体"/>
          <w:sz w:val="24"/>
          <w:szCs w:val="24"/>
        </w:rPr>
        <w:t>12</w:t>
      </w:r>
      <w:r>
        <w:rPr>
          <w:rStyle w:val="95"/>
          <w:rFonts w:hint="eastAsia" w:ascii="宋体" w:hAnsi="宋体" w:eastAsia="宋体" w:cs="宋体"/>
          <w:sz w:val="24"/>
          <w:szCs w:val="24"/>
        </w:rPr>
        <w:t>）其他合同文件。</w:t>
      </w:r>
    </w:p>
    <w:p w14:paraId="20977F19">
      <w:pPr>
        <w:spacing w:line="480" w:lineRule="exact"/>
        <w:ind w:firstLine="480" w:firstLineChars="200"/>
        <w:rPr>
          <w:rStyle w:val="95"/>
          <w:rFonts w:hint="eastAsia" w:ascii="宋体" w:hAnsi="宋体" w:eastAsia="宋体" w:cs="宋体"/>
          <w:sz w:val="24"/>
          <w:szCs w:val="24"/>
          <w:lang w:eastAsia="zh-CN"/>
        </w:rPr>
      </w:pPr>
      <w:r>
        <w:rPr>
          <w:rStyle w:val="95"/>
          <w:rFonts w:hint="eastAsia" w:ascii="宋体" w:hAnsi="宋体" w:eastAsia="宋体" w:cs="宋体"/>
          <w:sz w:val="24"/>
          <w:szCs w:val="24"/>
        </w:rPr>
        <w:t>上述合同文件互相补充和解释。如果合同文件之间存在矛盾或不一致之处，以上述文件的排列顺序在先者为准。</w:t>
      </w:r>
    </w:p>
    <w:p w14:paraId="76FF5987">
      <w:pPr>
        <w:spacing w:line="480" w:lineRule="exact"/>
        <w:ind w:firstLine="480" w:firstLineChars="200"/>
        <w:rPr>
          <w:rStyle w:val="95"/>
          <w:rFonts w:hint="eastAsia" w:ascii="宋体" w:hAnsi="宋体" w:eastAsia="宋体" w:cs="宋体"/>
          <w:sz w:val="24"/>
          <w:szCs w:val="24"/>
          <w:lang w:eastAsia="zh-CN"/>
        </w:rPr>
      </w:pPr>
      <w:r>
        <w:rPr>
          <w:rStyle w:val="278"/>
          <w:rFonts w:hint="eastAsia" w:ascii="宋体" w:hAnsi="宋体" w:eastAsia="宋体" w:cs="宋体"/>
          <w:sz w:val="24"/>
          <w:szCs w:val="24"/>
        </w:rPr>
        <w:t>3.</w:t>
      </w:r>
      <w:r>
        <w:rPr>
          <w:rStyle w:val="95"/>
          <w:rFonts w:hint="eastAsia" w:ascii="宋体" w:hAnsi="宋体" w:eastAsia="宋体" w:cs="宋体"/>
          <w:sz w:val="24"/>
          <w:szCs w:val="24"/>
        </w:rPr>
        <w:t>根据工程量清单所列的预计数量和单价或总额价计算的签约合同价：人民币（大写</w:t>
      </w:r>
      <w:r>
        <w:rPr>
          <w:rStyle w:val="95"/>
          <w:rFonts w:hint="eastAsia" w:ascii="宋体" w:hAnsi="宋体" w:eastAsia="宋体" w:cs="宋体"/>
          <w:sz w:val="24"/>
          <w:szCs w:val="24"/>
          <w:u w:val="single"/>
        </w:rPr>
        <w:t xml:space="preserve">）                  </w:t>
      </w:r>
      <w:r>
        <w:rPr>
          <w:rStyle w:val="278"/>
          <w:rFonts w:hint="eastAsia" w:ascii="宋体" w:hAnsi="宋体" w:eastAsia="宋体" w:cs="宋体"/>
          <w:sz w:val="24"/>
          <w:szCs w:val="24"/>
          <w:u w:val="single"/>
        </w:rPr>
        <w:t xml:space="preserve">   </w:t>
      </w:r>
      <w:r>
        <w:rPr>
          <w:rStyle w:val="95"/>
          <w:rFonts w:hint="eastAsia" w:ascii="宋体" w:hAnsi="宋体" w:eastAsia="宋体" w:cs="宋体"/>
          <w:sz w:val="24"/>
          <w:szCs w:val="24"/>
        </w:rPr>
        <w:t>元（</w:t>
      </w:r>
      <w:r>
        <w:rPr>
          <w:rStyle w:val="278"/>
          <w:rFonts w:hint="eastAsia" w:ascii="宋体" w:hAnsi="宋体" w:eastAsia="宋体" w:cs="宋体"/>
          <w:sz w:val="24"/>
          <w:szCs w:val="24"/>
        </w:rPr>
        <w:t>¥</w:t>
      </w:r>
      <w:r>
        <w:rPr>
          <w:rStyle w:val="278"/>
          <w:rFonts w:hint="eastAsia" w:ascii="宋体" w:hAnsi="宋体" w:eastAsia="宋体" w:cs="宋体"/>
          <w:sz w:val="24"/>
          <w:szCs w:val="24"/>
          <w:u w:val="single"/>
        </w:rPr>
        <w:t xml:space="preserve">                </w:t>
      </w:r>
      <w:r>
        <w:rPr>
          <w:rStyle w:val="95"/>
          <w:rFonts w:hint="eastAsia" w:ascii="宋体" w:hAnsi="宋体" w:eastAsia="宋体" w:cs="宋体"/>
          <w:sz w:val="24"/>
          <w:szCs w:val="24"/>
        </w:rPr>
        <w:t>）。</w:t>
      </w:r>
    </w:p>
    <w:p w14:paraId="65EBBC81">
      <w:pPr>
        <w:spacing w:line="480" w:lineRule="exact"/>
        <w:ind w:firstLine="480" w:firstLineChars="200"/>
        <w:rPr>
          <w:rStyle w:val="95"/>
          <w:rFonts w:hint="eastAsia" w:ascii="宋体" w:hAnsi="宋体" w:eastAsia="宋体" w:cs="宋体"/>
          <w:sz w:val="24"/>
          <w:szCs w:val="24"/>
          <w:lang w:eastAsia="zh-CN"/>
        </w:rPr>
      </w:pPr>
      <w:r>
        <w:rPr>
          <w:rStyle w:val="278"/>
          <w:rFonts w:hint="eastAsia" w:ascii="宋体" w:hAnsi="宋体" w:eastAsia="宋体" w:cs="宋体"/>
          <w:sz w:val="24"/>
          <w:szCs w:val="24"/>
        </w:rPr>
        <w:t>4.</w:t>
      </w:r>
      <w:r>
        <w:rPr>
          <w:rStyle w:val="95"/>
          <w:rFonts w:hint="eastAsia" w:ascii="宋体" w:hAnsi="宋体" w:eastAsia="宋体" w:cs="宋体"/>
          <w:sz w:val="24"/>
          <w:szCs w:val="24"/>
        </w:rPr>
        <w:t>承包人项目经理：________。承包人项目总工：________。</w:t>
      </w:r>
    </w:p>
    <w:p w14:paraId="10DCC0A6">
      <w:pPr>
        <w:spacing w:line="480" w:lineRule="exact"/>
        <w:ind w:firstLine="480" w:firstLineChars="200"/>
        <w:rPr>
          <w:rStyle w:val="95"/>
          <w:rFonts w:hint="eastAsia" w:ascii="宋体" w:hAnsi="宋体" w:eastAsia="宋体" w:cs="宋体"/>
          <w:sz w:val="24"/>
          <w:szCs w:val="24"/>
          <w:lang w:eastAsia="zh-CN"/>
        </w:rPr>
      </w:pPr>
      <w:r>
        <w:rPr>
          <w:rStyle w:val="278"/>
          <w:rFonts w:hint="eastAsia" w:ascii="宋体" w:hAnsi="宋体" w:eastAsia="宋体" w:cs="宋体"/>
          <w:sz w:val="24"/>
          <w:szCs w:val="24"/>
        </w:rPr>
        <w:t>5.</w:t>
      </w:r>
      <w:r>
        <w:rPr>
          <w:rStyle w:val="95"/>
          <w:rFonts w:hint="eastAsia" w:ascii="宋体" w:hAnsi="宋体" w:eastAsia="宋体" w:cs="宋体"/>
          <w:sz w:val="24"/>
          <w:szCs w:val="24"/>
        </w:rPr>
        <w:t>工程质量符合________标准。工程安全目标：__</w:t>
      </w:r>
      <w:r>
        <w:rPr>
          <w:rStyle w:val="95"/>
          <w:rFonts w:hint="eastAsia" w:ascii="宋体" w:hAnsi="宋体" w:eastAsia="宋体" w:cs="宋体"/>
          <w:sz w:val="24"/>
          <w:szCs w:val="24"/>
          <w:u w:val="single"/>
        </w:rPr>
        <w:t xml:space="preserve">  </w:t>
      </w:r>
      <w:r>
        <w:rPr>
          <w:rStyle w:val="95"/>
          <w:rFonts w:hint="eastAsia" w:ascii="宋体" w:hAnsi="宋体" w:eastAsia="宋体" w:cs="宋体"/>
          <w:sz w:val="24"/>
          <w:szCs w:val="24"/>
        </w:rPr>
        <w:t>______。</w:t>
      </w:r>
    </w:p>
    <w:p w14:paraId="64609393">
      <w:pPr>
        <w:spacing w:line="480" w:lineRule="exact"/>
        <w:ind w:firstLine="480" w:firstLineChars="200"/>
        <w:rPr>
          <w:rStyle w:val="95"/>
          <w:rFonts w:hint="eastAsia" w:ascii="宋体" w:hAnsi="宋体" w:eastAsia="宋体" w:cs="宋体"/>
          <w:sz w:val="24"/>
          <w:szCs w:val="24"/>
          <w:lang w:eastAsia="zh-CN"/>
        </w:rPr>
      </w:pPr>
      <w:r>
        <w:rPr>
          <w:rStyle w:val="278"/>
          <w:rFonts w:hint="eastAsia" w:ascii="宋体" w:hAnsi="宋体" w:eastAsia="宋体" w:cs="宋体"/>
          <w:sz w:val="24"/>
          <w:szCs w:val="24"/>
        </w:rPr>
        <w:t>6.</w:t>
      </w:r>
      <w:r>
        <w:rPr>
          <w:rStyle w:val="95"/>
          <w:rFonts w:hint="eastAsia" w:ascii="宋体" w:hAnsi="宋体" w:eastAsia="宋体" w:cs="宋体"/>
          <w:sz w:val="24"/>
          <w:szCs w:val="24"/>
        </w:rPr>
        <w:t>承包人承诺按合同约定承担工程的实施、完成及缺陷修复。</w:t>
      </w:r>
    </w:p>
    <w:p w14:paraId="75F685A4">
      <w:pPr>
        <w:spacing w:line="480" w:lineRule="exact"/>
        <w:ind w:firstLine="480" w:firstLineChars="200"/>
        <w:rPr>
          <w:rStyle w:val="94"/>
          <w:rFonts w:hint="eastAsia" w:ascii="宋体" w:hAnsi="宋体" w:eastAsia="宋体" w:cs="宋体"/>
          <w:sz w:val="24"/>
          <w:szCs w:val="24"/>
        </w:rPr>
      </w:pPr>
      <w:r>
        <w:rPr>
          <w:rStyle w:val="278"/>
          <w:rFonts w:hint="eastAsia" w:ascii="宋体" w:hAnsi="宋体" w:eastAsia="宋体" w:cs="宋体"/>
          <w:sz w:val="24"/>
          <w:szCs w:val="24"/>
        </w:rPr>
        <w:t>7.</w:t>
      </w:r>
      <w:r>
        <w:rPr>
          <w:rStyle w:val="95"/>
          <w:rFonts w:hint="eastAsia" w:ascii="宋体" w:hAnsi="宋体" w:eastAsia="宋体" w:cs="宋体"/>
          <w:sz w:val="24"/>
          <w:szCs w:val="24"/>
        </w:rPr>
        <w:t>发包人承诺按合同约定的条件、时间和方式向承包人支付合同价款。</w:t>
      </w:r>
    </w:p>
    <w:p w14:paraId="5DE5A183">
      <w:pPr>
        <w:spacing w:line="480" w:lineRule="exact"/>
        <w:ind w:left="534" w:leftChars="267"/>
        <w:rPr>
          <w:rStyle w:val="95"/>
          <w:rFonts w:hint="eastAsia" w:ascii="宋体" w:hAnsi="宋体" w:eastAsia="宋体" w:cs="宋体"/>
          <w:sz w:val="24"/>
          <w:szCs w:val="24"/>
          <w:lang w:eastAsia="zh-CN"/>
        </w:rPr>
      </w:pPr>
      <w:r>
        <w:rPr>
          <w:rStyle w:val="278"/>
          <w:rFonts w:hint="eastAsia" w:ascii="宋体" w:hAnsi="宋体" w:eastAsia="宋体" w:cs="宋体"/>
          <w:sz w:val="24"/>
          <w:szCs w:val="24"/>
        </w:rPr>
        <w:t>8.</w:t>
      </w:r>
      <w:r>
        <w:rPr>
          <w:rStyle w:val="95"/>
          <w:rFonts w:hint="eastAsia" w:ascii="宋体" w:hAnsi="宋体" w:eastAsia="宋体" w:cs="宋体"/>
          <w:sz w:val="24"/>
          <w:szCs w:val="24"/>
        </w:rPr>
        <w:t>承包人应按照监理人指示开工，工期为</w:t>
      </w:r>
      <w:r>
        <w:rPr>
          <w:rStyle w:val="95"/>
          <w:rFonts w:hint="eastAsia" w:ascii="宋体" w:hAnsi="宋体" w:eastAsia="宋体" w:cs="宋体"/>
          <w:sz w:val="24"/>
          <w:szCs w:val="24"/>
          <w:u w:val="single"/>
        </w:rPr>
        <w:t xml:space="preserve"> </w:t>
      </w:r>
      <w:r>
        <w:rPr>
          <w:rStyle w:val="95"/>
          <w:rFonts w:hint="eastAsia" w:ascii="宋体" w:hAnsi="宋体" w:eastAsia="宋体" w:cs="宋体"/>
          <w:sz w:val="24"/>
          <w:szCs w:val="24"/>
          <w:u w:val="single"/>
          <w:lang w:val="en-US" w:eastAsia="zh-CN"/>
        </w:rPr>
        <w:t xml:space="preserve">  </w:t>
      </w:r>
      <w:r>
        <w:rPr>
          <w:rStyle w:val="95"/>
          <w:rFonts w:hint="eastAsia" w:ascii="宋体" w:hAnsi="宋体" w:eastAsia="宋体" w:cs="宋体"/>
          <w:sz w:val="24"/>
          <w:szCs w:val="24"/>
        </w:rPr>
        <w:t>日历天。</w:t>
      </w:r>
    </w:p>
    <w:p w14:paraId="35E1E78A">
      <w:pPr>
        <w:spacing w:line="480" w:lineRule="exact"/>
        <w:ind w:left="534" w:leftChars="267"/>
        <w:rPr>
          <w:rFonts w:hint="eastAsia" w:ascii="宋体" w:hAnsi="宋体" w:eastAsia="宋体" w:cs="宋体"/>
          <w:color w:val="000000"/>
          <w:sz w:val="24"/>
          <w:szCs w:val="24"/>
        </w:rPr>
      </w:pPr>
      <w:r>
        <w:rPr>
          <w:rStyle w:val="278"/>
          <w:rFonts w:hint="eastAsia" w:ascii="宋体" w:hAnsi="宋体" w:eastAsia="宋体" w:cs="宋体"/>
          <w:sz w:val="24"/>
          <w:szCs w:val="24"/>
        </w:rPr>
        <w:t>9.</w:t>
      </w:r>
      <w:r>
        <w:rPr>
          <w:rStyle w:val="95"/>
          <w:rFonts w:hint="eastAsia" w:ascii="宋体" w:hAnsi="宋体" w:eastAsia="宋体" w:cs="宋体"/>
          <w:sz w:val="24"/>
          <w:szCs w:val="24"/>
        </w:rPr>
        <w:t>本协议书由双方法定代表人或其委托代理人签署并加盖单位章后生效。全部工程完工后经交工验收合格、缺陷责任期满签发缺陷责任终止证书后失效。</w:t>
      </w:r>
    </w:p>
    <w:p w14:paraId="072EF208">
      <w:pPr>
        <w:spacing w:line="480" w:lineRule="exact"/>
        <w:ind w:left="480" w:leftChars="240" w:firstLine="0" w:firstLineChars="0"/>
        <w:rPr>
          <w:rFonts w:hint="eastAsia" w:ascii="宋体" w:hAnsi="宋体" w:eastAsia="宋体" w:cs="宋体"/>
          <w:bCs/>
          <w:color w:val="000000"/>
          <w:sz w:val="24"/>
          <w:szCs w:val="24"/>
          <w:lang w:eastAsia="zh-CN"/>
        </w:rPr>
      </w:pPr>
      <w:r>
        <w:rPr>
          <w:rStyle w:val="278"/>
          <w:rFonts w:hint="eastAsia" w:ascii="宋体" w:hAnsi="宋体" w:eastAsia="宋体" w:cs="宋体"/>
          <w:sz w:val="24"/>
          <w:szCs w:val="24"/>
        </w:rPr>
        <w:t>10.</w:t>
      </w:r>
      <w:r>
        <w:rPr>
          <w:rFonts w:hint="eastAsia" w:ascii="宋体" w:hAnsi="宋体" w:eastAsia="宋体" w:cs="宋体"/>
          <w:bCs/>
          <w:color w:val="000000"/>
          <w:sz w:val="24"/>
          <w:szCs w:val="24"/>
        </w:rPr>
        <w:t xml:space="preserve"> 本合同一式</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肆</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份，均具有同等法律效力，发包人执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贰</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份，承包人执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贰</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w:t>
      </w:r>
    </w:p>
    <w:p w14:paraId="29303238">
      <w:pPr>
        <w:spacing w:line="480" w:lineRule="exact"/>
        <w:ind w:left="480" w:leftChars="240" w:firstLine="0" w:firstLineChars="0"/>
        <w:rPr>
          <w:rStyle w:val="95"/>
          <w:rFonts w:hint="eastAsia" w:ascii="宋体" w:hAnsi="宋体" w:eastAsia="宋体" w:cs="宋体"/>
          <w:sz w:val="24"/>
          <w:szCs w:val="24"/>
          <w:lang w:eastAsia="zh-CN"/>
        </w:rPr>
      </w:pPr>
      <w:r>
        <w:rPr>
          <w:rStyle w:val="278"/>
          <w:rFonts w:hint="eastAsia" w:ascii="宋体" w:hAnsi="宋体" w:eastAsia="宋体" w:cs="宋体"/>
          <w:sz w:val="24"/>
          <w:szCs w:val="24"/>
        </w:rPr>
        <w:t>11.</w:t>
      </w:r>
      <w:r>
        <w:rPr>
          <w:rStyle w:val="95"/>
          <w:rFonts w:hint="eastAsia" w:ascii="宋体" w:hAnsi="宋体" w:eastAsia="宋体" w:cs="宋体"/>
          <w:sz w:val="24"/>
          <w:szCs w:val="24"/>
        </w:rPr>
        <w:t>合同未尽事宜，双方另行签订补充协议。补充协议是合同的组成部分。</w:t>
      </w:r>
    </w:p>
    <w:p w14:paraId="7EB63A3E">
      <w:pPr>
        <w:pStyle w:val="54"/>
        <w:rPr>
          <w:rFonts w:hint="eastAsia" w:ascii="宋体" w:hAnsi="宋体" w:eastAsia="宋体" w:cs="宋体"/>
          <w:sz w:val="24"/>
          <w:szCs w:val="24"/>
          <w:lang w:eastAsia="zh-CN"/>
        </w:rPr>
      </w:pPr>
    </w:p>
    <w:p w14:paraId="3C474E9B">
      <w:pPr>
        <w:spacing w:line="480" w:lineRule="exact"/>
        <w:rPr>
          <w:rStyle w:val="95"/>
          <w:rFonts w:hint="eastAsia" w:ascii="宋体" w:hAnsi="宋体" w:eastAsia="宋体" w:cs="宋体"/>
          <w:sz w:val="24"/>
          <w:szCs w:val="24"/>
          <w:lang w:eastAsia="zh-CN"/>
        </w:rPr>
      </w:pPr>
      <w:r>
        <w:rPr>
          <w:rStyle w:val="95"/>
          <w:rFonts w:hint="eastAsia" w:ascii="宋体" w:hAnsi="宋体" w:eastAsia="宋体" w:cs="宋体"/>
          <w:sz w:val="24"/>
          <w:szCs w:val="24"/>
        </w:rPr>
        <w:t>发包人：      （盖单位章）           承包人：      （盖单位章）</w:t>
      </w:r>
    </w:p>
    <w:p w14:paraId="6E1545DC">
      <w:pPr>
        <w:spacing w:line="480" w:lineRule="exact"/>
        <w:rPr>
          <w:rStyle w:val="95"/>
          <w:rFonts w:hint="eastAsia" w:ascii="宋体" w:hAnsi="宋体" w:eastAsia="宋体" w:cs="宋体"/>
          <w:sz w:val="24"/>
          <w:szCs w:val="24"/>
        </w:rPr>
      </w:pPr>
      <w:r>
        <w:rPr>
          <w:rStyle w:val="95"/>
          <w:rFonts w:hint="eastAsia" w:ascii="宋体" w:hAnsi="宋体" w:eastAsia="宋体" w:cs="宋体"/>
          <w:sz w:val="24"/>
          <w:szCs w:val="24"/>
        </w:rPr>
        <w:t>法定代表人或其委托代理人（签字）：   法定代表人或其委托代理人  （签字）：</w:t>
      </w:r>
    </w:p>
    <w:p w14:paraId="41299239">
      <w:pPr>
        <w:spacing w:line="480" w:lineRule="exact"/>
        <w:ind w:firstLine="720" w:firstLineChars="300"/>
        <w:rPr>
          <w:rFonts w:hint="eastAsia" w:ascii="宋体" w:hAnsi="宋体" w:eastAsia="宋体" w:cs="宋体"/>
          <w:color w:val="000000"/>
          <w:sz w:val="24"/>
          <w:szCs w:val="24"/>
        </w:rPr>
      </w:pPr>
      <w:r>
        <w:rPr>
          <w:rStyle w:val="95"/>
          <w:rFonts w:hint="eastAsia" w:ascii="宋体" w:hAnsi="宋体" w:eastAsia="宋体" w:cs="宋体"/>
          <w:sz w:val="24"/>
          <w:szCs w:val="24"/>
        </w:rPr>
        <w:t>年  月  日                                年  月  日</w:t>
      </w:r>
    </w:p>
    <w:p w14:paraId="7417EBFA">
      <w:pPr>
        <w:pStyle w:val="279"/>
        <w:spacing w:line="480" w:lineRule="exact"/>
        <w:rPr>
          <w:rFonts w:hint="eastAsia"/>
          <w:color w:val="000000"/>
          <w:sz w:val="24"/>
          <w:szCs w:val="28"/>
        </w:rPr>
      </w:pPr>
    </w:p>
    <w:p w14:paraId="430AC863">
      <w:pPr>
        <w:pStyle w:val="279"/>
        <w:spacing w:line="480" w:lineRule="exact"/>
        <w:rPr>
          <w:rFonts w:hint="eastAsia"/>
          <w:color w:val="000000"/>
          <w:sz w:val="24"/>
          <w:szCs w:val="28"/>
        </w:rPr>
      </w:pPr>
    </w:p>
    <w:p w14:paraId="58A138F3">
      <w:pPr>
        <w:spacing w:line="360" w:lineRule="exact"/>
        <w:rPr>
          <w:rFonts w:hint="eastAsia" w:ascii="宋体" w:hAnsi="宋体"/>
          <w:b/>
          <w:bCs/>
          <w:color w:val="000000"/>
          <w:sz w:val="24"/>
          <w:szCs w:val="28"/>
        </w:rPr>
      </w:pPr>
    </w:p>
    <w:p w14:paraId="7C309C64">
      <w:pPr>
        <w:spacing w:line="360" w:lineRule="exact"/>
        <w:ind w:firstLine="482" w:firstLineChars="200"/>
        <w:jc w:val="center"/>
        <w:rPr>
          <w:rFonts w:hint="eastAsia" w:ascii="宋体" w:hAnsi="宋体"/>
          <w:b/>
          <w:bCs/>
          <w:color w:val="000000"/>
          <w:sz w:val="24"/>
          <w:szCs w:val="28"/>
        </w:rPr>
      </w:pPr>
    </w:p>
    <w:p w14:paraId="0A6B7C18">
      <w:pPr>
        <w:spacing w:line="480" w:lineRule="auto"/>
        <w:ind w:firstLine="482" w:firstLineChars="200"/>
        <w:jc w:val="center"/>
        <w:rPr>
          <w:rFonts w:hint="eastAsia" w:ascii="宋体" w:hAnsi="宋体"/>
          <w:b/>
          <w:bCs/>
          <w:color w:val="000000"/>
          <w:sz w:val="24"/>
        </w:rPr>
      </w:pPr>
      <w:r>
        <w:rPr>
          <w:rFonts w:hint="eastAsia" w:ascii="宋体" w:hAnsi="宋体"/>
          <w:b/>
          <w:bCs/>
          <w:color w:val="000000"/>
          <w:sz w:val="24"/>
        </w:rPr>
        <w:t>第二节  通用合同条款</w:t>
      </w:r>
    </w:p>
    <w:p w14:paraId="2D8EA9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 w:val="0"/>
          <w:bCs w:val="0"/>
          <w:color w:val="000000"/>
          <w:sz w:val="24"/>
        </w:rPr>
      </w:pPr>
      <w:r>
        <w:rPr>
          <w:rFonts w:hint="eastAsia" w:ascii="宋体" w:hAnsi="宋体"/>
          <w:b w:val="0"/>
          <w:bCs w:val="0"/>
          <w:color w:val="000000"/>
          <w:sz w:val="24"/>
        </w:rPr>
        <w:t>“通用合同条款”采用《</w:t>
      </w:r>
      <w:r>
        <w:rPr>
          <w:rFonts w:hint="eastAsia" w:ascii="宋体" w:hAnsi="宋体"/>
          <w:b w:val="0"/>
          <w:bCs w:val="0"/>
          <w:color w:val="000000"/>
          <w:sz w:val="24"/>
          <w:lang w:val="en-US" w:eastAsia="zh-CN"/>
        </w:rPr>
        <w:t>安徽省公路养护工程施工招标指南</w:t>
      </w:r>
      <w:r>
        <w:rPr>
          <w:rFonts w:hint="eastAsia" w:ascii="宋体" w:hAnsi="宋体"/>
          <w:b w:val="0"/>
          <w:bCs w:val="0"/>
          <w:color w:val="000000"/>
          <w:sz w:val="24"/>
        </w:rPr>
        <w:t>》的“通用合同条款”。</w:t>
      </w:r>
    </w:p>
    <w:p w14:paraId="31E2C48A">
      <w:pPr>
        <w:spacing w:line="480" w:lineRule="auto"/>
        <w:jc w:val="both"/>
        <w:rPr>
          <w:rFonts w:hint="eastAsia" w:ascii="宋体" w:hAnsi="宋体"/>
          <w:b/>
          <w:bCs/>
          <w:color w:val="000000"/>
          <w:sz w:val="24"/>
        </w:rPr>
      </w:pPr>
    </w:p>
    <w:p w14:paraId="28CB5FD5">
      <w:pPr>
        <w:spacing w:line="480" w:lineRule="auto"/>
        <w:jc w:val="both"/>
        <w:rPr>
          <w:rFonts w:ascii="宋体" w:hAnsi="宋体"/>
          <w:b/>
          <w:bCs/>
          <w:color w:val="000000"/>
          <w:sz w:val="24"/>
        </w:rPr>
      </w:pPr>
    </w:p>
    <w:p w14:paraId="686B4FDA">
      <w:pPr>
        <w:spacing w:line="480" w:lineRule="auto"/>
        <w:ind w:firstLine="482" w:firstLineChars="200"/>
        <w:jc w:val="center"/>
        <w:rPr>
          <w:rFonts w:hint="eastAsia" w:ascii="宋体" w:hAnsi="宋体"/>
          <w:b/>
          <w:bCs/>
          <w:color w:val="000000"/>
          <w:sz w:val="24"/>
        </w:rPr>
      </w:pPr>
      <w:r>
        <w:rPr>
          <w:rFonts w:hint="eastAsia" w:ascii="宋体" w:hAnsi="宋体"/>
          <w:b/>
          <w:bCs/>
          <w:color w:val="000000"/>
          <w:sz w:val="24"/>
        </w:rPr>
        <w:t xml:space="preserve">第三节  </w:t>
      </w:r>
      <w:r>
        <w:rPr>
          <w:rFonts w:hint="eastAsia" w:ascii="宋体" w:hAnsi="宋体"/>
          <w:b/>
          <w:bCs/>
          <w:color w:val="000000"/>
          <w:sz w:val="24"/>
        </w:rPr>
        <w:tab/>
      </w:r>
      <w:r>
        <w:rPr>
          <w:rFonts w:hint="eastAsia" w:ascii="宋体" w:hAnsi="宋体"/>
          <w:b/>
          <w:bCs/>
          <w:color w:val="000000"/>
          <w:sz w:val="24"/>
        </w:rPr>
        <w:t>专用合同条款</w:t>
      </w:r>
    </w:p>
    <w:p w14:paraId="6E0D458A">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b/>
          <w:bCs/>
          <w:color w:val="000000"/>
          <w:sz w:val="24"/>
        </w:rPr>
      </w:pPr>
      <w:r>
        <w:rPr>
          <w:rFonts w:hint="eastAsia" w:ascii="宋体" w:hAnsi="宋体"/>
          <w:b/>
          <w:bCs/>
          <w:color w:val="000000"/>
          <w:sz w:val="24"/>
        </w:rPr>
        <w:t>说 明：</w:t>
      </w:r>
    </w:p>
    <w:p w14:paraId="53221EB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 w:val="0"/>
          <w:bCs w:val="0"/>
          <w:color w:val="000000"/>
          <w:sz w:val="24"/>
        </w:rPr>
      </w:pPr>
      <w:r>
        <w:rPr>
          <w:rFonts w:hint="eastAsia" w:ascii="宋体" w:hAnsi="宋体"/>
          <w:b w:val="0"/>
          <w:bCs w:val="0"/>
          <w:color w:val="000000"/>
          <w:sz w:val="24"/>
        </w:rPr>
        <w:t>1.</w:t>
      </w:r>
      <w:r>
        <w:rPr>
          <w:rFonts w:hint="eastAsia" w:ascii="宋体" w:hAnsi="宋体"/>
          <w:b w:val="0"/>
          <w:bCs w:val="0"/>
          <w:color w:val="000000"/>
          <w:sz w:val="24"/>
          <w:lang w:eastAsia="zh-CN"/>
        </w:rPr>
        <w:t>采购人</w:t>
      </w:r>
      <w:r>
        <w:rPr>
          <w:rFonts w:hint="eastAsia" w:ascii="宋体" w:hAnsi="宋体"/>
          <w:b w:val="0"/>
          <w:bCs w:val="0"/>
          <w:color w:val="000000"/>
          <w:sz w:val="24"/>
        </w:rPr>
        <w:t>在根据《安徽省公路养护工程施工招标指南》编制项目</w:t>
      </w:r>
      <w:r>
        <w:rPr>
          <w:rFonts w:hint="eastAsia" w:ascii="宋体" w:hAnsi="宋体"/>
          <w:b w:val="0"/>
          <w:bCs w:val="0"/>
          <w:color w:val="000000"/>
          <w:sz w:val="24"/>
          <w:lang w:eastAsia="zh-CN"/>
        </w:rPr>
        <w:t>磋商文件</w:t>
      </w:r>
      <w:r>
        <w:rPr>
          <w:rFonts w:hint="eastAsia" w:ascii="宋体" w:hAnsi="宋体"/>
          <w:b w:val="0"/>
          <w:bCs w:val="0"/>
          <w:color w:val="000000"/>
          <w:sz w:val="24"/>
        </w:rPr>
        <w:t>中的“项目专用合同条款”时，可根据招标项目的具体特点和实际需要，对“通用合同条款”进行补充和细化，除“通用合同条款”明确“专用合同条款”可作出不同约定可作出不同约定外，补充和细化的内容不得与“通用合同条款”及“公路工程专用合同条款”强制性规定相抵触。同时，补充、细化或约定的内容，不得违反法律、行政法规的强制性规定和平等、自愿、公平和诚实信用原则。</w:t>
      </w:r>
    </w:p>
    <w:p w14:paraId="5ED1FF7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 w:val="0"/>
          <w:bCs w:val="0"/>
          <w:color w:val="000000"/>
          <w:sz w:val="24"/>
        </w:rPr>
      </w:pPr>
      <w:r>
        <w:rPr>
          <w:rFonts w:hint="eastAsia" w:ascii="宋体" w:hAnsi="宋体"/>
          <w:b w:val="0"/>
          <w:bCs w:val="0"/>
          <w:color w:val="000000"/>
          <w:sz w:val="24"/>
        </w:rPr>
        <w:t>2.项目专用合同条款的编号应与通用合同条款和</w:t>
      </w:r>
      <w:r>
        <w:rPr>
          <w:rFonts w:hint="eastAsia" w:ascii="宋体" w:hAnsi="宋体"/>
          <w:b w:val="0"/>
          <w:bCs w:val="0"/>
          <w:color w:val="000000"/>
          <w:sz w:val="24"/>
          <w:lang w:val="en-US" w:eastAsia="zh-CN"/>
        </w:rPr>
        <w:t>养护工程合同</w:t>
      </w:r>
      <w:r>
        <w:rPr>
          <w:rFonts w:hint="eastAsia" w:ascii="宋体" w:hAnsi="宋体"/>
          <w:b w:val="0"/>
          <w:bCs w:val="0"/>
          <w:color w:val="000000"/>
          <w:sz w:val="24"/>
        </w:rPr>
        <w:t>专用合同条款一致。</w:t>
      </w:r>
    </w:p>
    <w:p w14:paraId="22A4B9B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 w:val="0"/>
          <w:bCs w:val="0"/>
          <w:color w:val="000000"/>
          <w:sz w:val="24"/>
        </w:rPr>
      </w:pPr>
      <w:r>
        <w:rPr>
          <w:rFonts w:hint="eastAsia" w:ascii="宋体" w:hAnsi="宋体"/>
          <w:b w:val="0"/>
          <w:bCs w:val="0"/>
          <w:color w:val="000000"/>
          <w:sz w:val="24"/>
        </w:rPr>
        <w:t>3.项目专用合同条款可对下列内容进行补充和细化：</w:t>
      </w:r>
    </w:p>
    <w:p w14:paraId="388CF2E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 w:val="0"/>
          <w:bCs w:val="0"/>
          <w:color w:val="000000"/>
          <w:sz w:val="24"/>
        </w:rPr>
      </w:pPr>
      <w:r>
        <w:rPr>
          <w:rFonts w:hint="eastAsia" w:ascii="宋体" w:hAnsi="宋体"/>
          <w:b w:val="0"/>
          <w:bCs w:val="0"/>
          <w:color w:val="000000"/>
          <w:sz w:val="24"/>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457F897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b/>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2</w:t>
      </w:r>
      <w:r>
        <w:rPr>
          <w:rFonts w:hint="eastAsia" w:ascii="宋体" w:hAnsi="宋体"/>
          <w:b w:val="0"/>
          <w:bCs w:val="0"/>
          <w:color w:val="000000"/>
          <w:sz w:val="24"/>
        </w:rPr>
        <w:t>）其他需要</w:t>
      </w:r>
      <w:r>
        <w:rPr>
          <w:rFonts w:hint="eastAsia" w:ascii="宋体" w:hAnsi="宋体"/>
          <w:b w:val="0"/>
          <w:bCs w:val="0"/>
          <w:color w:val="000000"/>
          <w:sz w:val="24"/>
          <w:lang w:val="en-US" w:eastAsia="zh-CN"/>
        </w:rPr>
        <w:t>约定、</w:t>
      </w:r>
      <w:r>
        <w:rPr>
          <w:rFonts w:hint="eastAsia" w:ascii="宋体" w:hAnsi="宋体"/>
          <w:b w:val="0"/>
          <w:bCs w:val="0"/>
          <w:color w:val="000000"/>
          <w:sz w:val="24"/>
        </w:rPr>
        <w:t>补充、细化的内容</w:t>
      </w:r>
    </w:p>
    <w:p w14:paraId="24B3DEC6">
      <w:pPr>
        <w:spacing w:before="240" w:after="240" w:line="400" w:lineRule="exact"/>
        <w:jc w:val="center"/>
        <w:rPr>
          <w:rFonts w:hint="eastAsia" w:ascii="宋体" w:hAnsi="宋体"/>
          <w:b/>
          <w:bCs/>
          <w:color w:val="000000"/>
          <w:sz w:val="24"/>
        </w:rPr>
      </w:pPr>
      <w:r>
        <w:rPr>
          <w:rFonts w:hint="eastAsia" w:ascii="宋体" w:hAnsi="宋体"/>
          <w:b/>
          <w:bCs/>
          <w:color w:val="000000"/>
          <w:sz w:val="24"/>
        </w:rPr>
        <w:t xml:space="preserve"> 项目专用条款数据表</w:t>
      </w:r>
    </w:p>
    <w:p w14:paraId="20A3606A">
      <w:pPr>
        <w:spacing w:line="400" w:lineRule="exact"/>
        <w:ind w:firstLine="480" w:firstLineChars="200"/>
        <w:rPr>
          <w:rFonts w:hint="eastAsia" w:ascii="宋体" w:hAnsi="宋体" w:cs="宋体"/>
          <w:sz w:val="24"/>
        </w:rPr>
      </w:pPr>
      <w:r>
        <w:rPr>
          <w:rFonts w:hint="eastAsia" w:ascii="宋体" w:hAnsi="宋体" w:cs="宋体"/>
          <w:sz w:val="24"/>
        </w:rPr>
        <w:t>说明：本数据表是项目专用合同条款中适用于本项目的信息和数据的归纳与提示，是项目专用合同条款的组成部分。“</w:t>
      </w:r>
      <w:r>
        <w:rPr>
          <w:rFonts w:hint="eastAsia" w:ascii="宋体" w:hAnsi="宋体" w:cs="宋体"/>
          <w:sz w:val="24"/>
          <w:lang w:val="en-US" w:eastAsia="zh-CN"/>
        </w:rPr>
        <w:t>响应</w:t>
      </w:r>
      <w:r>
        <w:rPr>
          <w:rFonts w:hint="eastAsia" w:ascii="宋体" w:hAnsi="宋体" w:cs="宋体"/>
          <w:sz w:val="24"/>
        </w:rPr>
        <w:t>文件格式”的</w:t>
      </w:r>
      <w:r>
        <w:rPr>
          <w:rFonts w:hint="eastAsia" w:ascii="宋体" w:hAnsi="宋体" w:cs="宋体"/>
          <w:sz w:val="24"/>
          <w:lang w:val="en-US" w:eastAsia="zh-CN"/>
        </w:rPr>
        <w:t>响应</w:t>
      </w:r>
      <w:r>
        <w:rPr>
          <w:rFonts w:hint="eastAsia" w:ascii="宋体" w:hAnsi="宋体" w:cs="宋体"/>
          <w:sz w:val="24"/>
        </w:rPr>
        <w:t>函附录中的数据（供</w:t>
      </w:r>
      <w:r>
        <w:rPr>
          <w:rFonts w:hint="eastAsia" w:ascii="宋体" w:hAnsi="宋体" w:cs="宋体"/>
          <w:sz w:val="24"/>
          <w:lang w:val="en-US" w:eastAsia="zh-CN"/>
        </w:rPr>
        <w:t>供应商</w:t>
      </w:r>
      <w:r>
        <w:rPr>
          <w:rFonts w:hint="eastAsia" w:ascii="宋体" w:hAnsi="宋体" w:cs="宋体"/>
          <w:sz w:val="24"/>
        </w:rPr>
        <w:t>确认）与本表所列有重复。</w:t>
      </w:r>
    </w:p>
    <w:tbl>
      <w:tblPr>
        <w:tblStyle w:val="55"/>
        <w:tblW w:w="9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4"/>
        <w:gridCol w:w="1334"/>
        <w:gridCol w:w="7738"/>
      </w:tblGrid>
      <w:tr w14:paraId="23633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34" w:type="dxa"/>
            <w:noWrap w:val="0"/>
            <w:vAlign w:val="center"/>
          </w:tcPr>
          <w:p w14:paraId="0D810BC3">
            <w:pPr>
              <w:spacing w:line="400" w:lineRule="exact"/>
              <w:jc w:val="center"/>
              <w:rPr>
                <w:rFonts w:hint="eastAsia" w:ascii="宋体" w:hAnsi="宋体" w:cs="宋体"/>
                <w:b/>
                <w:sz w:val="24"/>
              </w:rPr>
            </w:pPr>
            <w:r>
              <w:rPr>
                <w:rFonts w:hint="eastAsia" w:ascii="宋体" w:hAnsi="宋体" w:cs="宋体"/>
                <w:b/>
                <w:sz w:val="24"/>
              </w:rPr>
              <w:t>序号</w:t>
            </w:r>
          </w:p>
        </w:tc>
        <w:tc>
          <w:tcPr>
            <w:tcW w:w="1334" w:type="dxa"/>
            <w:noWrap w:val="0"/>
            <w:vAlign w:val="center"/>
          </w:tcPr>
          <w:p w14:paraId="10A7F7ED">
            <w:pPr>
              <w:spacing w:line="400" w:lineRule="exact"/>
              <w:jc w:val="center"/>
              <w:rPr>
                <w:rFonts w:hint="eastAsia" w:ascii="宋体" w:hAnsi="宋体" w:cs="宋体"/>
                <w:b/>
                <w:sz w:val="24"/>
              </w:rPr>
            </w:pPr>
            <w:r>
              <w:rPr>
                <w:rFonts w:hint="eastAsia" w:ascii="宋体" w:hAnsi="宋体" w:cs="宋体"/>
                <w:b/>
                <w:sz w:val="24"/>
              </w:rPr>
              <w:t>条款号</w:t>
            </w:r>
          </w:p>
        </w:tc>
        <w:tc>
          <w:tcPr>
            <w:tcW w:w="7738" w:type="dxa"/>
            <w:noWrap w:val="0"/>
            <w:vAlign w:val="center"/>
          </w:tcPr>
          <w:p w14:paraId="1C08BECF">
            <w:pPr>
              <w:spacing w:line="400" w:lineRule="exact"/>
              <w:jc w:val="center"/>
              <w:rPr>
                <w:rFonts w:hint="eastAsia" w:ascii="宋体" w:hAnsi="宋体" w:cs="宋体"/>
                <w:b/>
                <w:sz w:val="24"/>
              </w:rPr>
            </w:pPr>
            <w:r>
              <w:rPr>
                <w:rFonts w:hint="eastAsia" w:ascii="宋体" w:hAnsi="宋体" w:cs="宋体"/>
                <w:b/>
                <w:sz w:val="24"/>
              </w:rPr>
              <w:t>信息或数据</w:t>
            </w:r>
          </w:p>
        </w:tc>
      </w:tr>
      <w:tr w14:paraId="3E8B2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1AC9F412">
            <w:pPr>
              <w:spacing w:line="440" w:lineRule="exact"/>
              <w:jc w:val="center"/>
              <w:rPr>
                <w:rFonts w:hint="eastAsia" w:ascii="宋体" w:hAnsi="宋体" w:cs="宋体"/>
                <w:sz w:val="24"/>
              </w:rPr>
            </w:pPr>
            <w:r>
              <w:rPr>
                <w:rFonts w:hint="eastAsia" w:ascii="宋体" w:hAnsi="宋体" w:cs="宋体"/>
                <w:sz w:val="24"/>
              </w:rPr>
              <w:t>1</w:t>
            </w:r>
          </w:p>
        </w:tc>
        <w:tc>
          <w:tcPr>
            <w:tcW w:w="1334" w:type="dxa"/>
            <w:noWrap w:val="0"/>
            <w:vAlign w:val="center"/>
          </w:tcPr>
          <w:p w14:paraId="6A308235">
            <w:pPr>
              <w:spacing w:line="500" w:lineRule="exact"/>
              <w:jc w:val="center"/>
              <w:rPr>
                <w:rFonts w:hint="eastAsia" w:ascii="宋体" w:hAnsi="宋体" w:cs="宋体"/>
                <w:sz w:val="24"/>
              </w:rPr>
            </w:pPr>
            <w:r>
              <w:rPr>
                <w:rFonts w:hint="eastAsia" w:ascii="宋体" w:hAnsi="宋体" w:cs="宋体"/>
                <w:sz w:val="24"/>
              </w:rPr>
              <w:t>1.1.2.2</w:t>
            </w:r>
          </w:p>
        </w:tc>
        <w:tc>
          <w:tcPr>
            <w:tcW w:w="7738" w:type="dxa"/>
            <w:noWrap w:val="0"/>
            <w:vAlign w:val="center"/>
          </w:tcPr>
          <w:p w14:paraId="2D3FDA55">
            <w:pPr>
              <w:spacing w:line="500" w:lineRule="exact"/>
              <w:rPr>
                <w:rFonts w:hint="eastAsia" w:ascii="宋体" w:hAnsi="宋体" w:eastAsia="宋体" w:cs="宋体"/>
                <w:sz w:val="24"/>
                <w:lang w:eastAsia="zh-CN"/>
              </w:rPr>
            </w:pPr>
            <w:r>
              <w:rPr>
                <w:rFonts w:hint="eastAsia" w:ascii="宋体" w:hAnsi="宋体" w:cs="宋体"/>
                <w:sz w:val="24"/>
              </w:rPr>
              <w:t>发 包 人：</w:t>
            </w:r>
            <w:r>
              <w:rPr>
                <w:rFonts w:hint="eastAsia" w:ascii="宋体" w:hAnsi="宋体" w:cs="宋体"/>
                <w:sz w:val="24"/>
                <w:lang w:eastAsia="zh-CN"/>
              </w:rPr>
              <w:t>滁州市公路管理服务中心</w:t>
            </w:r>
          </w:p>
          <w:p w14:paraId="271A7A3D">
            <w:pPr>
              <w:spacing w:line="500" w:lineRule="exact"/>
              <w:rPr>
                <w:rFonts w:hint="eastAsia" w:ascii="宋体" w:hAnsi="宋体" w:cs="宋体"/>
                <w:sz w:val="24"/>
              </w:rPr>
            </w:pPr>
            <w:r>
              <w:rPr>
                <w:rFonts w:hint="eastAsia" w:ascii="宋体" w:hAnsi="宋体" w:cs="宋体"/>
                <w:sz w:val="24"/>
              </w:rPr>
              <w:t>地    址：</w:t>
            </w:r>
            <w:r>
              <w:rPr>
                <w:rFonts w:hint="eastAsia" w:ascii="宋体" w:hAnsi="宋体" w:cs="宋体"/>
                <w:sz w:val="24"/>
                <w:lang w:eastAsia="zh-CN"/>
              </w:rPr>
              <w:t>滁州市龙蟠大道200号</w:t>
            </w:r>
            <w:r>
              <w:rPr>
                <w:rFonts w:hint="eastAsia" w:ascii="宋体" w:hAnsi="宋体" w:cs="宋体"/>
                <w:sz w:val="24"/>
              </w:rPr>
              <w:t xml:space="preserve">    邮政编码：239000</w:t>
            </w:r>
          </w:p>
        </w:tc>
      </w:tr>
      <w:tr w14:paraId="453E2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39D571BD">
            <w:pPr>
              <w:spacing w:line="440" w:lineRule="exact"/>
              <w:jc w:val="center"/>
              <w:rPr>
                <w:rFonts w:hint="eastAsia" w:ascii="宋体" w:hAnsi="宋体" w:cs="宋体"/>
                <w:sz w:val="24"/>
              </w:rPr>
            </w:pPr>
            <w:r>
              <w:rPr>
                <w:rFonts w:hint="eastAsia" w:ascii="宋体" w:hAnsi="宋体" w:cs="宋体"/>
                <w:sz w:val="24"/>
              </w:rPr>
              <w:t>2</w:t>
            </w:r>
          </w:p>
        </w:tc>
        <w:tc>
          <w:tcPr>
            <w:tcW w:w="1334" w:type="dxa"/>
            <w:noWrap w:val="0"/>
            <w:vAlign w:val="center"/>
          </w:tcPr>
          <w:p w14:paraId="0909B9B1">
            <w:pPr>
              <w:spacing w:line="500" w:lineRule="exact"/>
              <w:jc w:val="center"/>
              <w:rPr>
                <w:rFonts w:hint="eastAsia" w:ascii="宋体" w:hAnsi="宋体" w:cs="宋体"/>
                <w:sz w:val="24"/>
              </w:rPr>
            </w:pPr>
            <w:r>
              <w:rPr>
                <w:rFonts w:hint="eastAsia" w:ascii="宋体" w:hAnsi="宋体" w:cs="宋体"/>
                <w:sz w:val="24"/>
              </w:rPr>
              <w:t>1.1.2.6</w:t>
            </w:r>
          </w:p>
        </w:tc>
        <w:tc>
          <w:tcPr>
            <w:tcW w:w="7738" w:type="dxa"/>
            <w:noWrap w:val="0"/>
            <w:vAlign w:val="center"/>
          </w:tcPr>
          <w:p w14:paraId="1B8F4C80">
            <w:pPr>
              <w:spacing w:line="500" w:lineRule="exact"/>
              <w:rPr>
                <w:rFonts w:hint="eastAsia" w:ascii="宋体" w:hAnsi="宋体" w:cs="宋体"/>
                <w:sz w:val="24"/>
              </w:rPr>
            </w:pPr>
            <w:r>
              <w:rPr>
                <w:rFonts w:hint="eastAsia" w:ascii="宋体" w:hAnsi="宋体" w:cs="宋体"/>
                <w:sz w:val="24"/>
              </w:rPr>
              <w:t>监 理 人：发包人另行通知</w:t>
            </w:r>
          </w:p>
          <w:p w14:paraId="6411BEC9">
            <w:pPr>
              <w:spacing w:line="500" w:lineRule="exact"/>
              <w:rPr>
                <w:rFonts w:hint="eastAsia" w:ascii="宋体" w:hAnsi="宋体" w:cs="宋体"/>
                <w:sz w:val="24"/>
              </w:rPr>
            </w:pPr>
            <w:r>
              <w:rPr>
                <w:rFonts w:hint="eastAsia" w:ascii="宋体" w:hAnsi="宋体" w:cs="宋体"/>
                <w:sz w:val="24"/>
              </w:rPr>
              <w:t>地    址：                        邮政编码：</w:t>
            </w:r>
          </w:p>
        </w:tc>
      </w:tr>
      <w:tr w14:paraId="7F970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734" w:type="dxa"/>
            <w:noWrap w:val="0"/>
            <w:vAlign w:val="center"/>
          </w:tcPr>
          <w:p w14:paraId="03751965">
            <w:pPr>
              <w:spacing w:line="440" w:lineRule="exact"/>
              <w:jc w:val="center"/>
              <w:rPr>
                <w:rFonts w:hint="eastAsia" w:ascii="宋体" w:hAnsi="宋体" w:cs="宋体"/>
                <w:sz w:val="24"/>
              </w:rPr>
            </w:pPr>
            <w:r>
              <w:rPr>
                <w:rFonts w:hint="eastAsia" w:ascii="宋体" w:hAnsi="宋体" w:cs="宋体"/>
                <w:sz w:val="24"/>
              </w:rPr>
              <w:t>3</w:t>
            </w:r>
          </w:p>
        </w:tc>
        <w:tc>
          <w:tcPr>
            <w:tcW w:w="1334" w:type="dxa"/>
            <w:noWrap w:val="0"/>
            <w:vAlign w:val="center"/>
          </w:tcPr>
          <w:p w14:paraId="7E9C92A2">
            <w:pPr>
              <w:spacing w:line="500" w:lineRule="exact"/>
              <w:jc w:val="center"/>
              <w:rPr>
                <w:rFonts w:hint="eastAsia" w:ascii="宋体" w:hAnsi="宋体" w:cs="宋体"/>
                <w:sz w:val="24"/>
              </w:rPr>
            </w:pPr>
            <w:r>
              <w:rPr>
                <w:rFonts w:hint="eastAsia" w:ascii="宋体" w:hAnsi="宋体" w:cs="宋体"/>
                <w:sz w:val="24"/>
              </w:rPr>
              <w:t>1.1.4.5</w:t>
            </w:r>
          </w:p>
        </w:tc>
        <w:tc>
          <w:tcPr>
            <w:tcW w:w="7738" w:type="dxa"/>
            <w:noWrap w:val="0"/>
            <w:vAlign w:val="center"/>
          </w:tcPr>
          <w:p w14:paraId="62626B9D">
            <w:pPr>
              <w:spacing w:line="500" w:lineRule="exact"/>
              <w:rPr>
                <w:rFonts w:hint="eastAsia" w:ascii="宋体" w:hAnsi="宋体" w:cs="宋体"/>
                <w:sz w:val="24"/>
              </w:rPr>
            </w:pPr>
            <w:r>
              <w:rPr>
                <w:rFonts w:hint="eastAsia" w:ascii="宋体" w:hAnsi="宋体" w:cs="宋体"/>
                <w:sz w:val="24"/>
              </w:rPr>
              <w:t>缺陷责任期自交工验收日期起计算</w:t>
            </w:r>
            <w:r>
              <w:rPr>
                <w:rFonts w:hint="eastAsia" w:ascii="宋体" w:hAnsi="宋体" w:cs="宋体"/>
                <w:sz w:val="24"/>
                <w:u w:val="single"/>
                <w:lang w:val="en-US" w:eastAsia="zh-CN"/>
              </w:rPr>
              <w:t>12个</w:t>
            </w:r>
            <w:r>
              <w:rPr>
                <w:rFonts w:hint="eastAsia" w:ascii="宋体" w:hAnsi="宋体" w:cs="宋体"/>
                <w:sz w:val="24"/>
                <w:lang w:val="en-US" w:eastAsia="zh-CN"/>
              </w:rPr>
              <w:t>月</w:t>
            </w:r>
            <w:r>
              <w:rPr>
                <w:rFonts w:hint="eastAsia" w:ascii="宋体" w:hAnsi="宋体" w:cs="宋体"/>
                <w:sz w:val="24"/>
              </w:rPr>
              <w:t>。</w:t>
            </w:r>
          </w:p>
        </w:tc>
      </w:tr>
      <w:tr w14:paraId="2A94F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734" w:type="dxa"/>
            <w:noWrap w:val="0"/>
            <w:vAlign w:val="center"/>
          </w:tcPr>
          <w:p w14:paraId="256B5E2C">
            <w:pPr>
              <w:spacing w:line="440" w:lineRule="exact"/>
              <w:jc w:val="center"/>
              <w:rPr>
                <w:rFonts w:hint="eastAsia" w:ascii="宋体" w:hAnsi="宋体" w:cs="宋体"/>
                <w:sz w:val="24"/>
              </w:rPr>
            </w:pPr>
            <w:r>
              <w:rPr>
                <w:rFonts w:hint="eastAsia" w:ascii="宋体" w:hAnsi="宋体" w:cs="宋体"/>
                <w:sz w:val="24"/>
              </w:rPr>
              <w:t>4</w:t>
            </w:r>
          </w:p>
        </w:tc>
        <w:tc>
          <w:tcPr>
            <w:tcW w:w="1334" w:type="dxa"/>
            <w:noWrap w:val="0"/>
            <w:vAlign w:val="center"/>
          </w:tcPr>
          <w:p w14:paraId="38A2EBA3">
            <w:pPr>
              <w:spacing w:line="500" w:lineRule="exact"/>
              <w:jc w:val="center"/>
              <w:rPr>
                <w:rFonts w:hint="eastAsia" w:ascii="宋体" w:hAnsi="宋体" w:cs="宋体"/>
                <w:sz w:val="24"/>
              </w:rPr>
            </w:pPr>
            <w:r>
              <w:rPr>
                <w:rFonts w:hint="eastAsia" w:ascii="宋体" w:hAnsi="宋体" w:cs="宋体"/>
                <w:sz w:val="24"/>
              </w:rPr>
              <w:t>1.6.3</w:t>
            </w:r>
          </w:p>
        </w:tc>
        <w:tc>
          <w:tcPr>
            <w:tcW w:w="7738" w:type="dxa"/>
            <w:noWrap w:val="0"/>
            <w:vAlign w:val="center"/>
          </w:tcPr>
          <w:p w14:paraId="273B1031">
            <w:pPr>
              <w:spacing w:line="500" w:lineRule="exact"/>
              <w:rPr>
                <w:rFonts w:hint="eastAsia" w:ascii="宋体" w:hAnsi="宋体" w:cs="宋体"/>
                <w:sz w:val="24"/>
              </w:rPr>
            </w:pPr>
            <w:r>
              <w:rPr>
                <w:rFonts w:hint="eastAsia" w:ascii="宋体" w:hAnsi="宋体" w:cs="宋体"/>
                <w:sz w:val="24"/>
              </w:rPr>
              <w:t>图纸需要修改和补充的，应由监理人取得发包人同意后，在该项工程或工程相应部位施工前</w:t>
            </w:r>
            <w:r>
              <w:rPr>
                <w:rFonts w:hint="eastAsia" w:ascii="宋体" w:hAnsi="宋体" w:cs="宋体"/>
                <w:sz w:val="24"/>
                <w:u w:val="single"/>
              </w:rPr>
              <w:t>7</w:t>
            </w:r>
            <w:r>
              <w:rPr>
                <w:rFonts w:hint="eastAsia" w:ascii="宋体" w:hAnsi="宋体" w:cs="宋体"/>
                <w:sz w:val="24"/>
              </w:rPr>
              <w:t>天签发图纸修改图给承包人.</w:t>
            </w:r>
          </w:p>
        </w:tc>
      </w:tr>
      <w:tr w14:paraId="229EA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5B838EA7">
            <w:pPr>
              <w:spacing w:line="440" w:lineRule="exact"/>
              <w:jc w:val="center"/>
              <w:rPr>
                <w:rFonts w:hint="eastAsia" w:ascii="宋体" w:hAnsi="宋体" w:cs="宋体"/>
                <w:sz w:val="24"/>
              </w:rPr>
            </w:pPr>
            <w:r>
              <w:rPr>
                <w:rFonts w:hint="eastAsia" w:ascii="宋体" w:hAnsi="宋体" w:cs="宋体"/>
                <w:sz w:val="24"/>
              </w:rPr>
              <w:t>5</w:t>
            </w:r>
          </w:p>
        </w:tc>
        <w:tc>
          <w:tcPr>
            <w:tcW w:w="1334" w:type="dxa"/>
            <w:noWrap w:val="0"/>
            <w:vAlign w:val="center"/>
          </w:tcPr>
          <w:p w14:paraId="22D6E3CF">
            <w:pPr>
              <w:spacing w:line="500" w:lineRule="exact"/>
              <w:jc w:val="center"/>
              <w:rPr>
                <w:rFonts w:hint="eastAsia" w:ascii="宋体" w:hAnsi="宋体" w:cs="宋体"/>
                <w:sz w:val="24"/>
              </w:rPr>
            </w:pPr>
            <w:r>
              <w:rPr>
                <w:rFonts w:hint="eastAsia" w:ascii="宋体" w:hAnsi="宋体" w:cs="宋体"/>
                <w:sz w:val="24"/>
              </w:rPr>
              <w:t>3.1.1</w:t>
            </w:r>
          </w:p>
        </w:tc>
        <w:tc>
          <w:tcPr>
            <w:tcW w:w="7738" w:type="dxa"/>
            <w:noWrap w:val="0"/>
            <w:vAlign w:val="center"/>
          </w:tcPr>
          <w:p w14:paraId="7885F373">
            <w:pPr>
              <w:spacing w:line="500" w:lineRule="exact"/>
              <w:rPr>
                <w:rFonts w:hint="eastAsia" w:ascii="宋体" w:hAnsi="宋体" w:cs="宋体"/>
                <w:sz w:val="24"/>
              </w:rPr>
            </w:pPr>
            <w:r>
              <w:rPr>
                <w:rFonts w:hint="eastAsia" w:ascii="宋体" w:hAnsi="宋体" w:cs="宋体"/>
                <w:sz w:val="24"/>
              </w:rPr>
              <w:t>监理人在行使下列权力前需要经发包人事先批准：</w:t>
            </w:r>
          </w:p>
          <w:p w14:paraId="77D7E503">
            <w:pPr>
              <w:numPr>
                <w:ilvl w:val="0"/>
                <w:numId w:val="2"/>
              </w:numPr>
              <w:spacing w:line="500" w:lineRule="exact"/>
              <w:rPr>
                <w:rFonts w:hint="eastAsia" w:ascii="宋体" w:hAnsi="宋体" w:cs="宋体"/>
                <w:sz w:val="24"/>
                <w:lang w:val="en-US" w:eastAsia="zh-CN"/>
              </w:rPr>
            </w:pPr>
            <w:r>
              <w:rPr>
                <w:rFonts w:hint="eastAsia" w:ascii="宋体" w:hAnsi="宋体" w:cs="宋体"/>
                <w:sz w:val="24"/>
                <w:lang w:val="en-US" w:eastAsia="zh-CN"/>
              </w:rPr>
              <w:t>根据第15.3款发出的变更指示，其单项工程变更涉及的金额超过了该单项工程签约时合同价的</w:t>
            </w:r>
            <w:r>
              <w:rPr>
                <w:rFonts w:hint="eastAsia" w:ascii="宋体" w:hAnsi="宋体" w:cs="宋体"/>
                <w:sz w:val="24"/>
                <w:u w:val="single"/>
                <w:lang w:val="en-US" w:eastAsia="zh-CN"/>
              </w:rPr>
              <w:t xml:space="preserve"> / </w:t>
            </w:r>
            <w:r>
              <w:rPr>
                <w:rFonts w:hint="eastAsia" w:ascii="宋体" w:hAnsi="宋体" w:cs="宋体"/>
                <w:sz w:val="24"/>
                <w:lang w:val="en-US" w:eastAsia="zh-CN"/>
              </w:rPr>
              <w:t xml:space="preserve"> %或累计变更超过了签约合同价的</w:t>
            </w:r>
            <w:r>
              <w:rPr>
                <w:rFonts w:hint="eastAsia" w:ascii="宋体" w:hAnsi="宋体" w:cs="宋体"/>
                <w:sz w:val="24"/>
                <w:u w:val="single"/>
                <w:lang w:val="en-US" w:eastAsia="zh-CN"/>
              </w:rPr>
              <w:t xml:space="preserve"> / </w:t>
            </w:r>
            <w:r>
              <w:rPr>
                <w:rFonts w:hint="eastAsia" w:ascii="宋体" w:hAnsi="宋体" w:cs="宋体"/>
                <w:sz w:val="24"/>
                <w:lang w:val="en-US" w:eastAsia="zh-CN"/>
              </w:rPr>
              <w:t xml:space="preserve"> %.</w:t>
            </w:r>
          </w:p>
          <w:p w14:paraId="7AD64AC0">
            <w:pPr>
              <w:numPr>
                <w:ilvl w:val="0"/>
                <w:numId w:val="0"/>
              </w:numPr>
              <w:spacing w:line="500" w:lineRule="exact"/>
              <w:rPr>
                <w:rFonts w:hint="eastAsia" w:ascii="宋体" w:hAnsi="宋体" w:cs="宋体"/>
                <w:sz w:val="24"/>
              </w:rPr>
            </w:pPr>
            <w:r>
              <w:rPr>
                <w:rFonts w:hint="eastAsia" w:ascii="宋体" w:hAnsi="宋体" w:cs="宋体"/>
                <w:sz w:val="24"/>
                <w:lang w:val="en-US" w:eastAsia="zh-CN"/>
              </w:rPr>
              <w:t>补充：</w:t>
            </w:r>
            <w:r>
              <w:rPr>
                <w:rFonts w:hint="eastAsia" w:ascii="宋体" w:hAnsi="宋体" w:cs="宋体"/>
                <w:sz w:val="24"/>
              </w:rPr>
              <w:t>监理人签发变更令需要经发包人事先批准</w:t>
            </w:r>
          </w:p>
        </w:tc>
      </w:tr>
      <w:tr w14:paraId="469F5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6162B2C">
            <w:pPr>
              <w:spacing w:line="440" w:lineRule="exact"/>
              <w:jc w:val="center"/>
              <w:rPr>
                <w:rFonts w:hint="eastAsia" w:ascii="宋体" w:hAnsi="宋体" w:cs="宋体"/>
                <w:sz w:val="24"/>
              </w:rPr>
            </w:pPr>
            <w:r>
              <w:rPr>
                <w:rFonts w:hint="eastAsia" w:ascii="宋体" w:hAnsi="宋体" w:cs="宋体"/>
                <w:sz w:val="24"/>
              </w:rPr>
              <w:t>6</w:t>
            </w:r>
          </w:p>
        </w:tc>
        <w:tc>
          <w:tcPr>
            <w:tcW w:w="1334" w:type="dxa"/>
            <w:noWrap w:val="0"/>
            <w:vAlign w:val="center"/>
          </w:tcPr>
          <w:p w14:paraId="2DBC0C3C">
            <w:pPr>
              <w:spacing w:line="500" w:lineRule="exact"/>
              <w:jc w:val="center"/>
              <w:rPr>
                <w:rFonts w:hint="eastAsia" w:ascii="宋体" w:hAnsi="宋体" w:cs="宋体"/>
                <w:sz w:val="24"/>
              </w:rPr>
            </w:pPr>
            <w:r>
              <w:rPr>
                <w:rFonts w:hint="eastAsia" w:ascii="宋体" w:hAnsi="宋体" w:cs="宋体"/>
                <w:sz w:val="24"/>
              </w:rPr>
              <w:t>5.2.1</w:t>
            </w:r>
          </w:p>
        </w:tc>
        <w:tc>
          <w:tcPr>
            <w:tcW w:w="7738" w:type="dxa"/>
            <w:noWrap w:val="0"/>
            <w:vAlign w:val="center"/>
          </w:tcPr>
          <w:p w14:paraId="40ADD909">
            <w:pPr>
              <w:spacing w:line="500" w:lineRule="exact"/>
              <w:rPr>
                <w:rFonts w:hint="eastAsia" w:ascii="宋体" w:hAnsi="宋体" w:cs="宋体"/>
                <w:sz w:val="24"/>
                <w:u w:val="single"/>
              </w:rPr>
            </w:pPr>
            <w:r>
              <w:rPr>
                <w:rFonts w:hint="eastAsia" w:ascii="宋体" w:hAnsi="宋体" w:cs="宋体"/>
                <w:sz w:val="24"/>
              </w:rPr>
              <w:t>发包人是否提供材料或工程设备：</w:t>
            </w:r>
            <w:r>
              <w:rPr>
                <w:rFonts w:hint="eastAsia" w:ascii="宋体" w:hAnsi="宋体" w:cs="宋体"/>
                <w:sz w:val="24"/>
                <w:u w:val="single"/>
              </w:rPr>
              <w:t>否</w:t>
            </w:r>
            <w:r>
              <w:rPr>
                <w:rFonts w:hint="eastAsia" w:ascii="宋体" w:hAnsi="宋体" w:cs="宋体"/>
                <w:sz w:val="24"/>
              </w:rPr>
              <w:t>。</w:t>
            </w:r>
          </w:p>
        </w:tc>
      </w:tr>
      <w:tr w14:paraId="2971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33F73A14">
            <w:pPr>
              <w:spacing w:line="440" w:lineRule="exact"/>
              <w:jc w:val="center"/>
              <w:rPr>
                <w:rFonts w:hint="eastAsia" w:ascii="宋体" w:hAnsi="宋体" w:cs="宋体"/>
                <w:sz w:val="24"/>
              </w:rPr>
            </w:pPr>
            <w:r>
              <w:rPr>
                <w:rFonts w:hint="eastAsia" w:ascii="宋体" w:hAnsi="宋体" w:cs="宋体"/>
                <w:sz w:val="24"/>
              </w:rPr>
              <w:t>7</w:t>
            </w:r>
          </w:p>
        </w:tc>
        <w:tc>
          <w:tcPr>
            <w:tcW w:w="1334" w:type="dxa"/>
            <w:noWrap w:val="0"/>
            <w:vAlign w:val="center"/>
          </w:tcPr>
          <w:p w14:paraId="1A85CAD2">
            <w:pPr>
              <w:spacing w:line="500" w:lineRule="exact"/>
              <w:jc w:val="center"/>
              <w:rPr>
                <w:rFonts w:hint="eastAsia" w:ascii="宋体" w:hAnsi="宋体" w:cs="宋体"/>
                <w:sz w:val="24"/>
              </w:rPr>
            </w:pPr>
            <w:r>
              <w:rPr>
                <w:rFonts w:hint="eastAsia" w:ascii="宋体" w:hAnsi="宋体" w:cs="宋体"/>
                <w:sz w:val="24"/>
              </w:rPr>
              <w:t>6.2</w:t>
            </w:r>
          </w:p>
        </w:tc>
        <w:tc>
          <w:tcPr>
            <w:tcW w:w="7738" w:type="dxa"/>
            <w:noWrap w:val="0"/>
            <w:vAlign w:val="center"/>
          </w:tcPr>
          <w:p w14:paraId="5B639A52">
            <w:pPr>
              <w:spacing w:line="500" w:lineRule="exact"/>
              <w:rPr>
                <w:rFonts w:hint="eastAsia" w:ascii="宋体" w:hAnsi="宋体" w:cs="宋体"/>
                <w:sz w:val="24"/>
              </w:rPr>
            </w:pPr>
            <w:r>
              <w:rPr>
                <w:rFonts w:hint="eastAsia" w:ascii="宋体" w:hAnsi="宋体" w:cs="宋体"/>
                <w:sz w:val="24"/>
              </w:rPr>
              <w:t>发包人是否提供施工设备和临时设施：</w:t>
            </w:r>
            <w:r>
              <w:rPr>
                <w:rFonts w:hint="eastAsia" w:ascii="宋体" w:hAnsi="宋体" w:cs="宋体"/>
                <w:sz w:val="24"/>
                <w:u w:val="single"/>
              </w:rPr>
              <w:t>否</w:t>
            </w:r>
          </w:p>
        </w:tc>
      </w:tr>
      <w:tr w14:paraId="6B349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5E34A133">
            <w:pPr>
              <w:spacing w:line="440" w:lineRule="exact"/>
              <w:jc w:val="center"/>
              <w:rPr>
                <w:rFonts w:hint="eastAsia" w:ascii="宋体" w:hAnsi="宋体" w:cs="宋体"/>
                <w:sz w:val="24"/>
              </w:rPr>
            </w:pPr>
            <w:r>
              <w:rPr>
                <w:rFonts w:hint="eastAsia" w:ascii="宋体" w:hAnsi="宋体" w:cs="宋体"/>
                <w:sz w:val="24"/>
              </w:rPr>
              <w:t>8</w:t>
            </w:r>
          </w:p>
        </w:tc>
        <w:tc>
          <w:tcPr>
            <w:tcW w:w="1334" w:type="dxa"/>
            <w:noWrap w:val="0"/>
            <w:vAlign w:val="center"/>
          </w:tcPr>
          <w:p w14:paraId="26F22D2D">
            <w:pPr>
              <w:spacing w:line="500" w:lineRule="exact"/>
              <w:jc w:val="center"/>
              <w:rPr>
                <w:rFonts w:hint="eastAsia" w:ascii="宋体" w:hAnsi="宋体" w:cs="宋体"/>
                <w:sz w:val="24"/>
              </w:rPr>
            </w:pPr>
            <w:r>
              <w:rPr>
                <w:rFonts w:hint="eastAsia" w:ascii="宋体" w:hAnsi="宋体" w:cs="宋体"/>
                <w:sz w:val="24"/>
              </w:rPr>
              <w:t>8.1.1</w:t>
            </w:r>
          </w:p>
        </w:tc>
        <w:tc>
          <w:tcPr>
            <w:tcW w:w="7738" w:type="dxa"/>
            <w:noWrap w:val="0"/>
            <w:vAlign w:val="center"/>
          </w:tcPr>
          <w:p w14:paraId="2E07019A">
            <w:pPr>
              <w:spacing w:line="500" w:lineRule="exact"/>
              <w:rPr>
                <w:rFonts w:hint="eastAsia" w:ascii="宋体" w:hAnsi="宋体" w:cs="宋体"/>
                <w:sz w:val="24"/>
              </w:rPr>
            </w:pPr>
            <w:r>
              <w:rPr>
                <w:rFonts w:hint="eastAsia" w:ascii="宋体" w:hAnsi="宋体" w:cs="宋体"/>
                <w:sz w:val="24"/>
              </w:rPr>
              <w:t>发包人提供测量基准点、基准点和水准点及其书面资料的期限：</w:t>
            </w:r>
            <w:r>
              <w:rPr>
                <w:rFonts w:hint="eastAsia" w:ascii="宋体" w:hAnsi="宋体" w:cs="宋体"/>
                <w:sz w:val="24"/>
                <w:u w:val="single"/>
              </w:rPr>
              <w:t xml:space="preserve"> 工程开工10天前</w:t>
            </w:r>
          </w:p>
          <w:p w14:paraId="74E37C66">
            <w:pPr>
              <w:spacing w:line="500" w:lineRule="exact"/>
              <w:rPr>
                <w:rFonts w:hint="eastAsia" w:ascii="宋体" w:hAnsi="宋体" w:cs="宋体"/>
                <w:sz w:val="24"/>
              </w:rPr>
            </w:pPr>
            <w:r>
              <w:rPr>
                <w:rFonts w:hint="eastAsia" w:ascii="宋体" w:hAnsi="宋体" w:cs="宋体"/>
                <w:sz w:val="24"/>
              </w:rPr>
              <w:t>承包人将施工控制网资料报送监理人审批的期限：</w:t>
            </w:r>
            <w:r>
              <w:rPr>
                <w:rFonts w:hint="eastAsia" w:ascii="宋体" w:hAnsi="宋体" w:cs="宋体"/>
                <w:sz w:val="24"/>
                <w:u w:val="single"/>
              </w:rPr>
              <w:t xml:space="preserve"> 工程开工7天前</w:t>
            </w:r>
          </w:p>
        </w:tc>
      </w:tr>
      <w:tr w14:paraId="4D94D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C12BB08">
            <w:pPr>
              <w:spacing w:line="440" w:lineRule="exact"/>
              <w:jc w:val="center"/>
              <w:rPr>
                <w:rFonts w:hint="eastAsia" w:ascii="宋体" w:hAnsi="宋体" w:cs="宋体"/>
                <w:sz w:val="24"/>
              </w:rPr>
            </w:pPr>
            <w:r>
              <w:rPr>
                <w:rFonts w:hint="eastAsia" w:ascii="宋体" w:hAnsi="宋体" w:cs="宋体"/>
                <w:sz w:val="24"/>
              </w:rPr>
              <w:t>9</w:t>
            </w:r>
          </w:p>
        </w:tc>
        <w:tc>
          <w:tcPr>
            <w:tcW w:w="1334" w:type="dxa"/>
            <w:noWrap w:val="0"/>
            <w:vAlign w:val="center"/>
          </w:tcPr>
          <w:p w14:paraId="363EB86D">
            <w:pPr>
              <w:spacing w:line="500" w:lineRule="exact"/>
              <w:jc w:val="center"/>
              <w:rPr>
                <w:rFonts w:hint="eastAsia" w:ascii="宋体" w:hAnsi="宋体" w:cs="宋体"/>
                <w:sz w:val="24"/>
              </w:rPr>
            </w:pPr>
            <w:r>
              <w:rPr>
                <w:rFonts w:hint="eastAsia" w:ascii="宋体" w:hAnsi="宋体" w:cs="宋体"/>
                <w:sz w:val="24"/>
              </w:rPr>
              <w:t>11.5（3）</w:t>
            </w:r>
          </w:p>
        </w:tc>
        <w:tc>
          <w:tcPr>
            <w:tcW w:w="7738" w:type="dxa"/>
            <w:noWrap w:val="0"/>
            <w:vAlign w:val="center"/>
          </w:tcPr>
          <w:p w14:paraId="26E855E3">
            <w:pPr>
              <w:spacing w:line="500" w:lineRule="exact"/>
              <w:rPr>
                <w:rFonts w:hint="eastAsia" w:ascii="宋体" w:hAnsi="宋体" w:cs="宋体"/>
                <w:sz w:val="24"/>
              </w:rPr>
            </w:pPr>
            <w:r>
              <w:rPr>
                <w:rFonts w:hint="eastAsia" w:ascii="宋体" w:hAnsi="宋体" w:cs="宋体"/>
                <w:sz w:val="24"/>
              </w:rPr>
              <w:t>逾期交工违约金：</w:t>
            </w:r>
            <w:r>
              <w:rPr>
                <w:rFonts w:hint="eastAsia" w:ascii="宋体" w:hAnsi="宋体" w:cs="宋体"/>
                <w:sz w:val="24"/>
                <w:u w:val="single"/>
              </w:rPr>
              <w:t>10000</w:t>
            </w:r>
            <w:r>
              <w:rPr>
                <w:rFonts w:hint="eastAsia" w:ascii="宋体" w:hAnsi="宋体" w:cs="宋体"/>
                <w:sz w:val="24"/>
              </w:rPr>
              <w:t>元/天</w:t>
            </w:r>
          </w:p>
        </w:tc>
      </w:tr>
      <w:tr w14:paraId="07D60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8A1ADC0">
            <w:pPr>
              <w:spacing w:line="440" w:lineRule="exact"/>
              <w:jc w:val="center"/>
              <w:rPr>
                <w:rFonts w:hint="eastAsia" w:ascii="宋体" w:hAnsi="宋体" w:cs="宋体"/>
                <w:sz w:val="24"/>
              </w:rPr>
            </w:pPr>
            <w:r>
              <w:rPr>
                <w:rFonts w:hint="eastAsia" w:ascii="宋体" w:hAnsi="宋体" w:cs="宋体"/>
                <w:sz w:val="24"/>
              </w:rPr>
              <w:t>10</w:t>
            </w:r>
          </w:p>
        </w:tc>
        <w:tc>
          <w:tcPr>
            <w:tcW w:w="1334" w:type="dxa"/>
            <w:noWrap w:val="0"/>
            <w:vAlign w:val="center"/>
          </w:tcPr>
          <w:p w14:paraId="2BB3E766">
            <w:pPr>
              <w:spacing w:line="500" w:lineRule="exact"/>
              <w:jc w:val="center"/>
              <w:rPr>
                <w:rFonts w:hint="eastAsia" w:ascii="宋体" w:hAnsi="宋体" w:cs="宋体"/>
                <w:sz w:val="24"/>
              </w:rPr>
            </w:pPr>
            <w:r>
              <w:rPr>
                <w:rFonts w:hint="eastAsia" w:ascii="宋体" w:hAnsi="宋体" w:cs="宋体"/>
                <w:sz w:val="24"/>
              </w:rPr>
              <w:t>11.5（3）</w:t>
            </w:r>
          </w:p>
        </w:tc>
        <w:tc>
          <w:tcPr>
            <w:tcW w:w="7738" w:type="dxa"/>
            <w:noWrap w:val="0"/>
            <w:vAlign w:val="center"/>
          </w:tcPr>
          <w:p w14:paraId="59A9DDE2">
            <w:pPr>
              <w:spacing w:line="500" w:lineRule="exact"/>
              <w:rPr>
                <w:rFonts w:hint="eastAsia" w:ascii="宋体" w:hAnsi="宋体" w:cs="宋体"/>
                <w:sz w:val="24"/>
              </w:rPr>
            </w:pPr>
            <w:r>
              <w:rPr>
                <w:rFonts w:hint="eastAsia" w:ascii="宋体" w:hAnsi="宋体" w:cs="宋体"/>
                <w:sz w:val="24"/>
              </w:rPr>
              <w:t>逾期交工违约金限额：</w:t>
            </w:r>
            <w:r>
              <w:rPr>
                <w:rFonts w:hint="eastAsia" w:ascii="宋体" w:hAnsi="宋体" w:cs="宋体"/>
                <w:sz w:val="24"/>
                <w:u w:val="single"/>
              </w:rPr>
              <w:t>10</w:t>
            </w:r>
            <w:r>
              <w:rPr>
                <w:rFonts w:hint="eastAsia" w:ascii="宋体" w:hAnsi="宋体" w:cs="宋体"/>
                <w:sz w:val="24"/>
              </w:rPr>
              <w:t>%签约合同价</w:t>
            </w:r>
          </w:p>
        </w:tc>
      </w:tr>
      <w:tr w14:paraId="1F21B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23E43138">
            <w:pPr>
              <w:spacing w:line="440" w:lineRule="exact"/>
              <w:jc w:val="center"/>
              <w:rPr>
                <w:rFonts w:hint="eastAsia" w:ascii="宋体" w:hAnsi="宋体" w:cs="宋体"/>
                <w:sz w:val="24"/>
              </w:rPr>
            </w:pPr>
            <w:r>
              <w:rPr>
                <w:rFonts w:hint="eastAsia" w:ascii="宋体" w:hAnsi="宋体" w:cs="宋体"/>
                <w:sz w:val="24"/>
              </w:rPr>
              <w:t>11</w:t>
            </w:r>
          </w:p>
        </w:tc>
        <w:tc>
          <w:tcPr>
            <w:tcW w:w="1334" w:type="dxa"/>
            <w:noWrap w:val="0"/>
            <w:vAlign w:val="center"/>
          </w:tcPr>
          <w:p w14:paraId="0988A662">
            <w:pPr>
              <w:spacing w:line="500" w:lineRule="exact"/>
              <w:jc w:val="center"/>
              <w:rPr>
                <w:rFonts w:hint="eastAsia" w:ascii="宋体" w:hAnsi="宋体" w:cs="宋体"/>
                <w:sz w:val="24"/>
              </w:rPr>
            </w:pPr>
            <w:r>
              <w:rPr>
                <w:rFonts w:hint="eastAsia" w:ascii="宋体" w:hAnsi="宋体" w:cs="宋体"/>
                <w:sz w:val="24"/>
              </w:rPr>
              <w:t>15.5．2</w:t>
            </w:r>
          </w:p>
        </w:tc>
        <w:tc>
          <w:tcPr>
            <w:tcW w:w="7738" w:type="dxa"/>
            <w:noWrap w:val="0"/>
            <w:vAlign w:val="center"/>
          </w:tcPr>
          <w:p w14:paraId="6A1B98C7">
            <w:pPr>
              <w:spacing w:line="500" w:lineRule="exact"/>
              <w:rPr>
                <w:rFonts w:hint="eastAsia" w:ascii="宋体" w:hAnsi="宋体" w:cs="宋体"/>
                <w:sz w:val="24"/>
              </w:rPr>
            </w:pPr>
            <w:r>
              <w:rPr>
                <w:rFonts w:hint="eastAsia" w:ascii="宋体" w:hAnsi="宋体" w:cs="宋体"/>
                <w:sz w:val="24"/>
              </w:rPr>
              <w:t>承包人提出的合理化建议降低了合同价格或者提高了工程经济效益的，发包人按所节约成本的</w:t>
            </w:r>
            <w:r>
              <w:rPr>
                <w:rFonts w:hint="eastAsia" w:ascii="宋体" w:hAnsi="宋体" w:cs="宋体"/>
                <w:sz w:val="24"/>
                <w:u w:val="single"/>
              </w:rPr>
              <w:t>0</w:t>
            </w:r>
            <w:r>
              <w:rPr>
                <w:rFonts w:hint="eastAsia" w:ascii="宋体" w:hAnsi="宋体" w:cs="宋体"/>
                <w:sz w:val="24"/>
              </w:rPr>
              <w:t>%或增加收益的</w:t>
            </w:r>
            <w:r>
              <w:rPr>
                <w:rFonts w:hint="eastAsia" w:ascii="宋体" w:hAnsi="宋体" w:cs="宋体"/>
                <w:sz w:val="24"/>
                <w:u w:val="single"/>
              </w:rPr>
              <w:t>0</w:t>
            </w:r>
            <w:r>
              <w:rPr>
                <w:rFonts w:hint="eastAsia" w:ascii="宋体" w:hAnsi="宋体" w:cs="宋体"/>
                <w:sz w:val="24"/>
              </w:rPr>
              <w:t>%给予奖励。</w:t>
            </w:r>
          </w:p>
        </w:tc>
      </w:tr>
      <w:tr w14:paraId="052AD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380C078">
            <w:pPr>
              <w:spacing w:line="440" w:lineRule="exact"/>
              <w:jc w:val="center"/>
              <w:rPr>
                <w:rFonts w:hint="eastAsia" w:ascii="宋体" w:hAnsi="宋体" w:cs="宋体"/>
                <w:sz w:val="24"/>
              </w:rPr>
            </w:pPr>
            <w:r>
              <w:rPr>
                <w:rFonts w:hint="eastAsia" w:ascii="宋体" w:hAnsi="宋体" w:cs="宋体"/>
                <w:sz w:val="24"/>
              </w:rPr>
              <w:t>12</w:t>
            </w:r>
          </w:p>
        </w:tc>
        <w:tc>
          <w:tcPr>
            <w:tcW w:w="1334" w:type="dxa"/>
            <w:noWrap w:val="0"/>
            <w:vAlign w:val="center"/>
          </w:tcPr>
          <w:p w14:paraId="4E9053E5">
            <w:pPr>
              <w:spacing w:line="500" w:lineRule="exact"/>
              <w:jc w:val="center"/>
              <w:rPr>
                <w:rFonts w:hint="eastAsia" w:ascii="宋体" w:hAnsi="宋体" w:cs="宋体"/>
                <w:sz w:val="24"/>
              </w:rPr>
            </w:pPr>
            <w:r>
              <w:rPr>
                <w:rFonts w:hint="eastAsia" w:ascii="宋体" w:hAnsi="宋体" w:cs="宋体"/>
                <w:sz w:val="24"/>
              </w:rPr>
              <w:t>16.1</w:t>
            </w:r>
          </w:p>
        </w:tc>
        <w:tc>
          <w:tcPr>
            <w:tcW w:w="7738" w:type="dxa"/>
            <w:noWrap w:val="0"/>
            <w:vAlign w:val="center"/>
          </w:tcPr>
          <w:p w14:paraId="4C415713">
            <w:pPr>
              <w:spacing w:line="500" w:lineRule="exact"/>
              <w:rPr>
                <w:rFonts w:hint="eastAsia" w:ascii="宋体" w:hAnsi="宋体" w:cs="宋体"/>
                <w:sz w:val="24"/>
              </w:rPr>
            </w:pPr>
            <w:r>
              <w:rPr>
                <w:rFonts w:hint="eastAsia" w:ascii="宋体" w:hAnsi="宋体" w:cs="宋体"/>
                <w:sz w:val="24"/>
              </w:rPr>
              <w:t xml:space="preserve">合同期内不调价   </w:t>
            </w:r>
          </w:p>
        </w:tc>
      </w:tr>
      <w:tr w14:paraId="624FC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059C7CB">
            <w:pPr>
              <w:spacing w:line="440" w:lineRule="exact"/>
              <w:jc w:val="center"/>
              <w:rPr>
                <w:rFonts w:hint="eastAsia" w:ascii="宋体" w:hAnsi="宋体" w:cs="宋体"/>
                <w:sz w:val="24"/>
              </w:rPr>
            </w:pPr>
            <w:r>
              <w:rPr>
                <w:rFonts w:hint="eastAsia" w:ascii="宋体" w:hAnsi="宋体" w:cs="宋体"/>
                <w:sz w:val="24"/>
              </w:rPr>
              <w:t>13</w:t>
            </w:r>
          </w:p>
        </w:tc>
        <w:tc>
          <w:tcPr>
            <w:tcW w:w="1334" w:type="dxa"/>
            <w:noWrap w:val="0"/>
            <w:vAlign w:val="center"/>
          </w:tcPr>
          <w:p w14:paraId="1419AC74">
            <w:pPr>
              <w:spacing w:line="500" w:lineRule="exact"/>
              <w:jc w:val="center"/>
              <w:rPr>
                <w:rFonts w:hint="eastAsia" w:ascii="宋体" w:hAnsi="宋体" w:cs="宋体"/>
                <w:sz w:val="24"/>
              </w:rPr>
            </w:pPr>
            <w:r>
              <w:rPr>
                <w:rFonts w:hint="eastAsia" w:ascii="宋体" w:hAnsi="宋体" w:cs="宋体"/>
                <w:sz w:val="24"/>
              </w:rPr>
              <w:t>17.2.1（1）</w:t>
            </w:r>
          </w:p>
        </w:tc>
        <w:tc>
          <w:tcPr>
            <w:tcW w:w="7738" w:type="dxa"/>
            <w:noWrap w:val="0"/>
            <w:vAlign w:val="center"/>
          </w:tcPr>
          <w:p w14:paraId="57CDB9C7">
            <w:pPr>
              <w:spacing w:line="500" w:lineRule="exact"/>
              <w:rPr>
                <w:rFonts w:hint="default" w:ascii="宋体" w:hAnsi="宋体" w:eastAsia="宋体" w:cs="宋体"/>
                <w:sz w:val="24"/>
                <w:lang w:val="en-US" w:eastAsia="zh-CN"/>
              </w:rPr>
            </w:pPr>
            <w:r>
              <w:rPr>
                <w:rFonts w:hint="eastAsia" w:ascii="宋体" w:hAnsi="宋体" w:cs="宋体"/>
                <w:sz w:val="24"/>
              </w:rPr>
              <w:t>开工预付款金</w:t>
            </w:r>
            <w:r>
              <w:rPr>
                <w:rFonts w:hint="eastAsia" w:ascii="宋体" w:hAnsi="宋体" w:cs="宋体"/>
                <w:sz w:val="24"/>
                <w:highlight w:val="none"/>
              </w:rPr>
              <w:t>额</w:t>
            </w:r>
            <w:r>
              <w:rPr>
                <w:rFonts w:hint="eastAsia" w:ascii="宋体" w:hAnsi="宋体" w:cs="宋体"/>
                <w:sz w:val="24"/>
                <w:highlight w:val="none"/>
                <w:lang w:eastAsia="zh-CN"/>
              </w:rPr>
              <w:t>：</w:t>
            </w:r>
            <w:r>
              <w:rPr>
                <w:rFonts w:hint="eastAsia" w:cs="宋体"/>
                <w:sz w:val="24"/>
                <w:highlight w:val="none"/>
                <w:lang w:val="en-US" w:eastAsia="zh-CN"/>
              </w:rPr>
              <w:t>40%</w:t>
            </w:r>
            <w:r>
              <w:rPr>
                <w:rFonts w:hint="eastAsia" w:ascii="宋体" w:hAnsi="宋体" w:cs="宋体"/>
                <w:sz w:val="24"/>
                <w:highlight w:val="none"/>
                <w:lang w:val="en-US" w:eastAsia="zh-CN"/>
              </w:rPr>
              <w:t>。</w:t>
            </w:r>
          </w:p>
        </w:tc>
      </w:tr>
      <w:tr w14:paraId="7720C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18672D7E">
            <w:pPr>
              <w:spacing w:line="440" w:lineRule="exact"/>
              <w:jc w:val="center"/>
              <w:rPr>
                <w:rFonts w:hint="eastAsia" w:ascii="宋体" w:hAnsi="宋体" w:cs="宋体"/>
                <w:sz w:val="24"/>
              </w:rPr>
            </w:pPr>
            <w:r>
              <w:rPr>
                <w:rFonts w:hint="eastAsia" w:ascii="宋体" w:hAnsi="宋体" w:cs="宋体"/>
                <w:sz w:val="24"/>
              </w:rPr>
              <w:t>14</w:t>
            </w:r>
          </w:p>
        </w:tc>
        <w:tc>
          <w:tcPr>
            <w:tcW w:w="1334" w:type="dxa"/>
            <w:noWrap w:val="0"/>
            <w:vAlign w:val="center"/>
          </w:tcPr>
          <w:p w14:paraId="2DD3AE02">
            <w:pPr>
              <w:spacing w:line="500" w:lineRule="exact"/>
              <w:jc w:val="center"/>
              <w:rPr>
                <w:rFonts w:hint="eastAsia" w:ascii="宋体" w:hAnsi="宋体" w:cs="宋体"/>
                <w:sz w:val="24"/>
              </w:rPr>
            </w:pPr>
            <w:r>
              <w:rPr>
                <w:rFonts w:hint="eastAsia" w:ascii="宋体" w:hAnsi="宋体" w:cs="宋体"/>
                <w:sz w:val="24"/>
              </w:rPr>
              <w:t>17.2.1（2）</w:t>
            </w:r>
          </w:p>
        </w:tc>
        <w:tc>
          <w:tcPr>
            <w:tcW w:w="7738" w:type="dxa"/>
            <w:noWrap w:val="0"/>
            <w:vAlign w:val="center"/>
          </w:tcPr>
          <w:p w14:paraId="6786B20D">
            <w:pPr>
              <w:spacing w:line="500" w:lineRule="exact"/>
              <w:rPr>
                <w:rFonts w:hint="eastAsia" w:ascii="宋体" w:hAnsi="宋体" w:cs="宋体"/>
                <w:sz w:val="24"/>
              </w:rPr>
            </w:pPr>
            <w:r>
              <w:rPr>
                <w:rFonts w:hint="eastAsia" w:ascii="宋体" w:hAnsi="宋体" w:cs="宋体"/>
                <w:sz w:val="24"/>
              </w:rPr>
              <w:t>材料、设备预付款比例：</w:t>
            </w:r>
            <w:r>
              <w:rPr>
                <w:rFonts w:hint="eastAsia" w:ascii="宋体" w:hAnsi="宋体" w:cs="宋体"/>
                <w:sz w:val="24"/>
                <w:u w:val="single"/>
              </w:rPr>
              <w:t>0</w:t>
            </w:r>
            <w:r>
              <w:rPr>
                <w:rFonts w:hint="eastAsia" w:ascii="宋体" w:hAnsi="宋体" w:cs="宋体"/>
                <w:sz w:val="24"/>
              </w:rPr>
              <w:t>%</w:t>
            </w:r>
          </w:p>
        </w:tc>
      </w:tr>
      <w:tr w14:paraId="330B7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2FAF6026">
            <w:pPr>
              <w:spacing w:line="440" w:lineRule="exact"/>
              <w:jc w:val="center"/>
              <w:rPr>
                <w:rFonts w:hint="eastAsia" w:ascii="宋体" w:hAnsi="宋体" w:cs="宋体"/>
                <w:sz w:val="24"/>
              </w:rPr>
            </w:pPr>
            <w:r>
              <w:rPr>
                <w:rFonts w:hint="eastAsia" w:ascii="宋体" w:hAnsi="宋体" w:cs="宋体"/>
                <w:sz w:val="24"/>
              </w:rPr>
              <w:t>15</w:t>
            </w:r>
          </w:p>
        </w:tc>
        <w:tc>
          <w:tcPr>
            <w:tcW w:w="1334" w:type="dxa"/>
            <w:noWrap w:val="0"/>
            <w:vAlign w:val="center"/>
          </w:tcPr>
          <w:p w14:paraId="400C6874">
            <w:pPr>
              <w:spacing w:line="500" w:lineRule="exact"/>
              <w:jc w:val="center"/>
              <w:rPr>
                <w:rFonts w:hint="eastAsia" w:ascii="宋体" w:hAnsi="宋体" w:cs="宋体"/>
                <w:sz w:val="24"/>
              </w:rPr>
            </w:pPr>
            <w:r>
              <w:rPr>
                <w:rFonts w:hint="eastAsia" w:ascii="宋体" w:hAnsi="宋体" w:cs="宋体"/>
                <w:sz w:val="24"/>
              </w:rPr>
              <w:t>17.3.2</w:t>
            </w:r>
          </w:p>
        </w:tc>
        <w:tc>
          <w:tcPr>
            <w:tcW w:w="7738" w:type="dxa"/>
            <w:noWrap w:val="0"/>
            <w:vAlign w:val="center"/>
          </w:tcPr>
          <w:p w14:paraId="29A6C4CE">
            <w:pPr>
              <w:spacing w:line="500" w:lineRule="exact"/>
              <w:rPr>
                <w:rFonts w:hint="eastAsia" w:ascii="宋体" w:hAnsi="宋体" w:cs="宋体"/>
                <w:sz w:val="24"/>
              </w:rPr>
            </w:pPr>
            <w:r>
              <w:rPr>
                <w:rFonts w:hint="eastAsia" w:ascii="宋体" w:hAnsi="宋体" w:cs="宋体"/>
                <w:sz w:val="24"/>
              </w:rPr>
              <w:t>承包人在每个付款周期末向监理人提交进度付款申请单的份数：</w:t>
            </w:r>
            <w:r>
              <w:rPr>
                <w:rFonts w:hint="eastAsia" w:ascii="宋体" w:hAnsi="宋体" w:cs="宋体"/>
                <w:sz w:val="24"/>
                <w:u w:val="single"/>
              </w:rPr>
              <w:t xml:space="preserve"> 4   </w:t>
            </w:r>
            <w:r>
              <w:rPr>
                <w:rFonts w:hint="eastAsia" w:ascii="宋体" w:hAnsi="宋体" w:cs="宋体"/>
                <w:sz w:val="24"/>
              </w:rPr>
              <w:t>份</w:t>
            </w:r>
          </w:p>
        </w:tc>
      </w:tr>
      <w:tr w14:paraId="7389D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vMerge w:val="restart"/>
            <w:noWrap w:val="0"/>
            <w:vAlign w:val="center"/>
          </w:tcPr>
          <w:p w14:paraId="25CAF032">
            <w:pPr>
              <w:spacing w:line="440" w:lineRule="exact"/>
              <w:jc w:val="center"/>
              <w:rPr>
                <w:rFonts w:hint="eastAsia" w:ascii="宋体" w:hAnsi="宋体" w:cs="宋体"/>
                <w:sz w:val="24"/>
              </w:rPr>
            </w:pPr>
            <w:r>
              <w:rPr>
                <w:rFonts w:hint="eastAsia" w:ascii="宋体" w:hAnsi="宋体" w:cs="宋体"/>
                <w:sz w:val="24"/>
              </w:rPr>
              <w:t>16</w:t>
            </w:r>
          </w:p>
        </w:tc>
        <w:tc>
          <w:tcPr>
            <w:tcW w:w="1334" w:type="dxa"/>
            <w:vMerge w:val="restart"/>
            <w:noWrap w:val="0"/>
            <w:vAlign w:val="center"/>
          </w:tcPr>
          <w:p w14:paraId="78257F83">
            <w:pPr>
              <w:spacing w:line="400" w:lineRule="exact"/>
              <w:jc w:val="center"/>
              <w:rPr>
                <w:rFonts w:hint="eastAsia" w:ascii="宋体" w:hAnsi="宋体" w:cs="宋体"/>
                <w:color w:val="auto"/>
                <w:sz w:val="24"/>
              </w:rPr>
            </w:pPr>
            <w:r>
              <w:rPr>
                <w:rFonts w:hint="eastAsia" w:ascii="宋体" w:hAnsi="宋体" w:cs="宋体"/>
                <w:color w:val="auto"/>
                <w:sz w:val="24"/>
              </w:rPr>
              <w:t>17.3.3（1）</w:t>
            </w:r>
          </w:p>
        </w:tc>
        <w:tc>
          <w:tcPr>
            <w:tcW w:w="7738" w:type="dxa"/>
            <w:noWrap w:val="0"/>
            <w:vAlign w:val="center"/>
          </w:tcPr>
          <w:p w14:paraId="304DFA08">
            <w:pPr>
              <w:spacing w:line="500" w:lineRule="exact"/>
              <w:rPr>
                <w:rFonts w:hint="eastAsia" w:ascii="宋体" w:hAnsi="宋体" w:cs="宋体"/>
                <w:color w:val="auto"/>
                <w:sz w:val="24"/>
              </w:rPr>
            </w:pPr>
            <w:r>
              <w:rPr>
                <w:rFonts w:hint="eastAsia" w:ascii="宋体" w:hAnsi="宋体" w:cs="宋体"/>
                <w:color w:val="auto"/>
                <w:sz w:val="24"/>
              </w:rPr>
              <w:t>进度付款证书最低限</w:t>
            </w:r>
            <w:r>
              <w:rPr>
                <w:rFonts w:hint="eastAsia" w:ascii="宋体" w:hAnsi="宋体" w:cs="宋体"/>
                <w:color w:val="auto"/>
                <w:sz w:val="24"/>
                <w:highlight w:val="none"/>
              </w:rPr>
              <w:t>额为</w:t>
            </w:r>
            <w:r>
              <w:rPr>
                <w:rFonts w:hint="eastAsia" w:ascii="宋体" w:hAnsi="宋体" w:eastAsia="宋体" w:cs="宋体"/>
                <w:color w:val="auto"/>
                <w:sz w:val="24"/>
                <w:highlight w:val="none"/>
              </w:rPr>
              <w:t>人民币</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rPr>
              <w:t>万元；</w:t>
            </w:r>
          </w:p>
        </w:tc>
      </w:tr>
      <w:tr w14:paraId="0E4E6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atLeast"/>
          <w:jc w:val="center"/>
        </w:trPr>
        <w:tc>
          <w:tcPr>
            <w:tcW w:w="734" w:type="dxa"/>
            <w:vMerge w:val="continue"/>
            <w:noWrap w:val="0"/>
            <w:vAlign w:val="center"/>
          </w:tcPr>
          <w:p w14:paraId="2AE0EF93">
            <w:pPr>
              <w:spacing w:line="440" w:lineRule="exact"/>
              <w:jc w:val="center"/>
              <w:rPr>
                <w:rFonts w:hint="eastAsia" w:ascii="宋体" w:hAnsi="宋体" w:cs="宋体"/>
                <w:sz w:val="24"/>
              </w:rPr>
            </w:pPr>
          </w:p>
        </w:tc>
        <w:tc>
          <w:tcPr>
            <w:tcW w:w="1334" w:type="dxa"/>
            <w:vMerge w:val="continue"/>
            <w:noWrap w:val="0"/>
            <w:vAlign w:val="center"/>
          </w:tcPr>
          <w:p w14:paraId="2A3DA6AE">
            <w:pPr>
              <w:spacing w:line="400" w:lineRule="exact"/>
              <w:jc w:val="center"/>
              <w:rPr>
                <w:rFonts w:hint="eastAsia" w:ascii="宋体" w:hAnsi="宋体" w:cs="宋体"/>
                <w:color w:val="auto"/>
                <w:sz w:val="24"/>
              </w:rPr>
            </w:pPr>
          </w:p>
        </w:tc>
        <w:tc>
          <w:tcPr>
            <w:tcW w:w="7738" w:type="dxa"/>
            <w:noWrap w:val="0"/>
            <w:vAlign w:val="center"/>
          </w:tcPr>
          <w:p w14:paraId="2C3BD1E3">
            <w:pPr>
              <w:spacing w:line="500" w:lineRule="exact"/>
              <w:rPr>
                <w:rFonts w:hint="eastAsia" w:ascii="宋体" w:hAnsi="宋体" w:eastAsia="宋体" w:cs="宋体"/>
                <w:color w:val="auto"/>
                <w:sz w:val="24"/>
                <w:lang w:eastAsia="zh-CN"/>
              </w:rPr>
            </w:pPr>
            <w:r>
              <w:rPr>
                <w:rFonts w:hint="eastAsia" w:ascii="宋体" w:hAnsi="宋体" w:cs="宋体"/>
                <w:color w:val="auto"/>
                <w:sz w:val="24"/>
                <w:highlight w:val="none"/>
              </w:rPr>
              <w:t>工程款支付时间：合同签订具备实施条件后支付合同价的40%</w:t>
            </w:r>
            <w:r>
              <w:rPr>
                <w:rFonts w:hint="eastAsia" w:cs="宋体"/>
                <w:color w:val="auto"/>
                <w:sz w:val="24"/>
                <w:highlight w:val="none"/>
                <w:lang w:val="en-US" w:eastAsia="zh-CN"/>
              </w:rPr>
              <w:t>作为</w:t>
            </w:r>
            <w:r>
              <w:rPr>
                <w:rFonts w:hint="eastAsia" w:ascii="宋体" w:hAnsi="宋体" w:cs="宋体"/>
                <w:color w:val="auto"/>
                <w:sz w:val="24"/>
                <w:highlight w:val="none"/>
              </w:rPr>
              <w:t>预付款（预付款支付前，</w:t>
            </w:r>
            <w:r>
              <w:rPr>
                <w:rFonts w:hint="eastAsia" w:cs="宋体"/>
                <w:color w:val="auto"/>
                <w:sz w:val="24"/>
                <w:highlight w:val="none"/>
                <w:lang w:val="en-US" w:eastAsia="zh-CN"/>
              </w:rPr>
              <w:t>成交供应商</w:t>
            </w:r>
            <w:r>
              <w:rPr>
                <w:rFonts w:hint="eastAsia" w:ascii="宋体" w:hAnsi="宋体" w:cs="宋体"/>
                <w:color w:val="auto"/>
                <w:sz w:val="24"/>
                <w:highlight w:val="none"/>
              </w:rPr>
              <w:t>须提供同等金额预付款等额保函（见索即付））</w:t>
            </w:r>
            <w:r>
              <w:rPr>
                <w:rFonts w:hint="eastAsia" w:cs="宋体"/>
                <w:color w:val="auto"/>
                <w:sz w:val="24"/>
                <w:highlight w:val="none"/>
                <w:lang w:eastAsia="zh-CN"/>
              </w:rPr>
              <w:t>，</w:t>
            </w:r>
            <w:r>
              <w:rPr>
                <w:rFonts w:hint="eastAsia" w:ascii="宋体" w:hAnsi="宋体" w:cs="宋体"/>
                <w:color w:val="auto"/>
                <w:sz w:val="24"/>
                <w:highlight w:val="none"/>
                <w:lang w:val="en-US" w:eastAsia="zh-CN"/>
              </w:rPr>
              <w:t>每月支付已完成合格工程量的85%</w:t>
            </w:r>
            <w:r>
              <w:rPr>
                <w:rFonts w:hint="eastAsia" w:ascii="宋体" w:hAnsi="宋体" w:cs="宋体"/>
                <w:color w:val="auto"/>
                <w:sz w:val="24"/>
                <w:highlight w:val="none"/>
              </w:rPr>
              <w:t>，交竣工验收合格且工程结算审计后付至结算总造价的100%，同时承包人须提交结算总造价的2%（作为工程质量保证金）至</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处。质量保证金支持保函（银行保函、担保机构担保、保证保险）使用，保函有效期须与工程缺陷责任期截止时间保持一致。</w:t>
            </w:r>
          </w:p>
        </w:tc>
      </w:tr>
      <w:tr w14:paraId="6F390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4270B1BD">
            <w:pPr>
              <w:spacing w:line="440" w:lineRule="exact"/>
              <w:jc w:val="center"/>
              <w:rPr>
                <w:rFonts w:hint="eastAsia" w:ascii="宋体" w:hAnsi="宋体" w:cs="宋体"/>
                <w:sz w:val="24"/>
              </w:rPr>
            </w:pPr>
            <w:r>
              <w:rPr>
                <w:rFonts w:hint="eastAsia" w:ascii="宋体" w:hAnsi="宋体" w:cs="宋体"/>
                <w:sz w:val="24"/>
              </w:rPr>
              <w:t>17</w:t>
            </w:r>
          </w:p>
        </w:tc>
        <w:tc>
          <w:tcPr>
            <w:tcW w:w="1334" w:type="dxa"/>
            <w:noWrap w:val="0"/>
            <w:vAlign w:val="center"/>
          </w:tcPr>
          <w:p w14:paraId="1BCF42A2">
            <w:pPr>
              <w:spacing w:line="400" w:lineRule="exact"/>
              <w:jc w:val="center"/>
              <w:rPr>
                <w:rFonts w:hint="eastAsia" w:ascii="宋体" w:hAnsi="宋体" w:cs="宋体"/>
                <w:sz w:val="24"/>
              </w:rPr>
            </w:pPr>
            <w:r>
              <w:rPr>
                <w:rFonts w:hint="eastAsia" w:ascii="宋体" w:hAnsi="宋体" w:cs="宋体"/>
                <w:sz w:val="24"/>
              </w:rPr>
              <w:t>17.3.3（2）</w:t>
            </w:r>
          </w:p>
        </w:tc>
        <w:tc>
          <w:tcPr>
            <w:tcW w:w="7738" w:type="dxa"/>
            <w:noWrap w:val="0"/>
            <w:vAlign w:val="center"/>
          </w:tcPr>
          <w:p w14:paraId="267EF06F">
            <w:pPr>
              <w:spacing w:line="520" w:lineRule="exact"/>
              <w:rPr>
                <w:rFonts w:hint="eastAsia" w:ascii="宋体" w:hAnsi="宋体" w:cs="宋体"/>
                <w:sz w:val="24"/>
              </w:rPr>
            </w:pPr>
            <w:r>
              <w:rPr>
                <w:rFonts w:hint="eastAsia" w:ascii="宋体" w:hAnsi="宋体" w:cs="宋体"/>
                <w:sz w:val="24"/>
              </w:rPr>
              <w:t>逾期付款违约金的利率，中国人民银行同期贷款利率加手续费。</w:t>
            </w:r>
          </w:p>
        </w:tc>
      </w:tr>
      <w:tr w14:paraId="29E49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903B8E6">
            <w:pPr>
              <w:spacing w:line="440" w:lineRule="exact"/>
              <w:jc w:val="center"/>
              <w:rPr>
                <w:rFonts w:hint="eastAsia" w:ascii="宋体" w:hAnsi="宋体" w:cs="宋体"/>
                <w:sz w:val="24"/>
              </w:rPr>
            </w:pPr>
            <w:r>
              <w:rPr>
                <w:rFonts w:hint="eastAsia" w:ascii="宋体" w:hAnsi="宋体" w:cs="宋体"/>
                <w:sz w:val="24"/>
              </w:rPr>
              <w:t>18</w:t>
            </w:r>
          </w:p>
        </w:tc>
        <w:tc>
          <w:tcPr>
            <w:tcW w:w="1334" w:type="dxa"/>
            <w:noWrap w:val="0"/>
            <w:vAlign w:val="center"/>
          </w:tcPr>
          <w:p w14:paraId="69421552">
            <w:pPr>
              <w:spacing w:line="500" w:lineRule="exact"/>
              <w:jc w:val="center"/>
              <w:rPr>
                <w:rFonts w:hint="eastAsia" w:ascii="宋体" w:hAnsi="宋体" w:cs="宋体"/>
                <w:sz w:val="24"/>
              </w:rPr>
            </w:pPr>
            <w:r>
              <w:rPr>
                <w:rFonts w:hint="eastAsia" w:ascii="宋体" w:hAnsi="宋体" w:cs="宋体"/>
                <w:sz w:val="24"/>
              </w:rPr>
              <w:t>17.4.1</w:t>
            </w:r>
          </w:p>
        </w:tc>
        <w:tc>
          <w:tcPr>
            <w:tcW w:w="7738" w:type="dxa"/>
            <w:noWrap w:val="0"/>
            <w:vAlign w:val="center"/>
          </w:tcPr>
          <w:p w14:paraId="0EBECCC2">
            <w:pPr>
              <w:spacing w:line="520" w:lineRule="exact"/>
              <w:rPr>
                <w:rFonts w:hint="eastAsia" w:ascii="宋体" w:hAnsi="宋体" w:eastAsia="宋体" w:cs="宋体"/>
                <w:sz w:val="24"/>
                <w:lang w:eastAsia="zh-CN"/>
              </w:rPr>
            </w:pPr>
            <w:r>
              <w:rPr>
                <w:rFonts w:hint="eastAsia" w:ascii="宋体" w:hAnsi="宋体" w:cs="宋体"/>
                <w:sz w:val="24"/>
              </w:rPr>
              <w:t>质量保证金金额：</w:t>
            </w:r>
            <w:r>
              <w:rPr>
                <w:rFonts w:hint="eastAsia" w:ascii="宋体" w:hAnsi="宋体" w:cs="宋体"/>
                <w:sz w:val="24"/>
                <w:u w:val="single"/>
                <w:lang w:val="en-US" w:eastAsia="zh-CN"/>
              </w:rPr>
              <w:t>2</w:t>
            </w:r>
            <w:r>
              <w:rPr>
                <w:rFonts w:hint="eastAsia" w:ascii="宋体" w:hAnsi="宋体" w:cs="宋体"/>
                <w:sz w:val="24"/>
              </w:rPr>
              <w:t>%</w:t>
            </w:r>
            <w:r>
              <w:rPr>
                <w:rFonts w:hint="eastAsia" w:ascii="宋体" w:hAnsi="宋体" w:cs="宋体"/>
                <w:sz w:val="24"/>
                <w:lang w:val="en-US" w:eastAsia="zh-CN"/>
              </w:rPr>
              <w:t>结算</w:t>
            </w:r>
            <w:r>
              <w:rPr>
                <w:rFonts w:hint="eastAsia" w:ascii="宋体" w:hAnsi="宋体" w:cs="宋体"/>
                <w:sz w:val="24"/>
              </w:rPr>
              <w:t>价格</w:t>
            </w:r>
            <w:r>
              <w:rPr>
                <w:rFonts w:hint="eastAsia" w:ascii="宋体" w:hAnsi="宋体" w:cs="宋体"/>
                <w:sz w:val="24"/>
                <w:lang w:eastAsia="zh-CN"/>
              </w:rPr>
              <w:t>，</w:t>
            </w:r>
            <w:r>
              <w:rPr>
                <w:rFonts w:hint="eastAsia" w:ascii="宋体" w:hAnsi="宋体" w:cs="宋体"/>
                <w:sz w:val="24"/>
                <w:highlight w:val="none"/>
              </w:rPr>
              <w:t>质量保证金支持保函（银行保函、担保机构担保、保证保险）使用</w:t>
            </w:r>
          </w:p>
        </w:tc>
      </w:tr>
      <w:tr w14:paraId="7C879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15DA0965">
            <w:pPr>
              <w:spacing w:line="440" w:lineRule="exact"/>
              <w:jc w:val="center"/>
              <w:rPr>
                <w:rFonts w:hint="eastAsia" w:ascii="宋体" w:hAnsi="宋体" w:cs="宋体"/>
                <w:sz w:val="24"/>
              </w:rPr>
            </w:pPr>
            <w:r>
              <w:rPr>
                <w:rFonts w:hint="eastAsia" w:ascii="宋体" w:hAnsi="宋体" w:cs="宋体"/>
                <w:sz w:val="24"/>
              </w:rPr>
              <w:t>19</w:t>
            </w:r>
          </w:p>
        </w:tc>
        <w:tc>
          <w:tcPr>
            <w:tcW w:w="1334" w:type="dxa"/>
            <w:noWrap w:val="0"/>
            <w:vAlign w:val="center"/>
          </w:tcPr>
          <w:p w14:paraId="5A7975DD">
            <w:pPr>
              <w:spacing w:line="500" w:lineRule="exact"/>
              <w:jc w:val="center"/>
              <w:rPr>
                <w:rFonts w:hint="eastAsia" w:ascii="宋体" w:hAnsi="宋体" w:cs="宋体"/>
                <w:sz w:val="24"/>
              </w:rPr>
            </w:pPr>
            <w:r>
              <w:rPr>
                <w:rFonts w:hint="eastAsia" w:ascii="宋体" w:hAnsi="宋体" w:cs="宋体"/>
                <w:sz w:val="24"/>
              </w:rPr>
              <w:t>17.5.1（1）</w:t>
            </w:r>
          </w:p>
        </w:tc>
        <w:tc>
          <w:tcPr>
            <w:tcW w:w="7738" w:type="dxa"/>
            <w:noWrap w:val="0"/>
            <w:vAlign w:val="center"/>
          </w:tcPr>
          <w:p w14:paraId="7C4FA646">
            <w:pPr>
              <w:spacing w:line="520" w:lineRule="exact"/>
              <w:rPr>
                <w:rFonts w:hint="eastAsia" w:ascii="宋体" w:hAnsi="宋体" w:cs="宋体"/>
                <w:sz w:val="24"/>
              </w:rPr>
            </w:pPr>
            <w:r>
              <w:rPr>
                <w:rFonts w:hint="eastAsia" w:ascii="宋体" w:hAnsi="宋体" w:cs="宋体"/>
                <w:sz w:val="24"/>
              </w:rPr>
              <w:t>承包人向监理人提交交工付款申请单（包括相关证明材料）的份数：</w:t>
            </w:r>
            <w:r>
              <w:rPr>
                <w:rFonts w:hint="eastAsia" w:ascii="宋体" w:hAnsi="宋体" w:cs="宋体"/>
                <w:sz w:val="24"/>
                <w:u w:val="single"/>
              </w:rPr>
              <w:t xml:space="preserve"> 4  </w:t>
            </w:r>
            <w:r>
              <w:rPr>
                <w:rFonts w:hint="eastAsia" w:ascii="宋体" w:hAnsi="宋体" w:cs="宋体"/>
                <w:sz w:val="24"/>
              </w:rPr>
              <w:t>份</w:t>
            </w:r>
          </w:p>
        </w:tc>
      </w:tr>
      <w:tr w14:paraId="7C167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5BDF7C75">
            <w:pPr>
              <w:spacing w:line="440" w:lineRule="exact"/>
              <w:jc w:val="center"/>
              <w:rPr>
                <w:rFonts w:hint="eastAsia" w:ascii="宋体" w:hAnsi="宋体" w:cs="宋体"/>
                <w:sz w:val="24"/>
              </w:rPr>
            </w:pPr>
            <w:r>
              <w:rPr>
                <w:rFonts w:hint="eastAsia" w:ascii="宋体" w:hAnsi="宋体" w:cs="宋体"/>
                <w:sz w:val="24"/>
              </w:rPr>
              <w:t>20</w:t>
            </w:r>
          </w:p>
        </w:tc>
        <w:tc>
          <w:tcPr>
            <w:tcW w:w="1334" w:type="dxa"/>
            <w:noWrap w:val="0"/>
            <w:vAlign w:val="center"/>
          </w:tcPr>
          <w:p w14:paraId="13FADE98">
            <w:pPr>
              <w:spacing w:line="500" w:lineRule="exact"/>
              <w:jc w:val="center"/>
              <w:rPr>
                <w:rFonts w:hint="eastAsia" w:ascii="宋体" w:hAnsi="宋体" w:cs="宋体"/>
                <w:sz w:val="24"/>
              </w:rPr>
            </w:pPr>
            <w:r>
              <w:rPr>
                <w:rFonts w:hint="eastAsia" w:ascii="宋体" w:hAnsi="宋体" w:cs="宋体"/>
                <w:sz w:val="24"/>
              </w:rPr>
              <w:t>17.6.1（1）</w:t>
            </w:r>
          </w:p>
        </w:tc>
        <w:tc>
          <w:tcPr>
            <w:tcW w:w="7738" w:type="dxa"/>
            <w:noWrap w:val="0"/>
            <w:vAlign w:val="center"/>
          </w:tcPr>
          <w:p w14:paraId="110D7E54">
            <w:pPr>
              <w:spacing w:line="520" w:lineRule="exact"/>
              <w:rPr>
                <w:rFonts w:hint="eastAsia" w:ascii="宋体" w:hAnsi="宋体" w:cs="宋体"/>
                <w:sz w:val="24"/>
              </w:rPr>
            </w:pPr>
            <w:r>
              <w:rPr>
                <w:rFonts w:hint="eastAsia" w:ascii="宋体" w:hAnsi="宋体" w:cs="宋体"/>
                <w:sz w:val="24"/>
              </w:rPr>
              <w:t>承包人向监理人提交最终结清申请单（包括相关证明材料）的份数：</w:t>
            </w:r>
            <w:r>
              <w:rPr>
                <w:rFonts w:hint="eastAsia" w:ascii="宋体" w:hAnsi="宋体" w:cs="宋体"/>
                <w:sz w:val="24"/>
                <w:u w:val="single"/>
              </w:rPr>
              <w:t xml:space="preserve">  4  </w:t>
            </w:r>
            <w:r>
              <w:rPr>
                <w:rFonts w:hint="eastAsia" w:ascii="宋体" w:hAnsi="宋体" w:cs="宋体"/>
                <w:sz w:val="24"/>
              </w:rPr>
              <w:t>份</w:t>
            </w:r>
          </w:p>
        </w:tc>
      </w:tr>
      <w:tr w14:paraId="47354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23A2EA5C">
            <w:pPr>
              <w:spacing w:line="440" w:lineRule="exact"/>
              <w:jc w:val="center"/>
              <w:rPr>
                <w:rFonts w:hint="eastAsia" w:ascii="宋体" w:hAnsi="宋体" w:cs="宋体"/>
                <w:sz w:val="24"/>
              </w:rPr>
            </w:pPr>
            <w:r>
              <w:rPr>
                <w:rFonts w:hint="eastAsia" w:ascii="宋体" w:hAnsi="宋体" w:cs="宋体"/>
                <w:sz w:val="24"/>
              </w:rPr>
              <w:t>21</w:t>
            </w:r>
          </w:p>
        </w:tc>
        <w:tc>
          <w:tcPr>
            <w:tcW w:w="1334" w:type="dxa"/>
            <w:noWrap w:val="0"/>
            <w:vAlign w:val="center"/>
          </w:tcPr>
          <w:p w14:paraId="30F0B5B7">
            <w:pPr>
              <w:spacing w:line="500" w:lineRule="exact"/>
              <w:jc w:val="center"/>
              <w:rPr>
                <w:rFonts w:hint="eastAsia" w:ascii="宋体" w:hAnsi="宋体" w:cs="宋体"/>
                <w:sz w:val="24"/>
              </w:rPr>
            </w:pPr>
            <w:r>
              <w:rPr>
                <w:rFonts w:hint="eastAsia" w:ascii="宋体" w:hAnsi="宋体" w:cs="宋体"/>
                <w:sz w:val="24"/>
              </w:rPr>
              <w:t>18.2（2）</w:t>
            </w:r>
          </w:p>
        </w:tc>
        <w:tc>
          <w:tcPr>
            <w:tcW w:w="7738" w:type="dxa"/>
            <w:noWrap w:val="0"/>
            <w:vAlign w:val="center"/>
          </w:tcPr>
          <w:p w14:paraId="09AA7077">
            <w:pPr>
              <w:spacing w:line="520" w:lineRule="exact"/>
              <w:rPr>
                <w:rFonts w:hint="eastAsia" w:ascii="宋体" w:hAnsi="宋体" w:cs="宋体"/>
                <w:sz w:val="24"/>
              </w:rPr>
            </w:pPr>
            <w:r>
              <w:rPr>
                <w:rFonts w:hint="eastAsia" w:ascii="宋体" w:hAnsi="宋体" w:cs="宋体"/>
                <w:sz w:val="24"/>
              </w:rPr>
              <w:t>竣工资料的份数：</w:t>
            </w:r>
            <w:r>
              <w:rPr>
                <w:rFonts w:hint="eastAsia" w:ascii="宋体" w:hAnsi="宋体" w:cs="宋体"/>
                <w:sz w:val="24"/>
                <w:u w:val="single"/>
              </w:rPr>
              <w:t xml:space="preserve">   4   </w:t>
            </w:r>
            <w:r>
              <w:rPr>
                <w:rFonts w:hint="eastAsia" w:ascii="宋体" w:hAnsi="宋体" w:cs="宋体"/>
                <w:sz w:val="24"/>
              </w:rPr>
              <w:t>份</w:t>
            </w:r>
          </w:p>
        </w:tc>
      </w:tr>
      <w:tr w14:paraId="30436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34" w:type="dxa"/>
            <w:noWrap w:val="0"/>
            <w:vAlign w:val="center"/>
          </w:tcPr>
          <w:p w14:paraId="7BFD3738">
            <w:pPr>
              <w:spacing w:line="440" w:lineRule="exact"/>
              <w:jc w:val="center"/>
              <w:rPr>
                <w:rFonts w:hint="eastAsia" w:ascii="宋体" w:hAnsi="宋体" w:cs="宋体"/>
                <w:sz w:val="24"/>
              </w:rPr>
            </w:pPr>
            <w:r>
              <w:rPr>
                <w:rFonts w:hint="eastAsia" w:ascii="宋体" w:hAnsi="宋体" w:cs="宋体"/>
                <w:sz w:val="24"/>
              </w:rPr>
              <w:t>22</w:t>
            </w:r>
          </w:p>
        </w:tc>
        <w:tc>
          <w:tcPr>
            <w:tcW w:w="1334" w:type="dxa"/>
            <w:noWrap w:val="0"/>
            <w:vAlign w:val="center"/>
          </w:tcPr>
          <w:p w14:paraId="5D0A846A">
            <w:pPr>
              <w:spacing w:line="500" w:lineRule="exact"/>
              <w:jc w:val="center"/>
              <w:rPr>
                <w:rFonts w:hint="eastAsia" w:ascii="宋体" w:hAnsi="宋体" w:cs="宋体"/>
                <w:sz w:val="24"/>
              </w:rPr>
            </w:pPr>
            <w:r>
              <w:rPr>
                <w:rFonts w:hint="eastAsia" w:ascii="宋体" w:hAnsi="宋体" w:cs="宋体"/>
                <w:sz w:val="24"/>
              </w:rPr>
              <w:t>18.5.1</w:t>
            </w:r>
          </w:p>
        </w:tc>
        <w:tc>
          <w:tcPr>
            <w:tcW w:w="7738" w:type="dxa"/>
            <w:noWrap w:val="0"/>
            <w:vAlign w:val="center"/>
          </w:tcPr>
          <w:p w14:paraId="5476C7F6">
            <w:pPr>
              <w:spacing w:line="520" w:lineRule="exact"/>
              <w:rPr>
                <w:rFonts w:hint="eastAsia" w:ascii="宋体" w:hAnsi="宋体" w:cs="宋体"/>
                <w:sz w:val="24"/>
              </w:rPr>
            </w:pPr>
            <w:r>
              <w:rPr>
                <w:rFonts w:hint="eastAsia" w:ascii="宋体" w:hAnsi="宋体" w:cs="宋体"/>
                <w:sz w:val="24"/>
              </w:rPr>
              <w:t xml:space="preserve">单位工程或工程设备是否需投入施工期运行：是 </w:t>
            </w:r>
          </w:p>
        </w:tc>
      </w:tr>
      <w:tr w14:paraId="0613D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583F1FE6">
            <w:pPr>
              <w:spacing w:line="440" w:lineRule="exact"/>
              <w:jc w:val="center"/>
              <w:rPr>
                <w:rFonts w:hint="eastAsia" w:ascii="宋体" w:hAnsi="宋体" w:cs="宋体"/>
                <w:sz w:val="24"/>
              </w:rPr>
            </w:pPr>
            <w:r>
              <w:rPr>
                <w:rFonts w:hint="eastAsia" w:ascii="宋体" w:hAnsi="宋体" w:cs="宋体"/>
                <w:sz w:val="24"/>
              </w:rPr>
              <w:t>23</w:t>
            </w:r>
          </w:p>
        </w:tc>
        <w:tc>
          <w:tcPr>
            <w:tcW w:w="1334" w:type="dxa"/>
            <w:noWrap w:val="0"/>
            <w:vAlign w:val="center"/>
          </w:tcPr>
          <w:p w14:paraId="7418C6DD">
            <w:pPr>
              <w:spacing w:line="500" w:lineRule="exact"/>
              <w:jc w:val="center"/>
              <w:rPr>
                <w:rFonts w:hint="eastAsia" w:ascii="宋体" w:hAnsi="宋体" w:cs="宋体"/>
                <w:sz w:val="24"/>
              </w:rPr>
            </w:pPr>
            <w:r>
              <w:rPr>
                <w:rFonts w:hint="eastAsia" w:ascii="宋体" w:hAnsi="宋体" w:cs="宋体"/>
                <w:sz w:val="24"/>
              </w:rPr>
              <w:t>18.6.1</w:t>
            </w:r>
          </w:p>
        </w:tc>
        <w:tc>
          <w:tcPr>
            <w:tcW w:w="7738" w:type="dxa"/>
            <w:noWrap w:val="0"/>
            <w:vAlign w:val="center"/>
          </w:tcPr>
          <w:p w14:paraId="383EE1B9">
            <w:pPr>
              <w:spacing w:line="520" w:lineRule="exact"/>
              <w:rPr>
                <w:rFonts w:hint="eastAsia" w:ascii="宋体" w:hAnsi="宋体" w:cs="宋体"/>
                <w:sz w:val="24"/>
              </w:rPr>
            </w:pPr>
            <w:r>
              <w:rPr>
                <w:rFonts w:hint="eastAsia" w:ascii="宋体" w:hAnsi="宋体" w:cs="宋体"/>
                <w:sz w:val="24"/>
              </w:rPr>
              <w:t>本工程及工程设备是否进行试运行：否</w:t>
            </w:r>
          </w:p>
        </w:tc>
      </w:tr>
      <w:tr w14:paraId="26631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071670D1">
            <w:pPr>
              <w:spacing w:line="440" w:lineRule="exact"/>
              <w:jc w:val="center"/>
              <w:rPr>
                <w:rFonts w:hint="eastAsia" w:ascii="宋体" w:hAnsi="宋体" w:cs="宋体"/>
                <w:sz w:val="24"/>
              </w:rPr>
            </w:pPr>
            <w:r>
              <w:rPr>
                <w:rFonts w:hint="eastAsia" w:ascii="宋体" w:hAnsi="宋体" w:cs="宋体"/>
                <w:sz w:val="24"/>
              </w:rPr>
              <w:t>24</w:t>
            </w:r>
          </w:p>
        </w:tc>
        <w:tc>
          <w:tcPr>
            <w:tcW w:w="1334" w:type="dxa"/>
            <w:noWrap w:val="0"/>
            <w:vAlign w:val="center"/>
          </w:tcPr>
          <w:p w14:paraId="73F8C43A">
            <w:pPr>
              <w:spacing w:line="500" w:lineRule="exact"/>
              <w:jc w:val="center"/>
              <w:rPr>
                <w:rFonts w:hint="eastAsia" w:ascii="宋体" w:hAnsi="宋体" w:cs="宋体"/>
                <w:sz w:val="24"/>
              </w:rPr>
            </w:pPr>
            <w:r>
              <w:rPr>
                <w:rFonts w:hint="eastAsia" w:ascii="宋体" w:hAnsi="宋体" w:cs="宋体"/>
                <w:sz w:val="24"/>
              </w:rPr>
              <w:t>19.7（1）</w:t>
            </w:r>
          </w:p>
        </w:tc>
        <w:tc>
          <w:tcPr>
            <w:tcW w:w="7738" w:type="dxa"/>
            <w:noWrap w:val="0"/>
            <w:vAlign w:val="center"/>
          </w:tcPr>
          <w:p w14:paraId="0379574D">
            <w:pPr>
              <w:spacing w:line="520" w:lineRule="exact"/>
              <w:rPr>
                <w:rFonts w:hint="eastAsia" w:ascii="宋体" w:hAnsi="宋体" w:cs="宋体"/>
                <w:sz w:val="24"/>
              </w:rPr>
            </w:pPr>
            <w:r>
              <w:rPr>
                <w:rFonts w:hint="eastAsia" w:ascii="宋体" w:hAnsi="宋体" w:cs="宋体"/>
                <w:sz w:val="24"/>
              </w:rPr>
              <w:t>保修期：自实际交工验收日期起计算</w:t>
            </w:r>
            <w:r>
              <w:rPr>
                <w:rFonts w:hint="eastAsia" w:ascii="宋体" w:hAnsi="宋体" w:cs="宋体"/>
                <w:sz w:val="24"/>
                <w:u w:val="single"/>
              </w:rPr>
              <w:t xml:space="preserve">  </w:t>
            </w:r>
            <w:r>
              <w:rPr>
                <w:rFonts w:hint="eastAsia" w:ascii="宋体" w:hAnsi="宋体" w:cs="宋体"/>
                <w:sz w:val="24"/>
                <w:u w:val="single"/>
                <w:lang w:val="en-US" w:eastAsia="zh-CN"/>
              </w:rPr>
              <w:t>5</w:t>
            </w:r>
            <w:r>
              <w:rPr>
                <w:rFonts w:hint="eastAsia" w:ascii="宋体" w:hAnsi="宋体" w:cs="宋体"/>
                <w:sz w:val="24"/>
                <w:u w:val="single"/>
              </w:rPr>
              <w:t xml:space="preserve">   </w:t>
            </w:r>
            <w:r>
              <w:rPr>
                <w:rFonts w:hint="eastAsia" w:ascii="宋体" w:hAnsi="宋体" w:cs="宋体"/>
                <w:sz w:val="24"/>
              </w:rPr>
              <w:t>年</w:t>
            </w:r>
          </w:p>
        </w:tc>
      </w:tr>
      <w:tr w14:paraId="0F44C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19F7782B">
            <w:pPr>
              <w:spacing w:line="440" w:lineRule="exact"/>
              <w:jc w:val="center"/>
              <w:rPr>
                <w:rFonts w:hint="eastAsia" w:ascii="宋体" w:hAnsi="宋体" w:cs="宋体"/>
                <w:sz w:val="24"/>
              </w:rPr>
            </w:pPr>
            <w:r>
              <w:rPr>
                <w:rFonts w:hint="eastAsia" w:ascii="宋体" w:hAnsi="宋体" w:cs="宋体"/>
                <w:sz w:val="24"/>
              </w:rPr>
              <w:t>25</w:t>
            </w:r>
          </w:p>
        </w:tc>
        <w:tc>
          <w:tcPr>
            <w:tcW w:w="1334" w:type="dxa"/>
            <w:noWrap w:val="0"/>
            <w:vAlign w:val="center"/>
          </w:tcPr>
          <w:p w14:paraId="6FA953DA">
            <w:pPr>
              <w:spacing w:line="500" w:lineRule="exact"/>
              <w:jc w:val="center"/>
              <w:rPr>
                <w:rFonts w:hint="eastAsia" w:ascii="宋体" w:hAnsi="宋体" w:cs="宋体"/>
                <w:sz w:val="24"/>
              </w:rPr>
            </w:pPr>
            <w:r>
              <w:rPr>
                <w:rFonts w:hint="eastAsia" w:ascii="宋体" w:hAnsi="宋体" w:cs="宋体"/>
                <w:sz w:val="24"/>
              </w:rPr>
              <w:t>20.1</w:t>
            </w:r>
          </w:p>
        </w:tc>
        <w:tc>
          <w:tcPr>
            <w:tcW w:w="7738" w:type="dxa"/>
            <w:noWrap w:val="0"/>
            <w:vAlign w:val="center"/>
          </w:tcPr>
          <w:p w14:paraId="424059CD">
            <w:pPr>
              <w:spacing w:line="520" w:lineRule="exact"/>
              <w:rPr>
                <w:rFonts w:hint="eastAsia" w:ascii="宋体" w:hAnsi="宋体" w:cs="宋体"/>
                <w:sz w:val="24"/>
              </w:rPr>
            </w:pPr>
            <w:r>
              <w:rPr>
                <w:rFonts w:hint="eastAsia" w:ascii="宋体" w:hAnsi="宋体" w:cs="宋体"/>
                <w:sz w:val="24"/>
              </w:rPr>
              <w:t>建筑工程一切险的保险费率：</w:t>
            </w:r>
            <w:r>
              <w:rPr>
                <w:rFonts w:hint="eastAsia" w:ascii="宋体" w:hAnsi="宋体" w:cs="宋体"/>
                <w:sz w:val="24"/>
                <w:lang w:val="en-US" w:eastAsia="zh-CN"/>
              </w:rPr>
              <w:t>详见最高投标限价及编制说明描述</w:t>
            </w:r>
            <w:r>
              <w:rPr>
                <w:rFonts w:hint="eastAsia" w:ascii="宋体" w:hAnsi="宋体" w:cs="宋体"/>
                <w:sz w:val="24"/>
              </w:rPr>
              <w:t>，结算时以提供保险票据为准。</w:t>
            </w:r>
          </w:p>
        </w:tc>
      </w:tr>
      <w:tr w14:paraId="1A5F0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734" w:type="dxa"/>
            <w:noWrap w:val="0"/>
            <w:vAlign w:val="center"/>
          </w:tcPr>
          <w:p w14:paraId="414CD6CE">
            <w:pPr>
              <w:spacing w:line="440" w:lineRule="exact"/>
              <w:jc w:val="center"/>
              <w:rPr>
                <w:rFonts w:hint="eastAsia" w:ascii="宋体" w:hAnsi="宋体" w:cs="宋体"/>
                <w:sz w:val="24"/>
              </w:rPr>
            </w:pPr>
            <w:r>
              <w:rPr>
                <w:rFonts w:hint="eastAsia" w:ascii="宋体" w:hAnsi="宋体" w:cs="宋体"/>
                <w:sz w:val="24"/>
              </w:rPr>
              <w:t>26</w:t>
            </w:r>
          </w:p>
        </w:tc>
        <w:tc>
          <w:tcPr>
            <w:tcW w:w="1334" w:type="dxa"/>
            <w:noWrap w:val="0"/>
            <w:vAlign w:val="center"/>
          </w:tcPr>
          <w:p w14:paraId="7E98564A">
            <w:pPr>
              <w:spacing w:line="560" w:lineRule="exact"/>
              <w:jc w:val="center"/>
              <w:rPr>
                <w:rFonts w:hint="eastAsia" w:ascii="宋体" w:hAnsi="宋体" w:cs="宋体"/>
                <w:sz w:val="24"/>
              </w:rPr>
            </w:pPr>
            <w:r>
              <w:rPr>
                <w:rFonts w:hint="eastAsia" w:ascii="宋体" w:hAnsi="宋体" w:cs="宋体"/>
                <w:sz w:val="24"/>
              </w:rPr>
              <w:t>20.4.2</w:t>
            </w:r>
          </w:p>
        </w:tc>
        <w:tc>
          <w:tcPr>
            <w:tcW w:w="7738" w:type="dxa"/>
            <w:noWrap w:val="0"/>
            <w:vAlign w:val="center"/>
          </w:tcPr>
          <w:p w14:paraId="2E147BB8">
            <w:pPr>
              <w:spacing w:line="520" w:lineRule="exact"/>
              <w:rPr>
                <w:rFonts w:hint="eastAsia" w:ascii="宋体" w:hAnsi="宋体" w:cs="宋体"/>
                <w:sz w:val="24"/>
              </w:rPr>
            </w:pPr>
            <w:r>
              <w:rPr>
                <w:rFonts w:hint="eastAsia" w:ascii="宋体" w:hAnsi="宋体" w:cs="宋体"/>
                <w:sz w:val="24"/>
              </w:rPr>
              <w:t>第三者责任险：</w:t>
            </w:r>
            <w:r>
              <w:rPr>
                <w:rFonts w:hint="eastAsia" w:ascii="宋体" w:hAnsi="宋体" w:cs="宋体"/>
                <w:sz w:val="24"/>
                <w:lang w:val="en-US" w:eastAsia="zh-CN"/>
              </w:rPr>
              <w:t>详见最高投标限价及编制说明描述</w:t>
            </w:r>
            <w:r>
              <w:rPr>
                <w:rFonts w:hint="eastAsia" w:ascii="宋体" w:hAnsi="宋体" w:cs="宋体"/>
                <w:sz w:val="24"/>
              </w:rPr>
              <w:t>，结算时以提供保险票据为准；</w:t>
            </w:r>
          </w:p>
        </w:tc>
      </w:tr>
      <w:tr w14:paraId="48BD2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14:paraId="3E7FD2BC">
            <w:pPr>
              <w:spacing w:line="440" w:lineRule="exact"/>
              <w:jc w:val="center"/>
              <w:rPr>
                <w:rFonts w:hint="eastAsia" w:ascii="宋体" w:hAnsi="宋体" w:cs="宋体"/>
                <w:sz w:val="24"/>
              </w:rPr>
            </w:pPr>
            <w:r>
              <w:rPr>
                <w:rFonts w:hint="eastAsia" w:ascii="宋体" w:hAnsi="宋体" w:cs="宋体"/>
                <w:sz w:val="24"/>
              </w:rPr>
              <w:t>27</w:t>
            </w:r>
          </w:p>
        </w:tc>
        <w:tc>
          <w:tcPr>
            <w:tcW w:w="1334" w:type="dxa"/>
            <w:noWrap w:val="0"/>
            <w:vAlign w:val="center"/>
          </w:tcPr>
          <w:p w14:paraId="0E967BDC">
            <w:pPr>
              <w:spacing w:line="560" w:lineRule="exact"/>
              <w:jc w:val="center"/>
              <w:rPr>
                <w:rFonts w:hint="eastAsia" w:ascii="宋体" w:hAnsi="宋体" w:cs="宋体"/>
                <w:sz w:val="24"/>
              </w:rPr>
            </w:pPr>
            <w:r>
              <w:rPr>
                <w:rFonts w:hint="eastAsia" w:ascii="宋体" w:hAnsi="宋体" w:cs="宋体"/>
                <w:sz w:val="24"/>
              </w:rPr>
              <w:t>24.1</w:t>
            </w:r>
          </w:p>
        </w:tc>
        <w:tc>
          <w:tcPr>
            <w:tcW w:w="7738" w:type="dxa"/>
            <w:noWrap w:val="0"/>
            <w:vAlign w:val="center"/>
          </w:tcPr>
          <w:p w14:paraId="51928ABB">
            <w:pPr>
              <w:spacing w:line="560" w:lineRule="exact"/>
              <w:rPr>
                <w:rFonts w:hint="eastAsia" w:ascii="宋体" w:hAnsi="宋体" w:cs="宋体"/>
                <w:sz w:val="24"/>
              </w:rPr>
            </w:pPr>
            <w:r>
              <w:rPr>
                <w:rFonts w:hint="eastAsia" w:ascii="宋体" w:hAnsi="宋体" w:cs="宋体"/>
                <w:sz w:val="24"/>
              </w:rPr>
              <w:t>争议的最</w:t>
            </w:r>
            <w:r>
              <w:rPr>
                <w:rFonts w:hint="eastAsia" w:ascii="宋体" w:hAnsi="宋体" w:eastAsia="宋体" w:cs="宋体"/>
                <w:sz w:val="24"/>
              </w:rPr>
              <w:t>终解决方式：具有管辖权的人民法院诉讼</w:t>
            </w:r>
          </w:p>
        </w:tc>
      </w:tr>
    </w:tbl>
    <w:p w14:paraId="107A0946">
      <w:pPr>
        <w:spacing w:line="400" w:lineRule="exact"/>
        <w:ind w:right="1080"/>
        <w:jc w:val="right"/>
        <w:rPr>
          <w:rFonts w:hint="eastAsia" w:ascii="宋体" w:hAnsi="宋体" w:cs="宋体"/>
          <w:b/>
          <w:sz w:val="24"/>
        </w:rPr>
        <w:sectPr>
          <w:footerReference r:id="rId6" w:type="first"/>
          <w:footerReference r:id="rId5" w:type="default"/>
          <w:footnotePr>
            <w:numFmt w:val="decimalEnclosedCircleChinese"/>
            <w:numRestart w:val="eachPage"/>
          </w:footnotePr>
          <w:pgSz w:w="11906" w:h="16838"/>
          <w:pgMar w:top="1440" w:right="1440" w:bottom="1440" w:left="1440" w:header="851" w:footer="992" w:gutter="0"/>
          <w:pgNumType w:fmt="decimal" w:start="1"/>
          <w:cols w:space="720" w:num="1"/>
          <w:titlePg/>
          <w:docGrid w:linePitch="312" w:charSpace="0"/>
        </w:sectPr>
      </w:pPr>
    </w:p>
    <w:p w14:paraId="39097F7F">
      <w:pPr>
        <w:spacing w:before="240" w:after="240" w:line="420" w:lineRule="atLeast"/>
        <w:jc w:val="center"/>
        <w:rPr>
          <w:rFonts w:hint="eastAsia" w:ascii="宋体" w:hAnsi="宋体" w:cs="宋体"/>
          <w:b/>
          <w:sz w:val="24"/>
        </w:rPr>
      </w:pPr>
      <w:r>
        <w:rPr>
          <w:rFonts w:hint="eastAsia" w:ascii="宋体" w:hAnsi="宋体" w:cs="宋体"/>
          <w:b/>
          <w:sz w:val="24"/>
        </w:rPr>
        <w:t>项目专用合同条款</w:t>
      </w:r>
    </w:p>
    <w:p w14:paraId="6E44A900">
      <w:pPr>
        <w:spacing w:line="450" w:lineRule="exact"/>
        <w:rPr>
          <w:rFonts w:hint="eastAsia" w:ascii="宋体" w:hAnsi="宋体" w:cs="宋体"/>
          <w:sz w:val="24"/>
        </w:rPr>
      </w:pPr>
      <w:r>
        <w:rPr>
          <w:rFonts w:hint="eastAsia" w:ascii="宋体" w:hAnsi="宋体" w:cs="宋体"/>
          <w:sz w:val="24"/>
        </w:rPr>
        <w:t>说明：本部分所列的项目专用合同条款是对“公路</w:t>
      </w:r>
      <w:r>
        <w:rPr>
          <w:rFonts w:hint="eastAsia" w:ascii="宋体" w:hAnsi="宋体" w:cs="宋体"/>
          <w:sz w:val="24"/>
          <w:lang w:val="en-US" w:eastAsia="zh-CN"/>
        </w:rPr>
        <w:t>养护</w:t>
      </w:r>
      <w:r>
        <w:rPr>
          <w:rFonts w:hint="eastAsia" w:ascii="宋体" w:hAnsi="宋体" w:cs="宋体"/>
          <w:sz w:val="24"/>
        </w:rPr>
        <w:t>工程专用合同条款”中规定必须在项目专用合同条款中明确的内容的集中，</w:t>
      </w:r>
      <w:r>
        <w:rPr>
          <w:rFonts w:hint="eastAsia" w:ascii="宋体" w:hAnsi="宋体" w:cs="宋体"/>
          <w:sz w:val="24"/>
          <w:lang w:eastAsia="zh-CN"/>
        </w:rPr>
        <w:t>采购人</w:t>
      </w:r>
      <w:r>
        <w:rPr>
          <w:rFonts w:hint="eastAsia" w:ascii="宋体" w:hAnsi="宋体" w:cs="宋体"/>
          <w:sz w:val="24"/>
        </w:rPr>
        <w:t>编制的“项目专用合同条款”不限于本部分所列内容。</w:t>
      </w:r>
    </w:p>
    <w:p w14:paraId="42C6B26C">
      <w:pPr>
        <w:spacing w:before="156" w:beforeLines="50" w:line="450" w:lineRule="exact"/>
        <w:rPr>
          <w:rFonts w:hint="eastAsia" w:ascii="宋体" w:hAnsi="宋体" w:cs="宋体"/>
          <w:sz w:val="24"/>
        </w:rPr>
      </w:pPr>
      <w:r>
        <w:rPr>
          <w:rFonts w:hint="eastAsia" w:ascii="宋体" w:hAnsi="宋体" w:cs="宋体"/>
          <w:sz w:val="24"/>
        </w:rPr>
        <w:t>4.1 承包人的一般义务</w:t>
      </w:r>
    </w:p>
    <w:p w14:paraId="34A7A50F">
      <w:pPr>
        <w:spacing w:line="450" w:lineRule="exact"/>
        <w:ind w:firstLine="470" w:firstLineChars="196"/>
        <w:rPr>
          <w:rFonts w:hint="eastAsia" w:ascii="宋体" w:hAnsi="宋体" w:cs="宋体"/>
          <w:sz w:val="24"/>
        </w:rPr>
      </w:pPr>
      <w:r>
        <w:rPr>
          <w:rFonts w:hint="eastAsia" w:ascii="宋体" w:hAnsi="宋体" w:cs="宋体"/>
          <w:sz w:val="24"/>
        </w:rPr>
        <w:t>4.1.10 其他义务</w:t>
      </w:r>
    </w:p>
    <w:p w14:paraId="0DDA3425">
      <w:pPr>
        <w:spacing w:line="450" w:lineRule="exact"/>
        <w:ind w:firstLine="480" w:firstLineChars="200"/>
        <w:rPr>
          <w:rFonts w:hint="eastAsia" w:ascii="宋体" w:hAnsi="宋体" w:cs="宋体"/>
          <w:sz w:val="24"/>
        </w:rPr>
      </w:pPr>
      <w:r>
        <w:rPr>
          <w:rFonts w:hint="eastAsia" w:ascii="宋体" w:hAnsi="宋体" w:cs="宋体"/>
          <w:sz w:val="24"/>
        </w:rPr>
        <w:t>（4）承包人应履行项目专用合同条款约定的其他义务”细化为：</w:t>
      </w:r>
    </w:p>
    <w:p w14:paraId="3C2B32F6">
      <w:pPr>
        <w:spacing w:line="450" w:lineRule="exact"/>
        <w:ind w:firstLine="390"/>
        <w:rPr>
          <w:rFonts w:hint="eastAsia" w:ascii="宋体" w:hAnsi="宋体" w:cs="宋体"/>
          <w:sz w:val="24"/>
        </w:rPr>
      </w:pPr>
      <w:r>
        <w:rPr>
          <w:rFonts w:hint="eastAsia" w:ascii="宋体" w:hAnsi="宋体" w:cs="宋体"/>
          <w:sz w:val="24"/>
        </w:rPr>
        <w:t>（4）承包人应由专职人员负责处理地方关系。当承包人遇到地方问题或与地方群众发生矛盾、纠纷时，首先应主动与工程所在地建设指挥部取得联系，以求问题解决。</w:t>
      </w:r>
    </w:p>
    <w:p w14:paraId="2AC57133">
      <w:pPr>
        <w:spacing w:line="450" w:lineRule="exact"/>
        <w:ind w:firstLine="390"/>
        <w:rPr>
          <w:rFonts w:hint="eastAsia" w:ascii="宋体" w:hAnsi="宋体" w:cs="宋体"/>
          <w:sz w:val="24"/>
        </w:rPr>
      </w:pPr>
      <w:r>
        <w:rPr>
          <w:rFonts w:hint="eastAsia" w:ascii="宋体" w:hAnsi="宋体" w:cs="宋体"/>
          <w:sz w:val="24"/>
        </w:rPr>
        <w:t>（5）承包人应按发包人的要求，为配合发包人的工程管理和本项目其他工程施工提供方便和必要的协助，以保证工程的顺利施工。所提供的方便与必要的协助包含并不限于以下工作：配合发包人对本项目可能进行的科研和试验课题研究提供必要的试验场地、设备、人员及辅助工作，承担召开专项施工方案评审会相关费用等；配合发包人和相关检测单位做好检测工作；承包人应为发包人或监理工程师在本项目管理中提供交通的便利。</w:t>
      </w:r>
    </w:p>
    <w:p w14:paraId="12EB035C">
      <w:pPr>
        <w:spacing w:line="450" w:lineRule="exact"/>
        <w:ind w:firstLine="390"/>
        <w:rPr>
          <w:rFonts w:hint="eastAsia" w:ascii="宋体" w:hAnsi="宋体" w:cs="宋体"/>
          <w:sz w:val="24"/>
        </w:rPr>
      </w:pPr>
      <w:r>
        <w:rPr>
          <w:rFonts w:hint="eastAsia" w:ascii="宋体" w:hAnsi="宋体" w:cs="宋体"/>
          <w:sz w:val="24"/>
        </w:rPr>
        <w:t>承包人为完成上述目标所需的一切费用均应包括在</w:t>
      </w:r>
      <w:r>
        <w:rPr>
          <w:rFonts w:hint="eastAsia" w:ascii="宋体" w:hAnsi="宋体" w:cs="宋体"/>
          <w:sz w:val="24"/>
          <w:lang w:val="en-US" w:eastAsia="zh-CN"/>
        </w:rPr>
        <w:t>响应</w:t>
      </w:r>
      <w:r>
        <w:rPr>
          <w:rFonts w:hint="eastAsia" w:ascii="宋体" w:hAnsi="宋体" w:cs="宋体"/>
          <w:sz w:val="24"/>
        </w:rPr>
        <w:t>总价内，发包人不另行计量与支付。承包人若没有完成本项工作或监理工程师验收不合格，承包人应及时修复；否则，发包人将从本合同段的承包人计量款中扣除后续单位完成本项工作的报价金额。</w:t>
      </w:r>
    </w:p>
    <w:p w14:paraId="7D7CBBFA">
      <w:pPr>
        <w:spacing w:line="450" w:lineRule="exact"/>
        <w:ind w:firstLine="390"/>
        <w:rPr>
          <w:rFonts w:hint="eastAsia" w:ascii="宋体" w:hAnsi="宋体" w:cs="宋体"/>
          <w:sz w:val="24"/>
        </w:rPr>
      </w:pPr>
      <w:r>
        <w:rPr>
          <w:rFonts w:hint="eastAsia" w:ascii="宋体" w:hAnsi="宋体" w:cs="宋体"/>
          <w:sz w:val="24"/>
        </w:rPr>
        <w:t>（6）承包人除按合同规定承担本合同工程实施、完成及修复缺陷外，还应对施工有交叉、有衔接的施工项目主动积极做好配合，承包人应按发包人要求做好交验配合工作，若出现矛盾或纠纷，承包人应服从监理人或发包人安排。承包人应充分考虑在施工过程中可采取的交通保障措施，交通安全保障及文明施工措施。</w:t>
      </w:r>
    </w:p>
    <w:p w14:paraId="0078BB4D">
      <w:pPr>
        <w:spacing w:line="450" w:lineRule="exact"/>
        <w:ind w:firstLine="390"/>
        <w:rPr>
          <w:rFonts w:hint="eastAsia" w:ascii="宋体" w:hAnsi="宋体" w:cs="宋体"/>
          <w:sz w:val="24"/>
        </w:rPr>
      </w:pPr>
      <w:r>
        <w:rPr>
          <w:rFonts w:hint="eastAsia" w:ascii="宋体" w:hAnsi="宋体" w:cs="宋体"/>
          <w:sz w:val="24"/>
        </w:rPr>
        <w:t>（7）承包人在施工过程中，应积极主动取得当地政府及人民群众的支持，协调好本合同段各方的关系，避免施工干扰，同时避免给其他承包人造成施工干扰。不可避免时，应主动与被干扰方协调以减少干扰。</w:t>
      </w:r>
    </w:p>
    <w:p w14:paraId="66C2315F">
      <w:pPr>
        <w:spacing w:line="450" w:lineRule="exact"/>
        <w:ind w:firstLine="360" w:firstLineChars="150"/>
        <w:rPr>
          <w:rFonts w:hint="eastAsia" w:ascii="宋体" w:hAnsi="宋体" w:cs="宋体"/>
          <w:sz w:val="24"/>
        </w:rPr>
      </w:pPr>
      <w:r>
        <w:rPr>
          <w:rFonts w:hint="eastAsia" w:ascii="宋体" w:hAnsi="宋体" w:cs="宋体"/>
          <w:sz w:val="24"/>
        </w:rPr>
        <w:t>（8）凡合同段内与已建公路、管道等有交叉干扰的地段，承包人应在不干扰公路、管道正常运行的前提下，合理安排施工组织计划，采取有效措施保证施工和运营安全，并在必要时疏导现有交通流。承包人应将采取的措施而可能发生的全部费用计入投标报价中，发包人将不另行支付。如因承包人采取措施不力，影响公路、航道、管道正常安全运营而给其他部门或个人造成的一切损失或由于上述原因造成工期的拖延或施工费用的增加，均由承包人自行承担。</w:t>
      </w:r>
    </w:p>
    <w:p w14:paraId="5FA857B8">
      <w:pPr>
        <w:spacing w:before="156" w:beforeLines="50" w:line="450" w:lineRule="exact"/>
        <w:rPr>
          <w:rFonts w:hint="eastAsia" w:ascii="宋体" w:hAnsi="宋体" w:cs="宋体"/>
          <w:sz w:val="24"/>
        </w:rPr>
      </w:pPr>
      <w:r>
        <w:rPr>
          <w:rFonts w:hint="eastAsia" w:ascii="宋体" w:hAnsi="宋体" w:cs="宋体"/>
          <w:sz w:val="24"/>
        </w:rPr>
        <w:t>4.3 分包</w:t>
      </w:r>
    </w:p>
    <w:p w14:paraId="12760856">
      <w:pPr>
        <w:spacing w:line="450" w:lineRule="exact"/>
        <w:ind w:firstLine="480" w:firstLineChars="200"/>
        <w:rPr>
          <w:rFonts w:hint="eastAsia" w:ascii="宋体" w:hAnsi="宋体" w:cs="宋体"/>
          <w:sz w:val="24"/>
        </w:rPr>
      </w:pPr>
      <w:r>
        <w:rPr>
          <w:rFonts w:hint="eastAsia" w:ascii="宋体" w:hAnsi="宋体" w:cs="宋体"/>
          <w:sz w:val="24"/>
        </w:rPr>
        <w:t>原文修改为：本招标项目不允许分包。</w:t>
      </w:r>
    </w:p>
    <w:p w14:paraId="0C3695B4">
      <w:pPr>
        <w:spacing w:before="156" w:beforeLines="50" w:line="450" w:lineRule="exact"/>
        <w:rPr>
          <w:rFonts w:hint="eastAsia" w:ascii="宋体" w:hAnsi="宋体" w:cs="宋体"/>
          <w:sz w:val="24"/>
        </w:rPr>
      </w:pPr>
      <w:r>
        <w:rPr>
          <w:rFonts w:hint="eastAsia" w:ascii="宋体" w:hAnsi="宋体" w:cs="宋体"/>
          <w:sz w:val="24"/>
        </w:rPr>
        <w:t>7.3 场外交通</w:t>
      </w:r>
    </w:p>
    <w:p w14:paraId="79904063">
      <w:pPr>
        <w:spacing w:line="450" w:lineRule="exact"/>
        <w:ind w:firstLine="437"/>
        <w:rPr>
          <w:rFonts w:hint="eastAsia" w:ascii="宋体" w:hAnsi="宋体" w:cs="宋体"/>
          <w:sz w:val="24"/>
        </w:rPr>
      </w:pPr>
      <w:r>
        <w:rPr>
          <w:rFonts w:hint="eastAsia" w:ascii="宋体" w:hAnsi="宋体" w:cs="宋体"/>
          <w:sz w:val="24"/>
        </w:rPr>
        <w:t>增加7.3.3</w:t>
      </w:r>
    </w:p>
    <w:p w14:paraId="636173E8">
      <w:pPr>
        <w:numPr>
          <w:ilvl w:val="2"/>
          <w:numId w:val="3"/>
        </w:numPr>
        <w:spacing w:line="450" w:lineRule="exact"/>
        <w:rPr>
          <w:rFonts w:hint="eastAsia" w:ascii="宋体" w:hAnsi="宋体" w:cs="宋体"/>
          <w:sz w:val="24"/>
        </w:rPr>
      </w:pPr>
      <w:r>
        <w:rPr>
          <w:rFonts w:hint="eastAsia" w:ascii="宋体" w:hAnsi="宋体" w:cs="宋体"/>
          <w:sz w:val="24"/>
        </w:rPr>
        <w:t>承包人应选定运输路线，选用运输车辆，限制和分配载运重量及其他合理措施，防止承包人或其分包人的任何运输车辆因超过载重限制而损坏或损伤所通行的道路或桥梁。大型施工装备和超重件的运输，应事先取得道路管理部门的许可方能启运。如果采用上述措施后，仍超过所通行的桥梁或道路的载重限制而又必须通过时，承包人应与公路管理部门协商，取得同意和协助，并负责承担所通行路线上的桥梁加固或改建，或道路改线或改善和其他费用。这些费用和因承包人未执行本款规定造成道路或桥梁损坏或损伤而引起的一切索赔、赔偿、诉讼费用和其他开支，发包人概不负责承担。</w:t>
      </w:r>
    </w:p>
    <w:p w14:paraId="627B1AC2">
      <w:pPr>
        <w:spacing w:line="450" w:lineRule="exact"/>
        <w:ind w:firstLine="437"/>
        <w:rPr>
          <w:rFonts w:hint="eastAsia" w:ascii="宋体" w:hAnsi="宋体" w:cs="宋体"/>
          <w:sz w:val="24"/>
        </w:rPr>
      </w:pPr>
      <w:r>
        <w:rPr>
          <w:rFonts w:hint="eastAsia" w:ascii="宋体" w:hAnsi="宋体" w:cs="宋体"/>
          <w:sz w:val="24"/>
        </w:rPr>
        <w:t>承包人利用原有地方道路作为施工便道时，使用前承包人应与当地政府签定协议，并加强对道路的日常养护与维护，确保安全畅通。若因承包人在施工中损坏了原有的公路设施，应积极主动进行修复。当工程完工后，承包人应按当时签定的协议（报地方指挥部和发包人备案）履行合同，并交付当地政府，若未能履行合同和办理交付手续，则发包人有权在其工程结算价款中扣除相关费用。</w:t>
      </w:r>
    </w:p>
    <w:p w14:paraId="02D466B5">
      <w:pPr>
        <w:spacing w:line="450" w:lineRule="exact"/>
        <w:ind w:firstLine="437"/>
        <w:rPr>
          <w:rFonts w:hint="eastAsia" w:ascii="宋体" w:hAnsi="宋体" w:cs="宋体"/>
          <w:sz w:val="24"/>
        </w:rPr>
      </w:pPr>
      <w:r>
        <w:rPr>
          <w:rFonts w:hint="eastAsia" w:ascii="宋体" w:hAnsi="宋体" w:cs="宋体"/>
          <w:sz w:val="24"/>
        </w:rPr>
        <w:t>承包人为了出入现场和施工运输，应自费养护维修由他人修建和使用的所有临时道路和桥涵（包括利用和加固的村镇便道），恢复的费用由承包人负责，并应保证发包人免于承担因上述临时道路和桥梁的使用所引起的补偿费、诉讼费、损害费、指控费及其他开支。临时道路和进场道路所发生的建造、使用、维护、拆除、恢复等一切费用在工程量清单第100章相关支付细目中报价。施工单位不得以共用便道、便桥的问题要求增加费用。</w:t>
      </w:r>
    </w:p>
    <w:p w14:paraId="09E03E4F">
      <w:pPr>
        <w:spacing w:before="156" w:beforeLines="50" w:line="450" w:lineRule="exact"/>
        <w:rPr>
          <w:rFonts w:hint="eastAsia" w:ascii="宋体" w:hAnsi="宋体" w:cs="宋体"/>
          <w:sz w:val="24"/>
        </w:rPr>
      </w:pPr>
      <w:r>
        <w:rPr>
          <w:rFonts w:hint="eastAsia" w:ascii="宋体" w:hAnsi="宋体" w:cs="宋体"/>
          <w:sz w:val="24"/>
        </w:rPr>
        <w:t>9.2 承包人的施工安全责任</w:t>
      </w:r>
    </w:p>
    <w:p w14:paraId="50BB0C35">
      <w:pPr>
        <w:spacing w:line="450" w:lineRule="exact"/>
        <w:ind w:firstLine="435"/>
        <w:rPr>
          <w:rFonts w:hint="eastAsia" w:ascii="宋体" w:hAnsi="宋体" w:cs="宋体"/>
          <w:sz w:val="24"/>
        </w:rPr>
      </w:pPr>
      <w:r>
        <w:rPr>
          <w:rFonts w:hint="eastAsia" w:ascii="宋体" w:hAnsi="宋体" w:cs="宋体"/>
          <w:sz w:val="24"/>
        </w:rPr>
        <w:t>第9.2.5项细化为:</w:t>
      </w:r>
    </w:p>
    <w:p w14:paraId="6BA61388">
      <w:pPr>
        <w:spacing w:line="450" w:lineRule="exact"/>
        <w:ind w:firstLine="435"/>
        <w:rPr>
          <w:rFonts w:hint="eastAsia" w:ascii="宋体" w:hAnsi="宋体" w:cs="宋体"/>
          <w:sz w:val="24"/>
        </w:rPr>
      </w:pPr>
      <w:r>
        <w:rPr>
          <w:rFonts w:hint="eastAsia" w:ascii="宋体" w:hAnsi="宋体" w:cs="宋体"/>
          <w:sz w:val="24"/>
        </w:rPr>
        <w:t>安全生产费用应用于施工安全防护用具及设施的采购和更新、安全施工措施的落实、安全生产条件的改善，不得挪作他用。</w:t>
      </w:r>
    </w:p>
    <w:p w14:paraId="40FDA6F7">
      <w:pPr>
        <w:spacing w:line="450" w:lineRule="exact"/>
        <w:ind w:firstLine="435"/>
        <w:rPr>
          <w:rFonts w:hint="eastAsia" w:ascii="宋体" w:hAnsi="宋体" w:cs="宋体"/>
          <w:sz w:val="24"/>
        </w:rPr>
      </w:pPr>
      <w:r>
        <w:rPr>
          <w:rFonts w:hint="eastAsia" w:ascii="宋体" w:hAnsi="宋体" w:cs="宋体"/>
          <w:sz w:val="24"/>
        </w:rPr>
        <w:t>第9.2.8（4）项细化为：</w:t>
      </w:r>
    </w:p>
    <w:p w14:paraId="7BF76722">
      <w:pPr>
        <w:spacing w:line="450" w:lineRule="exact"/>
        <w:ind w:firstLine="435"/>
        <w:rPr>
          <w:rFonts w:hint="eastAsia" w:ascii="宋体" w:hAnsi="宋体" w:cs="宋体"/>
          <w:sz w:val="24"/>
        </w:rPr>
      </w:pPr>
      <w:r>
        <w:rPr>
          <w:rFonts w:hint="eastAsia" w:ascii="宋体" w:hAnsi="宋体" w:cs="宋体"/>
          <w:sz w:val="24"/>
        </w:rPr>
        <w:t>（4） 根据本合同各单位工程的施工特点，严格执行《公路水运工程安全生产监督管理办法》、《公路工程施工安全技术规程》、《公路养护安全作业规程》、《公路筑养路机械操作规程》的具体规定。</w:t>
      </w:r>
    </w:p>
    <w:p w14:paraId="166CB597">
      <w:pPr>
        <w:spacing w:line="450" w:lineRule="exact"/>
        <w:ind w:firstLine="435"/>
        <w:rPr>
          <w:rFonts w:hint="eastAsia" w:ascii="宋体" w:hAnsi="宋体" w:cs="宋体"/>
          <w:sz w:val="24"/>
        </w:rPr>
      </w:pPr>
      <w:r>
        <w:rPr>
          <w:rFonts w:hint="eastAsia" w:ascii="宋体" w:hAnsi="宋体" w:cs="宋体"/>
          <w:sz w:val="24"/>
        </w:rPr>
        <w:t>增加9.2.12：</w:t>
      </w:r>
    </w:p>
    <w:p w14:paraId="748785D6">
      <w:pPr>
        <w:spacing w:line="450" w:lineRule="exact"/>
        <w:ind w:firstLine="435"/>
        <w:rPr>
          <w:rFonts w:hint="eastAsia" w:ascii="宋体" w:hAnsi="宋体" w:cs="宋体"/>
          <w:sz w:val="24"/>
        </w:rPr>
      </w:pPr>
      <w:r>
        <w:rPr>
          <w:rFonts w:hint="eastAsia" w:ascii="宋体" w:hAnsi="宋体" w:cs="宋体"/>
          <w:sz w:val="24"/>
        </w:rPr>
        <w:t>在实施和完成本合同工程及其缺陷修复的整个过程中，承包人应该：</w:t>
      </w:r>
    </w:p>
    <w:p w14:paraId="17847155">
      <w:pPr>
        <w:spacing w:line="450" w:lineRule="exact"/>
        <w:ind w:firstLine="435"/>
        <w:rPr>
          <w:rFonts w:hint="eastAsia" w:ascii="宋体" w:hAnsi="宋体" w:cs="宋体"/>
          <w:sz w:val="24"/>
        </w:rPr>
      </w:pPr>
      <w:r>
        <w:rPr>
          <w:rFonts w:hint="eastAsia" w:ascii="宋体" w:hAnsi="宋体" w:cs="宋体"/>
          <w:sz w:val="24"/>
        </w:rPr>
        <w:t>（1）充分关注和保障所有在现场工作的人员的安全，采取有效措施，使现场和本合同工程的实施保持有条不紊，以免使上述人员的安全受到威协。</w:t>
      </w:r>
    </w:p>
    <w:p w14:paraId="6223457C">
      <w:pPr>
        <w:spacing w:line="450" w:lineRule="exact"/>
        <w:ind w:firstLine="435"/>
        <w:rPr>
          <w:rFonts w:hint="eastAsia" w:ascii="宋体" w:hAnsi="宋体" w:cs="宋体"/>
          <w:sz w:val="24"/>
        </w:rPr>
      </w:pPr>
      <w:r>
        <w:rPr>
          <w:rFonts w:hint="eastAsia" w:ascii="宋体" w:hAnsi="宋体" w:cs="宋体"/>
          <w:sz w:val="24"/>
        </w:rPr>
        <w:t>a.每个施工封闭路段至少配备1名专职安全员；</w:t>
      </w:r>
    </w:p>
    <w:p w14:paraId="197913E1">
      <w:pPr>
        <w:spacing w:line="450" w:lineRule="exact"/>
        <w:ind w:firstLine="435"/>
        <w:rPr>
          <w:rFonts w:hint="eastAsia" w:ascii="宋体" w:hAnsi="宋体" w:cs="宋体"/>
          <w:sz w:val="24"/>
        </w:rPr>
      </w:pPr>
      <w:r>
        <w:rPr>
          <w:rFonts w:hint="eastAsia" w:ascii="宋体" w:hAnsi="宋体" w:cs="宋体"/>
          <w:sz w:val="24"/>
        </w:rPr>
        <w:t>b.特殊工种（电工、电梯工、起重工、电焊工、车船驾驶员、爆破工、潜水工、瓦斯检查员等）要经专业培训，并持有专发包人管部门签发的合格证上岗；</w:t>
      </w:r>
    </w:p>
    <w:p w14:paraId="5F9E3C65">
      <w:pPr>
        <w:spacing w:line="450" w:lineRule="exact"/>
        <w:ind w:firstLine="435"/>
        <w:rPr>
          <w:rFonts w:hint="eastAsia" w:ascii="宋体" w:hAnsi="宋体" w:cs="宋体"/>
          <w:sz w:val="24"/>
        </w:rPr>
      </w:pPr>
      <w:r>
        <w:rPr>
          <w:rFonts w:hint="eastAsia" w:ascii="宋体" w:hAnsi="宋体" w:cs="宋体"/>
          <w:sz w:val="24"/>
        </w:rPr>
        <w:t>c.对于易燃易爆的材料除应专门妥善保管之外，还应配备有足够的消防设备，所有施工人员都应熟悉消防设备的性能和使用方法；</w:t>
      </w:r>
    </w:p>
    <w:p w14:paraId="116AA674">
      <w:pPr>
        <w:spacing w:line="450" w:lineRule="exact"/>
        <w:ind w:firstLine="435"/>
        <w:rPr>
          <w:rFonts w:hint="eastAsia" w:ascii="宋体" w:hAnsi="宋体" w:cs="宋体"/>
          <w:sz w:val="24"/>
        </w:rPr>
      </w:pPr>
      <w:r>
        <w:rPr>
          <w:rFonts w:hint="eastAsia" w:ascii="宋体" w:hAnsi="宋体" w:cs="宋体"/>
          <w:sz w:val="24"/>
        </w:rPr>
        <w:t>d.所有施工机具设备和高空作业设备均应自费定期按国家和行发包人管部门的有关规定进行检测和标定，并将检测结果报监理工程师；</w:t>
      </w:r>
    </w:p>
    <w:p w14:paraId="79514281">
      <w:pPr>
        <w:spacing w:line="450" w:lineRule="exact"/>
        <w:ind w:firstLine="435"/>
        <w:rPr>
          <w:rFonts w:hint="eastAsia" w:ascii="宋体" w:hAnsi="宋体" w:cs="宋体"/>
          <w:sz w:val="24"/>
        </w:rPr>
      </w:pPr>
      <w:r>
        <w:rPr>
          <w:rFonts w:hint="eastAsia" w:ascii="宋体" w:hAnsi="宋体" w:cs="宋体"/>
          <w:sz w:val="24"/>
        </w:rPr>
        <w:t>e.根据本合同各单位工程的施工特点，严格执行交通部有关规范的具体规定。</w:t>
      </w:r>
    </w:p>
    <w:p w14:paraId="6DE5B6AA">
      <w:pPr>
        <w:spacing w:line="450" w:lineRule="exact"/>
        <w:ind w:firstLine="435"/>
        <w:rPr>
          <w:rFonts w:hint="eastAsia" w:ascii="宋体" w:hAnsi="宋体" w:cs="宋体"/>
          <w:sz w:val="24"/>
        </w:rPr>
      </w:pPr>
      <w:r>
        <w:rPr>
          <w:rFonts w:hint="eastAsia" w:ascii="宋体" w:hAnsi="宋体" w:cs="宋体"/>
          <w:sz w:val="24"/>
        </w:rPr>
        <w:t>（2）安全生产专项费用应当用于施工安全防护用具及设施的采购和更新、安全施工措施的落实、安全生产条件的改善，不得挪作他用。</w:t>
      </w:r>
    </w:p>
    <w:p w14:paraId="0C6A5D25">
      <w:pPr>
        <w:spacing w:line="450" w:lineRule="exact"/>
        <w:ind w:firstLine="435"/>
        <w:rPr>
          <w:rFonts w:hint="eastAsia" w:ascii="宋体" w:hAnsi="宋体" w:cs="宋体"/>
          <w:sz w:val="24"/>
        </w:rPr>
      </w:pPr>
      <w:r>
        <w:rPr>
          <w:rFonts w:hint="eastAsia" w:ascii="宋体" w:hAnsi="宋体" w:cs="宋体"/>
          <w:sz w:val="24"/>
        </w:rPr>
        <w:t>（3）为了保护本合同工程免遭损坏，或为了现场附近和过往群众的安全与方便，在确有必要的时候和地方，或当监理工程师或有关主管部门要求时，应提供照明、警卫、护栅、警告标志等安全防护设施。</w:t>
      </w:r>
    </w:p>
    <w:p w14:paraId="1CC7AE8D">
      <w:pPr>
        <w:spacing w:line="450" w:lineRule="exact"/>
        <w:ind w:firstLine="435"/>
        <w:rPr>
          <w:rFonts w:hint="eastAsia" w:ascii="宋体" w:hAnsi="宋体" w:cs="宋体"/>
          <w:sz w:val="24"/>
        </w:rPr>
      </w:pPr>
      <w:r>
        <w:rPr>
          <w:rFonts w:hint="eastAsia" w:ascii="宋体" w:hAnsi="宋体" w:cs="宋体"/>
          <w:sz w:val="24"/>
        </w:rPr>
        <w:t>（4）在跨铁路、公路施工时，应与相关部门取得联系，设置必要的标志，采取相关措施，确保施工安全。</w:t>
      </w:r>
    </w:p>
    <w:p w14:paraId="64A1D6F0">
      <w:pPr>
        <w:spacing w:line="450" w:lineRule="exact"/>
        <w:ind w:firstLine="435"/>
        <w:rPr>
          <w:rFonts w:hint="eastAsia" w:ascii="宋体" w:hAnsi="宋体" w:cs="宋体"/>
          <w:b w:val="0"/>
          <w:bCs w:val="0"/>
          <w:sz w:val="24"/>
        </w:rPr>
      </w:pPr>
      <w:r>
        <w:rPr>
          <w:rFonts w:hint="eastAsia" w:ascii="宋体" w:hAnsi="宋体" w:cs="宋体"/>
          <w:sz w:val="24"/>
        </w:rPr>
        <w:t>（5）</w:t>
      </w:r>
      <w:r>
        <w:rPr>
          <w:rFonts w:hint="eastAsia" w:ascii="宋体" w:hAnsi="宋体" w:cs="宋体"/>
          <w:b w:val="0"/>
          <w:bCs w:val="0"/>
          <w:sz w:val="24"/>
        </w:rPr>
        <w:t>承包人应遵守环境保护法，并切实执行技术规范其他章节中有关环境保护方面的要求和规定。施工环保费用最终按实结算。</w:t>
      </w:r>
    </w:p>
    <w:p w14:paraId="3C492EE5">
      <w:pPr>
        <w:spacing w:line="450" w:lineRule="exact"/>
        <w:ind w:firstLine="435"/>
        <w:rPr>
          <w:rFonts w:hint="eastAsia" w:ascii="宋体" w:hAnsi="宋体" w:cs="宋体"/>
          <w:sz w:val="24"/>
        </w:rPr>
      </w:pPr>
      <w:r>
        <w:rPr>
          <w:rFonts w:hint="eastAsia" w:ascii="宋体" w:hAnsi="宋体" w:cs="宋体"/>
          <w:sz w:val="24"/>
        </w:rPr>
        <w:t>a.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取得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7B95BB10">
      <w:pPr>
        <w:spacing w:line="450" w:lineRule="exact"/>
        <w:ind w:firstLine="435"/>
        <w:rPr>
          <w:rFonts w:hint="eastAsia" w:ascii="宋体" w:hAnsi="宋体" w:cs="宋体"/>
          <w:sz w:val="24"/>
        </w:rPr>
      </w:pPr>
      <w:r>
        <w:rPr>
          <w:rFonts w:hint="eastAsia" w:ascii="宋体" w:hAnsi="宋体" w:cs="宋体"/>
          <w:sz w:val="24"/>
        </w:rPr>
        <w:t>b.对于公路施工中粉尘污染的主要污染源——施工车辆和筑路机械运行和运输产生的扬尘，应采取有效措施减轻施工现场的大气污染，保护人民健康，如：</w:t>
      </w:r>
    </w:p>
    <w:p w14:paraId="4DAE6332">
      <w:pPr>
        <w:spacing w:line="450" w:lineRule="exact"/>
        <w:ind w:firstLine="435"/>
        <w:rPr>
          <w:rFonts w:hint="eastAsia" w:ascii="宋体" w:hAnsi="宋体" w:cs="宋体"/>
          <w:sz w:val="24"/>
        </w:rPr>
      </w:pPr>
      <w:r>
        <w:rPr>
          <w:rFonts w:hint="eastAsia" w:ascii="宋体" w:hAnsi="宋体" w:cs="宋体"/>
          <w:sz w:val="24"/>
        </w:rPr>
        <w:t>（a）拌和设备应有较好的密封，或有防尘设备。</w:t>
      </w:r>
    </w:p>
    <w:p w14:paraId="203BF9FD">
      <w:pPr>
        <w:spacing w:line="450" w:lineRule="exact"/>
        <w:ind w:firstLine="435"/>
        <w:rPr>
          <w:rFonts w:hint="eastAsia" w:ascii="宋体" w:hAnsi="宋体" w:cs="宋体"/>
          <w:sz w:val="24"/>
        </w:rPr>
      </w:pPr>
      <w:r>
        <w:rPr>
          <w:rFonts w:hint="eastAsia" w:ascii="宋体" w:hAnsi="宋体" w:cs="宋体"/>
          <w:sz w:val="24"/>
        </w:rPr>
        <w:t>（b）施工通道、水泥混凝土拌和站应经常进行洒水降尘。</w:t>
      </w:r>
    </w:p>
    <w:p w14:paraId="55777C90">
      <w:pPr>
        <w:spacing w:line="450" w:lineRule="exact"/>
        <w:ind w:firstLine="480" w:firstLineChars="200"/>
        <w:rPr>
          <w:rFonts w:hint="eastAsia" w:ascii="宋体" w:hAnsi="宋体" w:cs="宋体"/>
          <w:sz w:val="24"/>
        </w:rPr>
      </w:pPr>
      <w:r>
        <w:rPr>
          <w:rFonts w:hint="eastAsia" w:ascii="宋体" w:hAnsi="宋体" w:cs="宋体"/>
          <w:sz w:val="24"/>
        </w:rPr>
        <w:t>C．采取可靠措施保证原有交通的正常通行,维持沿线村镇的居民饮水、农田灌溉、生产生活用电及通讯等管线的正常使用。</w:t>
      </w:r>
    </w:p>
    <w:p w14:paraId="67BF26C7">
      <w:pPr>
        <w:spacing w:line="450" w:lineRule="exact"/>
        <w:ind w:firstLine="435"/>
        <w:rPr>
          <w:rFonts w:hint="eastAsia" w:ascii="宋体" w:hAnsi="宋体" w:cs="宋体"/>
          <w:sz w:val="24"/>
        </w:rPr>
      </w:pPr>
      <w:r>
        <w:rPr>
          <w:rFonts w:hint="eastAsia" w:ascii="宋体" w:hAnsi="宋体" w:cs="宋体"/>
          <w:sz w:val="24"/>
        </w:rPr>
        <w:t>d.承包人必须采取有效措施，按相关法律、法规、条例、办法的相关规定，到当地公安管理机关办理相关手续，建造符合要求的易燃、易爆危险品保管仓库，完善管理制度，24小时专人值班，加强防范工作，避免发生意外事故。</w:t>
      </w:r>
    </w:p>
    <w:p w14:paraId="0305CFF7">
      <w:pPr>
        <w:spacing w:line="450" w:lineRule="exact"/>
        <w:ind w:firstLine="435"/>
        <w:rPr>
          <w:rFonts w:hint="eastAsia" w:ascii="宋体" w:hAnsi="宋体" w:cs="宋体"/>
          <w:sz w:val="24"/>
        </w:rPr>
      </w:pPr>
      <w:r>
        <w:rPr>
          <w:rFonts w:hint="eastAsia" w:ascii="宋体" w:hAnsi="宋体" w:cs="宋体"/>
          <w:sz w:val="24"/>
        </w:rPr>
        <w:t>e.承包人应采取充分措施，避免因施工危害第三方的安全，包括电力线路、通信线路、水利沟渠管道、居民房屋、过往车辆及人员、森林火灾等。</w:t>
      </w:r>
    </w:p>
    <w:p w14:paraId="2233C909">
      <w:pPr>
        <w:spacing w:line="450" w:lineRule="exact"/>
        <w:ind w:firstLine="435"/>
        <w:rPr>
          <w:rFonts w:hint="eastAsia" w:ascii="宋体" w:hAnsi="宋体" w:cs="宋体"/>
          <w:sz w:val="24"/>
        </w:rPr>
      </w:pPr>
      <w:r>
        <w:rPr>
          <w:rFonts w:hint="eastAsia" w:ascii="宋体" w:hAnsi="宋体" w:cs="宋体"/>
          <w:sz w:val="24"/>
        </w:rPr>
        <w:t>f.承包人及所属施工单位职工、农民工在选择驻地、仓库时，必须避免可能发生洪水、雷击等地段，避免发生人员伤亡和财产损失。</w:t>
      </w:r>
    </w:p>
    <w:p w14:paraId="2AC336E0">
      <w:pPr>
        <w:spacing w:line="450" w:lineRule="exact"/>
        <w:ind w:firstLine="435"/>
        <w:rPr>
          <w:rFonts w:hint="eastAsia" w:ascii="宋体" w:hAnsi="宋体" w:cs="宋体"/>
          <w:sz w:val="24"/>
        </w:rPr>
      </w:pPr>
      <w:r>
        <w:rPr>
          <w:rFonts w:hint="eastAsia" w:ascii="宋体" w:hAnsi="宋体" w:cs="宋体"/>
          <w:sz w:val="24"/>
        </w:rPr>
        <w:t>g.承包人应加强环境保护意识，坚持文明施工，严禁野蛮施工、任意堆、弃废土，破坏或污染周围的环境。在经过邻近的河流、湖泊、水库等水利工程设施以及各类管线时，要明确施工操作程序，采取必需的预防措施，避免发生堵塞、填塞或污染河流、湖泊、水库、耕地或损伤各类管线、影响管线的正常使用等。</w:t>
      </w:r>
    </w:p>
    <w:p w14:paraId="214D208C">
      <w:pPr>
        <w:spacing w:line="450" w:lineRule="exact"/>
        <w:ind w:firstLine="435"/>
        <w:rPr>
          <w:rFonts w:hint="eastAsia" w:ascii="宋体" w:hAnsi="宋体" w:cs="宋体"/>
          <w:sz w:val="24"/>
        </w:rPr>
      </w:pPr>
      <w:r>
        <w:rPr>
          <w:rFonts w:hint="eastAsia" w:ascii="宋体" w:hAnsi="宋体" w:cs="宋体"/>
          <w:sz w:val="24"/>
        </w:rPr>
        <w:t>（6）承包人在施工过程中要加强生态保护及水土保持工作，采取切实措施保护生态环境，避免因施工破坏当地生态保护及水土保持。</w:t>
      </w:r>
    </w:p>
    <w:p w14:paraId="2E4085FA">
      <w:pPr>
        <w:spacing w:line="450" w:lineRule="exact"/>
        <w:ind w:firstLine="480" w:firstLineChars="200"/>
        <w:rPr>
          <w:rFonts w:hint="eastAsia" w:ascii="宋体" w:hAnsi="宋体" w:cs="宋体"/>
          <w:sz w:val="24"/>
        </w:rPr>
      </w:pPr>
      <w:r>
        <w:rPr>
          <w:rFonts w:hint="eastAsia" w:ascii="宋体" w:hAnsi="宋体" w:cs="宋体"/>
          <w:sz w:val="24"/>
        </w:rPr>
        <w:t>在整个施工过程中对承包人采取的安全、保卫和环境保护措施，发包人和监理工程师有权监督，并向承包人提出整改要求。如果由于承包人未能对其负责的上述事项采取各种必要的措施而导致或发生与此有关的人身伤亡、病残、罚款、索赔、损失补偿、诉讼费用及其他一切责任应由承包人负责，发包人不承担任何责任和费用。</w:t>
      </w:r>
    </w:p>
    <w:p w14:paraId="6FEF6A7D">
      <w:pPr>
        <w:spacing w:before="156" w:beforeLines="50" w:line="450" w:lineRule="exact"/>
        <w:rPr>
          <w:rFonts w:hint="eastAsia" w:ascii="宋体" w:hAnsi="宋体" w:cs="宋体"/>
          <w:sz w:val="24"/>
        </w:rPr>
      </w:pPr>
      <w:r>
        <w:rPr>
          <w:rFonts w:hint="eastAsia" w:ascii="宋体" w:hAnsi="宋体" w:cs="宋体"/>
          <w:sz w:val="24"/>
        </w:rPr>
        <w:t>12.1承包人暂停施工的责任</w:t>
      </w:r>
    </w:p>
    <w:p w14:paraId="12DD8E9E">
      <w:pPr>
        <w:spacing w:line="450" w:lineRule="exact"/>
        <w:ind w:firstLine="435"/>
        <w:rPr>
          <w:rFonts w:hint="eastAsia" w:ascii="宋体" w:hAnsi="宋体" w:cs="宋体"/>
          <w:sz w:val="24"/>
        </w:rPr>
      </w:pPr>
      <w:r>
        <w:rPr>
          <w:rFonts w:hint="eastAsia" w:ascii="宋体" w:hAnsi="宋体" w:cs="宋体"/>
          <w:sz w:val="24"/>
        </w:rPr>
        <w:t>本款第（6）项文末增加为：</w:t>
      </w:r>
    </w:p>
    <w:p w14:paraId="10E0B791">
      <w:pPr>
        <w:numPr>
          <w:ilvl w:val="0"/>
          <w:numId w:val="4"/>
        </w:numPr>
        <w:spacing w:line="450" w:lineRule="exact"/>
        <w:ind w:firstLine="435"/>
        <w:rPr>
          <w:rFonts w:hint="eastAsia" w:ascii="宋体" w:hAnsi="宋体" w:cs="宋体"/>
          <w:sz w:val="24"/>
        </w:rPr>
      </w:pPr>
      <w:r>
        <w:rPr>
          <w:rFonts w:hint="eastAsia" w:ascii="宋体" w:hAnsi="宋体" w:cs="宋体"/>
          <w:sz w:val="24"/>
        </w:rPr>
        <w:t>由于承包人未履行合同条款规定的职责引起地方阻工的暂停施工。</w:t>
      </w:r>
    </w:p>
    <w:p w14:paraId="7EFD2CE6">
      <w:pPr>
        <w:spacing w:before="156" w:beforeLines="50" w:line="450" w:lineRule="exact"/>
        <w:rPr>
          <w:rFonts w:hint="eastAsia" w:ascii="宋体" w:hAnsi="宋体" w:cs="宋体"/>
          <w:sz w:val="24"/>
        </w:rPr>
      </w:pPr>
      <w:bookmarkStart w:id="47" w:name="_Toc264550570"/>
      <w:r>
        <w:rPr>
          <w:rFonts w:hint="eastAsia" w:ascii="宋体" w:hAnsi="宋体" w:cs="宋体"/>
          <w:sz w:val="24"/>
        </w:rPr>
        <w:t>13 .工程质量</w:t>
      </w:r>
      <w:bookmarkEnd w:id="47"/>
    </w:p>
    <w:p w14:paraId="2B9CC433">
      <w:pPr>
        <w:spacing w:line="450" w:lineRule="exact"/>
        <w:ind w:firstLine="435"/>
        <w:rPr>
          <w:rFonts w:hint="eastAsia" w:ascii="宋体" w:hAnsi="宋体" w:cs="宋体"/>
          <w:sz w:val="24"/>
        </w:rPr>
      </w:pPr>
      <w:r>
        <w:rPr>
          <w:rFonts w:hint="eastAsia" w:ascii="宋体" w:hAnsi="宋体" w:cs="宋体"/>
          <w:sz w:val="24"/>
        </w:rPr>
        <w:t xml:space="preserve"> 本款增加13.7款：业主检查</w:t>
      </w:r>
    </w:p>
    <w:p w14:paraId="001A0B49">
      <w:pPr>
        <w:spacing w:line="450" w:lineRule="exact"/>
        <w:ind w:firstLine="435"/>
        <w:rPr>
          <w:rFonts w:hint="eastAsia" w:ascii="宋体" w:hAnsi="宋体" w:cs="宋体"/>
          <w:sz w:val="24"/>
        </w:rPr>
      </w:pPr>
      <w:r>
        <w:rPr>
          <w:rFonts w:hint="eastAsia" w:ascii="宋体" w:hAnsi="宋体" w:cs="宋体"/>
          <w:sz w:val="24"/>
        </w:rPr>
        <w:t xml:space="preserve"> 发包人及质量监督主管部门在工程实施过程中有权对工程质量、进度、安全、文明施工、环保、履约等方面进行检查，并通过监理工程师实施，以达到合同规定的技术要求和本项目的质量目标及进度目标，发包人将制定检查考核办法，根据检查结果对承包人进行奖罚。</w:t>
      </w:r>
    </w:p>
    <w:p w14:paraId="02F3946B">
      <w:pPr>
        <w:spacing w:line="450" w:lineRule="exact"/>
        <w:rPr>
          <w:rFonts w:hint="eastAsia" w:ascii="宋体" w:hAnsi="宋体" w:cs="宋体"/>
          <w:b/>
          <w:bCs/>
          <w:sz w:val="24"/>
        </w:rPr>
      </w:pPr>
      <w:r>
        <w:rPr>
          <w:rFonts w:hint="eastAsia" w:ascii="宋体" w:hAnsi="宋体" w:cs="宋体"/>
          <w:b/>
          <w:bCs/>
          <w:sz w:val="24"/>
        </w:rPr>
        <w:t>16.1物价波动引起的价格调整</w:t>
      </w:r>
    </w:p>
    <w:p w14:paraId="642687E2">
      <w:pPr>
        <w:spacing w:line="450" w:lineRule="exact"/>
        <w:ind w:firstLine="435"/>
        <w:rPr>
          <w:rFonts w:hint="eastAsia" w:ascii="宋体" w:hAnsi="宋体" w:cs="宋体"/>
          <w:sz w:val="24"/>
        </w:rPr>
      </w:pPr>
      <w:r>
        <w:rPr>
          <w:rFonts w:hint="eastAsia" w:ascii="宋体" w:hAnsi="宋体" w:cs="宋体"/>
          <w:sz w:val="24"/>
        </w:rPr>
        <w:t xml:space="preserve">本工程在合同执行期内不调价。 </w:t>
      </w:r>
    </w:p>
    <w:p w14:paraId="7C8B63E3">
      <w:pPr>
        <w:widowControl/>
        <w:spacing w:before="156" w:beforeLines="50" w:line="450" w:lineRule="exact"/>
        <w:jc w:val="left"/>
        <w:rPr>
          <w:rFonts w:hint="eastAsia" w:ascii="宋体" w:hAnsi="宋体" w:cs="宋体"/>
          <w:b/>
          <w:bCs/>
          <w:sz w:val="24"/>
        </w:rPr>
      </w:pPr>
      <w:r>
        <w:rPr>
          <w:rFonts w:hint="eastAsia" w:ascii="宋体" w:hAnsi="宋体" w:cs="宋体"/>
          <w:b/>
          <w:bCs/>
          <w:sz w:val="24"/>
        </w:rPr>
        <w:t>17.2 预付款</w:t>
      </w:r>
    </w:p>
    <w:p w14:paraId="70E66D12">
      <w:pPr>
        <w:widowControl/>
        <w:snapToGrid w:val="0"/>
        <w:spacing w:line="450" w:lineRule="exact"/>
        <w:ind w:firstLine="480" w:firstLineChars="200"/>
        <w:jc w:val="left"/>
        <w:rPr>
          <w:rFonts w:hint="default" w:ascii="宋体" w:hAnsi="宋体" w:eastAsia="宋体" w:cs="宋体"/>
          <w:sz w:val="24"/>
          <w:lang w:val="en-US" w:eastAsia="zh-CN"/>
        </w:rPr>
      </w:pPr>
      <w:r>
        <w:rPr>
          <w:rFonts w:hint="eastAsia" w:cs="宋体"/>
          <w:sz w:val="24"/>
          <w:lang w:val="en-US" w:eastAsia="zh-CN"/>
        </w:rPr>
        <w:t>合同签订具备实施条件后支付合同价的40%作为预付款（预付款支付前，成交供应商须提供同等金额预付款等额保函（见索即付）），若未提供预付款等额保函或自动放弃的采购人不予支付预付款。</w:t>
      </w:r>
    </w:p>
    <w:p w14:paraId="2D1F6D29">
      <w:pPr>
        <w:snapToGrid w:val="0"/>
        <w:spacing w:line="450" w:lineRule="exact"/>
        <w:rPr>
          <w:rFonts w:hint="eastAsia" w:ascii="宋体" w:hAnsi="宋体" w:cs="宋体"/>
          <w:b/>
          <w:bCs/>
          <w:sz w:val="24"/>
        </w:rPr>
      </w:pPr>
      <w:r>
        <w:rPr>
          <w:rFonts w:hint="eastAsia" w:ascii="宋体" w:hAnsi="宋体" w:cs="宋体"/>
          <w:b/>
          <w:bCs/>
          <w:sz w:val="24"/>
        </w:rPr>
        <w:t xml:space="preserve">17.6  计量的程序：   </w:t>
      </w:r>
    </w:p>
    <w:p w14:paraId="1439C276">
      <w:pPr>
        <w:snapToGrid w:val="0"/>
        <w:spacing w:line="450" w:lineRule="exact"/>
        <w:ind w:firstLine="600" w:firstLineChars="250"/>
        <w:rPr>
          <w:rFonts w:hint="eastAsia" w:ascii="宋体" w:hAnsi="宋体" w:cs="宋体"/>
          <w:sz w:val="24"/>
        </w:rPr>
      </w:pPr>
      <w:r>
        <w:rPr>
          <w:rFonts w:hint="eastAsia" w:ascii="宋体" w:hAnsi="宋体" w:cs="宋体"/>
          <w:sz w:val="24"/>
        </w:rPr>
        <w:t>发包人为加强项目管理将制定必要的计量程序，且有权对所有工程计量进行审查。</w:t>
      </w:r>
    </w:p>
    <w:p w14:paraId="7BFE3FAD">
      <w:pPr>
        <w:widowControl/>
        <w:spacing w:before="156" w:beforeLines="50" w:line="450" w:lineRule="exact"/>
        <w:jc w:val="left"/>
        <w:rPr>
          <w:rFonts w:hint="eastAsia" w:ascii="宋体" w:hAnsi="宋体" w:cs="宋体"/>
          <w:b/>
          <w:bCs/>
          <w:sz w:val="24"/>
        </w:rPr>
      </w:pPr>
      <w:r>
        <w:rPr>
          <w:rFonts w:hint="eastAsia" w:ascii="宋体" w:hAnsi="宋体" w:cs="宋体"/>
          <w:b/>
          <w:bCs/>
          <w:sz w:val="24"/>
        </w:rPr>
        <w:t>20.1工程保险</w:t>
      </w:r>
    </w:p>
    <w:p w14:paraId="0AD4095F">
      <w:pPr>
        <w:widowControl/>
        <w:snapToGrid w:val="0"/>
        <w:spacing w:line="450" w:lineRule="exact"/>
        <w:ind w:firstLine="480"/>
        <w:jc w:val="left"/>
        <w:rPr>
          <w:rFonts w:hint="eastAsia" w:ascii="宋体" w:hAnsi="宋体" w:cs="宋体"/>
          <w:sz w:val="24"/>
        </w:rPr>
      </w:pPr>
      <w:r>
        <w:rPr>
          <w:rFonts w:hint="eastAsia" w:ascii="宋体" w:hAnsi="宋体" w:cs="宋体"/>
          <w:sz w:val="24"/>
        </w:rPr>
        <w:t>承包人必须投保建筑工程一切险。保险单作为第一次计量支付时的凭证。</w:t>
      </w:r>
    </w:p>
    <w:p w14:paraId="3D740474">
      <w:pPr>
        <w:widowControl/>
        <w:spacing w:before="156" w:beforeLines="50" w:line="450" w:lineRule="exact"/>
        <w:jc w:val="left"/>
        <w:rPr>
          <w:rFonts w:hint="eastAsia" w:ascii="宋体" w:hAnsi="宋体" w:cs="宋体"/>
          <w:b/>
          <w:bCs/>
          <w:sz w:val="24"/>
        </w:rPr>
      </w:pPr>
      <w:r>
        <w:rPr>
          <w:rFonts w:hint="eastAsia" w:ascii="宋体" w:hAnsi="宋体" w:cs="宋体"/>
          <w:b/>
          <w:bCs/>
          <w:sz w:val="24"/>
        </w:rPr>
        <w:t>20.4第三者责任险</w:t>
      </w:r>
    </w:p>
    <w:p w14:paraId="71C87691">
      <w:pPr>
        <w:spacing w:line="450" w:lineRule="exact"/>
        <w:ind w:firstLine="480" w:firstLineChars="200"/>
        <w:rPr>
          <w:rFonts w:hint="eastAsia" w:ascii="宋体" w:hAnsi="宋体" w:cs="宋体"/>
          <w:sz w:val="24"/>
        </w:rPr>
      </w:pPr>
      <w:r>
        <w:rPr>
          <w:rFonts w:hint="eastAsia" w:ascii="宋体" w:hAnsi="宋体" w:cs="宋体"/>
          <w:sz w:val="24"/>
        </w:rPr>
        <w:t>第三者责任险</w:t>
      </w:r>
      <w:r>
        <w:rPr>
          <w:rFonts w:hint="eastAsia" w:ascii="宋体" w:hAnsi="宋体" w:cs="宋体"/>
          <w:sz w:val="24"/>
          <w:lang w:eastAsia="zh-CN"/>
        </w:rPr>
        <w:t>：</w:t>
      </w:r>
      <w:r>
        <w:rPr>
          <w:rFonts w:hint="eastAsia" w:ascii="宋体" w:hAnsi="宋体" w:cs="宋体"/>
          <w:sz w:val="24"/>
          <w:lang w:val="en-US" w:eastAsia="zh-CN"/>
        </w:rPr>
        <w:t>详见最高投标限价及编制说明描述</w:t>
      </w:r>
      <w:r>
        <w:rPr>
          <w:rFonts w:hint="eastAsia" w:ascii="宋体" w:hAnsi="宋体" w:cs="宋体"/>
          <w:sz w:val="24"/>
        </w:rPr>
        <w:t>，结算时以提供保险票据为准；</w:t>
      </w:r>
    </w:p>
    <w:p w14:paraId="559B68C2">
      <w:pPr>
        <w:widowControl/>
        <w:spacing w:before="156" w:beforeLines="50" w:line="450" w:lineRule="exact"/>
        <w:jc w:val="left"/>
        <w:rPr>
          <w:rFonts w:hint="eastAsia" w:ascii="宋体" w:hAnsi="宋体" w:cs="宋体"/>
          <w:b/>
          <w:bCs/>
          <w:sz w:val="24"/>
        </w:rPr>
      </w:pPr>
      <w:r>
        <w:rPr>
          <w:rFonts w:hint="eastAsia" w:ascii="宋体" w:hAnsi="宋体" w:cs="宋体"/>
          <w:b/>
          <w:bCs/>
          <w:sz w:val="24"/>
        </w:rPr>
        <w:t>22.1 承包人违约</w:t>
      </w:r>
    </w:p>
    <w:p w14:paraId="6418C933">
      <w:pPr>
        <w:spacing w:line="450" w:lineRule="exact"/>
        <w:ind w:firstLine="480" w:firstLineChars="200"/>
        <w:rPr>
          <w:rFonts w:hint="eastAsia" w:ascii="宋体" w:hAnsi="宋体" w:cs="宋体"/>
          <w:sz w:val="24"/>
        </w:rPr>
      </w:pPr>
      <w:r>
        <w:rPr>
          <w:rFonts w:hint="eastAsia" w:ascii="宋体" w:hAnsi="宋体" w:cs="宋体"/>
          <w:sz w:val="24"/>
        </w:rPr>
        <w:t>第22.1.1 （10）项细化为：</w:t>
      </w:r>
    </w:p>
    <w:p w14:paraId="5A50C4D8">
      <w:pPr>
        <w:spacing w:line="450" w:lineRule="exact"/>
        <w:ind w:firstLine="480" w:firstLineChars="200"/>
        <w:rPr>
          <w:rFonts w:hint="eastAsia" w:ascii="宋体" w:hAnsi="宋体" w:cs="宋体"/>
          <w:sz w:val="24"/>
        </w:rPr>
      </w:pPr>
      <w:r>
        <w:rPr>
          <w:rFonts w:hint="eastAsia" w:ascii="宋体" w:hAnsi="宋体" w:cs="宋体"/>
          <w:sz w:val="24"/>
        </w:rPr>
        <w:t>（10）承包人在投标或签订合同阶段提供虚假资料；</w:t>
      </w:r>
    </w:p>
    <w:p w14:paraId="786DB893">
      <w:pPr>
        <w:spacing w:line="450" w:lineRule="exact"/>
        <w:ind w:firstLine="480" w:firstLineChars="200"/>
        <w:rPr>
          <w:rFonts w:hint="eastAsia" w:ascii="宋体" w:hAnsi="宋体" w:cs="宋体"/>
          <w:sz w:val="24"/>
        </w:rPr>
      </w:pPr>
      <w:r>
        <w:rPr>
          <w:rFonts w:hint="eastAsia" w:ascii="宋体" w:hAnsi="宋体" w:cs="宋体"/>
          <w:sz w:val="24"/>
        </w:rPr>
        <w:t>（11）未经发包人批准，项目经理、技术负责人擅自离开工地现场；</w:t>
      </w:r>
    </w:p>
    <w:p w14:paraId="15DDBAFB">
      <w:pPr>
        <w:spacing w:line="450" w:lineRule="exact"/>
        <w:ind w:firstLine="480" w:firstLineChars="200"/>
        <w:rPr>
          <w:rFonts w:hint="eastAsia" w:ascii="宋体" w:hAnsi="宋体" w:cs="宋体"/>
          <w:sz w:val="24"/>
        </w:rPr>
      </w:pPr>
      <w:r>
        <w:rPr>
          <w:rFonts w:hint="eastAsia" w:ascii="宋体" w:hAnsi="宋体" w:cs="宋体"/>
          <w:sz w:val="24"/>
        </w:rPr>
        <w:t>（12）在各种报表、检查记录及检测、试验数据中作假；</w:t>
      </w:r>
    </w:p>
    <w:p w14:paraId="5DBF05D6">
      <w:pPr>
        <w:spacing w:line="450" w:lineRule="exact"/>
        <w:ind w:firstLine="480" w:firstLineChars="200"/>
        <w:rPr>
          <w:rFonts w:hint="eastAsia" w:ascii="宋体" w:hAnsi="宋体" w:cs="宋体"/>
          <w:sz w:val="24"/>
        </w:rPr>
      </w:pPr>
      <w:r>
        <w:rPr>
          <w:rFonts w:hint="eastAsia" w:ascii="宋体" w:hAnsi="宋体" w:cs="宋体"/>
          <w:sz w:val="24"/>
        </w:rPr>
        <w:t>（13）对其他工程造成损坏或污染；</w:t>
      </w:r>
    </w:p>
    <w:p w14:paraId="79CED6BB">
      <w:pPr>
        <w:spacing w:line="450" w:lineRule="exact"/>
        <w:ind w:firstLine="480" w:firstLineChars="200"/>
        <w:rPr>
          <w:rFonts w:hint="eastAsia" w:ascii="宋体" w:hAnsi="宋体" w:cs="宋体"/>
          <w:sz w:val="24"/>
        </w:rPr>
      </w:pPr>
      <w:r>
        <w:rPr>
          <w:rFonts w:hint="eastAsia" w:ascii="宋体" w:hAnsi="宋体" w:cs="宋体"/>
          <w:sz w:val="24"/>
        </w:rPr>
        <w:t>（14）一贯或公然忽视履行其合同规定的义务，无视业主、监理工程师事先的书面警告；</w:t>
      </w:r>
    </w:p>
    <w:p w14:paraId="4ABA8294">
      <w:pPr>
        <w:spacing w:line="450" w:lineRule="exact"/>
        <w:ind w:firstLine="480" w:firstLineChars="200"/>
        <w:rPr>
          <w:rFonts w:hint="eastAsia" w:ascii="宋体" w:hAnsi="宋体" w:cs="宋体"/>
          <w:sz w:val="24"/>
        </w:rPr>
      </w:pPr>
      <w:r>
        <w:rPr>
          <w:rFonts w:hint="eastAsia" w:ascii="宋体" w:hAnsi="宋体" w:cs="宋体"/>
          <w:sz w:val="24"/>
        </w:rPr>
        <w:t>（15）工程实施期间，承包人制定阶段性工期目标并提交监理工程师批准后，不能完成阶段性工期目标；</w:t>
      </w:r>
    </w:p>
    <w:p w14:paraId="1AC68166">
      <w:pPr>
        <w:spacing w:line="450" w:lineRule="exact"/>
        <w:ind w:firstLine="480" w:firstLineChars="200"/>
        <w:rPr>
          <w:rFonts w:hint="eastAsia" w:ascii="宋体" w:hAnsi="宋体" w:cs="宋体"/>
          <w:sz w:val="24"/>
        </w:rPr>
      </w:pPr>
      <w:r>
        <w:rPr>
          <w:rFonts w:hint="eastAsia" w:ascii="宋体" w:hAnsi="宋体" w:cs="宋体"/>
          <w:sz w:val="24"/>
        </w:rPr>
        <w:t>（16）由于承包人的原因，承包人在工程质量、进度、安全、文明施工、环保、履约等方面违反合同规定，且由监理人发出指示要求其返工或纠正的。</w:t>
      </w:r>
    </w:p>
    <w:p w14:paraId="3000C308">
      <w:pPr>
        <w:spacing w:line="450" w:lineRule="exact"/>
        <w:ind w:firstLine="480" w:firstLineChars="200"/>
        <w:rPr>
          <w:rFonts w:hint="eastAsia" w:ascii="宋体" w:hAnsi="宋体" w:cs="宋体"/>
          <w:sz w:val="24"/>
        </w:rPr>
      </w:pPr>
      <w:r>
        <w:rPr>
          <w:rFonts w:hint="eastAsia" w:ascii="宋体" w:hAnsi="宋体" w:cs="宋体"/>
          <w:sz w:val="24"/>
        </w:rPr>
        <w:t>（17）在工程施工过程及保修期内，由于承包人责任出现质量问题、安全事故或其它问题，受到政府部门通报批评。</w:t>
      </w:r>
    </w:p>
    <w:p w14:paraId="64BE5589">
      <w:pPr>
        <w:spacing w:line="450" w:lineRule="exact"/>
        <w:ind w:firstLine="480" w:firstLineChars="200"/>
        <w:rPr>
          <w:rFonts w:hint="eastAsia" w:ascii="宋体" w:hAnsi="宋体" w:cs="宋体"/>
          <w:sz w:val="24"/>
        </w:rPr>
      </w:pPr>
      <w:r>
        <w:rPr>
          <w:rFonts w:hint="eastAsia" w:ascii="宋体" w:hAnsi="宋体" w:cs="宋体"/>
          <w:sz w:val="24"/>
        </w:rPr>
        <w:t>（18）承包人违反第4.5款规定，未按承诺要求投入项目经理（总工）或未按监理人的要求更换项目经理（总工）的。</w:t>
      </w:r>
    </w:p>
    <w:p w14:paraId="63FE4B10">
      <w:pPr>
        <w:spacing w:line="450" w:lineRule="exact"/>
        <w:ind w:firstLine="480" w:firstLineChars="200"/>
        <w:rPr>
          <w:rFonts w:hint="eastAsia" w:ascii="宋体" w:hAnsi="宋体" w:cs="宋体"/>
          <w:sz w:val="24"/>
        </w:rPr>
      </w:pPr>
      <w:r>
        <w:rPr>
          <w:rFonts w:hint="eastAsia" w:ascii="宋体" w:hAnsi="宋体" w:cs="宋体"/>
          <w:sz w:val="24"/>
        </w:rPr>
        <w:t>（19）承包人将本合同工程款转移或用于其它工程的。</w:t>
      </w:r>
    </w:p>
    <w:p w14:paraId="64902BC8">
      <w:pPr>
        <w:spacing w:line="450" w:lineRule="exact"/>
        <w:ind w:firstLine="480" w:firstLineChars="200"/>
        <w:rPr>
          <w:rFonts w:hint="eastAsia" w:ascii="宋体" w:hAnsi="宋体" w:cs="宋体"/>
          <w:sz w:val="24"/>
        </w:rPr>
      </w:pPr>
      <w:r>
        <w:rPr>
          <w:rFonts w:hint="eastAsia" w:ascii="宋体" w:hAnsi="宋体" w:cs="宋体"/>
          <w:sz w:val="24"/>
        </w:rPr>
        <w:t>（20）承包人不履行合同约定义务的其他情况。</w:t>
      </w:r>
    </w:p>
    <w:p w14:paraId="43D78A8E">
      <w:pPr>
        <w:spacing w:line="450" w:lineRule="exact"/>
        <w:ind w:firstLine="480" w:firstLineChars="200"/>
        <w:rPr>
          <w:rFonts w:hint="eastAsia" w:ascii="宋体" w:hAnsi="宋体" w:cs="宋体"/>
          <w:sz w:val="24"/>
        </w:rPr>
      </w:pPr>
      <w:r>
        <w:rPr>
          <w:rFonts w:hint="eastAsia" w:ascii="宋体" w:hAnsi="宋体" w:cs="宋体"/>
          <w:sz w:val="24"/>
        </w:rPr>
        <w:t>22.1.2 当承包人发生第22.1.1项约定的违约情况时，发包人有权向承包人课以违约金，具体约定如下：</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1"/>
        <w:gridCol w:w="5337"/>
        <w:gridCol w:w="2921"/>
      </w:tblGrid>
      <w:tr w14:paraId="69B85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blHeader/>
          <w:jc w:val="center"/>
        </w:trPr>
        <w:tc>
          <w:tcPr>
            <w:tcW w:w="1371" w:type="dxa"/>
            <w:noWrap w:val="0"/>
            <w:vAlign w:val="center"/>
          </w:tcPr>
          <w:p w14:paraId="1AE105E9">
            <w:pPr>
              <w:pStyle w:val="28"/>
              <w:snapToGrid w:val="0"/>
              <w:spacing w:line="500" w:lineRule="exact"/>
              <w:jc w:val="center"/>
              <w:rPr>
                <w:rFonts w:hint="eastAsia" w:ascii="宋体" w:hAnsi="宋体" w:cs="宋体"/>
                <w:b/>
                <w:bCs/>
                <w:snapToGrid w:val="0"/>
                <w:spacing w:val="-6"/>
                <w:sz w:val="24"/>
                <w:szCs w:val="24"/>
              </w:rPr>
            </w:pPr>
            <w:r>
              <w:rPr>
                <w:rFonts w:hint="eastAsia" w:ascii="宋体" w:hAnsi="宋体" w:cs="宋体"/>
                <w:b/>
                <w:bCs/>
                <w:snapToGrid w:val="0"/>
                <w:spacing w:val="-6"/>
                <w:sz w:val="24"/>
                <w:szCs w:val="24"/>
              </w:rPr>
              <w:t>条款号</w:t>
            </w:r>
          </w:p>
        </w:tc>
        <w:tc>
          <w:tcPr>
            <w:tcW w:w="5337" w:type="dxa"/>
            <w:noWrap w:val="0"/>
            <w:vAlign w:val="center"/>
          </w:tcPr>
          <w:p w14:paraId="5D4FB838">
            <w:pPr>
              <w:pStyle w:val="28"/>
              <w:snapToGrid w:val="0"/>
              <w:spacing w:line="500" w:lineRule="exact"/>
              <w:jc w:val="center"/>
              <w:rPr>
                <w:rFonts w:hint="eastAsia" w:ascii="宋体" w:hAnsi="宋体" w:cs="宋体"/>
                <w:b/>
                <w:bCs/>
                <w:snapToGrid w:val="0"/>
                <w:spacing w:val="-6"/>
                <w:sz w:val="24"/>
                <w:szCs w:val="24"/>
              </w:rPr>
            </w:pPr>
            <w:r>
              <w:rPr>
                <w:rFonts w:hint="eastAsia" w:ascii="宋体" w:hAnsi="宋体" w:cs="宋体"/>
                <w:b/>
                <w:bCs/>
                <w:snapToGrid w:val="0"/>
                <w:spacing w:val="-6"/>
                <w:sz w:val="24"/>
                <w:szCs w:val="24"/>
              </w:rPr>
              <w:t>违约行为</w:t>
            </w:r>
          </w:p>
        </w:tc>
        <w:tc>
          <w:tcPr>
            <w:tcW w:w="2921" w:type="dxa"/>
            <w:noWrap w:val="0"/>
            <w:vAlign w:val="center"/>
          </w:tcPr>
          <w:p w14:paraId="1EBCF0D5">
            <w:pPr>
              <w:pStyle w:val="28"/>
              <w:snapToGrid w:val="0"/>
              <w:spacing w:line="500" w:lineRule="exact"/>
              <w:jc w:val="center"/>
              <w:rPr>
                <w:rFonts w:hint="eastAsia" w:ascii="宋体" w:hAnsi="宋体" w:cs="宋体"/>
                <w:b/>
                <w:bCs/>
                <w:snapToGrid w:val="0"/>
                <w:spacing w:val="-6"/>
                <w:sz w:val="24"/>
                <w:szCs w:val="24"/>
              </w:rPr>
            </w:pPr>
            <w:r>
              <w:rPr>
                <w:rFonts w:hint="eastAsia" w:ascii="宋体" w:hAnsi="宋体" w:cs="宋体"/>
                <w:b/>
                <w:bCs/>
                <w:snapToGrid w:val="0"/>
                <w:spacing w:val="-6"/>
                <w:sz w:val="24"/>
                <w:szCs w:val="24"/>
              </w:rPr>
              <w:t>违约责任</w:t>
            </w:r>
          </w:p>
        </w:tc>
      </w:tr>
      <w:tr w14:paraId="04AEC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71" w:type="dxa"/>
            <w:noWrap w:val="0"/>
            <w:vAlign w:val="center"/>
          </w:tcPr>
          <w:p w14:paraId="5A72C63C">
            <w:pPr>
              <w:spacing w:line="560" w:lineRule="exact"/>
              <w:jc w:val="center"/>
              <w:rPr>
                <w:rFonts w:hint="eastAsia" w:ascii="宋体" w:hAnsi="宋体" w:cs="宋体"/>
                <w:sz w:val="24"/>
              </w:rPr>
            </w:pPr>
            <w:r>
              <w:rPr>
                <w:rFonts w:hint="eastAsia" w:ascii="宋体" w:hAnsi="宋体" w:cs="宋体"/>
                <w:sz w:val="24"/>
              </w:rPr>
              <w:t>1</w:t>
            </w:r>
          </w:p>
        </w:tc>
        <w:tc>
          <w:tcPr>
            <w:tcW w:w="5337" w:type="dxa"/>
            <w:noWrap w:val="0"/>
            <w:vAlign w:val="center"/>
          </w:tcPr>
          <w:p w14:paraId="2C84EDCE">
            <w:pPr>
              <w:pStyle w:val="28"/>
              <w:snapToGrid w:val="0"/>
              <w:spacing w:line="560" w:lineRule="exact"/>
              <w:jc w:val="center"/>
              <w:rPr>
                <w:rFonts w:hint="eastAsia" w:ascii="宋体" w:hAnsi="宋体" w:cs="宋体"/>
                <w:bCs/>
                <w:snapToGrid w:val="0"/>
                <w:spacing w:val="-6"/>
                <w:sz w:val="24"/>
                <w:szCs w:val="24"/>
              </w:rPr>
            </w:pPr>
            <w:r>
              <w:rPr>
                <w:rFonts w:hint="eastAsia" w:ascii="宋体" w:hAnsi="宋体" w:cs="宋体"/>
                <w:bCs/>
                <w:snapToGrid w:val="0"/>
                <w:spacing w:val="-6"/>
                <w:sz w:val="24"/>
                <w:szCs w:val="24"/>
              </w:rPr>
              <w:t>承包人在缺陷责任期内，未能对工程接收证书所列的缺陷清单的内容或缺陷责任期内发生的缺陷进行修复，而又拒绝按监理人指示再进行修补</w:t>
            </w:r>
          </w:p>
        </w:tc>
        <w:tc>
          <w:tcPr>
            <w:tcW w:w="2921" w:type="dxa"/>
            <w:noWrap w:val="0"/>
            <w:vAlign w:val="center"/>
          </w:tcPr>
          <w:p w14:paraId="651D0763">
            <w:pPr>
              <w:spacing w:line="560" w:lineRule="exact"/>
              <w:jc w:val="center"/>
              <w:rPr>
                <w:rFonts w:hint="eastAsia" w:ascii="宋体" w:hAnsi="宋体" w:cs="宋体"/>
                <w:sz w:val="24"/>
              </w:rPr>
            </w:pPr>
            <w:r>
              <w:rPr>
                <w:rFonts w:hint="eastAsia" w:ascii="宋体" w:hAnsi="宋体" w:cs="宋体"/>
                <w:sz w:val="24"/>
              </w:rPr>
              <w:t>可根据情节严重情况分别课以50000-100000元的违约金。</w:t>
            </w:r>
          </w:p>
        </w:tc>
      </w:tr>
      <w:tr w14:paraId="75257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71" w:type="dxa"/>
            <w:noWrap w:val="0"/>
            <w:vAlign w:val="center"/>
          </w:tcPr>
          <w:p w14:paraId="74D1CF0C">
            <w:pPr>
              <w:spacing w:line="560" w:lineRule="exact"/>
              <w:jc w:val="center"/>
              <w:rPr>
                <w:rFonts w:hint="eastAsia" w:ascii="宋体" w:hAnsi="宋体" w:cs="宋体"/>
                <w:sz w:val="24"/>
              </w:rPr>
            </w:pPr>
            <w:r>
              <w:rPr>
                <w:rFonts w:hint="eastAsia" w:ascii="宋体" w:hAnsi="宋体" w:cs="宋体"/>
                <w:sz w:val="24"/>
              </w:rPr>
              <w:t>2</w:t>
            </w:r>
          </w:p>
        </w:tc>
        <w:tc>
          <w:tcPr>
            <w:tcW w:w="5337" w:type="dxa"/>
            <w:noWrap w:val="0"/>
            <w:vAlign w:val="center"/>
          </w:tcPr>
          <w:p w14:paraId="26F40D59">
            <w:pPr>
              <w:pStyle w:val="28"/>
              <w:snapToGrid w:val="0"/>
              <w:spacing w:line="560" w:lineRule="exact"/>
              <w:jc w:val="center"/>
              <w:rPr>
                <w:rFonts w:hint="eastAsia" w:ascii="宋体" w:hAnsi="宋体" w:cs="宋体"/>
                <w:bCs/>
                <w:snapToGrid w:val="0"/>
                <w:spacing w:val="-6"/>
                <w:sz w:val="24"/>
                <w:szCs w:val="24"/>
              </w:rPr>
            </w:pPr>
            <w:r>
              <w:rPr>
                <w:rFonts w:hint="eastAsia" w:ascii="宋体" w:hAnsi="宋体" w:cs="宋体"/>
                <w:bCs/>
                <w:snapToGrid w:val="0"/>
                <w:spacing w:val="-6"/>
                <w:sz w:val="24"/>
                <w:szCs w:val="24"/>
              </w:rPr>
              <w:t>承包人无法继续履行或明确表示不履行或实质上已停止履行合同</w:t>
            </w:r>
          </w:p>
        </w:tc>
        <w:tc>
          <w:tcPr>
            <w:tcW w:w="2921" w:type="dxa"/>
            <w:noWrap w:val="0"/>
            <w:vAlign w:val="center"/>
          </w:tcPr>
          <w:p w14:paraId="6D6E44A4">
            <w:pPr>
              <w:pStyle w:val="28"/>
              <w:snapToGrid w:val="0"/>
              <w:spacing w:line="560" w:lineRule="exact"/>
              <w:jc w:val="center"/>
              <w:rPr>
                <w:rFonts w:hint="eastAsia" w:ascii="宋体" w:hAnsi="宋体" w:cs="宋体"/>
                <w:bCs/>
                <w:snapToGrid w:val="0"/>
                <w:spacing w:val="-6"/>
                <w:sz w:val="24"/>
                <w:szCs w:val="24"/>
              </w:rPr>
            </w:pPr>
            <w:r>
              <w:rPr>
                <w:rFonts w:hint="eastAsia" w:ascii="宋体" w:hAnsi="宋体" w:cs="宋体"/>
                <w:sz w:val="24"/>
                <w:szCs w:val="24"/>
              </w:rPr>
              <w:t>发包人将终止合同并按相关法律处罚。</w:t>
            </w:r>
          </w:p>
        </w:tc>
      </w:tr>
      <w:tr w14:paraId="222D0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71" w:type="dxa"/>
            <w:noWrap w:val="0"/>
            <w:vAlign w:val="center"/>
          </w:tcPr>
          <w:p w14:paraId="346AAFDE">
            <w:pPr>
              <w:spacing w:line="560" w:lineRule="exact"/>
              <w:jc w:val="center"/>
              <w:rPr>
                <w:rFonts w:hint="eastAsia" w:ascii="宋体" w:hAnsi="宋体" w:cs="宋体"/>
                <w:sz w:val="24"/>
              </w:rPr>
            </w:pPr>
            <w:r>
              <w:rPr>
                <w:rFonts w:hint="eastAsia" w:ascii="宋体" w:hAnsi="宋体" w:cs="宋体"/>
                <w:sz w:val="24"/>
              </w:rPr>
              <w:t>3</w:t>
            </w:r>
          </w:p>
        </w:tc>
        <w:tc>
          <w:tcPr>
            <w:tcW w:w="5337" w:type="dxa"/>
            <w:noWrap w:val="0"/>
            <w:vAlign w:val="center"/>
          </w:tcPr>
          <w:p w14:paraId="11888391">
            <w:pPr>
              <w:pStyle w:val="28"/>
              <w:snapToGrid w:val="0"/>
              <w:spacing w:line="560" w:lineRule="exact"/>
              <w:jc w:val="center"/>
              <w:rPr>
                <w:rFonts w:hint="eastAsia" w:ascii="宋体" w:hAnsi="宋体" w:cs="宋体"/>
                <w:sz w:val="24"/>
                <w:szCs w:val="24"/>
              </w:rPr>
            </w:pPr>
            <w:r>
              <w:rPr>
                <w:rFonts w:hint="eastAsia" w:ascii="宋体" w:hAnsi="宋体" w:cs="宋体"/>
                <w:sz w:val="24"/>
                <w:szCs w:val="24"/>
              </w:rPr>
              <w:t>工程实施期间，承包人制定阶段性工期目标并提交监理工程师批准后，不能完成阶段性工期目标</w:t>
            </w:r>
          </w:p>
        </w:tc>
        <w:tc>
          <w:tcPr>
            <w:tcW w:w="2921" w:type="dxa"/>
            <w:noWrap w:val="0"/>
            <w:vAlign w:val="center"/>
          </w:tcPr>
          <w:p w14:paraId="17D9AE4C">
            <w:pPr>
              <w:pStyle w:val="28"/>
              <w:snapToGrid w:val="0"/>
              <w:spacing w:line="560" w:lineRule="exact"/>
              <w:jc w:val="center"/>
              <w:rPr>
                <w:rFonts w:hint="eastAsia" w:ascii="宋体" w:hAnsi="宋体" w:cs="宋体"/>
                <w:bCs/>
                <w:snapToGrid w:val="0"/>
                <w:spacing w:val="-6"/>
                <w:sz w:val="24"/>
                <w:szCs w:val="24"/>
              </w:rPr>
            </w:pPr>
            <w:r>
              <w:rPr>
                <w:rFonts w:hint="eastAsia" w:ascii="宋体" w:hAnsi="宋体" w:cs="宋体"/>
                <w:bCs/>
                <w:snapToGrid w:val="0"/>
                <w:spacing w:val="-6"/>
                <w:sz w:val="24"/>
                <w:szCs w:val="24"/>
              </w:rPr>
              <w:t>课以承包人</w:t>
            </w:r>
            <w:r>
              <w:rPr>
                <w:rFonts w:hint="eastAsia" w:ascii="宋体" w:hAnsi="宋体" w:cs="宋体"/>
                <w:sz w:val="24"/>
                <w:szCs w:val="24"/>
              </w:rPr>
              <w:t>5000元/天的违约金</w:t>
            </w:r>
          </w:p>
        </w:tc>
      </w:tr>
    </w:tbl>
    <w:p w14:paraId="3CB1D4B9">
      <w:pPr>
        <w:spacing w:line="500" w:lineRule="exact"/>
        <w:ind w:firstLine="600" w:firstLineChars="250"/>
        <w:rPr>
          <w:rFonts w:hint="eastAsia" w:ascii="宋体" w:hAnsi="宋体" w:cs="宋体"/>
          <w:sz w:val="24"/>
        </w:rPr>
      </w:pPr>
      <w:r>
        <w:rPr>
          <w:rFonts w:hint="eastAsia" w:ascii="宋体" w:hAnsi="宋体" w:cs="宋体"/>
          <w:sz w:val="24"/>
        </w:rPr>
        <w:t>经业主核实，承包人以上中任一违约行为时，业主除采取措施纠正其违约行为外，违约金在当月支付证书中扣除。</w:t>
      </w:r>
    </w:p>
    <w:p w14:paraId="304399B0">
      <w:pPr>
        <w:spacing w:line="500" w:lineRule="exact"/>
        <w:ind w:firstLine="600" w:firstLineChars="250"/>
        <w:rPr>
          <w:rFonts w:hint="eastAsia" w:ascii="宋体" w:hAnsi="宋体" w:cs="宋体"/>
          <w:sz w:val="24"/>
        </w:rPr>
      </w:pPr>
    </w:p>
    <w:p w14:paraId="60CBAD11">
      <w:pPr>
        <w:spacing w:line="500" w:lineRule="exact"/>
        <w:ind w:firstLine="600" w:firstLineChars="250"/>
        <w:rPr>
          <w:rFonts w:hint="eastAsia" w:ascii="宋体" w:hAnsi="宋体" w:cs="宋体"/>
          <w:sz w:val="24"/>
        </w:rPr>
      </w:pPr>
    </w:p>
    <w:p w14:paraId="34C5C518">
      <w:pPr>
        <w:numPr>
          <w:ilvl w:val="0"/>
          <w:numId w:val="5"/>
        </w:numPr>
        <w:spacing w:after="120" w:line="400" w:lineRule="exact"/>
        <w:jc w:val="center"/>
        <w:rPr>
          <w:rFonts w:hint="eastAsia" w:ascii="宋体" w:hAnsi="宋体" w:cs="宋体"/>
          <w:sz w:val="24"/>
        </w:rPr>
      </w:pPr>
      <w:r>
        <w:rPr>
          <w:rFonts w:hint="eastAsia" w:ascii="宋体" w:hAnsi="宋体" w:cs="宋体"/>
          <w:sz w:val="24"/>
        </w:rPr>
        <w:t>合同附件格式</w:t>
      </w:r>
    </w:p>
    <w:p w14:paraId="6C03F36D">
      <w:pPr>
        <w:rPr>
          <w:rFonts w:hint="eastAsia" w:ascii="宋体" w:hAnsi="宋体" w:cs="宋体"/>
          <w:sz w:val="24"/>
        </w:rPr>
      </w:pPr>
    </w:p>
    <w:p w14:paraId="06B78E12">
      <w:pPr>
        <w:spacing w:before="156" w:beforeLines="50" w:after="156" w:afterLines="50" w:line="360" w:lineRule="exact"/>
        <w:ind w:firstLine="482" w:firstLineChars="200"/>
        <w:rPr>
          <w:rFonts w:hint="eastAsia" w:ascii="宋体" w:hAnsi="宋体" w:cs="宋体"/>
          <w:sz w:val="24"/>
        </w:rPr>
      </w:pPr>
      <w:r>
        <w:rPr>
          <w:rFonts w:hint="eastAsia" w:ascii="宋体" w:hAnsi="宋体" w:cs="宋体"/>
          <w:b/>
          <w:sz w:val="24"/>
        </w:rPr>
        <w:t>附件一、附件二、附件三、附件六、附件七、附件八</w:t>
      </w:r>
      <w:r>
        <w:rPr>
          <w:rFonts w:hint="eastAsia" w:ascii="宋体" w:hAnsi="宋体" w:cs="宋体"/>
          <w:sz w:val="24"/>
        </w:rPr>
        <w:t>具体内容采用中华人民共和国交通运输部公告2017第51号文颁布的《公路工程标准施工</w:t>
      </w:r>
      <w:r>
        <w:rPr>
          <w:rFonts w:hint="eastAsia" w:cs="宋体"/>
          <w:sz w:val="24"/>
          <w:lang w:val="en-US" w:eastAsia="zh-CN"/>
        </w:rPr>
        <w:t>招标</w:t>
      </w:r>
      <w:r>
        <w:rPr>
          <w:rFonts w:hint="eastAsia" w:ascii="宋体" w:hAnsi="宋体" w:cs="宋体"/>
          <w:sz w:val="24"/>
          <w:lang w:eastAsia="zh-CN"/>
        </w:rPr>
        <w:t>文件</w:t>
      </w:r>
      <w:r>
        <w:rPr>
          <w:rFonts w:hint="eastAsia" w:ascii="宋体" w:hAnsi="宋体" w:cs="宋体"/>
          <w:sz w:val="24"/>
        </w:rPr>
        <w:t>》。</w:t>
      </w:r>
    </w:p>
    <w:p w14:paraId="709FA9F8">
      <w:pPr>
        <w:spacing w:before="156" w:beforeLines="50" w:after="156" w:afterLines="50" w:line="360" w:lineRule="exact"/>
        <w:ind w:firstLine="480" w:firstLineChars="200"/>
        <w:outlineLvl w:val="0"/>
        <w:rPr>
          <w:rFonts w:hint="eastAsia" w:ascii="宋体" w:hAnsi="宋体" w:cs="宋体"/>
          <w:sz w:val="24"/>
        </w:rPr>
      </w:pPr>
      <w:bookmarkStart w:id="48" w:name="_Toc18377"/>
      <w:bookmarkStart w:id="49" w:name="_Toc22954"/>
      <w:bookmarkStart w:id="50" w:name="_Toc4866"/>
      <w:bookmarkStart w:id="51" w:name="_Toc20055"/>
      <w:bookmarkStart w:id="52" w:name="_Toc14873"/>
      <w:r>
        <w:rPr>
          <w:rFonts w:hint="eastAsia" w:ascii="宋体" w:hAnsi="宋体" w:cs="宋体"/>
          <w:sz w:val="24"/>
        </w:rPr>
        <w:t>附件四  其他主要管理人员和技术人员最低要求</w:t>
      </w:r>
      <w:bookmarkEnd w:id="48"/>
      <w:bookmarkEnd w:id="49"/>
      <w:bookmarkEnd w:id="50"/>
      <w:bookmarkEnd w:id="51"/>
      <w:bookmarkEnd w:id="52"/>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7"/>
        <w:gridCol w:w="1147"/>
        <w:gridCol w:w="7027"/>
      </w:tblGrid>
      <w:tr w14:paraId="4855F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1197" w:type="dxa"/>
            <w:noWrap w:val="0"/>
            <w:vAlign w:val="center"/>
          </w:tcPr>
          <w:p w14:paraId="652830DE">
            <w:pPr>
              <w:jc w:val="center"/>
              <w:rPr>
                <w:rFonts w:hint="eastAsia"/>
                <w:sz w:val="24"/>
              </w:rPr>
            </w:pPr>
            <w:r>
              <w:rPr>
                <w:rFonts w:hint="eastAsia"/>
                <w:sz w:val="24"/>
              </w:rPr>
              <w:t>人  员</w:t>
            </w:r>
          </w:p>
        </w:tc>
        <w:tc>
          <w:tcPr>
            <w:tcW w:w="1147" w:type="dxa"/>
            <w:tcBorders>
              <w:right w:val="single" w:color="auto" w:sz="4" w:space="0"/>
            </w:tcBorders>
            <w:noWrap w:val="0"/>
            <w:vAlign w:val="center"/>
          </w:tcPr>
          <w:p w14:paraId="519F3964">
            <w:pPr>
              <w:jc w:val="center"/>
              <w:rPr>
                <w:rFonts w:hint="eastAsia"/>
                <w:sz w:val="24"/>
              </w:rPr>
            </w:pPr>
            <w:r>
              <w:rPr>
                <w:rFonts w:hint="eastAsia"/>
                <w:sz w:val="24"/>
              </w:rPr>
              <w:t>数  量</w:t>
            </w:r>
          </w:p>
        </w:tc>
        <w:tc>
          <w:tcPr>
            <w:tcW w:w="7027" w:type="dxa"/>
            <w:tcBorders>
              <w:left w:val="single" w:color="auto" w:sz="4" w:space="0"/>
            </w:tcBorders>
            <w:noWrap w:val="0"/>
            <w:vAlign w:val="center"/>
          </w:tcPr>
          <w:p w14:paraId="4EB3E503">
            <w:pPr>
              <w:jc w:val="center"/>
              <w:rPr>
                <w:rFonts w:hint="eastAsia"/>
                <w:sz w:val="24"/>
              </w:rPr>
            </w:pPr>
            <w:r>
              <w:rPr>
                <w:rFonts w:hint="eastAsia"/>
                <w:sz w:val="24"/>
              </w:rPr>
              <w:t>资格要求</w:t>
            </w:r>
          </w:p>
        </w:tc>
      </w:tr>
      <w:tr w14:paraId="176F1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1197" w:type="dxa"/>
            <w:noWrap w:val="0"/>
            <w:vAlign w:val="center"/>
          </w:tcPr>
          <w:p w14:paraId="2A90500F">
            <w:pPr>
              <w:jc w:val="center"/>
              <w:rPr>
                <w:rFonts w:hint="eastAsia"/>
                <w:sz w:val="24"/>
              </w:rPr>
            </w:pPr>
            <w:r>
              <w:rPr>
                <w:rFonts w:hint="eastAsia"/>
                <w:sz w:val="24"/>
                <w:lang w:val="en-US" w:eastAsia="zh-CN"/>
              </w:rPr>
              <w:t>道路</w:t>
            </w:r>
            <w:r>
              <w:rPr>
                <w:rFonts w:hint="eastAsia"/>
                <w:sz w:val="24"/>
              </w:rPr>
              <w:t>工程师</w:t>
            </w:r>
          </w:p>
        </w:tc>
        <w:tc>
          <w:tcPr>
            <w:tcW w:w="1147" w:type="dxa"/>
            <w:tcBorders>
              <w:right w:val="single" w:color="auto" w:sz="4" w:space="0"/>
            </w:tcBorders>
            <w:noWrap w:val="0"/>
            <w:vAlign w:val="center"/>
          </w:tcPr>
          <w:p w14:paraId="088B8E1E">
            <w:pPr>
              <w:jc w:val="center"/>
              <w:rPr>
                <w:rFonts w:hint="eastAsia"/>
                <w:sz w:val="24"/>
              </w:rPr>
            </w:pPr>
            <w:r>
              <w:rPr>
                <w:rFonts w:hint="eastAsia"/>
                <w:sz w:val="24"/>
              </w:rPr>
              <w:t>2</w:t>
            </w:r>
          </w:p>
        </w:tc>
        <w:tc>
          <w:tcPr>
            <w:tcW w:w="7027" w:type="dxa"/>
            <w:noWrap w:val="0"/>
            <w:vAlign w:val="center"/>
          </w:tcPr>
          <w:p w14:paraId="02CB9004">
            <w:pPr>
              <w:rPr>
                <w:rFonts w:hint="eastAsia"/>
                <w:sz w:val="24"/>
              </w:rPr>
            </w:pPr>
            <w:r>
              <w:rPr>
                <w:rFonts w:hint="eastAsia"/>
                <w:sz w:val="24"/>
              </w:rPr>
              <w:t>公路工程专业工程师职称</w:t>
            </w:r>
          </w:p>
        </w:tc>
      </w:tr>
      <w:tr w14:paraId="73455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1197" w:type="dxa"/>
            <w:noWrap w:val="0"/>
            <w:vAlign w:val="center"/>
          </w:tcPr>
          <w:p w14:paraId="2A3DF844">
            <w:pPr>
              <w:jc w:val="center"/>
              <w:rPr>
                <w:rFonts w:hint="eastAsia"/>
                <w:sz w:val="24"/>
              </w:rPr>
            </w:pPr>
            <w:r>
              <w:rPr>
                <w:rFonts w:hint="eastAsia"/>
                <w:sz w:val="24"/>
              </w:rPr>
              <w:t>安全员</w:t>
            </w:r>
          </w:p>
        </w:tc>
        <w:tc>
          <w:tcPr>
            <w:tcW w:w="1147" w:type="dxa"/>
            <w:tcBorders>
              <w:right w:val="single" w:color="auto" w:sz="4" w:space="0"/>
            </w:tcBorders>
            <w:noWrap w:val="0"/>
            <w:vAlign w:val="center"/>
          </w:tcPr>
          <w:p w14:paraId="3690099C">
            <w:pPr>
              <w:jc w:val="center"/>
              <w:rPr>
                <w:rFonts w:hint="eastAsia"/>
                <w:sz w:val="24"/>
              </w:rPr>
            </w:pPr>
            <w:r>
              <w:rPr>
                <w:rFonts w:hint="eastAsia"/>
                <w:sz w:val="24"/>
              </w:rPr>
              <w:t>2</w:t>
            </w:r>
          </w:p>
        </w:tc>
        <w:tc>
          <w:tcPr>
            <w:tcW w:w="7027" w:type="dxa"/>
            <w:noWrap w:val="0"/>
            <w:vAlign w:val="center"/>
          </w:tcPr>
          <w:p w14:paraId="2954DBA9">
            <w:pPr>
              <w:rPr>
                <w:rFonts w:hint="eastAsia"/>
                <w:sz w:val="24"/>
              </w:rPr>
            </w:pPr>
            <w:r>
              <w:rPr>
                <w:rFonts w:hint="eastAsia"/>
                <w:sz w:val="24"/>
              </w:rPr>
              <w:t>持有C类《安全生产考核合格证书》。</w:t>
            </w:r>
          </w:p>
        </w:tc>
      </w:tr>
    </w:tbl>
    <w:p w14:paraId="1EF8DE2F">
      <w:pPr>
        <w:rPr>
          <w:rFonts w:hint="eastAsia" w:ascii="宋体" w:hAnsi="宋体" w:cs="宋体"/>
          <w:b/>
          <w:bCs/>
          <w:kern w:val="44"/>
          <w:sz w:val="24"/>
        </w:rPr>
      </w:pPr>
    </w:p>
    <w:p w14:paraId="728C7D3B">
      <w:pPr>
        <w:spacing w:before="156" w:beforeLines="50" w:after="156" w:afterLines="50" w:line="360" w:lineRule="exact"/>
        <w:ind w:firstLine="480" w:firstLineChars="200"/>
        <w:outlineLvl w:val="0"/>
        <w:rPr>
          <w:rFonts w:hint="eastAsia" w:ascii="宋体" w:hAnsi="宋体" w:cs="宋体"/>
          <w:sz w:val="24"/>
        </w:rPr>
      </w:pPr>
      <w:bookmarkStart w:id="53" w:name="_Toc3440"/>
      <w:bookmarkStart w:id="54" w:name="_Toc32408"/>
      <w:bookmarkStart w:id="55" w:name="_Toc17174"/>
      <w:bookmarkStart w:id="56" w:name="_Toc20438"/>
      <w:bookmarkStart w:id="57" w:name="_Toc5652"/>
      <w:r>
        <w:rPr>
          <w:rFonts w:hint="eastAsia" w:ascii="宋体" w:hAnsi="宋体" w:cs="宋体"/>
          <w:sz w:val="24"/>
        </w:rPr>
        <w:t>附件五  主要机械设备和试验检测设备最低要求</w:t>
      </w:r>
      <w:bookmarkEnd w:id="53"/>
      <w:bookmarkEnd w:id="54"/>
      <w:bookmarkEnd w:id="55"/>
      <w:bookmarkEnd w:id="56"/>
      <w:bookmarkEnd w:id="57"/>
    </w:p>
    <w:p w14:paraId="0D661596">
      <w:pPr>
        <w:spacing w:line="360" w:lineRule="exact"/>
        <w:rPr>
          <w:rFonts w:hint="eastAsia" w:ascii="宋体" w:hAnsi="宋体" w:cs="宋体"/>
          <w:sz w:val="24"/>
        </w:rPr>
      </w:pP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1"/>
      </w:tblGrid>
      <w:tr w14:paraId="585C5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9281" w:type="dxa"/>
            <w:noWrap w:val="0"/>
            <w:vAlign w:val="center"/>
          </w:tcPr>
          <w:p w14:paraId="14A51AE7">
            <w:pPr>
              <w:spacing w:line="360" w:lineRule="exact"/>
              <w:rPr>
                <w:rFonts w:hint="eastAsia" w:ascii="宋体" w:hAnsi="宋体" w:cs="宋体"/>
                <w:b/>
                <w:sz w:val="24"/>
              </w:rPr>
            </w:pPr>
            <w:r>
              <w:rPr>
                <w:rFonts w:hint="eastAsia" w:ascii="宋体" w:hAnsi="宋体" w:cs="宋体"/>
                <w:b/>
                <w:sz w:val="24"/>
              </w:rPr>
              <w:t>一、机械设备</w:t>
            </w:r>
          </w:p>
        </w:tc>
      </w:tr>
      <w:tr w14:paraId="6C1B9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9281" w:type="dxa"/>
            <w:noWrap w:val="0"/>
            <w:vAlign w:val="center"/>
          </w:tcPr>
          <w:p w14:paraId="42DDEF30">
            <w:pPr>
              <w:spacing w:line="360" w:lineRule="exact"/>
              <w:rPr>
                <w:rFonts w:hint="eastAsia" w:ascii="宋体" w:hAnsi="宋体" w:cs="宋体"/>
                <w:b/>
                <w:sz w:val="24"/>
              </w:rPr>
            </w:pPr>
            <w:r>
              <w:rPr>
                <w:rFonts w:hint="eastAsia"/>
                <w:sz w:val="24"/>
              </w:rPr>
              <w:t>根据本项目工作的需要列入相应的施工机械设备。</w:t>
            </w:r>
          </w:p>
        </w:tc>
      </w:tr>
      <w:tr w14:paraId="0FB5D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9281" w:type="dxa"/>
            <w:noWrap w:val="0"/>
            <w:vAlign w:val="center"/>
          </w:tcPr>
          <w:p w14:paraId="7A4A6D4D">
            <w:pPr>
              <w:spacing w:line="360" w:lineRule="exact"/>
              <w:rPr>
                <w:rFonts w:hint="eastAsia" w:ascii="宋体" w:hAnsi="宋体" w:cs="宋体"/>
                <w:b/>
                <w:sz w:val="24"/>
              </w:rPr>
            </w:pPr>
            <w:r>
              <w:rPr>
                <w:rFonts w:hint="eastAsia" w:ascii="宋体" w:hAnsi="宋体" w:cs="宋体"/>
                <w:b/>
                <w:sz w:val="24"/>
              </w:rPr>
              <w:t>二、试验检测设备</w:t>
            </w:r>
          </w:p>
        </w:tc>
      </w:tr>
      <w:tr w14:paraId="376B3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7" w:hRule="atLeast"/>
          <w:jc w:val="center"/>
        </w:trPr>
        <w:tc>
          <w:tcPr>
            <w:tcW w:w="9281" w:type="dxa"/>
            <w:noWrap w:val="0"/>
            <w:vAlign w:val="center"/>
          </w:tcPr>
          <w:p w14:paraId="17D75EDD">
            <w:pPr>
              <w:jc w:val="left"/>
              <w:rPr>
                <w:rFonts w:hint="eastAsia" w:ascii="宋体" w:hAnsi="宋体" w:cs="宋体"/>
                <w:sz w:val="24"/>
              </w:rPr>
            </w:pPr>
            <w:r>
              <w:rPr>
                <w:rFonts w:hint="eastAsia"/>
                <w:sz w:val="24"/>
              </w:rPr>
              <w:t>参照皖交质监局《安徽省公路水运工程工地试验室建设与管理暂行规定》的相关要求配置或经业主批准后外委。</w:t>
            </w:r>
          </w:p>
        </w:tc>
      </w:tr>
    </w:tbl>
    <w:p w14:paraId="33DA6DE6">
      <w:pPr>
        <w:spacing w:before="156" w:beforeLines="50" w:line="360" w:lineRule="auto"/>
        <w:rPr>
          <w:rFonts w:hint="eastAsia" w:ascii="宋体" w:hAnsi="宋体" w:cs="宋体"/>
          <w:b/>
          <w:sz w:val="24"/>
        </w:rPr>
      </w:pPr>
      <w:r>
        <w:rPr>
          <w:rFonts w:hint="eastAsia" w:ascii="宋体" w:hAnsi="宋体" w:cs="宋体"/>
          <w:b/>
          <w:sz w:val="24"/>
        </w:rPr>
        <w:t>注：（1）</w:t>
      </w:r>
      <w:r>
        <w:rPr>
          <w:rFonts w:hint="eastAsia" w:ascii="宋体" w:hAnsi="宋体" w:cs="宋体"/>
          <w:b/>
          <w:sz w:val="24"/>
          <w:lang w:val="en-US" w:eastAsia="zh-CN"/>
        </w:rPr>
        <w:t>供应商</w:t>
      </w:r>
      <w:r>
        <w:rPr>
          <w:rFonts w:hint="eastAsia" w:ascii="宋体" w:hAnsi="宋体" w:cs="宋体"/>
          <w:b/>
          <w:sz w:val="24"/>
        </w:rPr>
        <w:t>必须根据</w:t>
      </w:r>
      <w:r>
        <w:rPr>
          <w:rFonts w:hint="eastAsia" w:ascii="宋体" w:hAnsi="宋体" w:cs="宋体"/>
          <w:b/>
          <w:sz w:val="24"/>
          <w:lang w:eastAsia="zh-CN"/>
        </w:rPr>
        <w:t>磋商文件</w:t>
      </w:r>
      <w:r>
        <w:rPr>
          <w:rFonts w:hint="eastAsia" w:ascii="宋体" w:hAnsi="宋体" w:cs="宋体"/>
          <w:b/>
          <w:sz w:val="24"/>
        </w:rPr>
        <w:t>、图纸等其它资料的要求和现场考察的实际情况拟定进场机械设备，以满足</w:t>
      </w:r>
      <w:r>
        <w:rPr>
          <w:rFonts w:hint="eastAsia" w:ascii="宋体" w:hAnsi="宋体" w:cs="宋体"/>
          <w:b/>
          <w:sz w:val="24"/>
          <w:lang w:eastAsia="zh-CN"/>
        </w:rPr>
        <w:t>磋商文件</w:t>
      </w:r>
      <w:r>
        <w:rPr>
          <w:rFonts w:hint="eastAsia" w:ascii="宋体" w:hAnsi="宋体" w:cs="宋体"/>
          <w:b/>
          <w:sz w:val="24"/>
        </w:rPr>
        <w:t>规定的质量进度环保、安全等要求。</w:t>
      </w:r>
    </w:p>
    <w:p w14:paraId="617EDBE9">
      <w:pPr>
        <w:spacing w:before="156" w:beforeLines="50" w:line="360" w:lineRule="auto"/>
        <w:ind w:firstLine="236" w:firstLineChars="98"/>
        <w:rPr>
          <w:rFonts w:hint="eastAsia" w:ascii="宋体" w:hAnsi="宋体" w:cs="宋体"/>
          <w:b/>
          <w:sz w:val="24"/>
        </w:rPr>
      </w:pPr>
      <w:r>
        <w:rPr>
          <w:rFonts w:hint="eastAsia" w:ascii="宋体" w:hAnsi="宋体" w:cs="宋体"/>
          <w:b/>
          <w:sz w:val="24"/>
        </w:rPr>
        <w:t>（2）</w:t>
      </w:r>
      <w:r>
        <w:rPr>
          <w:rFonts w:hint="eastAsia" w:ascii="宋体" w:hAnsi="宋体" w:cs="宋体"/>
          <w:b/>
          <w:sz w:val="24"/>
          <w:lang w:eastAsia="zh-CN"/>
        </w:rPr>
        <w:t>成交单位</w:t>
      </w:r>
      <w:r>
        <w:rPr>
          <w:rFonts w:hint="eastAsia" w:ascii="宋体" w:hAnsi="宋体" w:cs="宋体"/>
          <w:b/>
          <w:sz w:val="24"/>
        </w:rPr>
        <w:t>在和业主签合同前应将拟投入本项目的其他主要管理人员、主要机械设备和试验检测设备报送</w:t>
      </w:r>
      <w:r>
        <w:rPr>
          <w:rFonts w:hint="eastAsia" w:ascii="宋体" w:hAnsi="宋体" w:cs="宋体"/>
          <w:b/>
          <w:sz w:val="24"/>
          <w:lang w:eastAsia="zh-CN"/>
        </w:rPr>
        <w:t>采购人</w:t>
      </w:r>
      <w:r>
        <w:rPr>
          <w:rFonts w:hint="eastAsia" w:ascii="宋体" w:hAnsi="宋体" w:cs="宋体"/>
          <w:b/>
          <w:sz w:val="24"/>
        </w:rPr>
        <w:t>审批。</w:t>
      </w:r>
    </w:p>
    <w:p w14:paraId="0224B712">
      <w:pPr>
        <w:spacing w:before="156" w:beforeLines="50" w:after="156" w:afterLines="50" w:line="360" w:lineRule="exact"/>
        <w:ind w:firstLine="480" w:firstLineChars="200"/>
        <w:outlineLvl w:val="0"/>
        <w:rPr>
          <w:rFonts w:hint="eastAsia" w:ascii="宋体" w:hAnsi="宋体" w:eastAsia="宋体" w:cs="宋体"/>
          <w:sz w:val="24"/>
          <w:lang w:val="en-US" w:eastAsia="zh-CN"/>
        </w:rPr>
      </w:pPr>
    </w:p>
    <w:p w14:paraId="5FE301E3">
      <w:pPr>
        <w:pStyle w:val="19"/>
        <w:rPr>
          <w:rFonts w:ascii="宋体" w:hAnsi="宋体" w:eastAsia="宋体" w:cs="宋体"/>
          <w:bCs/>
          <w:color w:val="auto"/>
          <w:sz w:val="21"/>
          <w:szCs w:val="21"/>
        </w:rPr>
      </w:pPr>
    </w:p>
    <w:p w14:paraId="083442C8">
      <w:pPr>
        <w:widowControl/>
        <w:jc w:val="left"/>
        <w:rPr>
          <w:b/>
          <w:color w:val="auto"/>
          <w:sz w:val="24"/>
          <w:highlight w:val="none"/>
        </w:rPr>
      </w:pPr>
      <w:r>
        <w:rPr>
          <w:b/>
          <w:color w:val="auto"/>
          <w:sz w:val="24"/>
          <w:highlight w:val="none"/>
        </w:rPr>
        <w:br w:type="page"/>
      </w:r>
    </w:p>
    <w:p w14:paraId="78275C34">
      <w:pPr>
        <w:spacing w:line="360" w:lineRule="auto"/>
        <w:jc w:val="center"/>
        <w:outlineLvl w:val="0"/>
        <w:rPr>
          <w:rFonts w:asciiTheme="minorEastAsia" w:hAnsiTheme="minorEastAsia" w:eastAsiaTheme="minorEastAsia"/>
          <w:b/>
          <w:color w:val="auto"/>
          <w:sz w:val="28"/>
          <w:highlight w:val="none"/>
        </w:rPr>
      </w:pPr>
      <w:bookmarkStart w:id="58" w:name="_Toc22734"/>
      <w:r>
        <w:rPr>
          <w:rFonts w:hint="eastAsia" w:asciiTheme="minorEastAsia" w:hAnsiTheme="minorEastAsia" w:eastAsiaTheme="minorEastAsia"/>
          <w:b/>
          <w:color w:val="auto"/>
          <w:sz w:val="28"/>
          <w:highlight w:val="none"/>
        </w:rPr>
        <w:t>第六章  响应文件格式</w:t>
      </w:r>
      <w:bookmarkEnd w:id="58"/>
    </w:p>
    <w:p w14:paraId="4E314528">
      <w:pPr>
        <w:spacing w:line="900" w:lineRule="exact"/>
        <w:jc w:val="center"/>
        <w:outlineLvl w:val="2"/>
        <w:rPr>
          <w:rFonts w:asciiTheme="minorEastAsia" w:hAnsiTheme="minorEastAsia" w:eastAsiaTheme="minorEastAsia"/>
          <w:b/>
          <w:color w:val="auto"/>
          <w:sz w:val="72"/>
          <w:highlight w:val="none"/>
        </w:rPr>
      </w:pPr>
      <w:bookmarkStart w:id="59" w:name="_Toc24879"/>
      <w:r>
        <w:rPr>
          <w:rFonts w:hint="eastAsia" w:asciiTheme="minorEastAsia" w:hAnsiTheme="minorEastAsia" w:eastAsiaTheme="minorEastAsia"/>
          <w:b/>
          <w:color w:val="auto"/>
          <w:sz w:val="72"/>
          <w:highlight w:val="none"/>
        </w:rPr>
        <w:t>响</w:t>
      </w:r>
    </w:p>
    <w:p w14:paraId="7DFFB9EB">
      <w:pPr>
        <w:spacing w:line="900" w:lineRule="exact"/>
        <w:jc w:val="center"/>
        <w:rPr>
          <w:rFonts w:asciiTheme="minorEastAsia" w:hAnsiTheme="minorEastAsia" w:eastAsiaTheme="minorEastAsia"/>
          <w:b/>
          <w:color w:val="auto"/>
          <w:sz w:val="72"/>
          <w:highlight w:val="none"/>
        </w:rPr>
      </w:pPr>
    </w:p>
    <w:p w14:paraId="78D8CDC7">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AEB89D8">
      <w:pPr>
        <w:spacing w:line="900" w:lineRule="exact"/>
        <w:jc w:val="center"/>
        <w:rPr>
          <w:rFonts w:asciiTheme="minorEastAsia" w:hAnsiTheme="minorEastAsia" w:eastAsiaTheme="minorEastAsia"/>
          <w:b/>
          <w:color w:val="auto"/>
          <w:sz w:val="72"/>
          <w:highlight w:val="none"/>
        </w:rPr>
      </w:pPr>
    </w:p>
    <w:p w14:paraId="409B6C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506011D0">
      <w:pPr>
        <w:spacing w:line="900" w:lineRule="exact"/>
        <w:jc w:val="center"/>
        <w:rPr>
          <w:rFonts w:asciiTheme="minorEastAsia" w:hAnsiTheme="minorEastAsia" w:eastAsiaTheme="minorEastAsia"/>
          <w:b/>
          <w:color w:val="auto"/>
          <w:sz w:val="72"/>
          <w:highlight w:val="none"/>
        </w:rPr>
      </w:pPr>
    </w:p>
    <w:p w14:paraId="5BE59352">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6C397FAF">
      <w:pPr>
        <w:spacing w:after="156" w:afterLines="50"/>
        <w:jc w:val="center"/>
        <w:rPr>
          <w:rFonts w:asciiTheme="minorEastAsia" w:hAnsiTheme="minorEastAsia" w:eastAsiaTheme="minorEastAsia"/>
          <w:b/>
          <w:color w:val="auto"/>
          <w:sz w:val="72"/>
          <w:highlight w:val="none"/>
        </w:rPr>
      </w:pPr>
    </w:p>
    <w:p w14:paraId="3B0A8105">
      <w:pPr>
        <w:spacing w:after="156" w:afterLines="50" w:line="500" w:lineRule="exact"/>
        <w:jc w:val="center"/>
        <w:rPr>
          <w:rFonts w:asciiTheme="minorEastAsia" w:hAnsiTheme="minorEastAsia" w:eastAsiaTheme="minorEastAsia"/>
          <w:b/>
          <w:color w:val="auto"/>
          <w:sz w:val="28"/>
          <w:szCs w:val="28"/>
          <w:highlight w:val="none"/>
        </w:rPr>
      </w:pPr>
    </w:p>
    <w:p w14:paraId="73DE4D6D">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320FB17">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BC008CE">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C0BB661">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0" w:name="_Toc24911"/>
      <w:bookmarkStart w:id="61"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0"/>
      <w:bookmarkEnd w:id="61"/>
    </w:p>
    <w:p w14:paraId="51448E0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26771D2">
      <w:pPr>
        <w:spacing w:line="360" w:lineRule="auto"/>
        <w:jc w:val="center"/>
        <w:outlineLvl w:val="1"/>
        <w:rPr>
          <w:rFonts w:asciiTheme="minorEastAsia" w:hAnsiTheme="minorEastAsia" w:eastAsiaTheme="minorEastAsia"/>
          <w:b/>
          <w:color w:val="auto"/>
          <w:sz w:val="24"/>
          <w:highlight w:val="none"/>
        </w:rPr>
      </w:pPr>
      <w:bookmarkStart w:id="62" w:name="_Toc461056631"/>
      <w:bookmarkStart w:id="63" w:name="_Toc461053086"/>
      <w:bookmarkStart w:id="64" w:name="_Toc21496"/>
      <w:bookmarkStart w:id="65" w:name="_Toc520983587"/>
      <w:bookmarkStart w:id="66" w:name="_Toc28280"/>
      <w:r>
        <w:rPr>
          <w:rFonts w:hint="eastAsia" w:asciiTheme="minorEastAsia" w:hAnsiTheme="minorEastAsia" w:eastAsiaTheme="minorEastAsia"/>
          <w:b/>
          <w:color w:val="auto"/>
          <w:sz w:val="24"/>
          <w:highlight w:val="none"/>
        </w:rPr>
        <w:t>一</w:t>
      </w:r>
      <w:bookmarkEnd w:id="62"/>
      <w:bookmarkEnd w:id="63"/>
      <w:r>
        <w:rPr>
          <w:rFonts w:hint="eastAsia" w:asciiTheme="minorEastAsia" w:hAnsiTheme="minorEastAsia" w:eastAsiaTheme="minorEastAsia"/>
          <w:b/>
          <w:color w:val="auto"/>
          <w:sz w:val="24"/>
          <w:highlight w:val="none"/>
        </w:rPr>
        <w:t>、报价表格式</w:t>
      </w:r>
      <w:bookmarkEnd w:id="64"/>
      <w:bookmarkEnd w:id="65"/>
      <w:bookmarkEnd w:id="66"/>
    </w:p>
    <w:p w14:paraId="1379C759">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04C31FAC">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p w14:paraId="03F186C4">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3DDA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ECA7A4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CFC2C81">
            <w:pPr>
              <w:rPr>
                <w:rFonts w:cs="宋体" w:asciiTheme="minorEastAsia" w:hAnsiTheme="minorEastAsia" w:eastAsiaTheme="minorEastAsia"/>
                <w:b/>
                <w:color w:val="auto"/>
                <w:kern w:val="2"/>
                <w:sz w:val="24"/>
                <w:szCs w:val="24"/>
                <w:highlight w:val="none"/>
              </w:rPr>
            </w:pPr>
          </w:p>
        </w:tc>
      </w:tr>
      <w:tr w14:paraId="3819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3ABEAE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60DEFD8A">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7BC3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2905299">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07AC1FA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4643B0FB">
            <w:pPr>
              <w:snapToGrid w:val="0"/>
              <w:rPr>
                <w:rFonts w:cs="宋体" w:asciiTheme="minorEastAsia" w:hAnsiTheme="minorEastAsia" w:eastAsiaTheme="minorEastAsia"/>
                <w:color w:val="auto"/>
                <w:kern w:val="2"/>
                <w:sz w:val="24"/>
                <w:szCs w:val="24"/>
                <w:highlight w:val="none"/>
              </w:rPr>
            </w:pPr>
          </w:p>
          <w:p w14:paraId="027BA180">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4BE4CB5">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6F27B9FD">
            <w:pPr>
              <w:snapToGrid w:val="0"/>
              <w:rPr>
                <w:rFonts w:cs="宋体" w:asciiTheme="minorEastAsia" w:hAnsiTheme="minorEastAsia" w:eastAsiaTheme="minorEastAsia"/>
                <w:b/>
                <w:color w:val="auto"/>
                <w:kern w:val="2"/>
                <w:sz w:val="24"/>
                <w:szCs w:val="24"/>
                <w:highlight w:val="none"/>
              </w:rPr>
            </w:pPr>
          </w:p>
        </w:tc>
      </w:tr>
      <w:tr w14:paraId="7C46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1B468122">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6F4C0277">
            <w:pPr>
              <w:snapToGrid w:val="0"/>
              <w:rPr>
                <w:rFonts w:cs="宋体" w:asciiTheme="minorEastAsia" w:hAnsiTheme="minorEastAsia" w:eastAsiaTheme="minorEastAsia"/>
                <w:b/>
                <w:color w:val="auto"/>
                <w:kern w:val="2"/>
                <w:sz w:val="24"/>
                <w:szCs w:val="24"/>
                <w:highlight w:val="none"/>
              </w:rPr>
            </w:pPr>
          </w:p>
        </w:tc>
      </w:tr>
      <w:tr w14:paraId="0139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64D3811">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4786AD54">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不高于</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rPr>
              <w:t>个日历天。供应商自报的承诺工期为考核标准</w:t>
            </w:r>
            <w:r>
              <w:rPr>
                <w:rFonts w:hint="eastAsia" w:cs="宋体" w:asciiTheme="minorEastAsia" w:hAnsiTheme="minorEastAsia" w:eastAsiaTheme="minorEastAsia"/>
                <w:b/>
                <w:color w:val="auto"/>
                <w:kern w:val="2"/>
                <w:sz w:val="24"/>
                <w:szCs w:val="24"/>
                <w:highlight w:val="none"/>
                <w:lang w:eastAsia="zh-CN"/>
              </w:rPr>
              <w:t>。</w:t>
            </w:r>
            <w:r>
              <w:rPr>
                <w:rFonts w:hint="eastAsia" w:cs="宋体" w:asciiTheme="minorEastAsia" w:hAnsiTheme="minorEastAsia" w:eastAsiaTheme="minorEastAsia"/>
                <w:b/>
                <w:color w:val="auto"/>
                <w:kern w:val="2"/>
                <w:sz w:val="24"/>
                <w:szCs w:val="24"/>
                <w:highlight w:val="none"/>
                <w:lang w:val="en-US" w:eastAsia="zh-CN"/>
              </w:rPr>
              <w:t>因</w:t>
            </w:r>
            <w:r>
              <w:rPr>
                <w:rFonts w:hint="eastAsia" w:cs="宋体" w:asciiTheme="minorEastAsia" w:hAnsiTheme="minorEastAsia" w:eastAsiaTheme="minorEastAsia"/>
                <w:b/>
                <w:color w:val="auto"/>
                <w:kern w:val="2"/>
                <w:sz w:val="24"/>
                <w:szCs w:val="24"/>
                <w:highlight w:val="none"/>
              </w:rPr>
              <w:t>供应商</w:t>
            </w:r>
            <w:r>
              <w:rPr>
                <w:rFonts w:hint="eastAsia" w:cs="宋体" w:asciiTheme="minorEastAsia" w:hAnsiTheme="minorEastAsia" w:eastAsiaTheme="minorEastAsia"/>
                <w:b/>
                <w:color w:val="auto"/>
                <w:kern w:val="2"/>
                <w:sz w:val="24"/>
                <w:szCs w:val="24"/>
                <w:highlight w:val="none"/>
                <w:lang w:val="en-US" w:eastAsia="zh-CN"/>
              </w:rPr>
              <w:t>原因造成的工期延误，每推迟一天，按合同价款（扣除暂估价和暂列金）万分之二处以违约金</w:t>
            </w:r>
            <w:r>
              <w:rPr>
                <w:rFonts w:hint="eastAsia" w:cs="宋体" w:asciiTheme="minorEastAsia" w:hAnsiTheme="minorEastAsia" w:eastAsiaTheme="minorEastAsia"/>
                <w:b/>
                <w:color w:val="auto"/>
                <w:kern w:val="2"/>
                <w:sz w:val="24"/>
                <w:szCs w:val="24"/>
                <w:highlight w:val="none"/>
              </w:rPr>
              <w:t>。</w:t>
            </w:r>
          </w:p>
        </w:tc>
      </w:tr>
      <w:tr w14:paraId="0B40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6683918">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6432B06F">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01F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6780B88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53A65AE9">
            <w:pPr>
              <w:rPr>
                <w:rFonts w:cs="宋体" w:asciiTheme="minorEastAsia" w:hAnsiTheme="minorEastAsia" w:eastAsiaTheme="minorEastAsia"/>
                <w:b/>
                <w:color w:val="auto"/>
                <w:kern w:val="2"/>
                <w:sz w:val="24"/>
                <w:szCs w:val="24"/>
                <w:highlight w:val="none"/>
              </w:rPr>
            </w:pPr>
          </w:p>
        </w:tc>
      </w:tr>
    </w:tbl>
    <w:p w14:paraId="4C33B3E0">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4B1E0072">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5B50E6D9">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6F1210A4">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707E7F4E">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596698B6">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24AF9F35">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3495EC7C">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4E38C526">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6142E59F">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bookmarkStart w:id="67" w:name="_Toc26702"/>
      <w:bookmarkStart w:id="68" w:name="_Toc1874"/>
      <w:r>
        <w:rPr>
          <w:rFonts w:hint="eastAsia" w:cs="宋体" w:asciiTheme="minorEastAsia" w:hAnsiTheme="minorEastAsia" w:eastAsiaTheme="minorEastAsia"/>
          <w:b/>
          <w:color w:val="auto"/>
          <w:sz w:val="24"/>
          <w:szCs w:val="24"/>
          <w:highlight w:val="none"/>
        </w:rPr>
        <w:t>工程量清单报价书</w:t>
      </w:r>
      <w:bookmarkEnd w:id="67"/>
      <w:bookmarkEnd w:id="68"/>
    </w:p>
    <w:p w14:paraId="0AD93DB6">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4CA992DB">
      <w:pPr>
        <w:widowControl/>
        <w:jc w:val="left"/>
        <w:rPr>
          <w:b/>
          <w:bCs/>
          <w:color w:val="auto"/>
          <w:sz w:val="24"/>
          <w:szCs w:val="28"/>
          <w:highlight w:val="none"/>
        </w:rPr>
      </w:pPr>
      <w:r>
        <w:rPr>
          <w:b/>
          <w:bCs/>
          <w:color w:val="auto"/>
          <w:sz w:val="24"/>
          <w:szCs w:val="28"/>
          <w:highlight w:val="none"/>
        </w:rPr>
        <w:br w:type="page"/>
      </w:r>
    </w:p>
    <w:p w14:paraId="055E9189">
      <w:pPr>
        <w:spacing w:line="360" w:lineRule="auto"/>
        <w:jc w:val="center"/>
        <w:outlineLvl w:val="1"/>
        <w:rPr>
          <w:rFonts w:asciiTheme="minorEastAsia" w:hAnsiTheme="minorEastAsia" w:eastAsiaTheme="minorEastAsia"/>
          <w:b/>
          <w:color w:val="auto"/>
          <w:sz w:val="24"/>
          <w:highlight w:val="none"/>
        </w:rPr>
      </w:pPr>
      <w:bookmarkStart w:id="69" w:name="_Toc461056632"/>
      <w:bookmarkStart w:id="70" w:name="_Toc461053087"/>
      <w:bookmarkStart w:id="71" w:name="_Toc520983588"/>
      <w:bookmarkStart w:id="72" w:name="_Toc20879"/>
      <w:bookmarkStart w:id="73" w:name="_Toc22341"/>
      <w:r>
        <w:rPr>
          <w:rFonts w:hint="eastAsia" w:asciiTheme="minorEastAsia" w:hAnsiTheme="minorEastAsia" w:eastAsiaTheme="minorEastAsia"/>
          <w:b/>
          <w:color w:val="auto"/>
          <w:sz w:val="24"/>
          <w:highlight w:val="none"/>
        </w:rPr>
        <w:t>二</w:t>
      </w:r>
      <w:bookmarkEnd w:id="69"/>
      <w:bookmarkEnd w:id="70"/>
      <w:r>
        <w:rPr>
          <w:rFonts w:hint="eastAsia" w:asciiTheme="minorEastAsia" w:hAnsiTheme="minorEastAsia" w:eastAsiaTheme="minorEastAsia"/>
          <w:b/>
          <w:color w:val="auto"/>
          <w:sz w:val="24"/>
          <w:highlight w:val="none"/>
        </w:rPr>
        <w:t>、最后承诺报价表</w:t>
      </w:r>
      <w:bookmarkEnd w:id="71"/>
      <w:bookmarkEnd w:id="72"/>
      <w:bookmarkEnd w:id="73"/>
    </w:p>
    <w:p w14:paraId="7DA9EC94">
      <w:pPr>
        <w:spacing w:before="156" w:beforeLines="50" w:after="156" w:afterLines="50" w:line="360" w:lineRule="auto"/>
        <w:ind w:firstLine="236" w:firstLineChars="98"/>
        <w:jc w:val="center"/>
        <w:outlineLvl w:val="1"/>
        <w:rPr>
          <w:b/>
          <w:color w:val="auto"/>
          <w:sz w:val="24"/>
          <w:szCs w:val="28"/>
          <w:highlight w:val="none"/>
        </w:rPr>
      </w:pPr>
      <w:bookmarkStart w:id="74" w:name="_Toc13333"/>
      <w:bookmarkStart w:id="75" w:name="_Toc8562"/>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74"/>
      <w:bookmarkEnd w:id="75"/>
    </w:p>
    <w:p w14:paraId="29C6070D">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4D7732FA">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169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53A4AEA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7DDEA201">
            <w:pPr>
              <w:rPr>
                <w:rFonts w:cs="宋体" w:asciiTheme="minorEastAsia" w:hAnsiTheme="minorEastAsia" w:eastAsiaTheme="minorEastAsia"/>
                <w:b/>
                <w:color w:val="auto"/>
                <w:kern w:val="2"/>
                <w:sz w:val="24"/>
                <w:szCs w:val="24"/>
                <w:highlight w:val="none"/>
              </w:rPr>
            </w:pPr>
          </w:p>
        </w:tc>
      </w:tr>
      <w:tr w14:paraId="523C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54BBEEE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3388CB6E">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5F17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43698F3B">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3A8D40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4B0B726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33B5D21">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4A7B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23241C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0EE33E42">
            <w:pPr>
              <w:snapToGrid w:val="0"/>
              <w:rPr>
                <w:rFonts w:cs="宋体" w:asciiTheme="minorEastAsia" w:hAnsiTheme="minorEastAsia" w:eastAsiaTheme="minorEastAsia"/>
                <w:b/>
                <w:color w:val="auto"/>
                <w:kern w:val="2"/>
                <w:sz w:val="24"/>
                <w:szCs w:val="24"/>
                <w:highlight w:val="none"/>
              </w:rPr>
            </w:pPr>
          </w:p>
        </w:tc>
      </w:tr>
      <w:tr w14:paraId="00AF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17D4F22">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6679DAC0">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不高于</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rPr>
              <w:t>个日历天。</w:t>
            </w:r>
          </w:p>
        </w:tc>
      </w:tr>
      <w:tr w14:paraId="7890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07095744">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1642E475">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098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7451B3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2D11EDE6">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2297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2C8ECC0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1376BD43">
            <w:pPr>
              <w:rPr>
                <w:rFonts w:cs="宋体" w:asciiTheme="minorEastAsia" w:hAnsiTheme="minorEastAsia" w:eastAsiaTheme="minorEastAsia"/>
                <w:b/>
                <w:color w:val="auto"/>
                <w:kern w:val="2"/>
                <w:sz w:val="24"/>
                <w:szCs w:val="24"/>
                <w:highlight w:val="none"/>
              </w:rPr>
            </w:pPr>
          </w:p>
        </w:tc>
      </w:tr>
    </w:tbl>
    <w:p w14:paraId="401D804A">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0CBF89E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3B75F9B5">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42FDACC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w:t>
      </w:r>
      <w:r>
        <w:rPr>
          <w:rFonts w:hint="default" w:cs="@仿宋_GB2312"/>
          <w:b/>
          <w:bCs/>
          <w:color w:val="auto"/>
          <w:kern w:val="2"/>
          <w:sz w:val="24"/>
          <w:highlight w:val="none"/>
        </w:rPr>
        <w:t>首次响应文件中无需提交，</w:t>
      </w:r>
      <w:r>
        <w:rPr>
          <w:rFonts w:hint="eastAsia" w:cs="@仿宋_GB2312"/>
          <w:b/>
          <w:bCs/>
          <w:color w:val="auto"/>
          <w:kern w:val="2"/>
          <w:sz w:val="24"/>
          <w:highlight w:val="none"/>
        </w:rPr>
        <w:t>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7519A98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5012B254">
      <w:pPr>
        <w:widowControl/>
        <w:jc w:val="left"/>
        <w:rPr>
          <w:bCs/>
          <w:color w:val="auto"/>
          <w:sz w:val="24"/>
          <w:highlight w:val="none"/>
        </w:rPr>
      </w:pPr>
      <w:r>
        <w:rPr>
          <w:bCs/>
          <w:color w:val="auto"/>
          <w:sz w:val="24"/>
          <w:highlight w:val="none"/>
        </w:rPr>
        <w:br w:type="page"/>
      </w:r>
    </w:p>
    <w:p w14:paraId="2F0E1927">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6" w:name="_Toc22429"/>
      <w:bookmarkStart w:id="77" w:name="_Toc7943"/>
      <w:bookmarkStart w:id="78"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76"/>
      <w:bookmarkEnd w:id="77"/>
    </w:p>
    <w:p w14:paraId="225A1BBC">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1A0A150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25F036CF">
      <w:pPr>
        <w:spacing w:line="360" w:lineRule="auto"/>
        <w:jc w:val="center"/>
        <w:outlineLvl w:val="1"/>
        <w:rPr>
          <w:rFonts w:asciiTheme="minorEastAsia" w:hAnsiTheme="minorEastAsia" w:eastAsiaTheme="minorEastAsia"/>
          <w:b/>
          <w:color w:val="auto"/>
          <w:sz w:val="24"/>
          <w:highlight w:val="none"/>
        </w:rPr>
      </w:pPr>
      <w:bookmarkStart w:id="79" w:name="_Toc28160"/>
      <w:bookmarkStart w:id="80" w:name="_Toc8006"/>
      <w:r>
        <w:rPr>
          <w:rFonts w:hint="eastAsia" w:asciiTheme="minorEastAsia" w:hAnsiTheme="minorEastAsia" w:eastAsiaTheme="minorEastAsia"/>
          <w:b/>
          <w:color w:val="auto"/>
          <w:sz w:val="24"/>
          <w:highlight w:val="none"/>
        </w:rPr>
        <w:t>四、磋商响应函</w:t>
      </w:r>
      <w:bookmarkEnd w:id="78"/>
      <w:bookmarkEnd w:id="79"/>
      <w:bookmarkEnd w:id="80"/>
    </w:p>
    <w:p w14:paraId="7F35759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u w:val="single"/>
        </w:rPr>
        <w:t>致：</w:t>
      </w:r>
      <w:r>
        <w:rPr>
          <w:rFonts w:hint="eastAsia" w:cs="宋体" w:asciiTheme="minorEastAsia" w:hAnsiTheme="minorEastAsia" w:eastAsiaTheme="minorEastAsia"/>
          <w:b/>
          <w:color w:val="auto"/>
          <w:kern w:val="2"/>
          <w:sz w:val="24"/>
          <w:szCs w:val="24"/>
          <w:highlight w:val="none"/>
          <w:u w:val="single"/>
          <w:lang w:eastAsia="zh-CN"/>
        </w:rPr>
        <w:t>滁州市公路管理服务中心</w:t>
      </w:r>
    </w:p>
    <w:p w14:paraId="0BABA323">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2AEBE15C">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54B284DA">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76F396F7">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790B551C">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1DB373D5">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77F059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72C613B2">
      <w:pPr>
        <w:pStyle w:val="53"/>
        <w:ind w:firstLine="200"/>
        <w:rPr>
          <w:color w:val="auto"/>
          <w:highlight w:val="none"/>
          <w:lang w:val="en-US"/>
        </w:rPr>
      </w:pPr>
    </w:p>
    <w:p w14:paraId="09292082">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3FCD8E87">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08910171">
      <w:pPr>
        <w:widowControl/>
        <w:jc w:val="left"/>
        <w:rPr>
          <w:color w:val="auto"/>
          <w:sz w:val="24"/>
          <w:highlight w:val="none"/>
        </w:rPr>
      </w:pPr>
      <w:r>
        <w:rPr>
          <w:color w:val="auto"/>
          <w:sz w:val="24"/>
          <w:highlight w:val="none"/>
        </w:rPr>
        <w:br w:type="page"/>
      </w:r>
    </w:p>
    <w:p w14:paraId="299B559B">
      <w:pPr>
        <w:spacing w:line="360" w:lineRule="auto"/>
        <w:jc w:val="center"/>
        <w:outlineLvl w:val="1"/>
        <w:rPr>
          <w:b/>
          <w:i/>
          <w:color w:val="auto"/>
          <w:sz w:val="24"/>
          <w:highlight w:val="none"/>
        </w:rPr>
      </w:pPr>
      <w:bookmarkStart w:id="81" w:name="_Toc2947"/>
      <w:bookmarkStart w:id="82" w:name="_Toc20728"/>
      <w:r>
        <w:rPr>
          <w:rFonts w:hint="eastAsia" w:asciiTheme="minorEastAsia" w:hAnsiTheme="minorEastAsia" w:eastAsiaTheme="minorEastAsia"/>
          <w:b/>
          <w:color w:val="auto"/>
          <w:sz w:val="24"/>
          <w:highlight w:val="none"/>
        </w:rPr>
        <w:t>五、</w:t>
      </w:r>
      <w:bookmarkEnd w:id="81"/>
      <w:bookmarkStart w:id="83" w:name="_Toc8658"/>
      <w:r>
        <w:rPr>
          <w:rFonts w:hint="eastAsia" w:asciiTheme="minorEastAsia" w:hAnsiTheme="minorEastAsia" w:eastAsiaTheme="minorEastAsia"/>
          <w:b/>
          <w:color w:val="auto"/>
          <w:sz w:val="24"/>
          <w:highlight w:val="none"/>
          <w:lang w:val="en-US" w:eastAsia="zh-CN"/>
        </w:rPr>
        <w:t>供应商资格声明书</w:t>
      </w:r>
      <w:bookmarkEnd w:id="82"/>
      <w:r>
        <w:rPr>
          <w:rFonts w:hint="eastAsia" w:asciiTheme="minorEastAsia" w:hAnsiTheme="minorEastAsia" w:eastAsiaTheme="minorEastAsia"/>
          <w:b/>
          <w:color w:val="auto"/>
          <w:sz w:val="24"/>
          <w:highlight w:val="none"/>
          <w:lang w:val="en-US" w:eastAsia="zh-CN"/>
        </w:rPr>
        <w:t xml:space="preserve"> </w:t>
      </w:r>
    </w:p>
    <w:p w14:paraId="0169083F">
      <w:pPr>
        <w:pStyle w:val="30"/>
        <w:spacing w:line="360" w:lineRule="auto"/>
        <w:rPr>
          <w:rFonts w:hint="eastAsia" w:eastAsia="宋体" w:asciiTheme="minorEastAsia" w:hAnsiTheme="minorEastAsia" w:cstheme="minorEastAsia"/>
          <w:color w:val="auto"/>
          <w:sz w:val="24"/>
          <w:szCs w:val="24"/>
          <w:highlight w:val="none"/>
          <w:u w:val="single"/>
          <w:lang w:eastAsia="zh-CN"/>
        </w:rPr>
      </w:pPr>
      <w:r>
        <w:rPr>
          <w:rFonts w:hint="eastAsia" w:ascii="宋体" w:hAnsi="宋体"/>
          <w:color w:val="auto"/>
          <w:sz w:val="24"/>
          <w:highlight w:val="none"/>
          <w:u w:val="single"/>
        </w:rPr>
        <w:t>致：</w:t>
      </w:r>
      <w:r>
        <w:rPr>
          <w:rFonts w:hint="eastAsia" w:ascii="宋体" w:hAnsi="宋体"/>
          <w:color w:val="auto"/>
          <w:sz w:val="24"/>
          <w:highlight w:val="none"/>
          <w:u w:val="single"/>
          <w:lang w:eastAsia="zh-CN"/>
        </w:rPr>
        <w:t>滁州市公路管理服务中心</w:t>
      </w:r>
    </w:p>
    <w:p w14:paraId="3EB048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3F8B1A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0C473F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46ABD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14EE7E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ABBDCAA">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138B7869">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7ECA3616">
      <w:pPr>
        <w:spacing w:line="360" w:lineRule="auto"/>
        <w:rPr>
          <w:rFonts w:hint="eastAsia"/>
          <w:color w:val="auto"/>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76B519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AC694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2A7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811943B">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4E6DC38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3571ADBD">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77FC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3EBB8A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65EBECB9">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42B3EE0">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5C25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0AA8E68">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58C22B97">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08FC15E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0E544A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155CD8F">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65F5BB4">
      <w:pPr>
        <w:spacing w:line="360" w:lineRule="auto"/>
        <w:jc w:val="center"/>
        <w:outlineLvl w:val="9"/>
        <w:rPr>
          <w:rFonts w:hint="eastAsia" w:asciiTheme="minorEastAsia" w:hAnsiTheme="minorEastAsia" w:eastAsiaTheme="minorEastAsia"/>
          <w:b/>
          <w:color w:val="auto"/>
          <w:sz w:val="2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83"/>
    </w:p>
    <w:p w14:paraId="204226F0">
      <w:pPr>
        <w:widowControl/>
        <w:jc w:val="center"/>
        <w:outlineLvl w:val="1"/>
        <w:rPr>
          <w:rFonts w:asciiTheme="minorEastAsia" w:hAnsiTheme="minorEastAsia" w:eastAsiaTheme="minorEastAsia"/>
          <w:b/>
          <w:color w:val="auto"/>
          <w:sz w:val="24"/>
          <w:highlight w:val="none"/>
          <w:u w:val="none"/>
        </w:rPr>
      </w:pPr>
      <w:bookmarkStart w:id="84" w:name="_Toc909"/>
      <w:bookmarkStart w:id="85" w:name="_Toc121626298"/>
      <w:bookmarkStart w:id="86" w:name="_Toc204594911"/>
      <w:bookmarkStart w:id="87" w:name="_Toc516969106"/>
      <w:bookmarkStart w:id="88" w:name="_Toc520983594"/>
      <w:bookmarkStart w:id="89" w:name="_Toc25503"/>
      <w:r>
        <w:rPr>
          <w:rFonts w:hint="eastAsia" w:asciiTheme="minorEastAsia" w:hAnsiTheme="minorEastAsia" w:eastAsiaTheme="minorEastAsia"/>
          <w:b/>
          <w:color w:val="auto"/>
          <w:sz w:val="24"/>
          <w:highlight w:val="none"/>
          <w:u w:val="none"/>
        </w:rPr>
        <w:t>六、授权书</w:t>
      </w:r>
      <w:bookmarkEnd w:id="84"/>
      <w:bookmarkEnd w:id="85"/>
      <w:bookmarkEnd w:id="86"/>
      <w:bookmarkEnd w:id="87"/>
      <w:bookmarkEnd w:id="88"/>
      <w:bookmarkEnd w:id="89"/>
    </w:p>
    <w:p w14:paraId="496202F2">
      <w:pPr>
        <w:spacing w:line="360" w:lineRule="auto"/>
        <w:jc w:val="center"/>
        <w:rPr>
          <w:rFonts w:asciiTheme="minorEastAsia" w:hAnsiTheme="minorEastAsia" w:eastAsiaTheme="minorEastAsia"/>
          <w:b/>
          <w:color w:val="auto"/>
          <w:sz w:val="24"/>
          <w:highlight w:val="none"/>
        </w:rPr>
      </w:pPr>
    </w:p>
    <w:p w14:paraId="173CBB06">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20B4D56D">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D0F9893">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0F99F962">
      <w:pPr>
        <w:pStyle w:val="28"/>
        <w:snapToGrid w:val="0"/>
        <w:spacing w:line="360" w:lineRule="auto"/>
        <w:ind w:firstLine="480" w:firstLineChars="200"/>
        <w:jc w:val="left"/>
        <w:rPr>
          <w:rFonts w:hAnsi="宋体" w:eastAsia="宋体"/>
          <w:color w:val="auto"/>
          <w:sz w:val="24"/>
          <w:highlight w:val="none"/>
        </w:rPr>
      </w:pPr>
    </w:p>
    <w:p w14:paraId="534EB2B6">
      <w:pPr>
        <w:pStyle w:val="28"/>
        <w:snapToGrid w:val="0"/>
        <w:spacing w:line="360" w:lineRule="auto"/>
        <w:ind w:firstLine="480" w:firstLineChars="200"/>
        <w:jc w:val="left"/>
        <w:rPr>
          <w:rFonts w:hAnsi="宋体" w:eastAsia="宋体"/>
          <w:color w:val="auto"/>
          <w:sz w:val="24"/>
          <w:highlight w:val="none"/>
        </w:rPr>
      </w:pPr>
    </w:p>
    <w:p w14:paraId="1CA1392E">
      <w:pPr>
        <w:pStyle w:val="28"/>
        <w:snapToGrid w:val="0"/>
        <w:spacing w:line="360" w:lineRule="auto"/>
        <w:ind w:firstLine="480" w:firstLineChars="200"/>
        <w:jc w:val="left"/>
        <w:rPr>
          <w:rFonts w:hAnsi="宋体" w:eastAsia="宋体"/>
          <w:color w:val="auto"/>
          <w:sz w:val="24"/>
          <w:highlight w:val="none"/>
        </w:rPr>
      </w:pPr>
    </w:p>
    <w:p w14:paraId="7C80FBAC">
      <w:pPr>
        <w:pStyle w:val="28"/>
        <w:snapToGrid w:val="0"/>
        <w:spacing w:line="360" w:lineRule="auto"/>
        <w:ind w:firstLine="480" w:firstLineChars="200"/>
        <w:jc w:val="left"/>
        <w:rPr>
          <w:rFonts w:hAnsi="宋体" w:eastAsia="宋体"/>
          <w:color w:val="auto"/>
          <w:sz w:val="24"/>
          <w:highlight w:val="none"/>
        </w:rPr>
      </w:pPr>
    </w:p>
    <w:p w14:paraId="5E0E75E6">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6AF04E2">
      <w:pPr>
        <w:pStyle w:val="28"/>
        <w:snapToGrid w:val="0"/>
        <w:spacing w:line="360" w:lineRule="auto"/>
        <w:ind w:firstLine="480" w:firstLineChars="200"/>
        <w:jc w:val="left"/>
        <w:rPr>
          <w:rFonts w:hAnsi="宋体" w:eastAsia="宋体"/>
          <w:color w:val="auto"/>
          <w:sz w:val="24"/>
          <w:szCs w:val="28"/>
          <w:highlight w:val="none"/>
        </w:rPr>
      </w:pPr>
    </w:p>
    <w:p w14:paraId="111A37CE">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33B6C7A8">
      <w:pPr>
        <w:spacing w:line="360" w:lineRule="auto"/>
        <w:rPr>
          <w:color w:val="auto"/>
          <w:sz w:val="24"/>
          <w:szCs w:val="28"/>
          <w:highlight w:val="none"/>
        </w:rPr>
      </w:pPr>
    </w:p>
    <w:p w14:paraId="47EA36D3">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1EF75FFA">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471A5539">
      <w:pPr>
        <w:spacing w:line="360" w:lineRule="auto"/>
        <w:rPr>
          <w:color w:val="auto"/>
          <w:sz w:val="24"/>
          <w:szCs w:val="28"/>
          <w:highlight w:val="none"/>
        </w:rPr>
      </w:pPr>
    </w:p>
    <w:p w14:paraId="02180C79">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78A59C61">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340B10FE">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69E6789E">
      <w:pPr>
        <w:widowControl/>
        <w:jc w:val="left"/>
        <w:rPr>
          <w:color w:val="auto"/>
          <w:sz w:val="24"/>
          <w:highlight w:val="none"/>
        </w:rPr>
      </w:pPr>
      <w:r>
        <w:rPr>
          <w:color w:val="auto"/>
          <w:sz w:val="24"/>
          <w:highlight w:val="none"/>
        </w:rPr>
        <w:br w:type="page"/>
      </w:r>
    </w:p>
    <w:p w14:paraId="2EEE8E24">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90" w:name="_Toc32351"/>
      <w:bookmarkStart w:id="91" w:name="_Toc12223"/>
      <w:r>
        <w:rPr>
          <w:rFonts w:hint="eastAsia" w:cs="@仿宋_GB2312" w:asciiTheme="minorEastAsia" w:hAnsiTheme="minorEastAsia" w:eastAsiaTheme="minorEastAsia"/>
          <w:b/>
          <w:bCs/>
          <w:color w:val="auto"/>
          <w:kern w:val="2"/>
          <w:sz w:val="24"/>
          <w:szCs w:val="24"/>
          <w:highlight w:val="none"/>
        </w:rPr>
        <w:t>七、法定代表人身份证明书</w:t>
      </w:r>
      <w:bookmarkEnd w:id="90"/>
      <w:bookmarkEnd w:id="91"/>
    </w:p>
    <w:p w14:paraId="19B731D9">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16174497">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7AE02F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D53C81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8A5E8E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45CD1A9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B65267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65FE53C8">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25DC973">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086770CA">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28CB19D">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546598A9">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3AFE9DBE">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0B1E1ECF">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6FDD2690">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2DCB566A">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C2D65A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52E48A3D">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3D05D0F0">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92" w:name="_Toc4373"/>
      <w:bookmarkStart w:id="93" w:name="_Toc20099"/>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92"/>
      <w:bookmarkEnd w:id="93"/>
    </w:p>
    <w:p w14:paraId="202C0C28">
      <w:pPr>
        <w:spacing w:line="360" w:lineRule="auto"/>
        <w:rPr>
          <w:rFonts w:hint="eastAsia" w:cs="宋体" w:asciiTheme="minorEastAsia" w:hAnsiTheme="minorEastAsia" w:eastAsiaTheme="minorEastAsia"/>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u w:val="single"/>
        </w:rPr>
        <w:t>致：</w:t>
      </w:r>
      <w:r>
        <w:rPr>
          <w:rFonts w:hint="eastAsia" w:cs="宋体" w:asciiTheme="minorEastAsia" w:hAnsiTheme="minorEastAsia" w:eastAsiaTheme="minorEastAsia"/>
          <w:b/>
          <w:color w:val="auto"/>
          <w:kern w:val="2"/>
          <w:sz w:val="24"/>
          <w:szCs w:val="24"/>
          <w:highlight w:val="none"/>
          <w:u w:val="single"/>
          <w:lang w:eastAsia="zh-CN"/>
        </w:rPr>
        <w:t>滁州市公路管理服务中心</w:t>
      </w:r>
    </w:p>
    <w:p w14:paraId="704459C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3B328FD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70DAF2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58AB8E9E">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00E180B3">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426390E2">
      <w:pPr>
        <w:spacing w:line="360" w:lineRule="auto"/>
        <w:ind w:firstLine="480" w:firstLineChars="200"/>
        <w:rPr>
          <w:rFonts w:cs="宋体"/>
          <w:color w:val="auto"/>
          <w:kern w:val="2"/>
          <w:sz w:val="24"/>
          <w:szCs w:val="24"/>
          <w:highlight w:val="none"/>
        </w:rPr>
      </w:pPr>
    </w:p>
    <w:p w14:paraId="4334B6C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7EF66F2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1054EB2A">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23CC5653">
      <w:pPr>
        <w:spacing w:line="360" w:lineRule="auto"/>
        <w:ind w:firstLine="480" w:firstLineChars="200"/>
        <w:rPr>
          <w:rFonts w:cs="宋体"/>
          <w:color w:val="auto"/>
          <w:kern w:val="2"/>
          <w:sz w:val="24"/>
          <w:szCs w:val="24"/>
          <w:highlight w:val="none"/>
        </w:rPr>
      </w:pPr>
    </w:p>
    <w:p w14:paraId="42617049">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395D69B7">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94" w:name="_Toc438648628"/>
      <w:r>
        <w:rPr>
          <w:rFonts w:hint="eastAsia" w:ascii="@仿宋_GB2312" w:eastAsia="@仿宋_GB2312" w:cs="宋体"/>
          <w:b/>
          <w:color w:val="auto"/>
          <w:kern w:val="2"/>
          <w:sz w:val="24"/>
          <w:szCs w:val="24"/>
          <w:highlight w:val="none"/>
        </w:rPr>
        <w:br w:type="page"/>
      </w:r>
      <w:bookmarkEnd w:id="94"/>
    </w:p>
    <w:p w14:paraId="30D35614">
      <w:pPr>
        <w:spacing w:line="360" w:lineRule="auto"/>
        <w:jc w:val="center"/>
        <w:outlineLvl w:val="1"/>
        <w:rPr>
          <w:rFonts w:asciiTheme="minorEastAsia" w:hAnsiTheme="minorEastAsia" w:eastAsiaTheme="minorEastAsia"/>
          <w:b/>
          <w:color w:val="auto"/>
          <w:sz w:val="24"/>
          <w:highlight w:val="none"/>
        </w:rPr>
      </w:pPr>
      <w:bookmarkStart w:id="95" w:name="_Toc28359"/>
      <w:bookmarkStart w:id="96" w:name="_Toc31589"/>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、中小企业声明函</w:t>
      </w:r>
      <w:bookmarkEnd w:id="95"/>
      <w:bookmarkEnd w:id="96"/>
    </w:p>
    <w:p w14:paraId="315116A3">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708BA27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3BDC5F2C">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71B865E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2D7712A8">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3334CE7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04756C7C">
      <w:pPr>
        <w:spacing w:line="360" w:lineRule="auto"/>
        <w:rPr>
          <w:rFonts w:cs="@仿宋_GB2312" w:asciiTheme="minorEastAsia" w:hAnsiTheme="minorEastAsia" w:eastAsiaTheme="minorEastAsia"/>
          <w:color w:val="auto"/>
          <w:kern w:val="2"/>
          <w:sz w:val="24"/>
          <w:szCs w:val="24"/>
          <w:highlight w:val="none"/>
        </w:rPr>
      </w:pPr>
    </w:p>
    <w:p w14:paraId="255618D1">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2AEFF98">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7E1309F8">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708274D7">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07A7E4C0">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42F32FCC">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606B9532">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888A560">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行业；承接企业为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F6D8B19">
      <w:pPr>
        <w:spacing w:line="360" w:lineRule="auto"/>
        <w:jc w:val="center"/>
        <w:outlineLvl w:val="1"/>
        <w:rPr>
          <w:rFonts w:asciiTheme="minorEastAsia" w:hAnsiTheme="minorEastAsia" w:eastAsiaTheme="minorEastAsia"/>
          <w:b/>
          <w:color w:val="auto"/>
          <w:sz w:val="24"/>
          <w:highlight w:val="none"/>
        </w:rPr>
      </w:pPr>
      <w:bookmarkStart w:id="97" w:name="_Toc17813"/>
      <w:bookmarkStart w:id="98" w:name="_Toc17154"/>
      <w:r>
        <w:rPr>
          <w:rFonts w:hint="eastAsia" w:asciiTheme="minorEastAsia" w:hAnsiTheme="minorEastAsia" w:eastAsiaTheme="minorEastAsia"/>
          <w:b/>
          <w:color w:val="auto"/>
          <w:sz w:val="24"/>
          <w:highlight w:val="none"/>
        </w:rPr>
        <w:t>十、残疾人福利性单位声明函</w:t>
      </w:r>
      <w:bookmarkEnd w:id="97"/>
      <w:bookmarkEnd w:id="98"/>
    </w:p>
    <w:p w14:paraId="086C4C67">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66922031">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63842CD1">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1DCB8DE7">
      <w:pPr>
        <w:spacing w:line="360" w:lineRule="auto"/>
        <w:ind w:firstLine="4228" w:firstLineChars="1762"/>
        <w:rPr>
          <w:rFonts w:cs="Times New Roman"/>
          <w:color w:val="auto"/>
          <w:kern w:val="2"/>
          <w:sz w:val="24"/>
          <w:szCs w:val="24"/>
          <w:highlight w:val="none"/>
        </w:rPr>
      </w:pPr>
    </w:p>
    <w:p w14:paraId="779ADF8A">
      <w:pPr>
        <w:spacing w:line="360" w:lineRule="auto"/>
        <w:ind w:firstLine="4228" w:firstLineChars="1762"/>
        <w:rPr>
          <w:rFonts w:cs="Times New Roman"/>
          <w:color w:val="auto"/>
          <w:kern w:val="2"/>
          <w:sz w:val="24"/>
          <w:szCs w:val="24"/>
          <w:highlight w:val="none"/>
        </w:rPr>
      </w:pPr>
    </w:p>
    <w:p w14:paraId="41A7C5B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341061A6">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2FE805A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EF867D3">
      <w:pPr>
        <w:spacing w:line="360" w:lineRule="auto"/>
        <w:jc w:val="center"/>
        <w:outlineLvl w:val="1"/>
        <w:rPr>
          <w:rFonts w:asciiTheme="minorEastAsia" w:hAnsiTheme="minorEastAsia" w:eastAsiaTheme="minorEastAsia"/>
          <w:b/>
          <w:color w:val="auto"/>
          <w:sz w:val="24"/>
          <w:highlight w:val="none"/>
        </w:rPr>
      </w:pPr>
      <w:bookmarkStart w:id="99" w:name="_Toc17768"/>
      <w:bookmarkStart w:id="100" w:name="_Toc26894"/>
      <w:bookmarkStart w:id="101"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、诚信履约承诺函</w:t>
      </w:r>
      <w:bookmarkEnd w:id="99"/>
      <w:bookmarkEnd w:id="100"/>
    </w:p>
    <w:p w14:paraId="682BB4A7">
      <w:pPr>
        <w:spacing w:line="360" w:lineRule="auto"/>
        <w:rPr>
          <w:rFonts w:cs="@仿宋_GB2312" w:asciiTheme="minorEastAsia" w:hAnsiTheme="minorEastAsia" w:eastAsiaTheme="minorEastAsia"/>
          <w:b/>
          <w:bCs/>
          <w:color w:val="auto"/>
          <w:kern w:val="2"/>
          <w:sz w:val="24"/>
          <w:highlight w:val="none"/>
        </w:rPr>
      </w:pPr>
    </w:p>
    <w:p w14:paraId="656C0522">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u w:val="single"/>
        </w:rPr>
        <w:t>致：</w:t>
      </w:r>
      <w:r>
        <w:rPr>
          <w:rFonts w:hint="eastAsia" w:cs="@仿宋_GB2312" w:asciiTheme="minorEastAsia" w:hAnsiTheme="minorEastAsia" w:eastAsiaTheme="minorEastAsia"/>
          <w:b/>
          <w:bCs/>
          <w:color w:val="auto"/>
          <w:kern w:val="2"/>
          <w:sz w:val="24"/>
          <w:highlight w:val="none"/>
          <w:u w:val="single"/>
          <w:lang w:eastAsia="zh-CN"/>
        </w:rPr>
        <w:t>滁州市公路管理服务中心</w:t>
      </w:r>
    </w:p>
    <w:p w14:paraId="58E2CFDC">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82C0046">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08D9DEA">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143E0547">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3862BFB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163BE0C6">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417EF0D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FEAB4A3">
      <w:pPr>
        <w:spacing w:line="360" w:lineRule="auto"/>
        <w:rPr>
          <w:rFonts w:cs="@仿宋_GB2312" w:asciiTheme="minorEastAsia" w:hAnsiTheme="minorEastAsia" w:eastAsiaTheme="minorEastAsia"/>
          <w:bCs/>
          <w:color w:val="auto"/>
          <w:kern w:val="2"/>
          <w:sz w:val="24"/>
          <w:highlight w:val="none"/>
        </w:rPr>
      </w:pPr>
    </w:p>
    <w:p w14:paraId="6F9F553F">
      <w:pPr>
        <w:spacing w:line="360" w:lineRule="auto"/>
        <w:rPr>
          <w:rFonts w:cs="@仿宋_GB2312" w:asciiTheme="minorEastAsia" w:hAnsiTheme="minorEastAsia" w:eastAsiaTheme="minorEastAsia"/>
          <w:bCs/>
          <w:color w:val="auto"/>
          <w:kern w:val="2"/>
          <w:sz w:val="24"/>
          <w:highlight w:val="none"/>
        </w:rPr>
      </w:pPr>
    </w:p>
    <w:p w14:paraId="5F46F7B3">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603B185E">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0DA258D5">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101"/>
    <w:p w14:paraId="70AAC206">
      <w:pPr>
        <w:spacing w:line="360" w:lineRule="auto"/>
        <w:jc w:val="center"/>
        <w:outlineLvl w:val="1"/>
        <w:rPr>
          <w:rFonts w:asciiTheme="minorEastAsia" w:hAnsiTheme="minorEastAsia" w:eastAsiaTheme="minorEastAsia"/>
          <w:b/>
          <w:color w:val="auto"/>
          <w:sz w:val="24"/>
          <w:highlight w:val="none"/>
        </w:rPr>
      </w:pPr>
      <w:bookmarkStart w:id="102" w:name="_Toc28645"/>
      <w:bookmarkStart w:id="103" w:name="_Toc8176"/>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、其他相关证明材料</w:t>
      </w:r>
      <w:bookmarkEnd w:id="102"/>
      <w:bookmarkEnd w:id="103"/>
    </w:p>
    <w:p w14:paraId="3555D4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2AFE0F72">
      <w:pPr>
        <w:spacing w:line="360" w:lineRule="auto"/>
        <w:ind w:firstLine="480" w:firstLineChars="200"/>
        <w:rPr>
          <w:rFonts w:asciiTheme="minorEastAsia" w:hAnsiTheme="minorEastAsia" w:eastAsiaTheme="minorEastAsia"/>
          <w:color w:val="auto"/>
          <w:sz w:val="24"/>
          <w:highlight w:val="none"/>
        </w:rPr>
      </w:pPr>
    </w:p>
    <w:p w14:paraId="7EBEA37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F4E36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30208A68">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370B49A8">
      <w:pPr>
        <w:widowControl/>
        <w:jc w:val="center"/>
        <w:outlineLvl w:val="0"/>
        <w:rPr>
          <w:b/>
          <w:bCs/>
          <w:color w:val="auto"/>
          <w:sz w:val="28"/>
          <w:highlight w:val="none"/>
        </w:rPr>
      </w:pPr>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59"/>
    </w:p>
    <w:p w14:paraId="68E51280">
      <w:pPr>
        <w:spacing w:line="360" w:lineRule="auto"/>
        <w:jc w:val="center"/>
        <w:outlineLvl w:val="1"/>
        <w:rPr>
          <w:rFonts w:ascii="仿宋" w:hAnsi="仿宋" w:eastAsia="仿宋" w:cs="仿宋"/>
          <w:b/>
          <w:bCs/>
          <w:color w:val="auto"/>
          <w:sz w:val="32"/>
          <w:szCs w:val="44"/>
          <w:highlight w:val="none"/>
        </w:rPr>
      </w:pPr>
      <w:bookmarkStart w:id="104" w:name="_Toc2290"/>
      <w:bookmarkStart w:id="105" w:name="_Toc26448"/>
      <w:r>
        <w:rPr>
          <w:rFonts w:hint="eastAsia" w:ascii="仿宋" w:hAnsi="仿宋" w:eastAsia="仿宋" w:cs="仿宋"/>
          <w:b/>
          <w:bCs/>
          <w:color w:val="auto"/>
          <w:sz w:val="32"/>
          <w:szCs w:val="44"/>
          <w:highlight w:val="none"/>
        </w:rPr>
        <w:t>询问函范本</w:t>
      </w:r>
      <w:bookmarkEnd w:id="104"/>
      <w:bookmarkEnd w:id="105"/>
    </w:p>
    <w:p w14:paraId="1C1071E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50CCF785">
      <w:pPr>
        <w:adjustRightInd w:val="0"/>
        <w:snapToGrid w:val="0"/>
        <w:spacing w:line="360" w:lineRule="auto"/>
        <w:rPr>
          <w:rFonts w:hint="eastAsia" w:cs="仿宋" w:asciiTheme="minorEastAsia" w:hAnsiTheme="minorEastAsia" w:eastAsiaTheme="minorEastAsia"/>
          <w:color w:val="auto"/>
          <w:sz w:val="24"/>
          <w:szCs w:val="24"/>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76D1AF6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3B4F2BB8">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6" w:name="_Toc32070"/>
      <w:bookmarkStart w:id="107" w:name="_Toc14234"/>
      <w:r>
        <w:rPr>
          <w:rFonts w:hint="eastAsia" w:cs="仿宋" w:asciiTheme="minorEastAsia" w:hAnsiTheme="minorEastAsia" w:eastAsiaTheme="minorEastAsia"/>
          <w:color w:val="auto"/>
          <w:sz w:val="24"/>
          <w:szCs w:val="24"/>
          <w:highlight w:val="none"/>
        </w:rPr>
        <w:t>一、(事项一)</w:t>
      </w:r>
      <w:bookmarkEnd w:id="106"/>
      <w:bookmarkEnd w:id="107"/>
    </w:p>
    <w:p w14:paraId="3710C9C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061C0A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3E29D0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1DE2C2F5">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8" w:name="_Toc6489"/>
      <w:bookmarkStart w:id="109" w:name="_Toc16507"/>
      <w:r>
        <w:rPr>
          <w:rFonts w:hint="eastAsia" w:cs="仿宋" w:asciiTheme="minorEastAsia" w:hAnsiTheme="minorEastAsia" w:eastAsiaTheme="minorEastAsia"/>
          <w:color w:val="auto"/>
          <w:sz w:val="24"/>
          <w:szCs w:val="24"/>
          <w:highlight w:val="none"/>
        </w:rPr>
        <w:t>二、(事项二)</w:t>
      </w:r>
      <w:bookmarkEnd w:id="108"/>
      <w:bookmarkEnd w:id="109"/>
    </w:p>
    <w:p w14:paraId="0251E0C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5C9272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E88EF7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93C993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455EBBE">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489A99DC">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422124E0">
      <w:pPr>
        <w:jc w:val="center"/>
        <w:outlineLvl w:val="1"/>
        <w:rPr>
          <w:rFonts w:ascii="仿宋" w:hAnsi="仿宋" w:eastAsia="仿宋" w:cs="仿宋"/>
          <w:b/>
          <w:bCs/>
          <w:color w:val="auto"/>
          <w:sz w:val="32"/>
          <w:szCs w:val="44"/>
          <w:highlight w:val="none"/>
        </w:rPr>
      </w:pPr>
      <w:bookmarkStart w:id="110" w:name="_Toc4923"/>
      <w:bookmarkStart w:id="111" w:name="_Toc26224"/>
      <w:r>
        <w:rPr>
          <w:rFonts w:hint="eastAsia" w:ascii="仿宋" w:hAnsi="仿宋" w:eastAsia="仿宋" w:cs="仿宋"/>
          <w:b/>
          <w:bCs/>
          <w:color w:val="auto"/>
          <w:sz w:val="32"/>
          <w:szCs w:val="44"/>
          <w:highlight w:val="none"/>
        </w:rPr>
        <w:t>质疑函范本</w:t>
      </w:r>
      <w:bookmarkEnd w:id="110"/>
      <w:bookmarkEnd w:id="111"/>
    </w:p>
    <w:p w14:paraId="15356CF9">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12" w:name="_Toc3847"/>
      <w:bookmarkStart w:id="113" w:name="_Toc10663"/>
      <w:r>
        <w:rPr>
          <w:rFonts w:hint="eastAsia" w:cs="仿宋" w:asciiTheme="minorEastAsia" w:hAnsiTheme="minorEastAsia" w:eastAsiaTheme="minorEastAsia"/>
          <w:b/>
          <w:bCs/>
          <w:color w:val="auto"/>
          <w:sz w:val="24"/>
          <w:szCs w:val="24"/>
          <w:highlight w:val="none"/>
        </w:rPr>
        <w:t>一、质疑供应商基本信息</w:t>
      </w:r>
      <w:bookmarkEnd w:id="112"/>
      <w:bookmarkEnd w:id="113"/>
    </w:p>
    <w:p w14:paraId="6E2FDB6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8ACD55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E01153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26CDFA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FE8282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89F258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CF7FBDE">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4" w:name="_Toc19182"/>
      <w:bookmarkStart w:id="115" w:name="_Toc30012"/>
      <w:r>
        <w:rPr>
          <w:rFonts w:hint="eastAsia" w:cs="仿宋" w:asciiTheme="minorEastAsia" w:hAnsiTheme="minorEastAsia" w:eastAsiaTheme="minorEastAsia"/>
          <w:b/>
          <w:bCs/>
          <w:color w:val="auto"/>
          <w:sz w:val="24"/>
          <w:szCs w:val="24"/>
          <w:highlight w:val="none"/>
        </w:rPr>
        <w:t>二、质疑项目基本情况</w:t>
      </w:r>
      <w:bookmarkEnd w:id="114"/>
      <w:bookmarkEnd w:id="115"/>
    </w:p>
    <w:p w14:paraId="0B7A90C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271DCB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519D2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CB118B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1045047">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6" w:name="_Toc21700"/>
      <w:bookmarkStart w:id="117" w:name="_Toc9989"/>
      <w:r>
        <w:rPr>
          <w:rFonts w:hint="eastAsia" w:cs="仿宋" w:asciiTheme="minorEastAsia" w:hAnsiTheme="minorEastAsia" w:eastAsiaTheme="minorEastAsia"/>
          <w:b/>
          <w:bCs/>
          <w:color w:val="auto"/>
          <w:sz w:val="24"/>
          <w:szCs w:val="24"/>
          <w:highlight w:val="none"/>
        </w:rPr>
        <w:t>三、质疑事项具体内容</w:t>
      </w:r>
      <w:bookmarkEnd w:id="116"/>
      <w:bookmarkEnd w:id="117"/>
    </w:p>
    <w:p w14:paraId="73EA19D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38620B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2017908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24EF32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F41E25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13ABD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0B9940D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383EA3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8" w:name="_Toc10625"/>
      <w:bookmarkStart w:id="119" w:name="_Toc19016"/>
      <w:r>
        <w:rPr>
          <w:rFonts w:hint="eastAsia" w:cs="仿宋" w:asciiTheme="minorEastAsia" w:hAnsiTheme="minorEastAsia" w:eastAsiaTheme="minorEastAsia"/>
          <w:b/>
          <w:bCs/>
          <w:color w:val="auto"/>
          <w:sz w:val="24"/>
          <w:szCs w:val="24"/>
          <w:highlight w:val="none"/>
        </w:rPr>
        <w:t>四、与质疑事项相关的质疑请求</w:t>
      </w:r>
      <w:bookmarkEnd w:id="118"/>
      <w:bookmarkEnd w:id="119"/>
    </w:p>
    <w:p w14:paraId="46C21DE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51B5AB5">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4F1D255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E736B02">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75FB9B5">
      <w:pPr>
        <w:outlineLvl w:val="0"/>
        <w:rPr>
          <w:rFonts w:asciiTheme="minorEastAsia" w:hAnsiTheme="minorEastAsia" w:eastAsiaTheme="minorEastAsia"/>
          <w:b/>
          <w:color w:val="auto"/>
          <w:sz w:val="28"/>
          <w:szCs w:val="32"/>
          <w:highlight w:val="none"/>
        </w:rPr>
      </w:pPr>
      <w:bookmarkStart w:id="120" w:name="_Toc25274"/>
      <w:bookmarkStart w:id="121" w:name="_Toc17684"/>
      <w:r>
        <w:rPr>
          <w:rFonts w:hint="eastAsia" w:asciiTheme="minorEastAsia" w:hAnsiTheme="minorEastAsia" w:eastAsiaTheme="minorEastAsia"/>
          <w:b/>
          <w:color w:val="auto"/>
          <w:sz w:val="28"/>
          <w:szCs w:val="32"/>
          <w:highlight w:val="none"/>
        </w:rPr>
        <w:t>质疑函制作说明：</w:t>
      </w:r>
      <w:bookmarkEnd w:id="120"/>
      <w:bookmarkEnd w:id="121"/>
    </w:p>
    <w:p w14:paraId="5A7566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03393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D029A3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938FE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159A47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278AABB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247FFB71">
      <w:pPr>
        <w:rPr>
          <w:rFonts w:hint="eastAsia" w:asciiTheme="minorEastAsia" w:hAnsiTheme="minorEastAsia" w:eastAsiaTheme="minorEastAsia"/>
          <w:color w:val="auto"/>
          <w:sz w:val="24"/>
          <w:highlight w:val="none"/>
        </w:rPr>
      </w:pPr>
    </w:p>
    <w:p w14:paraId="327ABCF4">
      <w:pPr>
        <w:rPr>
          <w:rFonts w:hint="eastAsia" w:asciiTheme="minorEastAsia" w:hAnsiTheme="minorEastAsia" w:eastAsiaTheme="minorEastAsia"/>
          <w:color w:val="auto"/>
          <w:sz w:val="24"/>
          <w:highlight w:val="none"/>
        </w:rPr>
      </w:pPr>
    </w:p>
    <w:p w14:paraId="7638858C">
      <w:pPr>
        <w:rPr>
          <w:rFonts w:hint="eastAsia" w:asciiTheme="minorEastAsia" w:hAnsiTheme="minorEastAsia" w:eastAsiaTheme="minorEastAsia"/>
          <w:color w:val="auto"/>
          <w:sz w:val="24"/>
          <w:highlight w:val="none"/>
        </w:rPr>
      </w:pPr>
    </w:p>
    <w:p w14:paraId="30E3610C">
      <w:pPr>
        <w:rPr>
          <w:rFonts w:hint="eastAsia" w:asciiTheme="minorEastAsia" w:hAnsiTheme="minorEastAsia" w:eastAsiaTheme="minorEastAsia"/>
          <w:color w:val="auto"/>
          <w:sz w:val="24"/>
          <w:highlight w:val="none"/>
        </w:rPr>
      </w:pPr>
    </w:p>
    <w:p w14:paraId="46998AEB">
      <w:pPr>
        <w:rPr>
          <w:rFonts w:hint="eastAsia" w:asciiTheme="minorEastAsia" w:hAnsiTheme="minorEastAsia" w:eastAsiaTheme="minorEastAsia"/>
          <w:color w:val="auto"/>
          <w:sz w:val="24"/>
          <w:highlight w:val="none"/>
        </w:rPr>
      </w:pPr>
    </w:p>
    <w:p w14:paraId="77AFF897">
      <w:pPr>
        <w:rPr>
          <w:rFonts w:hint="eastAsia" w:asciiTheme="minorEastAsia" w:hAnsiTheme="minorEastAsia" w:eastAsiaTheme="minorEastAsia"/>
          <w:color w:val="auto"/>
          <w:sz w:val="24"/>
          <w:highlight w:val="none"/>
        </w:rPr>
      </w:pPr>
    </w:p>
    <w:p w14:paraId="626AFECA">
      <w:pPr>
        <w:rPr>
          <w:rFonts w:hint="eastAsia" w:asciiTheme="minorEastAsia" w:hAnsiTheme="minorEastAsia" w:eastAsiaTheme="minorEastAsia"/>
          <w:color w:val="auto"/>
          <w:sz w:val="24"/>
          <w:highlight w:val="none"/>
        </w:rPr>
      </w:pPr>
    </w:p>
    <w:p w14:paraId="2790335D">
      <w:pPr>
        <w:rPr>
          <w:rFonts w:hint="eastAsia" w:asciiTheme="minorEastAsia" w:hAnsiTheme="minorEastAsia" w:eastAsiaTheme="minorEastAsia"/>
          <w:color w:val="auto"/>
          <w:sz w:val="24"/>
          <w:highlight w:val="none"/>
        </w:rPr>
      </w:pPr>
    </w:p>
    <w:p w14:paraId="6C68DF66">
      <w:pPr>
        <w:rPr>
          <w:rFonts w:hint="eastAsia" w:asciiTheme="minorEastAsia" w:hAnsiTheme="minorEastAsia" w:eastAsiaTheme="minorEastAsia"/>
          <w:color w:val="auto"/>
          <w:sz w:val="24"/>
          <w:highlight w:val="none"/>
        </w:rPr>
      </w:pPr>
    </w:p>
    <w:p w14:paraId="6DAEC2C4">
      <w:pPr>
        <w:rPr>
          <w:rFonts w:hint="eastAsia" w:asciiTheme="minorEastAsia" w:hAnsiTheme="minorEastAsia" w:eastAsiaTheme="minorEastAsia"/>
          <w:color w:val="auto"/>
          <w:sz w:val="24"/>
          <w:highlight w:val="none"/>
        </w:rPr>
      </w:pPr>
    </w:p>
    <w:p w14:paraId="2613B276">
      <w:pPr>
        <w:rPr>
          <w:rFonts w:hint="eastAsia" w:asciiTheme="minorEastAsia" w:hAnsiTheme="minorEastAsia" w:eastAsiaTheme="minorEastAsia"/>
          <w:color w:val="auto"/>
          <w:sz w:val="24"/>
          <w:highlight w:val="none"/>
        </w:rPr>
      </w:pPr>
    </w:p>
    <w:p w14:paraId="33E3CC96">
      <w:pPr>
        <w:rPr>
          <w:rFonts w:hint="eastAsia" w:asciiTheme="minorEastAsia" w:hAnsiTheme="minorEastAsia" w:eastAsiaTheme="minorEastAsia"/>
          <w:color w:val="auto"/>
          <w:sz w:val="24"/>
          <w:highlight w:val="none"/>
        </w:rPr>
      </w:pPr>
    </w:p>
    <w:p w14:paraId="53DBD068">
      <w:pPr>
        <w:rPr>
          <w:rFonts w:hint="eastAsia" w:asciiTheme="minorEastAsia" w:hAnsiTheme="minorEastAsia" w:eastAsiaTheme="minorEastAsia"/>
          <w:color w:val="auto"/>
          <w:sz w:val="24"/>
          <w:highlight w:val="none"/>
        </w:rPr>
      </w:pPr>
    </w:p>
    <w:p w14:paraId="202EE11D">
      <w:pPr>
        <w:rPr>
          <w:rFonts w:hint="eastAsia" w:asciiTheme="minorEastAsia" w:hAnsiTheme="minorEastAsia" w:eastAsiaTheme="minorEastAsia"/>
          <w:color w:val="auto"/>
          <w:sz w:val="24"/>
          <w:highlight w:val="none"/>
        </w:rPr>
      </w:pPr>
    </w:p>
    <w:p w14:paraId="5381A75E">
      <w:pPr>
        <w:rPr>
          <w:rFonts w:hint="eastAsia" w:asciiTheme="minorEastAsia" w:hAnsiTheme="minorEastAsia" w:eastAsiaTheme="minorEastAsia"/>
          <w:color w:val="auto"/>
          <w:sz w:val="24"/>
          <w:highlight w:val="none"/>
        </w:rPr>
      </w:pPr>
    </w:p>
    <w:p w14:paraId="41AD22D5">
      <w:pPr>
        <w:rPr>
          <w:rFonts w:hint="eastAsia" w:asciiTheme="minorEastAsia" w:hAnsiTheme="minorEastAsia" w:eastAsiaTheme="minorEastAsia"/>
          <w:color w:val="auto"/>
          <w:sz w:val="24"/>
          <w:highlight w:val="none"/>
        </w:rPr>
      </w:pPr>
    </w:p>
    <w:p w14:paraId="3A0162CF">
      <w:pPr>
        <w:rPr>
          <w:rFonts w:hint="eastAsia" w:asciiTheme="minorEastAsia" w:hAnsiTheme="minorEastAsia" w:eastAsiaTheme="minorEastAsia"/>
          <w:color w:val="auto"/>
          <w:sz w:val="24"/>
          <w:highlight w:val="none"/>
        </w:rPr>
      </w:pPr>
    </w:p>
    <w:p w14:paraId="01129817">
      <w:pPr>
        <w:rPr>
          <w:rFonts w:hint="eastAsia" w:asciiTheme="minorEastAsia" w:hAnsiTheme="minorEastAsia" w:eastAsiaTheme="minorEastAsia"/>
          <w:color w:val="auto"/>
          <w:sz w:val="24"/>
          <w:highlight w:val="none"/>
        </w:rPr>
      </w:pPr>
    </w:p>
    <w:p w14:paraId="75F63E11">
      <w:pPr>
        <w:rPr>
          <w:rFonts w:hint="eastAsia" w:asciiTheme="minorEastAsia" w:hAnsiTheme="minorEastAsia" w:eastAsiaTheme="minorEastAsia"/>
          <w:color w:val="auto"/>
          <w:sz w:val="24"/>
          <w:highlight w:val="none"/>
        </w:rPr>
      </w:pPr>
    </w:p>
    <w:p w14:paraId="72B9F5B1">
      <w:pPr>
        <w:rPr>
          <w:rFonts w:hint="eastAsia" w:asciiTheme="minorEastAsia" w:hAnsiTheme="minorEastAsia" w:eastAsiaTheme="minorEastAsia"/>
          <w:color w:val="auto"/>
          <w:sz w:val="24"/>
          <w:highlight w:val="none"/>
        </w:rPr>
      </w:pPr>
    </w:p>
    <w:p w14:paraId="6BDF773B">
      <w:pPr>
        <w:rPr>
          <w:rFonts w:hint="eastAsia" w:asciiTheme="minorEastAsia" w:hAnsiTheme="minorEastAsia" w:eastAsiaTheme="minorEastAsia"/>
          <w:color w:val="auto"/>
          <w:sz w:val="24"/>
          <w:highlight w:val="none"/>
        </w:rPr>
      </w:pPr>
    </w:p>
    <w:p w14:paraId="41D88570">
      <w:pPr>
        <w:rPr>
          <w:rFonts w:hint="eastAsia" w:asciiTheme="minorEastAsia" w:hAnsiTheme="minorEastAsia" w:eastAsiaTheme="minorEastAsia"/>
          <w:color w:val="auto"/>
          <w:sz w:val="24"/>
          <w:highlight w:val="none"/>
        </w:rPr>
      </w:pPr>
    </w:p>
    <w:p w14:paraId="57F75EDF">
      <w:pPr>
        <w:rPr>
          <w:rFonts w:hint="eastAsia" w:asciiTheme="minorEastAsia" w:hAnsiTheme="minorEastAsia" w:eastAsiaTheme="minorEastAsia"/>
          <w:color w:val="auto"/>
          <w:sz w:val="24"/>
          <w:highlight w:val="none"/>
        </w:rPr>
      </w:pPr>
    </w:p>
    <w:p w14:paraId="780C3F7C">
      <w:pPr>
        <w:rPr>
          <w:rFonts w:hint="eastAsia" w:asciiTheme="minorEastAsia" w:hAnsiTheme="minorEastAsia" w:eastAsiaTheme="minorEastAsia"/>
          <w:color w:val="auto"/>
          <w:sz w:val="24"/>
          <w:highlight w:val="none"/>
        </w:rPr>
      </w:pPr>
    </w:p>
    <w:p w14:paraId="394E62B7">
      <w:pPr>
        <w:rPr>
          <w:rFonts w:hint="eastAsia" w:asciiTheme="minorEastAsia" w:hAnsiTheme="minorEastAsia" w:eastAsiaTheme="minorEastAsia"/>
          <w:color w:val="auto"/>
          <w:sz w:val="24"/>
          <w:highlight w:val="none"/>
        </w:rPr>
      </w:pPr>
    </w:p>
    <w:p w14:paraId="373F0FF2">
      <w:pPr>
        <w:rPr>
          <w:rFonts w:hint="eastAsia" w:asciiTheme="minorEastAsia" w:hAnsiTheme="minorEastAsia" w:eastAsiaTheme="minorEastAsia"/>
          <w:color w:val="auto"/>
          <w:sz w:val="24"/>
          <w:highlight w:val="none"/>
        </w:rPr>
      </w:pPr>
    </w:p>
    <w:p w14:paraId="70AE79D5">
      <w:pPr>
        <w:rPr>
          <w:rFonts w:hint="eastAsia" w:asciiTheme="minorEastAsia" w:hAnsiTheme="minorEastAsia" w:eastAsiaTheme="minorEastAsia"/>
          <w:color w:val="auto"/>
          <w:sz w:val="24"/>
          <w:highlight w:val="none"/>
        </w:rPr>
      </w:pPr>
    </w:p>
    <w:p w14:paraId="1A707315">
      <w:pPr>
        <w:jc w:val="center"/>
        <w:rPr>
          <w:rFonts w:hint="eastAsia" w:ascii="宋体" w:hAnsi="宋体" w:eastAsia="宋体" w:cs="宋体"/>
          <w:b/>
          <w:sz w:val="28"/>
          <w:szCs w:val="28"/>
          <w:lang w:bidi="ar"/>
        </w:rPr>
      </w:pPr>
      <w:bookmarkStart w:id="122" w:name="_Toc95223548"/>
      <w:r>
        <w:rPr>
          <w:rFonts w:hint="eastAsia" w:ascii="宋体" w:hAnsi="宋体" w:eastAsia="宋体" w:cs="宋体"/>
          <w:color w:val="000000"/>
          <w:sz w:val="36"/>
          <w:szCs w:val="28"/>
        </w:rPr>
        <w:t xml:space="preserve">附件1 </w:t>
      </w:r>
      <w:bookmarkEnd w:id="122"/>
      <w:r>
        <w:rPr>
          <w:rFonts w:hint="eastAsia" w:ascii="宋体" w:hAnsi="宋体" w:eastAsia="宋体" w:cs="宋体"/>
          <w:b/>
          <w:sz w:val="28"/>
          <w:szCs w:val="28"/>
          <w:lang w:bidi="ar"/>
        </w:rPr>
        <w:t>关于联合惩戒失信行为加强信用查询管理的通知</w:t>
      </w:r>
    </w:p>
    <w:p w14:paraId="2378C963">
      <w:pPr>
        <w:adjustRightInd w:val="0"/>
        <w:snapToGrid w:val="0"/>
        <w:spacing w:line="56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一、失信行为联合惩戒的范围和查询渠道</w:t>
      </w:r>
    </w:p>
    <w:p w14:paraId="3A6F2C6F">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在我市公共资源交易活动中对存在下列失信行为的投标人、法定代表人及其项目经理（建造师）实施联合惩戒，禁止参与我市公共资源交易活动。</w:t>
      </w:r>
    </w:p>
    <w:p w14:paraId="74C4C673">
      <w:pPr>
        <w:adjustRightInd w:val="0"/>
        <w:snapToGrid w:val="0"/>
        <w:spacing w:line="56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（一）工程建设项目</w:t>
      </w:r>
    </w:p>
    <w:p w14:paraId="2FB86914">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1、“信用中国”网站（www.creditchina.gov.cn）查询</w:t>
      </w:r>
      <w:bookmarkStart w:id="123" w:name="OLE_LINK103"/>
      <w:bookmarkStart w:id="124" w:name="OLE_LINK93"/>
      <w:bookmarkStart w:id="125" w:name="OLE_LINK92"/>
      <w:bookmarkStart w:id="126" w:name="OLE_LINK91"/>
      <w:r>
        <w:rPr>
          <w:rFonts w:hint="eastAsia" w:ascii="宋体" w:hAnsi="宋体" w:eastAsia="宋体" w:cs="宋体"/>
          <w:color w:val="000000" w:themeColor="text1"/>
          <w:sz w:val="24"/>
          <w:szCs w:val="24"/>
          <w14:textFill>
            <w14:solidFill>
              <w14:schemeClr w14:val="tx1"/>
            </w14:solidFill>
          </w14:textFill>
        </w:rPr>
        <w:t>投标人、法定代表人及其项目经理(建造师)</w:t>
      </w:r>
      <w:bookmarkEnd w:id="123"/>
      <w:bookmarkEnd w:id="124"/>
      <w:bookmarkEnd w:id="125"/>
      <w:bookmarkEnd w:id="126"/>
      <w:r>
        <w:rPr>
          <w:rFonts w:hint="eastAsia" w:ascii="宋体" w:hAnsi="宋体" w:eastAsia="宋体" w:cs="宋体"/>
          <w:color w:val="000000" w:themeColor="text1"/>
          <w:sz w:val="24"/>
          <w:szCs w:val="24"/>
          <w14:textFill>
            <w14:solidFill>
              <w14:schemeClr w14:val="tx1"/>
            </w14:solidFill>
          </w14:textFill>
        </w:rPr>
        <w:t>以下失信行为：</w:t>
      </w:r>
    </w:p>
    <w:p w14:paraId="2D7F9377">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127" w:name="OLE_LINK94"/>
      <w:bookmarkStart w:id="128" w:name="OLE_LINK3"/>
      <w:bookmarkStart w:id="129" w:name="OLE_LINK86"/>
      <w:bookmarkStart w:id="130" w:name="OLE_LINK87"/>
      <w:bookmarkStart w:id="131" w:name="OLE_LINK119"/>
      <w:r>
        <w:rPr>
          <w:rFonts w:hint="eastAsia" w:ascii="宋体" w:hAnsi="宋体" w:eastAsia="宋体" w:cs="宋体"/>
          <w:color w:val="000000" w:themeColor="text1"/>
          <w:sz w:val="24"/>
          <w:szCs w:val="24"/>
          <w14:textFill>
            <w14:solidFill>
              <w14:schemeClr w14:val="tx1"/>
            </w14:solidFill>
          </w14:textFill>
        </w:rPr>
        <w:t>①被列入“失信被执行人”的;</w:t>
      </w:r>
    </w:p>
    <w:p w14:paraId="6FB656FD">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②被列入</w:t>
      </w:r>
      <w:bookmarkStart w:id="132" w:name="OLE_LINK116"/>
      <w:bookmarkStart w:id="133" w:name="OLE_LINK115"/>
      <w:bookmarkStart w:id="134" w:name="OLE_LINK118"/>
      <w:bookmarkStart w:id="135" w:name="OLE_LINK117"/>
      <w:r>
        <w:rPr>
          <w:rFonts w:hint="eastAsia" w:ascii="宋体" w:hAnsi="宋体" w:eastAsia="宋体" w:cs="宋体"/>
          <w:color w:val="000000" w:themeColor="text1"/>
          <w:sz w:val="24"/>
          <w:szCs w:val="24"/>
          <w14:textFill>
            <w14:solidFill>
              <w14:schemeClr w14:val="tx1"/>
            </w14:solidFill>
          </w14:textFill>
        </w:rPr>
        <w:t>“重大税收违法失信主体”</w:t>
      </w:r>
      <w:bookmarkEnd w:id="132"/>
      <w:bookmarkEnd w:id="133"/>
      <w:bookmarkEnd w:id="134"/>
      <w:bookmarkEnd w:id="135"/>
      <w:r>
        <w:rPr>
          <w:rFonts w:hint="eastAsia" w:ascii="宋体" w:hAnsi="宋体" w:eastAsia="宋体" w:cs="宋体"/>
          <w:color w:val="000000" w:themeColor="text1"/>
          <w:sz w:val="24"/>
          <w:szCs w:val="24"/>
          <w14:textFill>
            <w14:solidFill>
              <w14:schemeClr w14:val="tx1"/>
            </w14:solidFill>
          </w14:textFill>
        </w:rPr>
        <w:t>的；</w:t>
      </w:r>
    </w:p>
    <w:p w14:paraId="2852C461">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136" w:name="OLE_LINK2"/>
      <w:bookmarkStart w:id="137" w:name="OLE_LINK1"/>
      <w:r>
        <w:rPr>
          <w:rFonts w:hint="eastAsia" w:ascii="宋体" w:hAnsi="宋体" w:eastAsia="宋体" w:cs="宋体"/>
          <w:color w:val="000000" w:themeColor="text1"/>
          <w:sz w:val="24"/>
          <w:szCs w:val="24"/>
          <w14:textFill>
            <w14:solidFill>
              <w14:schemeClr w14:val="tx1"/>
            </w14:solidFill>
          </w14:textFill>
        </w:rPr>
        <w:t>③被列入“拖欠</w:t>
      </w:r>
      <w:bookmarkStart w:id="138" w:name="OLE_LINK85"/>
      <w:bookmarkStart w:id="139" w:name="OLE_LINK84"/>
      <w:r>
        <w:rPr>
          <w:rFonts w:hint="eastAsia" w:ascii="宋体" w:hAnsi="宋体" w:eastAsia="宋体" w:cs="宋体"/>
          <w:color w:val="000000" w:themeColor="text1"/>
          <w:sz w:val="24"/>
          <w:szCs w:val="24"/>
          <w14:textFill>
            <w14:solidFill>
              <w14:schemeClr w14:val="tx1"/>
            </w14:solidFill>
          </w14:textFill>
        </w:rPr>
        <w:t>农民工工资失信联合惩戒对象</w:t>
      </w:r>
      <w:bookmarkEnd w:id="138"/>
      <w:bookmarkEnd w:id="139"/>
      <w:r>
        <w:rPr>
          <w:rFonts w:hint="eastAsia" w:ascii="宋体" w:hAnsi="宋体" w:eastAsia="宋体" w:cs="宋体"/>
          <w:color w:val="000000" w:themeColor="text1"/>
          <w:sz w:val="24"/>
          <w:szCs w:val="24"/>
          <w14:textFill>
            <w14:solidFill>
              <w14:schemeClr w14:val="tx1"/>
            </w14:solidFill>
          </w14:textFill>
        </w:rPr>
        <w:t>名单”的；</w:t>
      </w:r>
      <w:bookmarkEnd w:id="136"/>
      <w:bookmarkEnd w:id="137"/>
    </w:p>
    <w:p w14:paraId="503E1A9A">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④被列入 “严重失信主体名单”的；</w:t>
      </w:r>
    </w:p>
    <w:p w14:paraId="361BA169">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⑤在“信用中国”网站上披露的仍在公示期的严重失信行为(具体行为类别及判定依据见附件2)的。</w:t>
      </w:r>
    </w:p>
    <w:bookmarkEnd w:id="127"/>
    <w:bookmarkEnd w:id="128"/>
    <w:bookmarkEnd w:id="129"/>
    <w:bookmarkEnd w:id="130"/>
    <w:bookmarkEnd w:id="131"/>
    <w:p w14:paraId="42A2C8D2">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bookmarkStart w:id="140" w:name="OLE_LINK130"/>
      <w:r>
        <w:rPr>
          <w:rFonts w:hint="eastAsia" w:ascii="宋体" w:hAnsi="宋体" w:eastAsia="宋体" w:cs="宋体"/>
          <w:color w:val="000000" w:themeColor="text1"/>
          <w:sz w:val="24"/>
          <w:szCs w:val="24"/>
          <w14:textFill>
            <w14:solidFill>
              <w14:schemeClr w14:val="tx1"/>
            </w14:solidFill>
          </w14:textFill>
        </w:rPr>
        <w:t>国家企业信用信息公示系统网站</w:t>
      </w:r>
      <w:bookmarkEnd w:id="140"/>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"http://www.gsxt.gov.cn）查询" </w:instrText>
      </w:r>
      <w:r>
        <w:rPr>
          <w:rFonts w:hint="eastAsia" w:ascii="宋体" w:hAnsi="宋体" w:eastAsia="宋体" w:cs="宋体"/>
          <w:sz w:val="24"/>
          <w:szCs w:val="24"/>
        </w:rPr>
        <w:fldChar w:fldCharType="separate"/>
      </w:r>
      <w:bookmarkStart w:id="141" w:name="OLE_LINK90"/>
      <w:bookmarkStart w:id="142" w:name="OLE_LINK89"/>
      <w:r>
        <w:rPr>
          <w:rStyle w:val="66"/>
          <w:rFonts w:hint="eastAsia" w:ascii="宋体" w:hAnsi="宋体" w:eastAsia="宋体" w:cs="宋体"/>
          <w:color w:val="000000" w:themeColor="text1"/>
          <w:sz w:val="24"/>
          <w:szCs w:val="24"/>
          <w14:textFill>
            <w14:solidFill>
              <w14:schemeClr w14:val="tx1"/>
            </w14:solidFill>
          </w14:textFill>
        </w:rPr>
        <w:t>www.gsxt.gov.cn</w:t>
      </w:r>
      <w:bookmarkEnd w:id="141"/>
      <w:bookmarkEnd w:id="142"/>
      <w:r>
        <w:rPr>
          <w:rStyle w:val="66"/>
          <w:rFonts w:hint="eastAsia" w:ascii="宋体" w:hAnsi="宋体" w:eastAsia="宋体" w:cs="宋体"/>
          <w:color w:val="000000" w:themeColor="text1"/>
          <w:sz w:val="24"/>
          <w:szCs w:val="24"/>
          <w14:textFill>
            <w14:solidFill>
              <w14:schemeClr w14:val="tx1"/>
            </w14:solidFill>
          </w14:textFill>
        </w:rPr>
        <w:t>）</w:t>
      </w:r>
      <w:r>
        <w:rPr>
          <w:rStyle w:val="6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查询投标人以下失信行为：</w:t>
      </w:r>
    </w:p>
    <w:p w14:paraId="7A31A708">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143" w:name="OLE_LINK120"/>
      <w:bookmarkStart w:id="144" w:name="OLE_LINK121"/>
      <w:bookmarkStart w:id="145" w:name="OLE_LINK122"/>
      <w:r>
        <w:rPr>
          <w:rFonts w:hint="eastAsia" w:ascii="宋体" w:hAnsi="宋体" w:eastAsia="宋体" w:cs="宋体"/>
          <w:color w:val="000000" w:themeColor="text1"/>
          <w:sz w:val="24"/>
          <w:szCs w:val="24"/>
          <w14:textFill>
            <w14:solidFill>
              <w14:schemeClr w14:val="tx1"/>
            </w14:solidFill>
          </w14:textFill>
        </w:rPr>
        <w:t>①</w:t>
      </w:r>
      <w:bookmarkStart w:id="146" w:name="OLE_LINK113"/>
      <w:bookmarkStart w:id="147" w:name="OLE_LINK114"/>
      <w:r>
        <w:rPr>
          <w:rFonts w:hint="eastAsia" w:ascii="宋体" w:hAnsi="宋体" w:eastAsia="宋体" w:cs="宋体"/>
          <w:color w:val="000000" w:themeColor="text1"/>
          <w:sz w:val="24"/>
          <w:szCs w:val="24"/>
          <w14:textFill>
            <w14:solidFill>
              <w14:schemeClr w14:val="tx1"/>
            </w14:solidFill>
          </w14:textFill>
        </w:rPr>
        <w:t>被列入“经营异常名录”或者“严重违法失信名单”的</w:t>
      </w:r>
      <w:bookmarkEnd w:id="146"/>
      <w:bookmarkEnd w:id="147"/>
      <w:r>
        <w:rPr>
          <w:rFonts w:hint="eastAsia" w:ascii="宋体" w:hAnsi="宋体" w:eastAsia="宋体" w:cs="宋体"/>
          <w:color w:val="000000" w:themeColor="text1"/>
          <w:sz w:val="24"/>
          <w:szCs w:val="24"/>
          <w14:textFill>
            <w14:solidFill>
              <w14:schemeClr w14:val="tx1"/>
            </w14:solidFill>
          </w14:textFill>
        </w:rPr>
        <w:t>。</w:t>
      </w:r>
      <w:bookmarkEnd w:id="143"/>
      <w:bookmarkEnd w:id="144"/>
      <w:bookmarkEnd w:id="145"/>
    </w:p>
    <w:p w14:paraId="7376FE28">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3、由</w:t>
      </w:r>
      <w:r>
        <w:rPr>
          <w:rFonts w:hint="eastAsia" w:ascii="宋体" w:hAnsi="宋体" w:eastAsia="宋体" w:cs="宋体"/>
          <w:color w:val="000000" w:themeColor="text1"/>
          <w:kern w:val="0"/>
          <w:sz w:val="24"/>
          <w:szCs w:val="24"/>
          <w14:textFill>
            <w14:solidFill>
              <w14:schemeClr w14:val="tx1"/>
            </w14:solidFill>
          </w14:textFill>
        </w:rPr>
        <w:t>投标人、法定代表人及其项目经理(建造师)</w:t>
      </w:r>
      <w:r>
        <w:rPr>
          <w:rFonts w:hint="eastAsia" w:ascii="宋体" w:hAnsi="宋体" w:eastAsia="宋体" w:cs="宋体"/>
          <w:color w:val="000000" w:themeColor="text1"/>
          <w:sz w:val="24"/>
          <w:szCs w:val="24"/>
          <w14:textFill>
            <w14:solidFill>
              <w14:schemeClr w14:val="tx1"/>
            </w14:solidFill>
          </w14:textFill>
        </w:rPr>
        <w:t>进行承诺，不进行现场网上信用查询的失信行为：</w:t>
      </w:r>
    </w:p>
    <w:p w14:paraId="0E758DDA">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148" w:name="OLE_LINK123"/>
      <w:bookmarkStart w:id="149" w:name="OLE_LINK124"/>
      <w:r>
        <w:rPr>
          <w:rFonts w:hint="eastAsia" w:ascii="宋体" w:hAnsi="宋体" w:eastAsia="宋体" w:cs="宋体"/>
          <w:color w:val="000000" w:themeColor="text1"/>
          <w:sz w:val="24"/>
          <w:szCs w:val="24"/>
          <w14:textFill>
            <w14:solidFill>
              <w14:schemeClr w14:val="tx1"/>
            </w14:solidFill>
          </w14:textFill>
        </w:rPr>
        <w:t>①前三年有行贿犯罪行为的单位和个人；</w:t>
      </w:r>
    </w:p>
    <w:p w14:paraId="6CE40055">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②被滁州市县两级公管部门取消在一定期限内的投标资格且在取消期限内的；</w:t>
      </w:r>
    </w:p>
    <w:p w14:paraId="1C157461">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③被滁州市县两级各行业主管部门取消在一定期限内的投标资格且在取消期限内的；</w:t>
      </w:r>
    </w:p>
    <w:p w14:paraId="5D29E2F8">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④因拖欠农民工工资被</w:t>
      </w:r>
      <w:bookmarkStart w:id="150" w:name="OLE_LINK108"/>
      <w:bookmarkStart w:id="151" w:name="OLE_LINK107"/>
      <w:r>
        <w:rPr>
          <w:rFonts w:hint="eastAsia" w:ascii="宋体" w:hAnsi="宋体" w:eastAsia="宋体" w:cs="宋体"/>
          <w:color w:val="000000" w:themeColor="text1"/>
          <w:sz w:val="24"/>
          <w:szCs w:val="24"/>
          <w14:textFill>
            <w14:solidFill>
              <w14:schemeClr w14:val="tx1"/>
            </w14:solidFill>
          </w14:textFill>
        </w:rPr>
        <w:t>县级及以上有关行政主管部门限制投标资格且在限制期限内的</w:t>
      </w:r>
      <w:bookmarkEnd w:id="150"/>
      <w:bookmarkEnd w:id="151"/>
      <w:r>
        <w:rPr>
          <w:rFonts w:hint="eastAsia" w:ascii="宋体" w:hAnsi="宋体" w:eastAsia="宋体" w:cs="宋体"/>
          <w:color w:val="000000" w:themeColor="text1"/>
          <w:sz w:val="24"/>
          <w:szCs w:val="24"/>
          <w14:textFill>
            <w14:solidFill>
              <w14:schemeClr w14:val="tx1"/>
            </w14:solidFill>
          </w14:textFill>
        </w:rPr>
        <w:t>；</w:t>
      </w:r>
    </w:p>
    <w:p w14:paraId="70DF7291">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48"/>
    <w:bookmarkEnd w:id="149"/>
    <w:p w14:paraId="46197D4B">
      <w:pPr>
        <w:adjustRightInd w:val="0"/>
        <w:snapToGrid w:val="0"/>
        <w:spacing w:line="56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（二）政府采购项目</w:t>
      </w:r>
    </w:p>
    <w:p w14:paraId="125E0F79">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1、“信用中国”网站（</w:t>
      </w:r>
      <w:r>
        <w:rPr>
          <w:rStyle w:val="66"/>
          <w:rFonts w:hint="eastAsia" w:ascii="宋体" w:hAnsi="宋体" w:eastAsia="宋体" w:cs="宋体"/>
          <w:color w:val="000000" w:themeColor="text1"/>
          <w:sz w:val="24"/>
          <w:szCs w:val="24"/>
          <w14:textFill>
            <w14:solidFill>
              <w14:schemeClr w14:val="tx1"/>
            </w14:solidFill>
          </w14:textFill>
        </w:rPr>
        <w:t>www.creditchina.gov.cn</w:t>
      </w:r>
      <w:r>
        <w:rPr>
          <w:rFonts w:hint="eastAsia" w:ascii="宋体" w:hAnsi="宋体" w:eastAsia="宋体" w:cs="宋体"/>
          <w:color w:val="000000" w:themeColor="text1"/>
          <w:sz w:val="24"/>
          <w:szCs w:val="24"/>
          <w14:textFill>
            <w14:solidFill>
              <w14:schemeClr w14:val="tx1"/>
            </w14:solidFill>
          </w14:textFill>
        </w:rPr>
        <w:t>）查询供应商、法定代表人及其项目负责人以下失信行为：</w:t>
      </w:r>
    </w:p>
    <w:p w14:paraId="587B565A">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①被列入“失信被执行人”的;</w:t>
      </w:r>
    </w:p>
    <w:p w14:paraId="6449C0B7">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②被列入“重大税收违法失信主体”的；</w:t>
      </w:r>
    </w:p>
    <w:p w14:paraId="0DEF0249">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③被列入 “严重失信主体名单”的；</w:t>
      </w:r>
    </w:p>
    <w:p w14:paraId="5F20AF7F">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④在“信用中国”网站上披露的仍在公示期的严重失信行为(具体行为类别及判定依据见附件2)的。</w:t>
      </w:r>
    </w:p>
    <w:p w14:paraId="4879C9FA">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2、国家企业信用信息公示系统网站（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"http://www.gsxt.gov.cn）查询" </w:instrText>
      </w:r>
      <w:r>
        <w:rPr>
          <w:rFonts w:hint="eastAsia" w:ascii="宋体" w:hAnsi="宋体" w:eastAsia="宋体" w:cs="宋体"/>
          <w:sz w:val="24"/>
          <w:szCs w:val="24"/>
        </w:rPr>
        <w:fldChar w:fldCharType="separate"/>
      </w:r>
      <w:r>
        <w:rPr>
          <w:rFonts w:hint="eastAsia" w:ascii="宋体" w:hAnsi="宋体" w:eastAsia="宋体" w:cs="宋体"/>
          <w:color w:val="000000" w:themeColor="text1"/>
          <w:sz w:val="24"/>
          <w:szCs w:val="24"/>
          <w14:textFill>
            <w14:solidFill>
              <w14:schemeClr w14:val="tx1"/>
            </w14:solidFill>
          </w14:textFill>
        </w:rPr>
        <w:t>www.gsxt.gov.cn）</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查询供应商以下失信行为：</w:t>
      </w:r>
    </w:p>
    <w:p w14:paraId="62651BEC">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bookmarkStart w:id="152" w:name="OLE_LINK102"/>
      <w:bookmarkStart w:id="153" w:name="OLE_LINK100"/>
      <w:bookmarkStart w:id="154" w:name="OLE_LINK101"/>
      <w:r>
        <w:rPr>
          <w:rFonts w:hint="eastAsia" w:ascii="宋体" w:hAnsi="宋体" w:eastAsia="宋体" w:cs="宋体"/>
          <w:color w:val="000000" w:themeColor="text1"/>
          <w:sz w:val="24"/>
          <w:szCs w:val="24"/>
          <w14:textFill>
            <w14:solidFill>
              <w14:schemeClr w14:val="tx1"/>
            </w14:solidFill>
          </w14:textFill>
        </w:rPr>
        <w:t>被列入“经营异常名录”或者“严重违法失信名单”的</w:t>
      </w:r>
      <w:bookmarkEnd w:id="152"/>
      <w:bookmarkEnd w:id="153"/>
      <w:bookmarkEnd w:id="154"/>
      <w:r>
        <w:rPr>
          <w:rFonts w:hint="eastAsia" w:ascii="宋体" w:hAnsi="宋体" w:eastAsia="宋体" w:cs="宋体"/>
          <w:color w:val="000000" w:themeColor="text1"/>
          <w:sz w:val="24"/>
          <w:szCs w:val="24"/>
          <w14:textFill>
            <w14:solidFill>
              <w14:schemeClr w14:val="tx1"/>
            </w14:solidFill>
          </w14:textFill>
        </w:rPr>
        <w:t>。</w:t>
      </w:r>
    </w:p>
    <w:p w14:paraId="3A923958">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3、中国政府采购网站（</w:t>
      </w:r>
      <w:bookmarkStart w:id="155" w:name="OLE_LINK96"/>
      <w:bookmarkStart w:id="156" w:name="OLE_LINK95"/>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"http://www.ccgp.gov.cn"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www.ccgp.gov.cn</w:t>
      </w:r>
      <w:r>
        <w:rPr>
          <w:rFonts w:hint="eastAsia" w:ascii="宋体" w:hAnsi="宋体" w:eastAsia="宋体" w:cs="宋体"/>
          <w:color w:val="000000" w:themeColor="text1"/>
          <w:sz w:val="24"/>
          <w:szCs w:val="24"/>
          <w14:textFill>
            <w14:solidFill>
              <w14:schemeClr w14:val="tx1"/>
            </w14:solidFill>
          </w14:textFill>
        </w:rPr>
        <w:fldChar w:fldCharType="end"/>
      </w:r>
      <w:bookmarkEnd w:id="155"/>
      <w:bookmarkEnd w:id="156"/>
      <w:r>
        <w:rPr>
          <w:rFonts w:hint="eastAsia" w:ascii="宋体" w:hAnsi="宋体" w:eastAsia="宋体" w:cs="宋体"/>
          <w:color w:val="000000" w:themeColor="text1"/>
          <w:sz w:val="24"/>
          <w:szCs w:val="24"/>
          <w14:textFill>
            <w14:solidFill>
              <w14:schemeClr w14:val="tx1"/>
            </w14:solidFill>
          </w14:textFill>
        </w:rPr>
        <w:t>）查询以下失信行为：</w:t>
      </w:r>
    </w:p>
    <w:p w14:paraId="35C04349">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bookmarkStart w:id="157" w:name="OLE_LINK105"/>
      <w:bookmarkStart w:id="158" w:name="OLE_LINK106"/>
      <w:bookmarkStart w:id="159" w:name="OLE_LINK104"/>
      <w:r>
        <w:rPr>
          <w:rFonts w:hint="eastAsia" w:ascii="宋体" w:hAnsi="宋体" w:eastAsia="宋体" w:cs="宋体"/>
          <w:color w:val="000000" w:themeColor="text1"/>
          <w:sz w:val="24"/>
          <w:szCs w:val="24"/>
          <w14:textFill>
            <w14:solidFill>
              <w14:schemeClr w14:val="tx1"/>
            </w14:solidFill>
          </w14:textFill>
        </w:rPr>
        <w:t>被列入“政府采购严重违法失信行为信息记录”的</w:t>
      </w:r>
      <w:bookmarkEnd w:id="157"/>
      <w:bookmarkEnd w:id="158"/>
      <w:bookmarkEnd w:id="159"/>
      <w:r>
        <w:rPr>
          <w:rFonts w:hint="eastAsia" w:ascii="宋体" w:hAnsi="宋体" w:eastAsia="宋体" w:cs="宋体"/>
          <w:color w:val="000000" w:themeColor="text1"/>
          <w:sz w:val="24"/>
          <w:szCs w:val="24"/>
          <w14:textFill>
            <w14:solidFill>
              <w14:schemeClr w14:val="tx1"/>
            </w14:solidFill>
          </w14:textFill>
        </w:rPr>
        <w:t>。</w:t>
      </w:r>
    </w:p>
    <w:p w14:paraId="6F37C1DB">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4、由竞争主体进行承诺，不进行现场网上信用查询的失信行为：</w:t>
      </w:r>
    </w:p>
    <w:p w14:paraId="3A29A3C0">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①前三年有行贿犯罪行为的单位和个人。</w:t>
      </w:r>
    </w:p>
    <w:p w14:paraId="0AE1AAB9">
      <w:pPr>
        <w:adjustRightInd w:val="0"/>
        <w:snapToGrid w:val="0"/>
        <w:spacing w:line="56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二、在开评标活动中的查询程序</w:t>
      </w:r>
    </w:p>
    <w:p w14:paraId="44F45E2B">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AC8289E">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A5C10AE">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3、项目单位及其委托的代理机构应当做好信用查询结果截图和记录留存。</w:t>
      </w:r>
    </w:p>
    <w:p w14:paraId="0C31672D">
      <w:pPr>
        <w:adjustRightInd w:val="0"/>
        <w:snapToGrid w:val="0"/>
        <w:spacing w:line="56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三、相关要求</w:t>
      </w:r>
    </w:p>
    <w:p w14:paraId="24DE195B">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1、参与公共资源交易活动的竞争主体根据上述范围查询的内容进行自查并承诺，出具《诚信投标承诺书》（诚信投标承诺书包括但不限于上述自查并承诺内容）并注明承诺日期（投标截止时间前5日内）。</w:t>
      </w:r>
    </w:p>
    <w:p w14:paraId="12B66206">
      <w:pPr>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CD16811">
      <w:pPr>
        <w:wordWrap w:val="0"/>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"https://credit.ah.gov.cn/xinyong-fuwu/xvbahv/index.html" </w:instrText>
      </w:r>
      <w:r>
        <w:rPr>
          <w:rFonts w:hint="eastAsia" w:ascii="宋体" w:hAnsi="宋体" w:eastAsia="宋体" w:cs="宋体"/>
          <w:sz w:val="24"/>
          <w:szCs w:val="24"/>
        </w:rPr>
        <w:fldChar w:fldCharType="separate"/>
      </w:r>
      <w:r>
        <w:rPr>
          <w:rFonts w:hint="eastAsia" w:ascii="宋体" w:hAnsi="宋体" w:eastAsia="宋体" w:cs="宋体"/>
          <w:color w:val="000000" w:themeColor="text1"/>
          <w:sz w:val="24"/>
          <w:szCs w:val="24"/>
          <w14:textFill>
            <w14:solidFill>
              <w14:schemeClr w14:val="tx1"/>
            </w14:solidFill>
          </w14:textFill>
        </w:rPr>
        <w:t>https://credit.ah.gov.cn/xinyong-fuwu/xvbahv/index.html</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F8E462">
      <w:pPr>
        <w:adjustRightInd w:val="0"/>
        <w:snapToGrid w:val="0"/>
        <w:spacing w:line="56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2、“信用中国”查询的严重失信行为判定依据为各行业主管部门下发的联合惩戒文件中规定的行为（按附件2执行）。</w:t>
      </w:r>
    </w:p>
    <w:p w14:paraId="36F92A93">
      <w:pPr>
        <w:wordWrap w:val="0"/>
        <w:adjustRightInd w:val="0"/>
        <w:snapToGrid w:val="0"/>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3、资格预审的项目以递交资格预审申请文件截止时间查询为准；资格后审的项目以递交投标文件截止时间查询为准。 </w:t>
      </w:r>
    </w:p>
    <w:p w14:paraId="4D84AFFE">
      <w:pPr>
        <w:pStyle w:val="54"/>
        <w:ind w:firstLine="420"/>
        <w:rPr>
          <w:rFonts w:hint="eastAsia" w:ascii="宋体" w:hAnsi="宋体" w:eastAsia="宋体" w:cs="宋体"/>
        </w:rPr>
      </w:pPr>
      <w:r>
        <w:rPr>
          <w:rFonts w:hint="eastAsia" w:ascii="宋体" w:hAnsi="宋体" w:eastAsia="宋体" w:cs="宋体"/>
        </w:rPr>
        <w:t xml:space="preserve"> </w:t>
      </w:r>
    </w:p>
    <w:p w14:paraId="27ECF83D">
      <w:pPr>
        <w:spacing w:line="440" w:lineRule="exact"/>
        <w:rPr>
          <w:rFonts w:hint="eastAsia" w:ascii="宋体" w:hAnsi="宋体" w:eastAsia="宋体" w:cs="宋体"/>
          <w:b/>
          <w:sz w:val="24"/>
          <w:szCs w:val="24"/>
        </w:rPr>
      </w:pPr>
      <w:r>
        <w:rPr>
          <w:rFonts w:hint="eastAsia" w:ascii="宋体" w:hAnsi="宋体" w:eastAsia="宋体" w:cs="宋体"/>
          <w:b/>
          <w:sz w:val="24"/>
          <w:szCs w:val="24"/>
          <w:lang w:bidi="ar"/>
        </w:rPr>
        <w:br w:type="page"/>
      </w:r>
      <w:r>
        <w:rPr>
          <w:rFonts w:hint="eastAsia" w:ascii="宋体" w:hAnsi="宋体" w:eastAsia="宋体" w:cs="宋体"/>
          <w:b/>
          <w:sz w:val="24"/>
          <w:szCs w:val="24"/>
          <w:lang w:bidi="ar"/>
        </w:rPr>
        <w:t>附件2</w:t>
      </w:r>
    </w:p>
    <w:p w14:paraId="445565DE">
      <w:pPr>
        <w:adjustRightInd w:val="0"/>
        <w:snapToGrid w:val="0"/>
        <w:spacing w:line="560" w:lineRule="exact"/>
        <w:ind w:firstLine="645"/>
        <w:jc w:val="center"/>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“信用中国”查询的严重失信行为类别及判定依据</w:t>
      </w:r>
    </w:p>
    <w:p w14:paraId="2EC3C4E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“信用中国”查询的严重失信行为判定依据为各行业主管部门下发的联合惩戒文件中规定的行为。下面将部分类别的严重失信行为列举如下：</w:t>
      </w:r>
    </w:p>
    <w:p w14:paraId="17DD0DC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一、安全生产领域严重失信行为：</w:t>
      </w:r>
    </w:p>
    <w:p w14:paraId="06B8DD9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（一）下列发生生产安全事故的生产经营单位及其有关人员应当列入严重失信主体名单：</w:t>
      </w:r>
    </w:p>
    <w:p w14:paraId="37ED0E9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1、发生特别重大、重大生产安全事故的生产经营单位及其主要负责人，以及经调查认定对该事故发生负有责任，应当列入名单的其他单位和人员；</w:t>
      </w:r>
    </w:p>
    <w:p w14:paraId="2A18EB6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2、12个月内累计发生2起以上较大生产安全事故的生产经营单位及其主要负责人；</w:t>
      </w:r>
    </w:p>
    <w:p w14:paraId="566F343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3、发生生产安全事故，情节特别严重、影响特别恶劣，依照《中华人民共和国安全生产法》第一百一十四条的规定被处以罚款数额2倍以上5倍以下罚款的生产经营单位及其主要负责人；</w:t>
      </w:r>
    </w:p>
    <w:p w14:paraId="1E1DA33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4、瞒报、谎报生产安全事故的生产经营单位及其有关责任人员；</w:t>
      </w:r>
    </w:p>
    <w:p w14:paraId="49F568F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5、发生生产安全事故后，不立即组织抢救或者在事故调查处理期间擅离职守或者逃匿的生产经营单位主要负责人。</w:t>
      </w:r>
    </w:p>
    <w:p w14:paraId="72B7868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（二）下列未发生生产安全事故，但因安全生产违法行为，受到行政处罚的生产经营单位或者机构及其有关人员，应当列入严重失信主体名单：</w:t>
      </w:r>
    </w:p>
    <w:p w14:paraId="3C78E1A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1、未依法取得安全生产相关许可或者许可被暂扣、吊销期间从事相关生产经营活动的生产经营单位及其主要负责人；</w:t>
      </w:r>
    </w:p>
    <w:p w14:paraId="77EC91B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2、承担安全评价、认证、检测、检验职责的机构及其直接责任人员租借资质、挂靠、出具虚假报告或者证书的；</w:t>
      </w:r>
    </w:p>
    <w:p w14:paraId="2636D90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3、在应急管理部门作出行政处罚后，有执行能力拒不执行或者逃避执行的生产经营单位及其主要负责人；</w:t>
      </w:r>
    </w:p>
    <w:p w14:paraId="746FD1A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4、其他违反安全生产法律法规受到行政处罚，且性质恶劣、情节严重的。</w:t>
      </w:r>
    </w:p>
    <w:p w14:paraId="47C8C4D7">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依据：《安全生产严重失信主体名单管理办法》（2023年8月8日应急管理部令第11号）</w:t>
      </w:r>
    </w:p>
    <w:p w14:paraId="5B27FE07">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二、环境保护领域严重失信行为：</w:t>
      </w:r>
    </w:p>
    <w:p w14:paraId="2D9A91D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（一）因为环境违法构成</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"https://baike.sogou.com/m/fullLemma?lid=10403954&amp;g_ut=3"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环境犯罪</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的；</w:t>
      </w:r>
    </w:p>
    <w:p w14:paraId="7033D6B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"https://baike.sogou.com/m/fullLemma?lid=76033123&amp;g_ut=3"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建设项目环境影响评价</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文件未按规定通过审批，擅自开工建设的；</w:t>
      </w:r>
    </w:p>
    <w:p w14:paraId="48BD0B3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（三）建设项目环保设施未建成、环保措施未落实、未通过</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"https://baike.sogou.com/m/fullLemma?lid=6470550&amp;g_ut=3"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竣工环保验收</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或者验收不合格，主体工程正式投入生产或者使用的；</w:t>
      </w:r>
    </w:p>
    <w:p w14:paraId="018573A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（四）建设项目性质、规模、地点、采用的生产工艺或者防治污染、防止生态破坏的措施发生重大变动，未重新报批环境影响评价文件，擅自投入生产或者使用的；</w:t>
      </w:r>
    </w:p>
    <w:p w14:paraId="02FE1F4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（五）主要污染物排放总量超过控制指标的；</w:t>
      </w:r>
    </w:p>
    <w:p w14:paraId="2CE71B0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（六）私设暗管或者利用</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"https://baike.sogou.com/m/fullLemma?lid=41657319&amp;g_ut=3"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渗井</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、渗坑、裂隙、溶洞等排放、倾倒、处置水污染物，或者通过私设旁路排放</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"https://baike.sogou.com/m/fullLemma?lid=7758328&amp;g_ut=3"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大气污染物</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的；</w:t>
      </w:r>
    </w:p>
    <w:p w14:paraId="50A8CA9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（七）非法排放、倾倒、处置危险废物，或者向无</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"https://baike.sogou.com/m/fullLemma?lid=5923292&amp;g_ut=3"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经营许可证</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或者超出经营许可范围的单位或个人提供或者委托其收集、贮存、利用、处置危险废物的；</w:t>
      </w:r>
    </w:p>
    <w:p w14:paraId="13B8C89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"https://baike.sogou.com/m/fullLemma?lid=167759803&amp;g_ut=3"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环境违法行为</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造成集中式生活饮用水水源取水中断的；</w:t>
      </w:r>
    </w:p>
    <w:p w14:paraId="4C29D21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（九）环境违法行为对生活饮用水水源保护区、自然保护区、</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"https://baike.sogou.com/m/fullLemma?lid=155199213&amp;g_ut=3"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国家重点生态功能区</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、风景名胜区、居住功能区、</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"https://baike.sogou.com/m/fullLemma?lid=7757164&amp;g_ut=3" \t "https://baike.sogou.com/m/_blank"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基本农田保护区</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等环境敏感区造成重大不利影响的；</w:t>
      </w:r>
    </w:p>
    <w:p w14:paraId="16DA445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（十）违法从事自然资源开发、交通基础设施建设，以及其他开发建设活动，造成严重生态破坏的；</w:t>
      </w:r>
    </w:p>
    <w:p w14:paraId="55730F7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（十一）发生较大及以上突发环境事件的；</w:t>
      </w:r>
    </w:p>
    <w:p w14:paraId="3EB1517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（十二）被环保部门挂牌督办，整改逾期未完成的；</w:t>
      </w:r>
    </w:p>
    <w:p w14:paraId="37E08BE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（十三）以暴力、威胁等方式拒绝、阻挠环保部门工作人员现场检查的；</w:t>
      </w:r>
    </w:p>
    <w:p w14:paraId="64B5490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（十四）违反重污染天气应急预案有关规定，对重污染天气响应不力的。</w:t>
      </w:r>
    </w:p>
    <w:p w14:paraId="0A47410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依据：《</w:t>
      </w:r>
      <w:bookmarkStart w:id="160" w:name="OLE_LINK8"/>
      <w:bookmarkStart w:id="161" w:name="OLE_LINK10"/>
      <w:bookmarkStart w:id="162" w:name="OLE_LINK9"/>
      <w:r>
        <w:rPr>
          <w:rFonts w:hint="eastAsia" w:ascii="宋体" w:hAnsi="宋体" w:eastAsia="宋体" w:cs="宋体"/>
          <w:b/>
          <w:color w:val="auto"/>
          <w:sz w:val="24"/>
          <w:szCs w:val="24"/>
        </w:rPr>
        <w:t>关于对环境保护领域失信生产经营单位及其有关人员开展联合惩戒的合作备忘录</w:t>
      </w:r>
      <w:bookmarkEnd w:id="160"/>
      <w:bookmarkEnd w:id="161"/>
      <w:bookmarkEnd w:id="162"/>
      <w:r>
        <w:rPr>
          <w:rFonts w:hint="eastAsia" w:ascii="宋体" w:hAnsi="宋体" w:eastAsia="宋体" w:cs="宋体"/>
          <w:b/>
          <w:color w:val="auto"/>
          <w:sz w:val="24"/>
          <w:szCs w:val="24"/>
        </w:rPr>
        <w:t>》、《</w:t>
      </w:r>
      <w:bookmarkStart w:id="163" w:name="OLE_LINK11"/>
      <w:bookmarkStart w:id="164" w:name="OLE_LINK12"/>
      <w:r>
        <w:rPr>
          <w:rFonts w:hint="eastAsia" w:ascii="宋体" w:hAnsi="宋体" w:eastAsia="宋体" w:cs="宋体"/>
          <w:b/>
          <w:color w:val="auto"/>
          <w:sz w:val="24"/>
          <w:szCs w:val="24"/>
        </w:rPr>
        <w:t>企业环境信用评价办法（试行）</w:t>
      </w:r>
      <w:bookmarkEnd w:id="163"/>
      <w:bookmarkEnd w:id="164"/>
      <w:r>
        <w:rPr>
          <w:rFonts w:hint="eastAsia" w:ascii="宋体" w:hAnsi="宋体" w:eastAsia="宋体" w:cs="宋体"/>
          <w:b/>
          <w:color w:val="auto"/>
          <w:sz w:val="24"/>
          <w:szCs w:val="24"/>
        </w:rPr>
        <w:t>》（环发〔2013〕150号）</w:t>
      </w:r>
    </w:p>
    <w:p w14:paraId="7EA63CD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公共资源交易领域严重失信行为</w:t>
      </w:r>
    </w:p>
    <w:p w14:paraId="0FE8FF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（一）违反法律规定，必须进行招标的项目而不招标的，将必须进行招标的项目化整为零或者以其他任何方式规避招标的； </w:t>
      </w:r>
    </w:p>
    <w:p w14:paraId="25D990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（二）招标代理机构违反法律规定，泄露应当保密的与招标投标活动有关的情况和资料的，或者与招标人、投标人串通损害 国家利益、社会公共利益或者他人合法权益的；</w:t>
      </w:r>
    </w:p>
    <w:p w14:paraId="0FAA6A3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（三）招标人以不合理的条件限制或者排斥潜在投标人的，对潜在投标人实行歧视待遇的，强制要求投标人组成联合体共同 投标的，或者限制投标人之间竞争的；</w:t>
      </w:r>
    </w:p>
    <w:p w14:paraId="23C291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（四）依法必须进行招标的项目的招标人向他人透露已获取招标文件的潜在投标人的名称、数量或者可能影响公平竞争的有 关招标投标的其他情况的，或者泄露标底的；</w:t>
      </w:r>
    </w:p>
    <w:p w14:paraId="1BEC903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（五）投标人相互串通投标或者与招标人串通投标的，投标人以向招标人或者评标委员会成员行贿的手段谋取中标的； </w:t>
      </w:r>
    </w:p>
    <w:p w14:paraId="7D8E21E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（六）投标人以他人名义投标或者以其他方式弄虚作假，骗取中标的；</w:t>
      </w:r>
    </w:p>
    <w:p w14:paraId="3DC700B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（七）依法必须进行招标的项目，招标人违反法律规定，与投标人就投标价格、投标方案等实质性内容进行谈判的；</w:t>
      </w:r>
    </w:p>
    <w:p w14:paraId="50C7840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F933AA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（九）招标人在评标委员会依法推荐的中标候选人以外确定中标人的，依法必须进行招标的项目在所有投标被评标委员会否 决后自行确定中标人的； </w:t>
      </w:r>
    </w:p>
    <w:p w14:paraId="4DCD46C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（十）中标人将中标项目转让给他人的，将中标项目肢解后分别转让给他人的，违反法律规定将中标项目的部分主体、关键 性工作分包给他人的，或者分包人再次分包的； </w:t>
      </w:r>
    </w:p>
    <w:p w14:paraId="5B32362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（十一）招标人与中标人不按照招标文件和中标人的投标文件订立合同的，或者招标人、中标人订立背离合同实质性内容的 协议的； </w:t>
      </w:r>
    </w:p>
    <w:p w14:paraId="790475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（十二）中标人不按照与招标人订立的合同履行义务，情节严重的； </w:t>
      </w:r>
    </w:p>
    <w:p w14:paraId="7316020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E02950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3B2C44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（十五）采购人对应当实行集中采购的政府采购项目，不委托集中采购机构实行集中采购的； </w:t>
      </w:r>
    </w:p>
    <w:p w14:paraId="4822127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（十六）采购人、采购代理机构违反法律规定隐匿、销毁应当保存的采购文件或者伪造、变造采购文件的； </w:t>
      </w:r>
    </w:p>
    <w:p w14:paraId="13B75D7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6CDAAC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（十八）疫苗生产企业向县级疾病预防控制机构以外的单位或者个人销售第二类疫苗的； </w:t>
      </w:r>
    </w:p>
    <w:p w14:paraId="676C99A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（十九）存在其他违反公共资源交易法律法规行为的。</w:t>
      </w:r>
    </w:p>
    <w:p w14:paraId="54FB306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依据：《</w:t>
      </w:r>
      <w:bookmarkStart w:id="165" w:name="OLE_LINK14"/>
      <w:bookmarkStart w:id="166" w:name="OLE_LINK13"/>
      <w:r>
        <w:rPr>
          <w:rFonts w:hint="eastAsia" w:ascii="宋体" w:hAnsi="宋体" w:eastAsia="宋体" w:cs="宋体"/>
          <w:b/>
          <w:color w:val="auto"/>
          <w:sz w:val="24"/>
          <w:szCs w:val="24"/>
        </w:rPr>
        <w:t>关于对公共资源交易领域严重失信主体开展联合惩戒的备忘录</w:t>
      </w:r>
      <w:bookmarkEnd w:id="165"/>
      <w:bookmarkEnd w:id="166"/>
      <w:r>
        <w:rPr>
          <w:rFonts w:hint="eastAsia" w:ascii="宋体" w:hAnsi="宋体" w:eastAsia="宋体" w:cs="宋体"/>
          <w:b/>
          <w:color w:val="auto"/>
          <w:sz w:val="24"/>
          <w:szCs w:val="24"/>
        </w:rPr>
        <w:t>》（发改法规〔2018〕457号）</w:t>
      </w:r>
    </w:p>
    <w:p w14:paraId="0CEE45A4">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四、</w:t>
      </w:r>
      <w:r>
        <w:rPr>
          <w:rFonts w:hint="eastAsia" w:ascii="宋体" w:hAnsi="宋体" w:eastAsia="宋体" w:cs="宋体"/>
          <w:b/>
          <w:bCs/>
          <w:color w:val="auto"/>
          <w:sz w:val="24"/>
          <w:szCs w:val="24"/>
        </w:rPr>
        <w:t>社会保险领域严重失信行为</w:t>
      </w:r>
    </w:p>
    <w:p w14:paraId="488DE6A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（一）用人单位未按相关规定参加社会保险且拒不整改的； </w:t>
      </w:r>
    </w:p>
    <w:p w14:paraId="0D4A89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（二）用人单位未如实申报社会保险缴费基数且拒不整改的； </w:t>
      </w:r>
    </w:p>
    <w:p w14:paraId="7D43694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（三）应缴纳社会保险费却拒不缴纳的； </w:t>
      </w:r>
    </w:p>
    <w:p w14:paraId="0BAF919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（四）隐匿、转移、侵占、挪用社会保险费款、基金或者违规投资运营的；</w:t>
      </w:r>
    </w:p>
    <w:p w14:paraId="0251363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（五）以欺诈、伪造证明材料或者其他手段参加、申报社会保险和骗取社会保险基金支出或社会保险待遇的； </w:t>
      </w:r>
    </w:p>
    <w:p w14:paraId="3CAB673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（六）非法获取、出售或变相交易社会保险个人权益数据的； </w:t>
      </w:r>
    </w:p>
    <w:p w14:paraId="20D9FCE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（七）社会保险服务机构违反服务协议或相关规定的； </w:t>
      </w:r>
    </w:p>
    <w:p w14:paraId="69C9CBD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（八）拒绝协助社会保险行政部门、经办机构对事故和问题进 行调查核实的；拒绝接受或协助税务部门对社会保险实施监督检查， 不如实提供与社会保险相关各项资料的； </w:t>
      </w:r>
    </w:p>
    <w:p w14:paraId="6A19F9B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（九）其他违反法律法规规定的。</w:t>
      </w:r>
    </w:p>
    <w:p w14:paraId="6CF9D8C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依据：《</w:t>
      </w:r>
      <w:bookmarkStart w:id="167" w:name="OLE_LINK16"/>
      <w:bookmarkStart w:id="168" w:name="OLE_LINK15"/>
      <w:r>
        <w:rPr>
          <w:rFonts w:hint="eastAsia" w:ascii="宋体" w:hAnsi="宋体" w:eastAsia="宋体" w:cs="宋体"/>
          <w:b/>
          <w:color w:val="auto"/>
          <w:sz w:val="24"/>
          <w:szCs w:val="24"/>
        </w:rPr>
        <w:t>关于对社会保险领域严重失信企业及其有关人员实施联合惩戒的合作备忘录</w:t>
      </w:r>
      <w:bookmarkEnd w:id="167"/>
      <w:bookmarkEnd w:id="168"/>
      <w:r>
        <w:rPr>
          <w:rFonts w:hint="eastAsia" w:ascii="宋体" w:hAnsi="宋体" w:eastAsia="宋体" w:cs="宋体"/>
          <w:b/>
          <w:color w:val="auto"/>
          <w:sz w:val="24"/>
          <w:szCs w:val="24"/>
        </w:rPr>
        <w:t>》（发改财金〔2018〕1704号）</w:t>
      </w:r>
    </w:p>
    <w:p w14:paraId="2C5DEA71">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五、建筑市场领域</w:t>
      </w:r>
      <w:r>
        <w:rPr>
          <w:rFonts w:hint="eastAsia" w:ascii="宋体" w:hAnsi="宋体" w:eastAsia="宋体" w:cs="宋体"/>
          <w:b/>
          <w:bCs/>
          <w:color w:val="auto"/>
          <w:sz w:val="24"/>
          <w:szCs w:val="24"/>
        </w:rPr>
        <w:t>严重失信行为</w:t>
      </w:r>
    </w:p>
    <w:p w14:paraId="49F00CF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（一）利用虚假材料、以欺骗手段取得企业资质的；</w:t>
      </w:r>
    </w:p>
    <w:p w14:paraId="1250953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（二）发生转包、出借资质，受到行政处罚的；</w:t>
      </w:r>
    </w:p>
    <w:p w14:paraId="53DF6BB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（三）发生重大及以上工程质量安全事故，或1年内累计发生2次及以上较大工程质量安全事故，或发生性质恶劣、危害性严重、社会影响大的较大工程质量安全事故，受到行政处罚的；</w:t>
      </w:r>
    </w:p>
    <w:p w14:paraId="2CAD7ED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（四）经法院判决或仲裁机构裁决，认定为拖欠工程款,且拒不履行生效法律文书确定的义务的。</w:t>
      </w:r>
    </w:p>
    <w:p w14:paraId="34C47B0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各级住房城乡建设主管部门应当参照建筑市场主体“黑名单”，对被人力资源社会保障行政部门列入拖欠农民工工资“黑名单”的建筑市场各方主体加强监管。</w:t>
      </w:r>
    </w:p>
    <w:p w14:paraId="78ECD242">
      <w:pPr>
        <w:keepNext w:val="0"/>
        <w:keepLines w:val="0"/>
        <w:pageBreakBefore w:val="0"/>
        <w:widowControl w:val="0"/>
        <w:kinsoku/>
        <w:wordWrap/>
        <w:overflowPunct/>
        <w:topLinePunct w:val="0"/>
        <w:autoSpaceDE/>
        <w:autoSpaceDN/>
        <w:bidi w:val="0"/>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依据：《</w:t>
      </w:r>
      <w:bookmarkStart w:id="169" w:name="OLE_LINK18"/>
      <w:bookmarkStart w:id="170" w:name="OLE_LINK17"/>
      <w:r>
        <w:rPr>
          <w:rFonts w:hint="eastAsia" w:ascii="宋体" w:hAnsi="宋体" w:eastAsia="宋体" w:cs="宋体"/>
          <w:b/>
          <w:color w:val="auto"/>
          <w:sz w:val="24"/>
          <w:szCs w:val="24"/>
        </w:rPr>
        <w:t>建筑市场信用管理暂行办法</w:t>
      </w:r>
      <w:bookmarkEnd w:id="169"/>
      <w:bookmarkEnd w:id="170"/>
      <w:r>
        <w:rPr>
          <w:rFonts w:hint="eastAsia" w:ascii="宋体" w:hAnsi="宋体" w:eastAsia="宋体" w:cs="宋体"/>
          <w:b/>
          <w:color w:val="auto"/>
          <w:sz w:val="24"/>
          <w:szCs w:val="24"/>
        </w:rPr>
        <w:t>》（建市〔2017〕241号）</w:t>
      </w:r>
    </w:p>
    <w:p w14:paraId="63572175">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w:t>
      </w:r>
      <w:bookmarkStart w:id="171" w:name="OLE_LINK20"/>
      <w:bookmarkStart w:id="172" w:name="OLE_LINK19"/>
      <w:r>
        <w:rPr>
          <w:rFonts w:hint="eastAsia" w:ascii="宋体" w:hAnsi="宋体" w:eastAsia="宋体" w:cs="宋体"/>
          <w:b/>
          <w:color w:val="auto"/>
          <w:sz w:val="24"/>
          <w:szCs w:val="24"/>
        </w:rPr>
        <w:t>政府采购严重失信行为</w:t>
      </w:r>
      <w:bookmarkEnd w:id="171"/>
      <w:bookmarkEnd w:id="172"/>
    </w:p>
    <w:p w14:paraId="2CEC36C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（一）三万元以上罚款；</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（二）在一至三年内禁止参加政府采购活动（处罚期限届满的除外）；</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（三）在一至三年内禁止代理政府采购业务（处罚期限届满的除外）；</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（四）撤销政府采购代理机构资格（仅针对《政府采购法》第78条修改前作出的处罚决定）。</w:t>
      </w:r>
    </w:p>
    <w:p w14:paraId="4806C2B7">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依据：《关于报送政府采购严重违法失信行为信息记录的通知》（财办库〔2014〕526号）</w:t>
      </w:r>
    </w:p>
    <w:p w14:paraId="08E7ED8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未列出的其他类别严重失信行为，由招标人（代理机构）根据各类别行业主管部门下发的联合惩戒文件进行判断。</w:t>
      </w:r>
    </w:p>
    <w:p w14:paraId="6BF48EF6">
      <w:pPr>
        <w:spacing w:line="360" w:lineRule="auto"/>
        <w:ind w:firstLine="435"/>
        <w:rPr>
          <w:rFonts w:hint="eastAsia" w:ascii="宋体" w:hAnsi="宋体" w:eastAsia="宋体" w:cs="宋体"/>
          <w:color w:val="auto"/>
          <w:sz w:val="24"/>
          <w:highlight w:val="none"/>
        </w:rPr>
      </w:pPr>
    </w:p>
    <w:p w14:paraId="438DBE29">
      <w:pPr>
        <w:spacing w:line="360" w:lineRule="auto"/>
        <w:ind w:firstLine="435"/>
        <w:rPr>
          <w:rFonts w:asciiTheme="minorEastAsia" w:hAnsiTheme="minorEastAsia" w:eastAsiaTheme="minorEastAsia"/>
          <w:color w:val="auto"/>
          <w:sz w:val="24"/>
          <w:highlight w:val="none"/>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A767234-96CB-4DCA-A740-D8D0AED937B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BCEE9C6-A32A-4C33-A89F-B4B2465F72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01B9340-A86A-4F37-922D-EB674427B8A5}"/>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1FF57A58-1B0D-47B3-AFCA-38AF41830AC5}"/>
  </w:font>
  <w:font w:name="兰米小标宋">
    <w:panose1 w:val="02000503000000000000"/>
    <w:charset w:val="86"/>
    <w:family w:val="auto"/>
    <w:pitch w:val="default"/>
    <w:sig w:usb0="8000002F" w:usb1="084164F8" w:usb2="00000012" w:usb3="00000000" w:csb0="00040001" w:csb1="00000000"/>
    <w:embedRegular r:id="rId5" w:fontKey="{E9515916-BDC8-44F8-AAC0-EAD51C583B67}"/>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6" w:fontKey="{360BFA6D-594A-43EC-AD6A-63FA5F9027AA}"/>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49A1F">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8BFDC">
    <w:pPr>
      <w:pStyle w:val="3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60DA3">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F60DA3">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0EC43">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6E648">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376E648">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22832">
    <w:pPr>
      <w:pStyle w:val="33"/>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A9810">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91A9810">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03200">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E680">
                          <w:pPr>
                            <w:pStyle w:val="3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31E680">
                    <w:pPr>
                      <w:pStyle w:val="3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CA0F">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9A60">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C534">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singleLevel"/>
    <w:tmpl w:val="00000010"/>
    <w:lvl w:ilvl="0" w:tentative="0">
      <w:start w:val="6"/>
      <w:numFmt w:val="decimal"/>
      <w:suff w:val="nothing"/>
      <w:lvlText w:val="（%1）"/>
      <w:lvlJc w:val="left"/>
    </w:lvl>
  </w:abstractNum>
  <w:abstractNum w:abstractNumId="1">
    <w:nsid w:val="07FB4FF2"/>
    <w:multiLevelType w:val="multilevel"/>
    <w:tmpl w:val="07FB4FF2"/>
    <w:lvl w:ilvl="0" w:tentative="0">
      <w:start w:val="2"/>
      <w:numFmt w:val="decimal"/>
      <w:lvlText w:val="%1、_x0003_._x0004_._x0005_._x0006_._x0007_._x0008_.&#10;"/>
      <w:lvlJc w:val="left"/>
      <w:pPr>
        <w:tabs>
          <w:tab w:val="left" w:pos="2160"/>
        </w:tabs>
        <w:ind w:left="2160" w:hanging="2160"/>
      </w:pPr>
      <w:rPr>
        <w:rFonts w:hint="default" w:ascii="宋体" w:hAnsi="宋体"/>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1、%4.%5.%6.%7.%8.%9."/>
      <w:lvlJc w:val="left"/>
      <w:pPr>
        <w:tabs>
          <w:tab w:val="left" w:pos="3544"/>
        </w:tabs>
        <w:ind w:left="3544" w:hanging="1800"/>
      </w:pPr>
      <w:rPr>
        <w:rFonts w:hint="default" w:ascii="宋体" w:hAnsi="宋体"/>
      </w:rPr>
    </w:lvl>
  </w:abstractNum>
  <w:abstractNum w:abstractNumId="2">
    <w:nsid w:val="097618BA"/>
    <w:multiLevelType w:val="multilevel"/>
    <w:tmpl w:val="097618BA"/>
    <w:lvl w:ilvl="0" w:tentative="0">
      <w:start w:val="3"/>
      <w:numFmt w:val="japaneseCounting"/>
      <w:lvlText w:val="第%1节"/>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55206A"/>
    <w:multiLevelType w:val="singleLevel"/>
    <w:tmpl w:val="6A55206A"/>
    <w:lvl w:ilvl="0" w:tentative="0">
      <w:start w:val="6"/>
      <w:numFmt w:val="decimal"/>
      <w:suff w:val="nothing"/>
      <w:lvlText w:val="（%1）"/>
      <w:lvlJc w:val="left"/>
    </w:lvl>
  </w:abstractNum>
  <w:abstractNum w:abstractNumId="4">
    <w:nsid w:val="7F7E5238"/>
    <w:multiLevelType w:val="multilevel"/>
    <w:tmpl w:val="7F7E5238"/>
    <w:lvl w:ilvl="0" w:tentative="0">
      <w:start w:val="1"/>
      <w:numFmt w:val="none"/>
      <w:pStyle w:val="17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9"/>
      <w:lvlText w:val="           "/>
      <w:lvlJc w:val="left"/>
      <w:pPr>
        <w:tabs>
          <w:tab w:val="left" w:pos="1440"/>
        </w:tabs>
        <w:ind w:left="1152" w:hanging="1152"/>
      </w:pPr>
      <w:rPr>
        <w:rFonts w:hint="eastAsia"/>
      </w:rPr>
    </w:lvl>
    <w:lvl w:ilvl="6" w:tentative="0">
      <w:start w:val="1"/>
      <w:numFmt w:val="decimal"/>
      <w:pStyle w:val="181"/>
      <w:lvlText w:val="%1.%2.%3.%4.%5.%6.%7"/>
      <w:lvlJc w:val="left"/>
      <w:pPr>
        <w:tabs>
          <w:tab w:val="left" w:pos="2520"/>
        </w:tabs>
        <w:ind w:left="1296" w:hanging="1296"/>
      </w:pPr>
      <w:rPr>
        <w:rFonts w:hint="eastAsia"/>
      </w:rPr>
    </w:lvl>
    <w:lvl w:ilvl="7" w:tentative="0">
      <w:start w:val="1"/>
      <w:numFmt w:val="decimal"/>
      <w:pStyle w:val="183"/>
      <w:lvlText w:val="%1.%2.%3.%4.%5.%6.%7.%8"/>
      <w:lvlJc w:val="left"/>
      <w:pPr>
        <w:tabs>
          <w:tab w:val="left" w:pos="1440"/>
        </w:tabs>
        <w:ind w:left="1440" w:hanging="1440"/>
      </w:pPr>
      <w:rPr>
        <w:rFonts w:hint="eastAsia"/>
      </w:rPr>
    </w:lvl>
    <w:lvl w:ilvl="8" w:tentative="0">
      <w:start w:val="1"/>
      <w:numFmt w:val="decimal"/>
      <w:pStyle w:val="185"/>
      <w:lvlText w:val="%1.%2.%3.%4.%5.%6.%7.%8.%9"/>
      <w:lvlJc w:val="left"/>
      <w:pPr>
        <w:tabs>
          <w:tab w:val="left" w:pos="1584"/>
        </w:tabs>
        <w:ind w:left="1584" w:hanging="1584"/>
      </w:pPr>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OGJkZDZlMmJiZjgxZThhZWQ4YzE0YWIxYTUyMmQ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4041BDD"/>
    <w:rsid w:val="060D5ED0"/>
    <w:rsid w:val="06EE74DB"/>
    <w:rsid w:val="072015CC"/>
    <w:rsid w:val="073126F2"/>
    <w:rsid w:val="07AD40C1"/>
    <w:rsid w:val="08617CF0"/>
    <w:rsid w:val="093E5132"/>
    <w:rsid w:val="099C3247"/>
    <w:rsid w:val="09A62A72"/>
    <w:rsid w:val="09B71227"/>
    <w:rsid w:val="0A474B2F"/>
    <w:rsid w:val="0B34273F"/>
    <w:rsid w:val="0B5759D8"/>
    <w:rsid w:val="0B584B6B"/>
    <w:rsid w:val="0B9A6428"/>
    <w:rsid w:val="0BC76A6E"/>
    <w:rsid w:val="0BD069A1"/>
    <w:rsid w:val="0C0B76AE"/>
    <w:rsid w:val="0C695EBF"/>
    <w:rsid w:val="0C764D16"/>
    <w:rsid w:val="0D3E7892"/>
    <w:rsid w:val="0DB72352"/>
    <w:rsid w:val="0DF972D8"/>
    <w:rsid w:val="0DFC12FE"/>
    <w:rsid w:val="0DFF1A91"/>
    <w:rsid w:val="0E30091C"/>
    <w:rsid w:val="0EB116DF"/>
    <w:rsid w:val="0EB9796D"/>
    <w:rsid w:val="0ED93BBF"/>
    <w:rsid w:val="0FC76BB7"/>
    <w:rsid w:val="10F935A7"/>
    <w:rsid w:val="112E6273"/>
    <w:rsid w:val="11D557DA"/>
    <w:rsid w:val="12E83133"/>
    <w:rsid w:val="13607801"/>
    <w:rsid w:val="1375778E"/>
    <w:rsid w:val="14E43199"/>
    <w:rsid w:val="16F15C51"/>
    <w:rsid w:val="17146EEB"/>
    <w:rsid w:val="18A85F98"/>
    <w:rsid w:val="1CEE0E9A"/>
    <w:rsid w:val="1D015171"/>
    <w:rsid w:val="1D191BE5"/>
    <w:rsid w:val="1D3B78BE"/>
    <w:rsid w:val="1DEC70E9"/>
    <w:rsid w:val="1E0B00F8"/>
    <w:rsid w:val="1E112FC8"/>
    <w:rsid w:val="1F2E6A6D"/>
    <w:rsid w:val="200E78EF"/>
    <w:rsid w:val="21326E5F"/>
    <w:rsid w:val="21A12912"/>
    <w:rsid w:val="237C1D35"/>
    <w:rsid w:val="23912E23"/>
    <w:rsid w:val="240957A3"/>
    <w:rsid w:val="241D3932"/>
    <w:rsid w:val="247E2DFD"/>
    <w:rsid w:val="252B399B"/>
    <w:rsid w:val="26306760"/>
    <w:rsid w:val="265B0373"/>
    <w:rsid w:val="265E29D5"/>
    <w:rsid w:val="274D5052"/>
    <w:rsid w:val="27E85AF1"/>
    <w:rsid w:val="288E11CC"/>
    <w:rsid w:val="28A96E2F"/>
    <w:rsid w:val="299627B0"/>
    <w:rsid w:val="2A1534D2"/>
    <w:rsid w:val="2B5044AE"/>
    <w:rsid w:val="2B89414F"/>
    <w:rsid w:val="2D1633EB"/>
    <w:rsid w:val="2D611D48"/>
    <w:rsid w:val="2E992065"/>
    <w:rsid w:val="2EB60132"/>
    <w:rsid w:val="2F4B5DEA"/>
    <w:rsid w:val="2F850E2A"/>
    <w:rsid w:val="2F8779B7"/>
    <w:rsid w:val="30536D05"/>
    <w:rsid w:val="3215051D"/>
    <w:rsid w:val="323542B2"/>
    <w:rsid w:val="34152599"/>
    <w:rsid w:val="3544508A"/>
    <w:rsid w:val="36343134"/>
    <w:rsid w:val="36AD04C3"/>
    <w:rsid w:val="36E71BB0"/>
    <w:rsid w:val="385414FE"/>
    <w:rsid w:val="38CD4FE1"/>
    <w:rsid w:val="3B5006E0"/>
    <w:rsid w:val="3C2546B9"/>
    <w:rsid w:val="3C9227B9"/>
    <w:rsid w:val="3CB12230"/>
    <w:rsid w:val="3CC028F3"/>
    <w:rsid w:val="408D59ED"/>
    <w:rsid w:val="40B54BA9"/>
    <w:rsid w:val="41FE789B"/>
    <w:rsid w:val="42E44134"/>
    <w:rsid w:val="43406525"/>
    <w:rsid w:val="43566DE0"/>
    <w:rsid w:val="43623555"/>
    <w:rsid w:val="44CC5046"/>
    <w:rsid w:val="44F243AD"/>
    <w:rsid w:val="44FD0F02"/>
    <w:rsid w:val="459F5817"/>
    <w:rsid w:val="45B649C6"/>
    <w:rsid w:val="45EF2EAC"/>
    <w:rsid w:val="46D629D1"/>
    <w:rsid w:val="47C27D6C"/>
    <w:rsid w:val="4838270D"/>
    <w:rsid w:val="48EC3373"/>
    <w:rsid w:val="48F007C1"/>
    <w:rsid w:val="493B64BB"/>
    <w:rsid w:val="495E0E6D"/>
    <w:rsid w:val="49CD7090"/>
    <w:rsid w:val="49D55251"/>
    <w:rsid w:val="49E704D5"/>
    <w:rsid w:val="4B874579"/>
    <w:rsid w:val="4BE87A98"/>
    <w:rsid w:val="4C1743E7"/>
    <w:rsid w:val="4C2E43AC"/>
    <w:rsid w:val="4C404F3F"/>
    <w:rsid w:val="4E616C92"/>
    <w:rsid w:val="4E6F2E5D"/>
    <w:rsid w:val="4F8545A9"/>
    <w:rsid w:val="4F9B25B3"/>
    <w:rsid w:val="508A5A0C"/>
    <w:rsid w:val="50B13DEA"/>
    <w:rsid w:val="50DA2DB1"/>
    <w:rsid w:val="51361FFF"/>
    <w:rsid w:val="5407371F"/>
    <w:rsid w:val="55076EDB"/>
    <w:rsid w:val="557F62EE"/>
    <w:rsid w:val="565019E7"/>
    <w:rsid w:val="56861129"/>
    <w:rsid w:val="569861B6"/>
    <w:rsid w:val="56B6493F"/>
    <w:rsid w:val="56D26221"/>
    <w:rsid w:val="5809250B"/>
    <w:rsid w:val="58946959"/>
    <w:rsid w:val="589E1721"/>
    <w:rsid w:val="5A5113C2"/>
    <w:rsid w:val="5C8F7148"/>
    <w:rsid w:val="5D5B355A"/>
    <w:rsid w:val="5D8C4430"/>
    <w:rsid w:val="5F6103C2"/>
    <w:rsid w:val="5FCD130C"/>
    <w:rsid w:val="5FD07FE9"/>
    <w:rsid w:val="60613CC2"/>
    <w:rsid w:val="61737CE0"/>
    <w:rsid w:val="617A62BB"/>
    <w:rsid w:val="62450E0A"/>
    <w:rsid w:val="6270505E"/>
    <w:rsid w:val="62A2790D"/>
    <w:rsid w:val="62EB49FC"/>
    <w:rsid w:val="632B05B6"/>
    <w:rsid w:val="63CE39CA"/>
    <w:rsid w:val="63D905AD"/>
    <w:rsid w:val="645F3309"/>
    <w:rsid w:val="647A03AB"/>
    <w:rsid w:val="652674EA"/>
    <w:rsid w:val="65B46500"/>
    <w:rsid w:val="66E2747D"/>
    <w:rsid w:val="66F7550A"/>
    <w:rsid w:val="673047EC"/>
    <w:rsid w:val="674C5A37"/>
    <w:rsid w:val="6833421D"/>
    <w:rsid w:val="683B31A6"/>
    <w:rsid w:val="6A307DAD"/>
    <w:rsid w:val="6A4B69A3"/>
    <w:rsid w:val="6A9874AE"/>
    <w:rsid w:val="6AAD1A41"/>
    <w:rsid w:val="6AF13F49"/>
    <w:rsid w:val="6B9C347D"/>
    <w:rsid w:val="6BAC18E9"/>
    <w:rsid w:val="6D2F1B21"/>
    <w:rsid w:val="6E5F172B"/>
    <w:rsid w:val="6E87554F"/>
    <w:rsid w:val="6F5D0B2F"/>
    <w:rsid w:val="6F6117F5"/>
    <w:rsid w:val="6F84274A"/>
    <w:rsid w:val="6FBE314B"/>
    <w:rsid w:val="6FDC216E"/>
    <w:rsid w:val="70217AAF"/>
    <w:rsid w:val="70A0444C"/>
    <w:rsid w:val="71E7396A"/>
    <w:rsid w:val="72AA1DD8"/>
    <w:rsid w:val="74FC2405"/>
    <w:rsid w:val="76834F30"/>
    <w:rsid w:val="78373BAC"/>
    <w:rsid w:val="78D4376C"/>
    <w:rsid w:val="78E92275"/>
    <w:rsid w:val="79775D93"/>
    <w:rsid w:val="799B26EC"/>
    <w:rsid w:val="79DA107C"/>
    <w:rsid w:val="7B853EC3"/>
    <w:rsid w:val="7CAE2B9E"/>
    <w:rsid w:val="7D18299B"/>
    <w:rsid w:val="7E2F5732"/>
    <w:rsid w:val="7F565489"/>
    <w:rsid w:val="7F620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1"/>
    <w:autoRedefine/>
    <w:qFormat/>
    <w:uiPriority w:val="0"/>
    <w:pPr>
      <w:keepNext/>
      <w:keepLines/>
      <w:spacing w:before="340" w:after="330" w:line="578" w:lineRule="auto"/>
      <w:outlineLvl w:val="0"/>
    </w:pPr>
    <w:rPr>
      <w:b/>
      <w:bCs/>
      <w:kern w:val="44"/>
      <w:sz w:val="44"/>
      <w:szCs w:val="44"/>
    </w:rPr>
  </w:style>
  <w:style w:type="paragraph" w:styleId="3">
    <w:name w:val="heading 2"/>
    <w:basedOn w:val="4"/>
    <w:next w:val="6"/>
    <w:link w:val="104"/>
    <w:autoRedefine/>
    <w:unhideWhenUsed/>
    <w:qFormat/>
    <w:uiPriority w:val="0"/>
    <w:pPr>
      <w:keepNext/>
      <w:keepLines/>
      <w:spacing w:before="260" w:after="260" w:line="416" w:lineRule="auto"/>
      <w:outlineLvl w:val="1"/>
    </w:pPr>
    <w:rPr>
      <w:rFonts w:ascii="Cambria" w:hAnsi="Cambria" w:cs="Times New Roman"/>
      <w:kern w:val="2"/>
      <w:sz w:val="32"/>
      <w:szCs w:val="32"/>
      <w:lang w:val="zh-CN"/>
    </w:rPr>
  </w:style>
  <w:style w:type="paragraph" w:styleId="6">
    <w:name w:val="heading 3"/>
    <w:basedOn w:val="5"/>
    <w:next w:val="3"/>
    <w:link w:val="93"/>
    <w:autoRedefine/>
    <w:unhideWhenUsed/>
    <w:qFormat/>
    <w:uiPriority w:val="0"/>
    <w:pPr>
      <w:keepNext/>
      <w:keepLines/>
      <w:spacing w:before="260" w:after="260" w:line="416" w:lineRule="auto"/>
      <w:outlineLvl w:val="2"/>
    </w:pPr>
    <w:rPr>
      <w:sz w:val="32"/>
      <w:szCs w:val="32"/>
    </w:rPr>
  </w:style>
  <w:style w:type="paragraph" w:styleId="4">
    <w:name w:val="heading 4"/>
    <w:basedOn w:val="1"/>
    <w:next w:val="5"/>
    <w:link w:val="98"/>
    <w:autoRedefine/>
    <w:qFormat/>
    <w:uiPriority w:val="0"/>
    <w:pPr>
      <w:keepNext/>
      <w:keepLines/>
      <w:spacing w:before="280" w:after="290" w:line="376" w:lineRule="auto"/>
      <w:outlineLvl w:val="3"/>
    </w:pPr>
    <w:rPr>
      <w:b/>
      <w:bCs/>
      <w:sz w:val="28"/>
      <w:szCs w:val="28"/>
    </w:rPr>
  </w:style>
  <w:style w:type="paragraph" w:styleId="5">
    <w:name w:val="heading 5"/>
    <w:basedOn w:val="1"/>
    <w:next w:val="1"/>
    <w:link w:val="105"/>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5"/>
    <w:next w:val="1"/>
    <w:link w:val="106"/>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7"/>
    <w:autoRedefine/>
    <w:qFormat/>
    <w:uiPriority w:val="0"/>
    <w:pPr>
      <w:tabs>
        <w:tab w:val="left" w:pos="1800"/>
        <w:tab w:val="clear" w:pos="1440"/>
      </w:tabs>
      <w:ind w:left="1276" w:hanging="1276"/>
      <w:outlineLvl w:val="6"/>
    </w:pPr>
  </w:style>
  <w:style w:type="paragraph" w:styleId="9">
    <w:name w:val="heading 8"/>
    <w:basedOn w:val="1"/>
    <w:next w:val="1"/>
    <w:link w:val="108"/>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9"/>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54"/>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0"/>
    <w:autoRedefine/>
    <w:qFormat/>
    <w:uiPriority w:val="0"/>
    <w:pPr>
      <w:jc w:val="left"/>
    </w:pPr>
    <w:rPr>
      <w:rFonts w:ascii="Arial" w:hAnsi="Arial" w:eastAsia="黑体" w:cs="Arial"/>
    </w:rPr>
  </w:style>
  <w:style w:type="paragraph" w:styleId="17">
    <w:name w:val="Salutation"/>
    <w:basedOn w:val="1"/>
    <w:next w:val="1"/>
    <w:link w:val="120"/>
    <w:autoRedefine/>
    <w:qFormat/>
    <w:uiPriority w:val="0"/>
    <w:rPr>
      <w:rFonts w:ascii="仿宋_GB2312" w:hAnsi="Times New Roman" w:eastAsia="仿宋_GB2312" w:cs="Times New Roman"/>
      <w:kern w:val="2"/>
      <w:sz w:val="28"/>
      <w:lang w:val="zh-CN"/>
    </w:rPr>
  </w:style>
  <w:style w:type="paragraph" w:styleId="18">
    <w:name w:val="Body Text 3"/>
    <w:basedOn w:val="1"/>
    <w:link w:val="140"/>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9"/>
    <w:autoRedefine/>
    <w:qFormat/>
    <w:uiPriority w:val="0"/>
    <w:pPr>
      <w:spacing w:after="120"/>
    </w:pPr>
    <w:rPr>
      <w:rFonts w:ascii="兰米小标宋" w:hAnsi="兰米小标宋" w:eastAsia="兰米小标宋" w:cs="兰米小标宋"/>
      <w:szCs w:val="24"/>
      <w:lang w:val="zh-CN"/>
    </w:rPr>
  </w:style>
  <w:style w:type="paragraph" w:styleId="20">
    <w:name w:val="Body Text Indent"/>
    <w:basedOn w:val="1"/>
    <w:next w:val="21"/>
    <w:link w:val="114"/>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pPr>
      <w:snapToGrid w:val="0"/>
    </w:pPr>
    <w:rPr>
      <w:rFonts w:ascii="Arial" w:hAnsi="Arial"/>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9"/>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6"/>
    <w:autoRedefine/>
    <w:qFormat/>
    <w:uiPriority w:val="0"/>
    <w:rPr>
      <w:rFonts w:ascii="Arial" w:hAnsi="Arial" w:cs="Arial"/>
      <w:b/>
      <w:sz w:val="28"/>
    </w:rPr>
  </w:style>
  <w:style w:type="paragraph" w:styleId="31">
    <w:name w:val="Body Text Indent 2"/>
    <w:basedOn w:val="1"/>
    <w:link w:val="136"/>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3"/>
    <w:autoRedefine/>
    <w:unhideWhenUsed/>
    <w:qFormat/>
    <w:uiPriority w:val="0"/>
    <w:rPr>
      <w:sz w:val="18"/>
      <w:szCs w:val="18"/>
    </w:rPr>
  </w:style>
  <w:style w:type="paragraph" w:styleId="33">
    <w:name w:val="footer"/>
    <w:basedOn w:val="1"/>
    <w:link w:val="78"/>
    <w:autoRedefine/>
    <w:unhideWhenUsed/>
    <w:qFormat/>
    <w:uiPriority w:val="99"/>
    <w:pPr>
      <w:tabs>
        <w:tab w:val="center" w:pos="4153"/>
        <w:tab w:val="right" w:pos="8306"/>
      </w:tabs>
      <w:snapToGrid w:val="0"/>
      <w:jc w:val="left"/>
    </w:pPr>
    <w:rPr>
      <w:sz w:val="18"/>
      <w:szCs w:val="18"/>
    </w:rPr>
  </w:style>
  <w:style w:type="paragraph" w:styleId="34">
    <w:name w:val="header"/>
    <w:basedOn w:val="1"/>
    <w:link w:val="7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8"/>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6"/>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5"/>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9"/>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43"/>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101"/>
    <w:autoRedefine/>
    <w:unhideWhenUsed/>
    <w:qFormat/>
    <w:uiPriority w:val="0"/>
    <w:rPr>
      <w:rFonts w:ascii="宋体" w:hAnsi="宋体" w:eastAsia="宋体" w:cstheme="minorBidi"/>
      <w:b/>
      <w:bCs/>
    </w:rPr>
  </w:style>
  <w:style w:type="paragraph" w:styleId="53">
    <w:name w:val="Body Text First Indent"/>
    <w:basedOn w:val="19"/>
    <w:autoRedefine/>
    <w:semiHidden/>
    <w:unhideWhenUsed/>
    <w:qFormat/>
    <w:uiPriority w:val="99"/>
    <w:pPr>
      <w:ind w:firstLine="420" w:firstLineChars="100"/>
    </w:pPr>
  </w:style>
  <w:style w:type="paragraph" w:styleId="54">
    <w:name w:val="Body Text First Indent 2"/>
    <w:basedOn w:val="20"/>
    <w:next w:val="1"/>
    <w:autoRedefine/>
    <w:qFormat/>
    <w:uiPriority w:val="0"/>
    <w:pPr>
      <w:keepNext w:val="0"/>
      <w:keepLines w:val="0"/>
      <w:widowControl w:val="0"/>
      <w:suppressLineNumbers w:val="0"/>
      <w:spacing w:after="120" w:afterLines="0" w:afterAutospacing="0"/>
      <w:ind w:left="420" w:leftChars="200" w:firstLine="420" w:firstLineChars="200"/>
      <w:jc w:val="both"/>
    </w:pPr>
    <w:rPr>
      <w:rFonts w:hint="default" w:ascii="Times New Roman" w:hAnsi="Times New Roman" w:cs="Times New Roman"/>
      <w:kern w:val="2"/>
      <w:sz w:val="21"/>
      <w:szCs w:val="21"/>
      <w:lang w:val="en-US" w:eastAsia="zh-CN" w:bidi="ar"/>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TML Definition"/>
    <w:basedOn w:val="57"/>
    <w:autoRedefine/>
    <w:semiHidden/>
    <w:unhideWhenUsed/>
    <w:qFormat/>
    <w:uiPriority w:val="99"/>
    <w:rPr>
      <w:vanish/>
      <w:shd w:val="clear" w:fill="FFFFFF"/>
    </w:rPr>
  </w:style>
  <w:style w:type="character" w:styleId="63">
    <w:name w:val="HTML Typewriter"/>
    <w:basedOn w:val="57"/>
    <w:autoRedefine/>
    <w:semiHidden/>
    <w:unhideWhenUsed/>
    <w:qFormat/>
    <w:uiPriority w:val="99"/>
    <w:rPr>
      <w:rFonts w:hint="default" w:ascii="monospace" w:hAnsi="monospace" w:eastAsia="monospace" w:cs="monospace"/>
      <w:sz w:val="20"/>
    </w:rPr>
  </w:style>
  <w:style w:type="character" w:styleId="64">
    <w:name w:val="HTML Acronym"/>
    <w:basedOn w:val="57"/>
    <w:autoRedefine/>
    <w:semiHidden/>
    <w:unhideWhenUsed/>
    <w:qFormat/>
    <w:uiPriority w:val="99"/>
  </w:style>
  <w:style w:type="character" w:styleId="65">
    <w:name w:val="HTML Variable"/>
    <w:basedOn w:val="57"/>
    <w:autoRedefine/>
    <w:semiHidden/>
    <w:unhideWhenUsed/>
    <w:qFormat/>
    <w:uiPriority w:val="99"/>
  </w:style>
  <w:style w:type="character" w:styleId="66">
    <w:name w:val="Hyperlink"/>
    <w:basedOn w:val="57"/>
    <w:autoRedefine/>
    <w:unhideWhenUsed/>
    <w:qFormat/>
    <w:uiPriority w:val="99"/>
    <w:rPr>
      <w:color w:val="0000FF" w:themeColor="hyperlink"/>
      <w:u w:val="single"/>
      <w14:textFill>
        <w14:solidFill>
          <w14:schemeClr w14:val="hlink"/>
        </w14:solidFill>
      </w14:textFill>
    </w:rPr>
  </w:style>
  <w:style w:type="character" w:styleId="67">
    <w:name w:val="HTML Code"/>
    <w:basedOn w:val="57"/>
    <w:autoRedefine/>
    <w:semiHidden/>
    <w:unhideWhenUsed/>
    <w:qFormat/>
    <w:uiPriority w:val="99"/>
    <w:rPr>
      <w:rFonts w:ascii="monospace" w:hAnsi="monospace" w:eastAsia="monospace" w:cs="monospace"/>
      <w:sz w:val="20"/>
    </w:rPr>
  </w:style>
  <w:style w:type="character" w:styleId="68">
    <w:name w:val="annotation reference"/>
    <w:basedOn w:val="57"/>
    <w:autoRedefine/>
    <w:unhideWhenUsed/>
    <w:qFormat/>
    <w:uiPriority w:val="0"/>
    <w:rPr>
      <w:sz w:val="21"/>
      <w:szCs w:val="21"/>
    </w:rPr>
  </w:style>
  <w:style w:type="character" w:styleId="69">
    <w:name w:val="HTML Cite"/>
    <w:basedOn w:val="57"/>
    <w:autoRedefine/>
    <w:semiHidden/>
    <w:unhideWhenUsed/>
    <w:qFormat/>
    <w:uiPriority w:val="99"/>
  </w:style>
  <w:style w:type="character" w:styleId="70">
    <w:name w:val="footnote reference"/>
    <w:autoRedefine/>
    <w:unhideWhenUsed/>
    <w:qFormat/>
    <w:uiPriority w:val="0"/>
    <w:rPr>
      <w:vertAlign w:val="superscript"/>
    </w:rPr>
  </w:style>
  <w:style w:type="character" w:styleId="71">
    <w:name w:val="HTML Keyboard"/>
    <w:basedOn w:val="57"/>
    <w:autoRedefine/>
    <w:semiHidden/>
    <w:unhideWhenUsed/>
    <w:qFormat/>
    <w:uiPriority w:val="99"/>
    <w:rPr>
      <w:rFonts w:hint="default" w:ascii="monospace" w:hAnsi="monospace" w:eastAsia="monospace" w:cs="monospace"/>
      <w:sz w:val="20"/>
    </w:rPr>
  </w:style>
  <w:style w:type="character" w:styleId="72">
    <w:name w:val="HTML Sample"/>
    <w:autoRedefine/>
    <w:qFormat/>
    <w:uiPriority w:val="0"/>
    <w:rPr>
      <w:rFonts w:hint="default" w:ascii="monospace" w:hAnsi="monospace" w:eastAsia="monospace" w:cs="monospace"/>
      <w:sz w:val="21"/>
      <w:szCs w:val="21"/>
    </w:rPr>
  </w:style>
  <w:style w:type="character" w:customStyle="1" w:styleId="73">
    <w:name w:val="批注框文本 Char"/>
    <w:basedOn w:val="57"/>
    <w:link w:val="32"/>
    <w:autoRedefine/>
    <w:qFormat/>
    <w:uiPriority w:val="0"/>
    <w:rPr>
      <w:rFonts w:ascii="@仿宋_GB2312" w:hAnsi="@仿宋_GB2312" w:eastAsia="@仿宋_GB2312" w:cs="@仿宋_GB2312"/>
      <w:sz w:val="18"/>
      <w:szCs w:val="18"/>
    </w:rPr>
  </w:style>
  <w:style w:type="paragraph" w:customStyle="1" w:styleId="74">
    <w:name w:val="正文（缩进）"/>
    <w:basedOn w:val="1"/>
    <w:autoRedefine/>
    <w:qFormat/>
    <w:uiPriority w:val="0"/>
    <w:pPr>
      <w:widowControl/>
      <w:spacing w:before="156" w:after="156"/>
      <w:ind w:firstLine="480" w:firstLineChars="200"/>
      <w:jc w:val="left"/>
    </w:pPr>
    <w:rPr>
      <w:sz w:val="24"/>
      <w:szCs w:val="24"/>
    </w:rPr>
  </w:style>
  <w:style w:type="paragraph" w:customStyle="1" w:styleId="75">
    <w:name w:val="xl31"/>
    <w:basedOn w:val="1"/>
    <w:autoRedefine/>
    <w:qFormat/>
    <w:uiPriority w:val="0"/>
    <w:pPr>
      <w:widowControl/>
      <w:spacing w:before="100" w:beforeAutospacing="1" w:after="100" w:afterAutospacing="1"/>
      <w:jc w:val="center"/>
    </w:pPr>
    <w:rPr>
      <w:b/>
      <w:bCs/>
      <w:sz w:val="28"/>
      <w:szCs w:val="28"/>
    </w:rPr>
  </w:style>
  <w:style w:type="paragraph" w:customStyle="1" w:styleId="76">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7">
    <w:name w:val="页眉 Char"/>
    <w:basedOn w:val="57"/>
    <w:link w:val="34"/>
    <w:autoRedefine/>
    <w:qFormat/>
    <w:uiPriority w:val="99"/>
    <w:rPr>
      <w:rFonts w:ascii="@仿宋_GB2312" w:hAnsi="@仿宋_GB2312" w:eastAsia="@仿宋_GB2312" w:cs="@仿宋_GB2312"/>
      <w:sz w:val="18"/>
      <w:szCs w:val="18"/>
    </w:rPr>
  </w:style>
  <w:style w:type="character" w:customStyle="1" w:styleId="78">
    <w:name w:val="页脚 Char"/>
    <w:basedOn w:val="57"/>
    <w:link w:val="33"/>
    <w:autoRedefine/>
    <w:qFormat/>
    <w:uiPriority w:val="99"/>
    <w:rPr>
      <w:rFonts w:ascii="@仿宋_GB2312" w:hAnsi="@仿宋_GB2312" w:eastAsia="@仿宋_GB2312" w:cs="@仿宋_GB2312"/>
      <w:sz w:val="18"/>
      <w:szCs w:val="18"/>
    </w:rPr>
  </w:style>
  <w:style w:type="character" w:customStyle="1" w:styleId="79">
    <w:name w:val="纯文本 Char"/>
    <w:link w:val="28"/>
    <w:autoRedefine/>
    <w:qFormat/>
    <w:uiPriority w:val="0"/>
    <w:rPr>
      <w:rFonts w:ascii="宋体" w:hAnsi="Courier New"/>
    </w:rPr>
  </w:style>
  <w:style w:type="character" w:customStyle="1" w:styleId="80">
    <w:name w:val="纯文本 字符1"/>
    <w:basedOn w:val="57"/>
    <w:autoRedefine/>
    <w:semiHidden/>
    <w:qFormat/>
    <w:uiPriority w:val="99"/>
    <w:rPr>
      <w:rFonts w:hAnsi="Courier New" w:cs="Courier New" w:asciiTheme="minorEastAsia"/>
      <w:szCs w:val="20"/>
    </w:rPr>
  </w:style>
  <w:style w:type="character" w:customStyle="1" w:styleId="81">
    <w:name w:val="未处理的提及1"/>
    <w:basedOn w:val="57"/>
    <w:autoRedefine/>
    <w:semiHidden/>
    <w:unhideWhenUsed/>
    <w:qFormat/>
    <w:uiPriority w:val="99"/>
    <w:rPr>
      <w:color w:val="605E5C"/>
      <w:shd w:val="clear" w:color="auto" w:fill="E1DFDD"/>
    </w:rPr>
  </w:style>
  <w:style w:type="paragraph" w:styleId="82">
    <w:name w:val="List Paragraph"/>
    <w:basedOn w:val="1"/>
    <w:autoRedefine/>
    <w:qFormat/>
    <w:uiPriority w:val="34"/>
    <w:pPr>
      <w:ind w:firstLine="420" w:firstLineChars="200"/>
    </w:pPr>
  </w:style>
  <w:style w:type="paragraph" w:customStyle="1" w:styleId="83">
    <w:name w:val="Char Char Char Char Char Char Char1 Char"/>
    <w:basedOn w:val="1"/>
    <w:autoRedefine/>
    <w:qFormat/>
    <w:uiPriority w:val="0"/>
    <w:rPr>
      <w:rFonts w:ascii="Arial" w:hAnsi="Arial" w:cs="Arial"/>
      <w:sz w:val="24"/>
    </w:rPr>
  </w:style>
  <w:style w:type="table" w:customStyle="1" w:styleId="84">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5">
    <w:name w:val="日期 字符"/>
    <w:basedOn w:val="57"/>
    <w:autoRedefine/>
    <w:semiHidden/>
    <w:qFormat/>
    <w:uiPriority w:val="99"/>
    <w:rPr>
      <w:rFonts w:ascii="@仿宋_GB2312" w:hAnsi="@仿宋_GB2312" w:eastAsia="@仿宋_GB2312" w:cs="@仿宋_GB2312"/>
      <w:szCs w:val="20"/>
    </w:rPr>
  </w:style>
  <w:style w:type="character" w:customStyle="1" w:styleId="86">
    <w:name w:val="日期 Char"/>
    <w:link w:val="30"/>
    <w:autoRedefine/>
    <w:qFormat/>
    <w:uiPriority w:val="0"/>
    <w:rPr>
      <w:rFonts w:ascii="Arial" w:hAnsi="Arial" w:eastAsia="宋体" w:cs="Arial"/>
      <w:b/>
      <w:sz w:val="28"/>
      <w:szCs w:val="20"/>
    </w:rPr>
  </w:style>
  <w:style w:type="character" w:customStyle="1" w:styleId="87">
    <w:name w:val="纯文本 Char1"/>
    <w:link w:val="88"/>
    <w:autoRedefine/>
    <w:qFormat/>
    <w:locked/>
    <w:uiPriority w:val="99"/>
    <w:rPr>
      <w:rFonts w:ascii="Arial" w:hAnsi="Arial" w:eastAsia="Arial"/>
      <w:kern w:val="2"/>
      <w:sz w:val="21"/>
      <w:lang w:val="en-US" w:eastAsia="zh-CN" w:bidi="ar-SA"/>
    </w:rPr>
  </w:style>
  <w:style w:type="paragraph" w:customStyle="1" w:styleId="88">
    <w:name w:val="纯文本1"/>
    <w:basedOn w:val="1"/>
    <w:link w:val="87"/>
    <w:autoRedefine/>
    <w:qFormat/>
    <w:uiPriority w:val="0"/>
    <w:rPr>
      <w:rFonts w:ascii="Arial" w:hAnsi="Arial" w:eastAsia="Arial"/>
    </w:rPr>
  </w:style>
  <w:style w:type="character" w:customStyle="1" w:styleId="89">
    <w:name w:val="批注文字 Char"/>
    <w:basedOn w:val="57"/>
    <w:autoRedefine/>
    <w:qFormat/>
    <w:uiPriority w:val="0"/>
    <w:rPr>
      <w:rFonts w:ascii="@仿宋_GB2312" w:hAnsi="@仿宋_GB2312" w:eastAsia="@仿宋_GB2312" w:cs="@仿宋_GB2312"/>
      <w:szCs w:val="20"/>
    </w:rPr>
  </w:style>
  <w:style w:type="character" w:customStyle="1" w:styleId="90">
    <w:name w:val="批注文字 Char1"/>
    <w:link w:val="16"/>
    <w:autoRedefine/>
    <w:qFormat/>
    <w:uiPriority w:val="99"/>
    <w:rPr>
      <w:rFonts w:ascii="Arial" w:hAnsi="Arial" w:eastAsia="黑体" w:cs="Arial"/>
      <w:szCs w:val="20"/>
    </w:rPr>
  </w:style>
  <w:style w:type="character" w:customStyle="1" w:styleId="91">
    <w:name w:val="标题 1 Char"/>
    <w:basedOn w:val="57"/>
    <w:link w:val="2"/>
    <w:autoRedefine/>
    <w:qFormat/>
    <w:uiPriority w:val="0"/>
    <w:rPr>
      <w:rFonts w:ascii="@仿宋_GB2312" w:hAnsi="@仿宋_GB2312" w:eastAsia="@仿宋_GB2312" w:cs="@仿宋_GB2312"/>
      <w:b/>
      <w:bCs/>
      <w:kern w:val="44"/>
      <w:sz w:val="44"/>
      <w:szCs w:val="44"/>
    </w:rPr>
  </w:style>
  <w:style w:type="paragraph" w:customStyle="1" w:styleId="9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3">
    <w:name w:val="标题 3 Char"/>
    <w:basedOn w:val="57"/>
    <w:link w:val="6"/>
    <w:autoRedefine/>
    <w:qFormat/>
    <w:uiPriority w:val="0"/>
    <w:rPr>
      <w:rFonts w:ascii="@仿宋_GB2312" w:hAnsi="@仿宋_GB2312" w:eastAsia="@仿宋_GB2312" w:cs="@仿宋_GB2312"/>
      <w:b/>
      <w:bCs/>
      <w:sz w:val="32"/>
      <w:szCs w:val="32"/>
    </w:rPr>
  </w:style>
  <w:style w:type="character" w:customStyle="1" w:styleId="94">
    <w:name w:val="fontstyle01"/>
    <w:basedOn w:val="57"/>
    <w:autoRedefine/>
    <w:qFormat/>
    <w:uiPriority w:val="0"/>
    <w:rPr>
      <w:rFonts w:hint="eastAsia" w:ascii="宋体" w:hAnsi="宋体" w:eastAsia="宋体"/>
      <w:color w:val="000000"/>
      <w:sz w:val="22"/>
      <w:szCs w:val="22"/>
    </w:rPr>
  </w:style>
  <w:style w:type="character" w:customStyle="1" w:styleId="95">
    <w:name w:val="fontstyle21"/>
    <w:basedOn w:val="57"/>
    <w:autoRedefine/>
    <w:qFormat/>
    <w:uiPriority w:val="0"/>
    <w:rPr>
      <w:rFonts w:hint="default" w:ascii="TimesNewRomanPSMT" w:hAnsi="TimesNewRomanPSMT"/>
      <w:color w:val="000000"/>
      <w:sz w:val="22"/>
      <w:szCs w:val="22"/>
    </w:rPr>
  </w:style>
  <w:style w:type="character" w:customStyle="1" w:styleId="9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7">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8">
    <w:name w:val="标题 4 Char"/>
    <w:link w:val="4"/>
    <w:autoRedefine/>
    <w:qFormat/>
    <w:uiPriority w:val="0"/>
    <w:rPr>
      <w:rFonts w:ascii="@仿宋_GB2312" w:hAnsi="@仿宋_GB2312" w:eastAsia="@仿宋_GB2312" w:cs="@仿宋_GB2312"/>
      <w:b/>
      <w:bCs/>
      <w:sz w:val="28"/>
      <w:szCs w:val="28"/>
    </w:rPr>
  </w:style>
  <w:style w:type="character" w:customStyle="1" w:styleId="99">
    <w:name w:val="正文文本 Char"/>
    <w:basedOn w:val="57"/>
    <w:link w:val="19"/>
    <w:autoRedefine/>
    <w:qFormat/>
    <w:uiPriority w:val="0"/>
    <w:rPr>
      <w:rFonts w:ascii="兰米小标宋" w:hAnsi="兰米小标宋" w:eastAsia="兰米小标宋" w:cs="兰米小标宋"/>
      <w:szCs w:val="24"/>
      <w:lang w:val="zh-CN" w:eastAsia="zh-CN"/>
    </w:rPr>
  </w:style>
  <w:style w:type="table" w:customStyle="1" w:styleId="100">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1">
    <w:name w:val="批注主题 Char"/>
    <w:basedOn w:val="90"/>
    <w:link w:val="52"/>
    <w:autoRedefine/>
    <w:qFormat/>
    <w:uiPriority w:val="0"/>
    <w:rPr>
      <w:rFonts w:ascii="Arial" w:hAnsi="Arial" w:eastAsia="黑体" w:cs="Arial"/>
      <w:b/>
      <w:bCs/>
      <w:szCs w:val="20"/>
    </w:rPr>
  </w:style>
  <w:style w:type="paragraph" w:customStyle="1" w:styleId="102">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3">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4">
    <w:name w:val="标题 2 Char"/>
    <w:basedOn w:val="57"/>
    <w:link w:val="3"/>
    <w:autoRedefine/>
    <w:qFormat/>
    <w:uiPriority w:val="0"/>
    <w:rPr>
      <w:rFonts w:ascii="Cambria" w:hAnsi="Cambria" w:cs="Times New Roman"/>
      <w:b/>
      <w:bCs/>
      <w:kern w:val="2"/>
      <w:sz w:val="32"/>
      <w:szCs w:val="32"/>
      <w:lang w:val="zh-CN" w:eastAsia="zh-CN"/>
    </w:rPr>
  </w:style>
  <w:style w:type="character" w:customStyle="1" w:styleId="105">
    <w:name w:val="标题 5 Char"/>
    <w:basedOn w:val="57"/>
    <w:link w:val="5"/>
    <w:autoRedefine/>
    <w:qFormat/>
    <w:uiPriority w:val="0"/>
    <w:rPr>
      <w:rFonts w:ascii="Calibri" w:hAnsi="Calibri" w:cs="Times New Roman"/>
      <w:b/>
      <w:bCs/>
      <w:kern w:val="2"/>
      <w:sz w:val="28"/>
      <w:szCs w:val="28"/>
      <w:lang w:val="zh-CN" w:eastAsia="zh-CN"/>
    </w:rPr>
  </w:style>
  <w:style w:type="character" w:customStyle="1" w:styleId="106">
    <w:name w:val="标题 6 Char"/>
    <w:basedOn w:val="57"/>
    <w:link w:val="7"/>
    <w:autoRedefine/>
    <w:qFormat/>
    <w:uiPriority w:val="0"/>
    <w:rPr>
      <w:rFonts w:ascii="Times New Roman" w:hAnsi="Times New Roman" w:cs="Times New Roman"/>
      <w:b/>
      <w:bCs/>
      <w:kern w:val="2"/>
      <w:sz w:val="30"/>
      <w:szCs w:val="18"/>
      <w:lang w:val="zh-CN" w:eastAsia="zh-CN"/>
    </w:rPr>
  </w:style>
  <w:style w:type="character" w:customStyle="1" w:styleId="107">
    <w:name w:val="标题 7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8">
    <w:name w:val="标题 8 Char"/>
    <w:basedOn w:val="57"/>
    <w:link w:val="9"/>
    <w:autoRedefine/>
    <w:qFormat/>
    <w:uiPriority w:val="0"/>
    <w:rPr>
      <w:rFonts w:eastAsia="黑体" w:cs="Times New Roman"/>
      <w:kern w:val="2"/>
      <w:sz w:val="32"/>
      <w:szCs w:val="32"/>
      <w:lang w:val="zh-CN" w:eastAsia="zh-CN"/>
    </w:rPr>
  </w:style>
  <w:style w:type="character" w:customStyle="1" w:styleId="109">
    <w:name w:val="标题 9 Char"/>
    <w:basedOn w:val="57"/>
    <w:link w:val="10"/>
    <w:autoRedefine/>
    <w:qFormat/>
    <w:uiPriority w:val="0"/>
    <w:rPr>
      <w:rFonts w:ascii="Cambria" w:hAnsi="Cambria" w:cs="Times New Roman"/>
      <w:kern w:val="2"/>
      <w:sz w:val="21"/>
      <w:szCs w:val="21"/>
      <w:lang w:val="zh-CN" w:eastAsia="zh-CN"/>
    </w:rPr>
  </w:style>
  <w:style w:type="character" w:customStyle="1" w:styleId="110">
    <w:name w:val="纯文本 Char2"/>
    <w:autoRedefine/>
    <w:qFormat/>
    <w:uiPriority w:val="0"/>
    <w:rPr>
      <w:rFonts w:ascii="宋体" w:hAnsi="Courier New"/>
    </w:rPr>
  </w:style>
  <w:style w:type="table" w:customStyle="1" w:styleId="111">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3">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4">
    <w:name w:val="正文文本缩进 Char"/>
    <w:basedOn w:val="57"/>
    <w:link w:val="20"/>
    <w:autoRedefine/>
    <w:qFormat/>
    <w:uiPriority w:val="0"/>
    <w:rPr>
      <w:rFonts w:asciiTheme="minorHAnsi" w:hAnsiTheme="minorHAnsi"/>
      <w:kern w:val="2"/>
      <w:sz w:val="21"/>
      <w:szCs w:val="22"/>
    </w:rPr>
  </w:style>
  <w:style w:type="paragraph" w:customStyle="1" w:styleId="115">
    <w:name w:val="Char"/>
    <w:basedOn w:val="1"/>
    <w:autoRedefine/>
    <w:qFormat/>
    <w:uiPriority w:val="0"/>
    <w:rPr>
      <w:rFonts w:ascii="Tahoma" w:hAnsi="Tahoma" w:cs="Times New Roman"/>
      <w:sz w:val="24"/>
    </w:rPr>
  </w:style>
  <w:style w:type="character" w:customStyle="1" w:styleId="116">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7">
    <w:name w:val="样式 标题 3 + (中文) 黑体 小四 非加粗 段前: 7.8 磅 段后: 0 磅 行距: 固定值 20 磅"/>
    <w:basedOn w:val="6"/>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9">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0">
    <w:name w:val="称呼 Char"/>
    <w:basedOn w:val="57"/>
    <w:link w:val="17"/>
    <w:autoRedefine/>
    <w:qFormat/>
    <w:uiPriority w:val="0"/>
    <w:rPr>
      <w:rFonts w:ascii="仿宋_GB2312" w:hAnsi="Times New Roman" w:eastAsia="仿宋_GB2312" w:cs="Times New Roman"/>
      <w:kern w:val="2"/>
      <w:sz w:val="28"/>
      <w:lang w:val="zh-CN" w:eastAsia="zh-CN"/>
    </w:rPr>
  </w:style>
  <w:style w:type="paragraph" w:customStyle="1" w:styleId="121">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2">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7">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8">
    <w:name w:val="Char Char Char Char Char Char"/>
    <w:basedOn w:val="1"/>
    <w:autoRedefine/>
    <w:qFormat/>
    <w:uiPriority w:val="0"/>
    <w:rPr>
      <w:rFonts w:ascii="Tahoma" w:hAnsi="Tahoma" w:cs="Times New Roman"/>
      <w:kern w:val="2"/>
      <w:sz w:val="24"/>
    </w:rPr>
  </w:style>
  <w:style w:type="paragraph" w:customStyle="1" w:styleId="129">
    <w:name w:val="Blockquote"/>
    <w:basedOn w:val="1"/>
    <w:link w:val="130"/>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0">
    <w:name w:val="Blockquote Char"/>
    <w:link w:val="129"/>
    <w:autoRedefine/>
    <w:qFormat/>
    <w:uiPriority w:val="0"/>
    <w:rPr>
      <w:rFonts w:ascii="Times New Roman" w:hAnsi="Times New Roman" w:cs="Times New Roman"/>
      <w:sz w:val="24"/>
      <w:lang w:val="zh-CN" w:eastAsia="zh-CN"/>
    </w:rPr>
  </w:style>
  <w:style w:type="paragraph" w:customStyle="1" w:styleId="131">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32">
    <w:name w:val="样式1"/>
    <w:basedOn w:val="1"/>
    <w:next w:val="4"/>
    <w:autoRedefine/>
    <w:qFormat/>
    <w:uiPriority w:val="0"/>
    <w:pPr>
      <w:spacing w:line="360" w:lineRule="auto"/>
      <w:ind w:firstLine="420" w:firstLineChars="200"/>
    </w:pPr>
    <w:rPr>
      <w:rFonts w:cs="Times New Roman"/>
      <w:kern w:val="2"/>
      <w:sz w:val="21"/>
      <w:szCs w:val="21"/>
    </w:rPr>
  </w:style>
  <w:style w:type="character" w:customStyle="1" w:styleId="133">
    <w:name w:val="tdrownotice1"/>
    <w:autoRedefine/>
    <w:qFormat/>
    <w:uiPriority w:val="0"/>
    <w:rPr>
      <w:sz w:val="22"/>
    </w:rPr>
  </w:style>
  <w:style w:type="paragraph" w:customStyle="1" w:styleId="134">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5">
    <w:name w:val="正文文本缩进 3 Char"/>
    <w:basedOn w:val="57"/>
    <w:link w:val="44"/>
    <w:autoRedefine/>
    <w:qFormat/>
    <w:uiPriority w:val="0"/>
    <w:rPr>
      <w:rFonts w:hAnsi="MS Sans Serif" w:cs="Times New Roman"/>
      <w:bCs/>
      <w:color w:val="000000"/>
      <w:sz w:val="24"/>
      <w:lang w:val="zh-CN" w:eastAsia="zh-CN"/>
    </w:rPr>
  </w:style>
  <w:style w:type="character" w:customStyle="1" w:styleId="136">
    <w:name w:val="正文文本缩进 2 Char"/>
    <w:basedOn w:val="57"/>
    <w:link w:val="31"/>
    <w:autoRedefine/>
    <w:qFormat/>
    <w:uiPriority w:val="0"/>
    <w:rPr>
      <w:rFonts w:hAnsi="MS Sans Serif" w:cs="Times New Roman"/>
      <w:bCs/>
      <w:spacing w:val="12"/>
      <w:sz w:val="24"/>
      <w:lang w:val="zh-CN" w:eastAsia="zh-CN"/>
    </w:rPr>
  </w:style>
  <w:style w:type="paragraph" w:customStyle="1" w:styleId="137">
    <w:name w:val="目录"/>
    <w:basedOn w:val="1"/>
    <w:autoRedefine/>
    <w:qFormat/>
    <w:uiPriority w:val="0"/>
    <w:pPr>
      <w:widowControl/>
      <w:jc w:val="center"/>
    </w:pPr>
    <w:rPr>
      <w:rFonts w:hAnsi="Calibri" w:cs="Times New Roman"/>
      <w:b/>
      <w:sz w:val="36"/>
    </w:rPr>
  </w:style>
  <w:style w:type="paragraph" w:customStyle="1" w:styleId="138">
    <w:name w:val="目录文字"/>
    <w:basedOn w:val="1"/>
    <w:autoRedefine/>
    <w:qFormat/>
    <w:uiPriority w:val="0"/>
    <w:pPr>
      <w:widowControl/>
      <w:spacing w:line="480" w:lineRule="auto"/>
      <w:jc w:val="left"/>
    </w:pPr>
    <w:rPr>
      <w:rFonts w:cs="Times New Roman"/>
      <w:sz w:val="24"/>
    </w:rPr>
  </w:style>
  <w:style w:type="character" w:customStyle="1" w:styleId="139">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40">
    <w:name w:val="正文文本 3 Char"/>
    <w:basedOn w:val="57"/>
    <w:link w:val="18"/>
    <w:autoRedefine/>
    <w:qFormat/>
    <w:uiPriority w:val="0"/>
    <w:rPr>
      <w:rFonts w:ascii="仿宋_GB2312" w:eastAsia="仿宋_GB2312" w:cs="Times New Roman"/>
      <w:bCs/>
      <w:color w:val="000000"/>
      <w:kern w:val="2"/>
      <w:sz w:val="24"/>
      <w:szCs w:val="32"/>
      <w:lang w:val="zh-CN" w:eastAsia="zh-CN"/>
    </w:rPr>
  </w:style>
  <w:style w:type="paragraph" w:customStyle="1" w:styleId="14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2">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3">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44">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5">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6">
    <w:name w:val="简单回函地址"/>
    <w:basedOn w:val="1"/>
    <w:autoRedefine/>
    <w:qFormat/>
    <w:uiPriority w:val="0"/>
    <w:rPr>
      <w:rFonts w:ascii="Calibri" w:hAnsi="Calibri" w:cs="Times New Roman"/>
      <w:kern w:val="2"/>
      <w:sz w:val="21"/>
      <w:szCs w:val="22"/>
    </w:rPr>
  </w:style>
  <w:style w:type="paragraph" w:customStyle="1" w:styleId="147">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8">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9">
    <w:name w:val="t_tag"/>
    <w:basedOn w:val="57"/>
    <w:autoRedefine/>
    <w:qFormat/>
    <w:uiPriority w:val="0"/>
  </w:style>
  <w:style w:type="table" w:customStyle="1" w:styleId="150">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1">
    <w:name w:val="批注框文本 Char1"/>
    <w:basedOn w:val="57"/>
    <w:autoRedefine/>
    <w:qFormat/>
    <w:uiPriority w:val="0"/>
    <w:rPr>
      <w:rFonts w:ascii="Times New Roman" w:hAnsi="Times New Roman" w:eastAsia="宋体" w:cs="Times New Roman"/>
      <w:sz w:val="18"/>
      <w:szCs w:val="18"/>
    </w:rPr>
  </w:style>
  <w:style w:type="character" w:customStyle="1" w:styleId="152">
    <w:name w:val="批注主题 Char1"/>
    <w:basedOn w:val="90"/>
    <w:autoRedefine/>
    <w:qFormat/>
    <w:uiPriority w:val="0"/>
    <w:rPr>
      <w:rFonts w:ascii="@仿宋_GB2312" w:hAnsi="@仿宋_GB2312" w:eastAsia="@仿宋_GB2312" w:cs="@仿宋_GB2312"/>
      <w:b/>
      <w:bCs/>
      <w:szCs w:val="20"/>
    </w:rPr>
  </w:style>
  <w:style w:type="paragraph" w:customStyle="1" w:styleId="153">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4">
    <w:name w:val="文档结构图 Char"/>
    <w:basedOn w:val="57"/>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5">
    <w:name w:val="标题 1 Char1"/>
    <w:autoRedefine/>
    <w:qFormat/>
    <w:uiPriority w:val="0"/>
    <w:rPr>
      <w:rFonts w:ascii="Calibri" w:hAnsi="Calibri" w:eastAsia="宋体"/>
      <w:b/>
      <w:kern w:val="44"/>
      <w:sz w:val="44"/>
      <w:szCs w:val="44"/>
    </w:rPr>
  </w:style>
  <w:style w:type="character" w:customStyle="1" w:styleId="156">
    <w:name w:val="标题 3 Char1"/>
    <w:autoRedefine/>
    <w:semiHidden/>
    <w:qFormat/>
    <w:uiPriority w:val="0"/>
    <w:rPr>
      <w:rFonts w:ascii="Calibri" w:hAnsi="Calibri" w:eastAsia="宋体"/>
      <w:b/>
      <w:kern w:val="2"/>
      <w:sz w:val="32"/>
    </w:rPr>
  </w:style>
  <w:style w:type="character" w:customStyle="1" w:styleId="157">
    <w:name w:val="标题 4 Char1"/>
    <w:autoRedefine/>
    <w:semiHidden/>
    <w:qFormat/>
    <w:uiPriority w:val="0"/>
    <w:rPr>
      <w:rFonts w:ascii="Cambria" w:hAnsi="Cambria" w:eastAsia="宋体"/>
      <w:b/>
      <w:kern w:val="2"/>
      <w:sz w:val="28"/>
      <w:szCs w:val="28"/>
    </w:rPr>
  </w:style>
  <w:style w:type="character" w:customStyle="1" w:styleId="158">
    <w:name w:val="标题 5 Char1"/>
    <w:autoRedefine/>
    <w:semiHidden/>
    <w:qFormat/>
    <w:uiPriority w:val="0"/>
    <w:rPr>
      <w:rFonts w:ascii="Calibri" w:hAnsi="Calibri" w:eastAsia="宋体"/>
      <w:b/>
      <w:kern w:val="2"/>
      <w:sz w:val="28"/>
      <w:szCs w:val="28"/>
    </w:rPr>
  </w:style>
  <w:style w:type="character" w:customStyle="1" w:styleId="159">
    <w:name w:val="标题 6 Char1"/>
    <w:autoRedefine/>
    <w:semiHidden/>
    <w:qFormat/>
    <w:uiPriority w:val="0"/>
    <w:rPr>
      <w:rFonts w:ascii="Cambria" w:hAnsi="Cambria" w:eastAsia="宋体"/>
      <w:b/>
      <w:kern w:val="2"/>
      <w:sz w:val="24"/>
      <w:szCs w:val="24"/>
    </w:rPr>
  </w:style>
  <w:style w:type="character" w:customStyle="1" w:styleId="160">
    <w:name w:val="标题 7 Char1"/>
    <w:autoRedefine/>
    <w:semiHidden/>
    <w:qFormat/>
    <w:uiPriority w:val="0"/>
    <w:rPr>
      <w:rFonts w:ascii="Calibri" w:hAnsi="Calibri" w:eastAsia="宋体"/>
      <w:b/>
      <w:kern w:val="2"/>
      <w:sz w:val="24"/>
      <w:szCs w:val="24"/>
    </w:rPr>
  </w:style>
  <w:style w:type="character" w:customStyle="1" w:styleId="161">
    <w:name w:val="标题 8 Char1"/>
    <w:autoRedefine/>
    <w:semiHidden/>
    <w:qFormat/>
    <w:uiPriority w:val="0"/>
    <w:rPr>
      <w:rFonts w:ascii="Cambria" w:hAnsi="Cambria" w:eastAsia="宋体"/>
      <w:kern w:val="2"/>
      <w:sz w:val="24"/>
      <w:szCs w:val="24"/>
    </w:rPr>
  </w:style>
  <w:style w:type="character" w:customStyle="1" w:styleId="162">
    <w:name w:val="标题 9 Char1"/>
    <w:autoRedefine/>
    <w:semiHidden/>
    <w:qFormat/>
    <w:uiPriority w:val="0"/>
    <w:rPr>
      <w:rFonts w:ascii="Cambria" w:hAnsi="Cambria" w:eastAsia="宋体"/>
      <w:kern w:val="2"/>
      <w:sz w:val="21"/>
      <w:szCs w:val="21"/>
    </w:rPr>
  </w:style>
  <w:style w:type="paragraph" w:customStyle="1" w:styleId="163">
    <w:name w:val="MsoNormal"/>
    <w:basedOn w:val="164"/>
    <w:autoRedefine/>
    <w:qFormat/>
    <w:uiPriority w:val="0"/>
    <w:rPr>
      <w:rFonts w:ascii="Calibri" w:hAnsi="Calibri" w:eastAsia="Calibri"/>
      <w:sz w:val="21"/>
    </w:rPr>
  </w:style>
  <w:style w:type="paragraph" w:customStyle="1" w:styleId="164">
    <w:name w:val="Normal_0"/>
    <w:autoRedefine/>
    <w:qFormat/>
    <w:uiPriority w:val="0"/>
    <w:rPr>
      <w:rFonts w:ascii="Times New Roman" w:hAnsi="Times New Roman" w:eastAsia="宋体" w:cs="Times New Roman"/>
      <w:sz w:val="24"/>
      <w:szCs w:val="24"/>
      <w:lang w:val="en-US" w:eastAsia="zh-CN" w:bidi="ar-SA"/>
    </w:rPr>
  </w:style>
  <w:style w:type="paragraph" w:customStyle="1" w:styleId="165">
    <w:name w:val="标题 2_0"/>
    <w:basedOn w:val="166"/>
    <w:next w:val="167"/>
    <w:link w:val="168"/>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标题 2 Char_0"/>
    <w:link w:val="165"/>
    <w:autoRedefine/>
    <w:qFormat/>
    <w:uiPriority w:val="0"/>
    <w:rPr>
      <w:rFonts w:ascii="黑体" w:eastAsia="黑体" w:cs="Times New Roman"/>
      <w:b/>
      <w:smallCaps/>
      <w:snapToGrid w:val="0"/>
      <w:sz w:val="36"/>
      <w:szCs w:val="24"/>
      <w:lang w:val="zh-CN" w:eastAsia="zh-CN"/>
    </w:rPr>
  </w:style>
  <w:style w:type="paragraph" w:customStyle="1" w:styleId="169">
    <w:name w:val="纯文本_0"/>
    <w:basedOn w:val="167"/>
    <w:link w:val="170"/>
    <w:autoRedefine/>
    <w:qFormat/>
    <w:uiPriority w:val="99"/>
    <w:rPr>
      <w:rFonts w:ascii="宋体" w:hAnsi="Courier New"/>
      <w:szCs w:val="21"/>
    </w:rPr>
  </w:style>
  <w:style w:type="character" w:customStyle="1" w:styleId="170">
    <w:name w:val="Texte Char1"/>
    <w:link w:val="169"/>
    <w:autoRedefine/>
    <w:qFormat/>
    <w:uiPriority w:val="99"/>
    <w:rPr>
      <w:rFonts w:hAnsi="Courier New" w:cs="Times New Roman"/>
      <w:kern w:val="2"/>
      <w:sz w:val="21"/>
      <w:szCs w:val="21"/>
    </w:rPr>
  </w:style>
  <w:style w:type="paragraph" w:customStyle="1" w:styleId="171">
    <w:name w:val="纯文本_1"/>
    <w:basedOn w:val="172"/>
    <w:link w:val="173"/>
    <w:autoRedefine/>
    <w:qFormat/>
    <w:uiPriority w:val="0"/>
    <w:rPr>
      <w:rFonts w:ascii="宋体" w:hAnsi="Courier New"/>
      <w:szCs w:val="21"/>
      <w:lang w:val="zh-CN"/>
    </w:rPr>
  </w:style>
  <w:style w:type="paragraph" w:customStyle="1" w:styleId="17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3">
    <w:name w:val="纯文本 Char1_0"/>
    <w:link w:val="171"/>
    <w:autoRedefine/>
    <w:qFormat/>
    <w:uiPriority w:val="0"/>
    <w:rPr>
      <w:rFonts w:hAnsi="Courier New" w:cs="Times New Roman"/>
      <w:kern w:val="2"/>
      <w:sz w:val="21"/>
      <w:szCs w:val="21"/>
      <w:lang w:val="zh-CN" w:eastAsia="zh-CN"/>
    </w:rPr>
  </w:style>
  <w:style w:type="paragraph" w:customStyle="1" w:styleId="174">
    <w:name w:val="标题 3_0"/>
    <w:basedOn w:val="175"/>
    <w:next w:val="176"/>
    <w:link w:val="187"/>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缩进_0"/>
    <w:basedOn w:val="175"/>
    <w:autoRedefine/>
    <w:unhideWhenUsed/>
    <w:qFormat/>
    <w:uiPriority w:val="0"/>
    <w:pPr>
      <w:ind w:firstLine="420" w:firstLineChars="200"/>
    </w:pPr>
    <w:rPr>
      <w:rFonts w:ascii="Calibri" w:hAnsi="Calibri"/>
      <w:bCs/>
      <w:szCs w:val="32"/>
    </w:rPr>
  </w:style>
  <w:style w:type="paragraph" w:customStyle="1" w:styleId="177">
    <w:name w:val="标题 1_0"/>
    <w:basedOn w:val="175"/>
    <w:next w:val="175"/>
    <w:link w:val="178"/>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8">
    <w:name w:val="标题 1 Char_0"/>
    <w:link w:val="177"/>
    <w:autoRedefine/>
    <w:qFormat/>
    <w:uiPriority w:val="0"/>
    <w:rPr>
      <w:rFonts w:ascii="黑体" w:hAnsi="Times New Roman" w:eastAsia="黑体" w:cs="Times New Roman"/>
      <w:sz w:val="52"/>
      <w:lang w:val="zh-CN" w:eastAsia="zh-CN"/>
    </w:rPr>
  </w:style>
  <w:style w:type="paragraph" w:customStyle="1" w:styleId="179">
    <w:name w:val="标题 6_0"/>
    <w:basedOn w:val="175"/>
    <w:next w:val="175"/>
    <w:link w:val="180"/>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0">
    <w:name w:val="标题 6 Char_0"/>
    <w:link w:val="179"/>
    <w:autoRedefine/>
    <w:qFormat/>
    <w:uiPriority w:val="0"/>
    <w:rPr>
      <w:rFonts w:ascii="Arial" w:hAnsi="Arial" w:eastAsia="黑体" w:cs="Times New Roman"/>
      <w:b/>
      <w:bCs/>
      <w:sz w:val="24"/>
      <w:szCs w:val="24"/>
      <w:lang w:val="zh-CN" w:eastAsia="zh-CN"/>
    </w:rPr>
  </w:style>
  <w:style w:type="paragraph" w:customStyle="1" w:styleId="181">
    <w:name w:val="标题 7_0"/>
    <w:basedOn w:val="175"/>
    <w:next w:val="175"/>
    <w:link w:val="182"/>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2">
    <w:name w:val="标题 7 Char_0"/>
    <w:link w:val="181"/>
    <w:autoRedefine/>
    <w:qFormat/>
    <w:uiPriority w:val="0"/>
    <w:rPr>
      <w:rFonts w:ascii="Times New Roman" w:hAnsi="Times New Roman" w:cs="Times New Roman"/>
      <w:b/>
      <w:bCs/>
      <w:sz w:val="24"/>
      <w:szCs w:val="24"/>
      <w:lang w:val="zh-CN" w:eastAsia="zh-CN"/>
    </w:rPr>
  </w:style>
  <w:style w:type="paragraph" w:customStyle="1" w:styleId="183">
    <w:name w:val="标题 8_0"/>
    <w:basedOn w:val="175"/>
    <w:next w:val="175"/>
    <w:link w:val="184"/>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4">
    <w:name w:val="标题 8 Char_0"/>
    <w:link w:val="183"/>
    <w:autoRedefine/>
    <w:qFormat/>
    <w:uiPriority w:val="0"/>
    <w:rPr>
      <w:rFonts w:ascii="Arial" w:hAnsi="Arial" w:eastAsia="黑体" w:cs="Times New Roman"/>
      <w:sz w:val="24"/>
      <w:szCs w:val="24"/>
      <w:lang w:val="zh-CN" w:eastAsia="zh-CN"/>
    </w:rPr>
  </w:style>
  <w:style w:type="paragraph" w:customStyle="1" w:styleId="185">
    <w:name w:val="标题 9_0"/>
    <w:basedOn w:val="175"/>
    <w:next w:val="175"/>
    <w:link w:val="186"/>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6">
    <w:name w:val="标题 9 Char_0"/>
    <w:link w:val="185"/>
    <w:autoRedefine/>
    <w:qFormat/>
    <w:uiPriority w:val="0"/>
    <w:rPr>
      <w:rFonts w:ascii="Arial" w:hAnsi="Arial" w:eastAsia="黑体" w:cs="Times New Roman"/>
      <w:sz w:val="21"/>
      <w:szCs w:val="21"/>
      <w:lang w:val="zh-CN" w:eastAsia="zh-CN"/>
    </w:rPr>
  </w:style>
  <w:style w:type="character" w:customStyle="1" w:styleId="187">
    <w:name w:val="标题 3 Char_0"/>
    <w:link w:val="174"/>
    <w:autoRedefine/>
    <w:qFormat/>
    <w:uiPriority w:val="0"/>
    <w:rPr>
      <w:rFonts w:ascii="Times New Roman" w:hAnsi="Times New Roman" w:cs="Times New Roman"/>
      <w:b/>
      <w:sz w:val="32"/>
      <w:lang w:val="zh-CN" w:eastAsia="zh-CN"/>
    </w:rPr>
  </w:style>
  <w:style w:type="paragraph" w:customStyle="1" w:styleId="188">
    <w:name w:val="Blockquote_0"/>
    <w:basedOn w:val="175"/>
    <w:link w:val="189"/>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9">
    <w:name w:val="Blockquote Char_0"/>
    <w:link w:val="188"/>
    <w:autoRedefine/>
    <w:qFormat/>
    <w:locked/>
    <w:uiPriority w:val="0"/>
    <w:rPr>
      <w:rFonts w:ascii="Times New Roman" w:hAnsi="Times New Roman" w:cs="Times New Roman"/>
      <w:sz w:val="24"/>
      <w:lang w:val="zh-CN" w:eastAsia="zh-CN"/>
    </w:rPr>
  </w:style>
  <w:style w:type="paragraph" w:customStyle="1" w:styleId="190">
    <w:name w:val="标题 4_0"/>
    <w:basedOn w:val="175"/>
    <w:next w:val="175"/>
    <w:link w:val="191"/>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1">
    <w:name w:val="标题 4 Char_0"/>
    <w:link w:val="190"/>
    <w:autoRedefine/>
    <w:qFormat/>
    <w:uiPriority w:val="0"/>
    <w:rPr>
      <w:rFonts w:ascii="Arial" w:hAnsi="Arial" w:eastAsia="黑体" w:cs="Times New Roman"/>
      <w:sz w:val="28"/>
      <w:lang w:val="zh-CN" w:eastAsia="zh-CN"/>
    </w:rPr>
  </w:style>
  <w:style w:type="paragraph" w:customStyle="1" w:styleId="192">
    <w:name w:val="纯文本_2"/>
    <w:basedOn w:val="175"/>
    <w:link w:val="193"/>
    <w:autoRedefine/>
    <w:qFormat/>
    <w:uiPriority w:val="0"/>
    <w:rPr>
      <w:rFonts w:ascii="宋体" w:hAnsi="Courier New"/>
      <w:szCs w:val="21"/>
      <w:lang w:val="zh-CN"/>
    </w:rPr>
  </w:style>
  <w:style w:type="character" w:customStyle="1" w:styleId="193">
    <w:name w:val="纯文本 Char1_1"/>
    <w:link w:val="192"/>
    <w:autoRedefine/>
    <w:qFormat/>
    <w:uiPriority w:val="0"/>
    <w:rPr>
      <w:rFonts w:hAnsi="Courier New" w:cs="Times New Roman"/>
      <w:kern w:val="2"/>
      <w:sz w:val="21"/>
      <w:szCs w:val="21"/>
      <w:lang w:val="zh-CN" w:eastAsia="zh-CN"/>
    </w:rPr>
  </w:style>
  <w:style w:type="paragraph" w:customStyle="1" w:styleId="194">
    <w:name w:val="Blockquote_0_1"/>
    <w:basedOn w:val="195"/>
    <w:link w:val="196"/>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5">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6">
    <w:name w:val="Blockquote Char_0_1"/>
    <w:link w:val="194"/>
    <w:autoRedefine/>
    <w:qFormat/>
    <w:locked/>
    <w:uiPriority w:val="0"/>
    <w:rPr>
      <w:rFonts w:ascii="Times New Roman" w:hAnsi="Times New Roman" w:cs="Times New Roman"/>
      <w:sz w:val="24"/>
      <w:lang w:val="zh-CN" w:eastAsia="zh-CN"/>
    </w:rPr>
  </w:style>
  <w:style w:type="paragraph" w:customStyle="1" w:styleId="197">
    <w:name w:val="正文文本_0"/>
    <w:basedOn w:val="175"/>
    <w:link w:val="198"/>
    <w:autoRedefine/>
    <w:qFormat/>
    <w:uiPriority w:val="0"/>
    <w:pPr>
      <w:spacing w:after="120"/>
    </w:pPr>
    <w:rPr>
      <w:lang w:val="zh-CN"/>
    </w:rPr>
  </w:style>
  <w:style w:type="character" w:customStyle="1" w:styleId="198">
    <w:name w:val="正文文本 Char_0"/>
    <w:link w:val="197"/>
    <w:autoRedefine/>
    <w:qFormat/>
    <w:uiPriority w:val="0"/>
    <w:rPr>
      <w:rFonts w:ascii="Times New Roman" w:hAnsi="Times New Roman" w:cs="Times New Roman"/>
      <w:kern w:val="2"/>
      <w:sz w:val="21"/>
      <w:szCs w:val="24"/>
      <w:lang w:val="zh-CN" w:eastAsia="zh-CN"/>
    </w:rPr>
  </w:style>
  <w:style w:type="paragraph" w:customStyle="1" w:styleId="199">
    <w:name w:val="普通(网站)_0"/>
    <w:basedOn w:val="175"/>
    <w:autoRedefine/>
    <w:qFormat/>
    <w:uiPriority w:val="0"/>
    <w:pPr>
      <w:widowControl/>
      <w:spacing w:before="100" w:beforeAutospacing="1" w:after="100" w:afterAutospacing="1"/>
      <w:jc w:val="left"/>
    </w:pPr>
    <w:rPr>
      <w:rFonts w:ascii="宋体" w:hAnsi="宋体"/>
      <w:kern w:val="0"/>
      <w:sz w:val="24"/>
    </w:rPr>
  </w:style>
  <w:style w:type="paragraph" w:customStyle="1" w:styleId="20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脚注文本_0"/>
    <w:basedOn w:val="123"/>
    <w:link w:val="203"/>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3">
    <w:name w:val="脚注文本 Char_0"/>
    <w:link w:val="202"/>
    <w:autoRedefine/>
    <w:qFormat/>
    <w:uiPriority w:val="0"/>
    <w:rPr>
      <w:rFonts w:ascii="Times New Roman" w:hAnsi="Times New Roman" w:cs="Times New Roman"/>
      <w:sz w:val="18"/>
      <w:lang w:val="zh-CN" w:eastAsia="zh-CN"/>
    </w:rPr>
  </w:style>
  <w:style w:type="paragraph" w:customStyle="1" w:styleId="204">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0">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2">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3">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4">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5">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6">
    <w:name w:val="Char Char Char Char Char"/>
    <w:basedOn w:val="1"/>
    <w:autoRedefine/>
    <w:qFormat/>
    <w:uiPriority w:val="0"/>
    <w:rPr>
      <w:rFonts w:ascii="Tahoma" w:hAnsi="Tahoma" w:cs="Times New Roman"/>
      <w:kern w:val="2"/>
      <w:sz w:val="24"/>
    </w:rPr>
  </w:style>
  <w:style w:type="paragraph" w:customStyle="1" w:styleId="227">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8">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9">
    <w:name w:val="Char Char"/>
    <w:autoRedefine/>
    <w:qFormat/>
    <w:uiPriority w:val="0"/>
    <w:rPr>
      <w:rFonts w:ascii="宋体" w:hAnsi="Courier New" w:eastAsia="宋体" w:cs="Courier New"/>
      <w:kern w:val="2"/>
      <w:sz w:val="21"/>
      <w:szCs w:val="21"/>
      <w:lang w:val="en-US" w:eastAsia="zh-CN" w:bidi="ar-SA"/>
    </w:rPr>
  </w:style>
  <w:style w:type="character" w:customStyle="1" w:styleId="230">
    <w:name w:val="标题4 Char Char"/>
    <w:link w:val="231"/>
    <w:autoRedefine/>
    <w:qFormat/>
    <w:uiPriority w:val="0"/>
    <w:rPr>
      <w:rFonts w:ascii="Arial" w:hAnsi="Arial"/>
      <w:b/>
      <w:bCs/>
      <w:sz w:val="24"/>
      <w:szCs w:val="32"/>
    </w:rPr>
  </w:style>
  <w:style w:type="paragraph" w:customStyle="1" w:styleId="231">
    <w:name w:val="标题4"/>
    <w:basedOn w:val="3"/>
    <w:next w:val="25"/>
    <w:link w:val="230"/>
    <w:autoRedefine/>
    <w:qFormat/>
    <w:uiPriority w:val="0"/>
    <w:pPr>
      <w:spacing w:before="0" w:after="0" w:line="413" w:lineRule="auto"/>
    </w:pPr>
    <w:rPr>
      <w:rFonts w:ascii="Arial" w:hAnsi="Arial" w:cstheme="minorBidi"/>
      <w:kern w:val="0"/>
      <w:sz w:val="24"/>
      <w:lang w:val="en-US"/>
    </w:rPr>
  </w:style>
  <w:style w:type="character" w:customStyle="1" w:styleId="232">
    <w:name w:val="明显引用 Char"/>
    <w:link w:val="233"/>
    <w:autoRedefine/>
    <w:qFormat/>
    <w:uiPriority w:val="0"/>
    <w:rPr>
      <w:b/>
      <w:bCs/>
      <w:i/>
      <w:iCs/>
      <w:color w:val="4F81BD"/>
    </w:rPr>
  </w:style>
  <w:style w:type="paragraph" w:styleId="233">
    <w:name w:val="Intense Quote"/>
    <w:basedOn w:val="1"/>
    <w:next w:val="1"/>
    <w:link w:val="232"/>
    <w:autoRedefine/>
    <w:qFormat/>
    <w:uiPriority w:val="0"/>
    <w:pPr>
      <w:pBdr>
        <w:bottom w:val="single" w:color="4F81BD" w:themeColor="accent1" w:sz="4" w:space="4"/>
      </w:pBdr>
      <w:spacing w:before="200" w:after="280"/>
      <w:ind w:left="936" w:right="936"/>
    </w:pPr>
    <w:rPr>
      <w:b/>
      <w:bCs/>
      <w:i/>
      <w:iCs/>
      <w:color w:val="4F81BD"/>
    </w:rPr>
  </w:style>
  <w:style w:type="paragraph" w:customStyle="1" w:styleId="234">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5">
    <w:name w:val="明显引用 Char1"/>
    <w:basedOn w:val="57"/>
    <w:autoRedefine/>
    <w:qFormat/>
    <w:uiPriority w:val="30"/>
    <w:rPr>
      <w:rFonts w:ascii="Times New Roman" w:hAnsi="Times New Roman" w:eastAsia="宋体" w:cs="Times New Roman"/>
      <w:i/>
      <w:iCs/>
      <w:color w:val="5B9BD5"/>
      <w:szCs w:val="24"/>
    </w:rPr>
  </w:style>
  <w:style w:type="character" w:customStyle="1" w:styleId="236">
    <w:name w:val="标题5 Char Char"/>
    <w:link w:val="237"/>
    <w:autoRedefine/>
    <w:qFormat/>
    <w:uiPriority w:val="0"/>
    <w:rPr>
      <w:rFonts w:ascii="Arial" w:hAnsi="Arial"/>
      <w:b/>
      <w:bCs/>
      <w:sz w:val="24"/>
      <w:szCs w:val="32"/>
    </w:rPr>
  </w:style>
  <w:style w:type="paragraph" w:customStyle="1" w:styleId="237">
    <w:name w:val="标题5"/>
    <w:basedOn w:val="6"/>
    <w:link w:val="236"/>
    <w:autoRedefine/>
    <w:qFormat/>
    <w:uiPriority w:val="0"/>
    <w:pPr>
      <w:spacing w:line="413" w:lineRule="auto"/>
      <w:jc w:val="left"/>
    </w:pPr>
    <w:rPr>
      <w:rFonts w:ascii="Arial" w:hAnsi="Arial"/>
      <w:sz w:val="24"/>
    </w:rPr>
  </w:style>
  <w:style w:type="character" w:customStyle="1" w:styleId="238">
    <w:name w:val="引用 Char"/>
    <w:link w:val="239"/>
    <w:autoRedefine/>
    <w:qFormat/>
    <w:uiPriority w:val="0"/>
    <w:rPr>
      <w:i/>
      <w:iCs/>
      <w:color w:val="000000"/>
    </w:rPr>
  </w:style>
  <w:style w:type="paragraph" w:styleId="239">
    <w:name w:val="Quote"/>
    <w:basedOn w:val="1"/>
    <w:next w:val="1"/>
    <w:link w:val="238"/>
    <w:autoRedefine/>
    <w:qFormat/>
    <w:uiPriority w:val="0"/>
    <w:rPr>
      <w:i/>
      <w:iCs/>
      <w:color w:val="000000"/>
    </w:rPr>
  </w:style>
  <w:style w:type="paragraph" w:customStyle="1" w:styleId="240">
    <w:name w:val="引用1"/>
    <w:basedOn w:val="1"/>
    <w:next w:val="1"/>
    <w:autoRedefine/>
    <w:qFormat/>
    <w:uiPriority w:val="0"/>
    <w:rPr>
      <w:rFonts w:ascii="Calibri" w:hAnsi="Calibri" w:cs="Times New Roman"/>
      <w:i/>
      <w:iCs/>
      <w:color w:val="000000"/>
      <w:kern w:val="2"/>
      <w:sz w:val="21"/>
      <w:szCs w:val="22"/>
    </w:rPr>
  </w:style>
  <w:style w:type="character" w:customStyle="1" w:styleId="241">
    <w:name w:val="引用 Char1"/>
    <w:basedOn w:val="57"/>
    <w:autoRedefine/>
    <w:qFormat/>
    <w:uiPriority w:val="29"/>
    <w:rPr>
      <w:rFonts w:ascii="Times New Roman" w:hAnsi="Times New Roman" w:eastAsia="宋体" w:cs="Times New Roman"/>
      <w:i/>
      <w:iCs/>
      <w:color w:val="404040"/>
      <w:szCs w:val="24"/>
    </w:rPr>
  </w:style>
  <w:style w:type="character" w:customStyle="1" w:styleId="242">
    <w:name w:val="ask-title2"/>
    <w:autoRedefine/>
    <w:qFormat/>
    <w:uiPriority w:val="0"/>
  </w:style>
  <w:style w:type="character" w:customStyle="1" w:styleId="243">
    <w:name w:val="正文文本 Char1"/>
    <w:autoRedefine/>
    <w:qFormat/>
    <w:uiPriority w:val="0"/>
    <w:rPr>
      <w:kern w:val="2"/>
      <w:sz w:val="21"/>
      <w:szCs w:val="22"/>
    </w:rPr>
  </w:style>
  <w:style w:type="character" w:customStyle="1" w:styleId="244">
    <w:name w:val="不明显强调1"/>
    <w:autoRedefine/>
    <w:qFormat/>
    <w:uiPriority w:val="0"/>
    <w:rPr>
      <w:i/>
      <w:iCs/>
      <w:color w:val="808080"/>
    </w:rPr>
  </w:style>
  <w:style w:type="character" w:customStyle="1" w:styleId="245">
    <w:name w:val="明显参考1"/>
    <w:autoRedefine/>
    <w:qFormat/>
    <w:uiPriority w:val="0"/>
    <w:rPr>
      <w:b/>
      <w:bCs/>
      <w:smallCaps/>
      <w:color w:val="C0504D"/>
      <w:spacing w:val="5"/>
      <w:u w:val="single"/>
    </w:rPr>
  </w:style>
  <w:style w:type="character" w:customStyle="1" w:styleId="246">
    <w:name w:val="书籍标题1"/>
    <w:autoRedefine/>
    <w:qFormat/>
    <w:uiPriority w:val="0"/>
    <w:rPr>
      <w:b/>
      <w:bCs/>
      <w:smallCaps/>
      <w:spacing w:val="5"/>
    </w:rPr>
  </w:style>
  <w:style w:type="character" w:customStyle="1" w:styleId="247">
    <w:name w:val="日期 Char1"/>
    <w:autoRedefine/>
    <w:qFormat/>
    <w:uiPriority w:val="0"/>
    <w:rPr>
      <w:kern w:val="2"/>
      <w:sz w:val="21"/>
      <w:szCs w:val="22"/>
    </w:rPr>
  </w:style>
  <w:style w:type="character" w:customStyle="1" w:styleId="248">
    <w:name w:val="明显强调1"/>
    <w:autoRedefine/>
    <w:qFormat/>
    <w:uiPriority w:val="0"/>
    <w:rPr>
      <w:b/>
      <w:bCs/>
      <w:i/>
      <w:iCs/>
      <w:color w:val="4F81BD"/>
    </w:rPr>
  </w:style>
  <w:style w:type="character" w:customStyle="1" w:styleId="249">
    <w:name w:val="textcontents"/>
    <w:autoRedefine/>
    <w:qFormat/>
    <w:uiPriority w:val="0"/>
    <w:rPr>
      <w:rFonts w:cs="Times New Roman"/>
    </w:rPr>
  </w:style>
  <w:style w:type="character" w:customStyle="1" w:styleId="250">
    <w:name w:val="不明显参考1"/>
    <w:autoRedefine/>
    <w:qFormat/>
    <w:uiPriority w:val="0"/>
    <w:rPr>
      <w:smallCaps/>
      <w:color w:val="C0504D"/>
      <w:u w:val="single"/>
    </w:rPr>
  </w:style>
  <w:style w:type="character" w:customStyle="1" w:styleId="251">
    <w:name w:val="批注文字 Char Char"/>
    <w:autoRedefine/>
    <w:qFormat/>
    <w:uiPriority w:val="0"/>
    <w:rPr>
      <w:rFonts w:ascii="宋体" w:hAnsi="Times New Roman" w:eastAsia="宋体" w:cs="Times New Roman"/>
      <w:sz w:val="28"/>
      <w:szCs w:val="20"/>
    </w:rPr>
  </w:style>
  <w:style w:type="character" w:customStyle="1" w:styleId="252">
    <w:name w:val="文档结构图 Char1"/>
    <w:autoRedefine/>
    <w:qFormat/>
    <w:uiPriority w:val="0"/>
    <w:rPr>
      <w:rFonts w:ascii="宋体"/>
      <w:kern w:val="2"/>
      <w:sz w:val="18"/>
      <w:szCs w:val="18"/>
    </w:rPr>
  </w:style>
  <w:style w:type="paragraph" w:customStyle="1" w:styleId="253">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4">
    <w:name w:val="页脚 Char1"/>
    <w:autoRedefine/>
    <w:semiHidden/>
    <w:qFormat/>
    <w:uiPriority w:val="99"/>
    <w:rPr>
      <w:kern w:val="2"/>
      <w:sz w:val="18"/>
      <w:szCs w:val="18"/>
    </w:rPr>
  </w:style>
  <w:style w:type="character" w:customStyle="1" w:styleId="255">
    <w:name w:val="批注框文本 Char2"/>
    <w:autoRedefine/>
    <w:semiHidden/>
    <w:qFormat/>
    <w:uiPriority w:val="99"/>
    <w:rPr>
      <w:kern w:val="2"/>
      <w:sz w:val="18"/>
      <w:szCs w:val="18"/>
    </w:rPr>
  </w:style>
  <w:style w:type="character" w:customStyle="1" w:styleId="256">
    <w:name w:val="批注主题 Char2"/>
    <w:autoRedefine/>
    <w:semiHidden/>
    <w:qFormat/>
    <w:uiPriority w:val="99"/>
    <w:rPr>
      <w:b/>
      <w:bCs/>
      <w:kern w:val="2"/>
      <w:sz w:val="21"/>
      <w:szCs w:val="22"/>
    </w:rPr>
  </w:style>
  <w:style w:type="character" w:customStyle="1" w:styleId="257">
    <w:name w:val="文档结构图 Char2"/>
    <w:autoRedefine/>
    <w:semiHidden/>
    <w:qFormat/>
    <w:uiPriority w:val="99"/>
    <w:rPr>
      <w:rFonts w:ascii="宋体"/>
      <w:kern w:val="2"/>
      <w:sz w:val="18"/>
      <w:szCs w:val="18"/>
    </w:rPr>
  </w:style>
  <w:style w:type="character" w:customStyle="1" w:styleId="258">
    <w:name w:val="页眉 Char1"/>
    <w:autoRedefine/>
    <w:semiHidden/>
    <w:qFormat/>
    <w:uiPriority w:val="99"/>
    <w:rPr>
      <w:kern w:val="2"/>
      <w:sz w:val="18"/>
      <w:szCs w:val="18"/>
    </w:rPr>
  </w:style>
  <w:style w:type="character" w:customStyle="1" w:styleId="259">
    <w:name w:val="日期 Char2"/>
    <w:autoRedefine/>
    <w:semiHidden/>
    <w:qFormat/>
    <w:uiPriority w:val="99"/>
    <w:rPr>
      <w:kern w:val="2"/>
      <w:sz w:val="21"/>
      <w:szCs w:val="22"/>
    </w:rPr>
  </w:style>
  <w:style w:type="character" w:customStyle="1" w:styleId="260">
    <w:name w:val="正文文本 Char2"/>
    <w:autoRedefine/>
    <w:semiHidden/>
    <w:qFormat/>
    <w:uiPriority w:val="99"/>
    <w:rPr>
      <w:kern w:val="2"/>
      <w:sz w:val="21"/>
      <w:szCs w:val="22"/>
    </w:rPr>
  </w:style>
  <w:style w:type="character" w:customStyle="1" w:styleId="261">
    <w:name w:val="标题 Char1"/>
    <w:autoRedefine/>
    <w:qFormat/>
    <w:uiPriority w:val="10"/>
    <w:rPr>
      <w:rFonts w:ascii="Cambria" w:hAnsi="Cambria" w:cs="Times New Roman"/>
      <w:b/>
      <w:bCs/>
      <w:kern w:val="2"/>
      <w:sz w:val="32"/>
      <w:szCs w:val="32"/>
    </w:rPr>
  </w:style>
  <w:style w:type="character" w:customStyle="1" w:styleId="262">
    <w:name w:val="副标题 Char1"/>
    <w:autoRedefine/>
    <w:qFormat/>
    <w:uiPriority w:val="11"/>
    <w:rPr>
      <w:rFonts w:ascii="Cambria" w:hAnsi="Cambria" w:cs="Times New Roman"/>
      <w:b/>
      <w:bCs/>
      <w:kern w:val="28"/>
      <w:sz w:val="32"/>
      <w:szCs w:val="32"/>
    </w:rPr>
  </w:style>
  <w:style w:type="paragraph" w:customStyle="1" w:styleId="263">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4">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6">
    <w:name w:val="正文2 Char"/>
    <w:link w:val="267"/>
    <w:autoRedefine/>
    <w:qFormat/>
    <w:uiPriority w:val="0"/>
    <w:rPr>
      <w:rFonts w:ascii="楷体" w:eastAsia="楷体"/>
      <w:b/>
      <w:color w:val="0000FF"/>
    </w:rPr>
  </w:style>
  <w:style w:type="paragraph" w:customStyle="1" w:styleId="267">
    <w:name w:val="正文2"/>
    <w:link w:val="266"/>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8">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9">
    <w:name w:val="正文文本 (2)_"/>
    <w:link w:val="270"/>
    <w:autoRedefine/>
    <w:qFormat/>
    <w:locked/>
    <w:uiPriority w:val="99"/>
    <w:rPr>
      <w:rFonts w:ascii="MingLiU" w:eastAsia="MingLiU" w:cs="MingLiU"/>
      <w:spacing w:val="20"/>
      <w:sz w:val="22"/>
      <w:shd w:val="clear" w:color="auto" w:fill="FFFFFF"/>
    </w:rPr>
  </w:style>
  <w:style w:type="paragraph" w:customStyle="1" w:styleId="270">
    <w:name w:val="正文文本 (2)1"/>
    <w:basedOn w:val="1"/>
    <w:link w:val="269"/>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1">
    <w:name w:val="正文文本 (2) + 间距 0 pt5"/>
    <w:autoRedefine/>
    <w:qFormat/>
    <w:uiPriority w:val="99"/>
    <w:rPr>
      <w:rFonts w:ascii="MingLiU" w:eastAsia="MingLiU" w:cs="MingLiU"/>
      <w:spacing w:val="0"/>
      <w:sz w:val="22"/>
      <w:shd w:val="clear" w:color="auto" w:fill="FFFFFF"/>
    </w:rPr>
  </w:style>
  <w:style w:type="character" w:customStyle="1" w:styleId="272">
    <w:name w:val="访问过的超链接1"/>
    <w:basedOn w:val="57"/>
    <w:autoRedefine/>
    <w:semiHidden/>
    <w:unhideWhenUsed/>
    <w:qFormat/>
    <w:uiPriority w:val="99"/>
    <w:rPr>
      <w:color w:val="954F72"/>
      <w:u w:val="single"/>
    </w:rPr>
  </w:style>
  <w:style w:type="character" w:customStyle="1" w:styleId="273">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74">
    <w:name w:val="引用 Char2"/>
    <w:basedOn w:val="57"/>
    <w:autoRedefine/>
    <w:qFormat/>
    <w:uiPriority w:val="29"/>
    <w:rPr>
      <w:i/>
      <w:iCs/>
      <w:color w:val="000000" w:themeColor="text1"/>
      <w14:textFill>
        <w14:solidFill>
          <w14:schemeClr w14:val="tx1"/>
        </w14:solidFill>
      </w14:textFill>
    </w:rPr>
  </w:style>
  <w:style w:type="table" w:customStyle="1" w:styleId="275">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
    <w:name w:val="Table Normal"/>
    <w:autoRedefine/>
    <w:semiHidden/>
    <w:unhideWhenUsed/>
    <w:qFormat/>
    <w:uiPriority w:val="0"/>
    <w:tblPr>
      <w:tblCellMar>
        <w:top w:w="0" w:type="dxa"/>
        <w:left w:w="0" w:type="dxa"/>
        <w:bottom w:w="0" w:type="dxa"/>
        <w:right w:w="0" w:type="dxa"/>
      </w:tblCellMar>
    </w:tblPr>
  </w:style>
  <w:style w:type="paragraph" w:customStyle="1" w:styleId="277">
    <w:name w:val="Table Text"/>
    <w:basedOn w:val="1"/>
    <w:autoRedefine/>
    <w:semiHidden/>
    <w:qFormat/>
    <w:uiPriority w:val="0"/>
    <w:rPr>
      <w:rFonts w:ascii="Arial" w:hAnsi="Arial" w:eastAsia="Arial" w:cs="Arial"/>
      <w:sz w:val="21"/>
      <w:szCs w:val="21"/>
      <w:lang w:val="en-US" w:eastAsia="en-US" w:bidi="ar-SA"/>
    </w:rPr>
  </w:style>
  <w:style w:type="character" w:customStyle="1" w:styleId="278">
    <w:name w:val="fontstyle31"/>
    <w:autoRedefine/>
    <w:qFormat/>
    <w:uiPriority w:val="0"/>
    <w:rPr>
      <w:rFonts w:hint="default" w:ascii="Times New Roman" w:hAnsi="Times New Roman" w:cs="Times New Roman"/>
      <w:color w:val="000000"/>
      <w:sz w:val="24"/>
      <w:szCs w:val="24"/>
    </w:rPr>
  </w:style>
  <w:style w:type="paragraph" w:customStyle="1" w:styleId="279">
    <w:name w:val=" Char Char Char Char Char Char Char Char Char Char Char Char Char"/>
    <w:basedOn w:val="1"/>
    <w:autoRedefine/>
    <w:qFormat/>
    <w:uiPriority w:val="0"/>
  </w:style>
  <w:style w:type="character" w:customStyle="1" w:styleId="280">
    <w:name w:val="hover1"/>
    <w:basedOn w:val="57"/>
    <w:autoRedefine/>
    <w:qFormat/>
    <w:uiPriority w:val="0"/>
  </w:style>
  <w:style w:type="character" w:customStyle="1" w:styleId="281">
    <w:name w:val="hover2"/>
    <w:basedOn w:val="57"/>
    <w:autoRedefine/>
    <w:qFormat/>
    <w:uiPriority w:val="0"/>
    <w:rPr>
      <w:color w:val="2590EB"/>
    </w:rPr>
  </w:style>
  <w:style w:type="character" w:customStyle="1" w:styleId="282">
    <w:name w:val="hover3"/>
    <w:basedOn w:val="57"/>
    <w:autoRedefine/>
    <w:qFormat/>
    <w:uiPriority w:val="0"/>
    <w:rPr>
      <w:color w:val="2590EB"/>
    </w:rPr>
  </w:style>
  <w:style w:type="character" w:customStyle="1" w:styleId="283">
    <w:name w:val="hover4"/>
    <w:basedOn w:val="57"/>
    <w:autoRedefine/>
    <w:qFormat/>
    <w:uiPriority w:val="0"/>
    <w:rPr>
      <w:color w:val="2590EB"/>
      <w:shd w:val="clear" w:fill="E9F4FD"/>
    </w:rPr>
  </w:style>
  <w:style w:type="character" w:customStyle="1" w:styleId="284">
    <w:name w:val="hover"/>
    <w:basedOn w:val="57"/>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73</Pages>
  <Words>181</Words>
  <Characters>210</Characters>
  <Lines>451</Lines>
  <Paragraphs>127</Paragraphs>
  <TotalTime>8</TotalTime>
  <ScaleCrop>false</ScaleCrop>
  <LinksUpToDate>false</LinksUpToDate>
  <CharactersWithSpaces>239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Pim Pom丶</cp:lastModifiedBy>
  <cp:lastPrinted>2019-12-07T15:20:00Z</cp:lastPrinted>
  <dcterms:modified xsi:type="dcterms:W3CDTF">2025-09-29T03:00:47Z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73731B0580264BEB8E18670E903DB35B_13</vt:lpwstr>
  </property>
  <property fmtid="{D5CDD505-2E9C-101B-9397-08002B2CF9AE}" pid="4" name="KSOTemplateDocerSaveRecord">
    <vt:lpwstr>eyJoZGlkIjoiY2RkMWEyZWQzMzVlMTIwNmU2NzU0ODgxZjI5MDllYTciLCJ1c2VySWQiOiI0MDkyMjI1MTkifQ==</vt:lpwstr>
  </property>
</Properties>
</file>