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6BED8">
      <w:pPr>
        <w:rPr>
          <w:rFonts w:hint="eastAsia"/>
          <w:color w:val="auto"/>
          <w:highlight w:val="none"/>
        </w:rPr>
      </w:pPr>
      <w:bookmarkStart w:id="0" w:name="_Toc152042287"/>
      <w:bookmarkStart w:id="1" w:name="_Toc152045511"/>
      <w:bookmarkStart w:id="2" w:name="_Toc144974479"/>
      <w:bookmarkStart w:id="3" w:name="_Toc179632527"/>
      <w:bookmarkStart w:id="4" w:name="OLE_LINK4"/>
      <w:bookmarkStart w:id="5" w:name="OLE_LINK5"/>
      <w:bookmarkStart w:id="6" w:name="OLE_LINK2"/>
      <w:bookmarkStart w:id="7" w:name="OLE_LINK1"/>
      <w:bookmarkStart w:id="8" w:name="OLE_LINK3"/>
    </w:p>
    <w:p w14:paraId="7C985E0C">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w:t>
      </w:r>
      <w:r>
        <w:rPr>
          <w:rFonts w:hint="eastAsia" w:ascii="宋体" w:hAnsi="宋体" w:eastAsia="宋体" w:cs="宋体"/>
          <w:color w:val="auto"/>
          <w:sz w:val="28"/>
          <w:szCs w:val="28"/>
          <w:highlight w:val="none"/>
          <w:lang w:eastAsia="zh-CN"/>
        </w:rPr>
        <w:t>兴全矿业骨料加工厂新能源充电桩项目（二次）</w:t>
      </w:r>
      <w:r>
        <w:rPr>
          <w:rFonts w:hint="eastAsia" w:ascii="宋体" w:hAnsi="宋体" w:eastAsia="宋体" w:cs="宋体"/>
          <w:color w:val="auto"/>
          <w:sz w:val="28"/>
          <w:szCs w:val="28"/>
          <w:highlight w:val="none"/>
        </w:rPr>
        <w:t>施工</w:t>
      </w:r>
      <w:r>
        <w:rPr>
          <w:rFonts w:hint="eastAsia" w:ascii="宋体" w:hAnsi="宋体" w:cs="宋体"/>
          <w:color w:val="auto"/>
          <w:sz w:val="28"/>
          <w:szCs w:val="28"/>
          <w:highlight w:val="none"/>
        </w:rPr>
        <w:t>招标</w:t>
      </w:r>
    </w:p>
    <w:p w14:paraId="6F9C0F39">
      <w:pPr>
        <w:adjustRightInd w:val="0"/>
        <w:snapToGrid w:val="0"/>
        <w:spacing w:line="360" w:lineRule="auto"/>
        <w:rPr>
          <w:rFonts w:hint="eastAsia" w:ascii="宋体" w:hAnsi="宋体" w:cs="宋体"/>
          <w:color w:val="auto"/>
          <w:szCs w:val="21"/>
          <w:highlight w:val="none"/>
        </w:rPr>
      </w:pPr>
    </w:p>
    <w:p w14:paraId="33D61423">
      <w:pPr>
        <w:adjustRightInd w:val="0"/>
        <w:snapToGrid w:val="0"/>
        <w:spacing w:line="360" w:lineRule="auto"/>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7686B61E">
      <w:pPr>
        <w:adjustRightInd w:val="0"/>
        <w:snapToGrid w:val="0"/>
        <w:spacing w:line="360" w:lineRule="auto"/>
        <w:ind w:firstLine="2550" w:firstLineChars="850"/>
        <w:rPr>
          <w:rFonts w:hint="eastAsia" w:ascii="宋体" w:hAnsi="宋体" w:cs="宋体"/>
          <w:color w:val="auto"/>
          <w:sz w:val="30"/>
          <w:szCs w:val="30"/>
          <w:highlight w:val="none"/>
        </w:rPr>
      </w:pPr>
      <w:r>
        <w:rPr>
          <w:rFonts w:hint="eastAsia" w:ascii="宋体" w:hAnsi="宋体" w:cs="宋体"/>
          <w:color w:val="auto"/>
          <w:sz w:val="30"/>
          <w:szCs w:val="30"/>
          <w:highlight w:val="none"/>
        </w:rPr>
        <w:t>招标项目编号：</w:t>
      </w:r>
      <w:r>
        <w:rPr>
          <w:rFonts w:hint="default" w:ascii="宋体" w:hAnsi="宋体" w:cs="宋体"/>
          <w:color w:val="auto"/>
          <w:sz w:val="30"/>
          <w:szCs w:val="30"/>
          <w:highlight w:val="none"/>
        </w:rPr>
        <w:t>czqjgc202601-005</w:t>
      </w:r>
      <w:r>
        <w:rPr>
          <w:rFonts w:hint="eastAsia" w:ascii="宋体" w:hAnsi="宋体" w:cs="宋体"/>
          <w:color w:val="auto"/>
          <w:sz w:val="30"/>
          <w:szCs w:val="30"/>
          <w:highlight w:val="none"/>
        </w:rPr>
        <w:t xml:space="preserve"> </w:t>
      </w:r>
    </w:p>
    <w:p w14:paraId="2E7197AA">
      <w:pPr>
        <w:adjustRightInd w:val="0"/>
        <w:snapToGrid w:val="0"/>
        <w:spacing w:line="360" w:lineRule="auto"/>
        <w:ind w:firstLine="4760" w:firstLineChars="850"/>
        <w:rPr>
          <w:rFonts w:hint="eastAsia" w:ascii="宋体" w:hAnsi="宋体" w:cs="宋体"/>
          <w:color w:val="auto"/>
          <w:spacing w:val="140"/>
          <w:sz w:val="28"/>
          <w:szCs w:val="28"/>
          <w:highlight w:val="none"/>
        </w:rPr>
      </w:pPr>
    </w:p>
    <w:p w14:paraId="6935472C">
      <w:pPr>
        <w:jc w:val="center"/>
        <w:rPr>
          <w:rFonts w:hint="eastAsia" w:ascii="宋体" w:hAnsi="宋体" w:cs="宋体"/>
          <w:color w:val="auto"/>
          <w:sz w:val="72"/>
          <w:szCs w:val="72"/>
          <w:highlight w:val="none"/>
        </w:rPr>
      </w:pPr>
    </w:p>
    <w:p w14:paraId="19AE3CF5">
      <w:pPr>
        <w:spacing w:line="540" w:lineRule="exact"/>
        <w:ind w:firstLine="437"/>
        <w:rPr>
          <w:rFonts w:hint="eastAsia" w:ascii="宋体" w:hAnsi="宋体" w:cs="宋体"/>
          <w:color w:val="auto"/>
          <w:szCs w:val="21"/>
          <w:highlight w:val="none"/>
        </w:rPr>
      </w:pPr>
    </w:p>
    <w:p w14:paraId="3EC14C30">
      <w:pPr>
        <w:spacing w:line="540" w:lineRule="exact"/>
        <w:ind w:firstLine="437"/>
        <w:rPr>
          <w:rFonts w:hint="eastAsia" w:ascii="宋体" w:hAnsi="宋体" w:cs="宋体"/>
          <w:color w:val="auto"/>
          <w:szCs w:val="21"/>
          <w:highlight w:val="none"/>
        </w:rPr>
      </w:pPr>
    </w:p>
    <w:p w14:paraId="00414A3E">
      <w:pPr>
        <w:spacing w:line="540" w:lineRule="exact"/>
        <w:rPr>
          <w:rFonts w:hint="eastAsia" w:ascii="宋体" w:hAnsi="宋体" w:cs="宋体"/>
          <w:color w:val="auto"/>
          <w:szCs w:val="21"/>
          <w:highlight w:val="none"/>
        </w:rPr>
      </w:pPr>
    </w:p>
    <w:p w14:paraId="31182703">
      <w:pPr>
        <w:pStyle w:val="19"/>
        <w:rPr>
          <w:rFonts w:hint="eastAsia"/>
          <w:color w:val="auto"/>
          <w:highlight w:val="none"/>
        </w:rPr>
      </w:pPr>
    </w:p>
    <w:p w14:paraId="0EDBA533">
      <w:pPr>
        <w:rPr>
          <w:rFonts w:hint="eastAsia"/>
          <w:color w:val="auto"/>
          <w:highlight w:val="none"/>
        </w:rPr>
      </w:pPr>
    </w:p>
    <w:p w14:paraId="2A242C67">
      <w:pPr>
        <w:rPr>
          <w:rFonts w:hint="eastAsia"/>
          <w:color w:val="auto"/>
          <w:highlight w:val="none"/>
        </w:rPr>
      </w:pPr>
    </w:p>
    <w:p w14:paraId="54FF0E4F">
      <w:pPr>
        <w:spacing w:line="540" w:lineRule="exact"/>
        <w:rPr>
          <w:rFonts w:hint="eastAsia" w:ascii="宋体" w:hAnsi="宋体" w:cs="宋体"/>
          <w:color w:val="auto"/>
          <w:szCs w:val="21"/>
          <w:highlight w:val="none"/>
        </w:rPr>
      </w:pPr>
    </w:p>
    <w:p w14:paraId="4C8D1BA5">
      <w:pPr>
        <w:spacing w:line="540" w:lineRule="exact"/>
        <w:ind w:firstLine="437"/>
        <w:rPr>
          <w:rFonts w:hint="eastAsia" w:ascii="宋体" w:hAnsi="宋体" w:cs="宋体"/>
          <w:color w:val="auto"/>
          <w:szCs w:val="21"/>
          <w:highlight w:val="none"/>
        </w:rPr>
      </w:pPr>
    </w:p>
    <w:p w14:paraId="65FEE9D1">
      <w:pPr>
        <w:spacing w:line="540" w:lineRule="exact"/>
        <w:ind w:firstLine="437"/>
        <w:rPr>
          <w:rFonts w:hint="eastAsia" w:ascii="宋体" w:hAnsi="宋体" w:cs="宋体"/>
          <w:color w:val="auto"/>
          <w:szCs w:val="21"/>
          <w:highlight w:val="none"/>
        </w:rPr>
      </w:pPr>
    </w:p>
    <w:p w14:paraId="57748D6E">
      <w:pPr>
        <w:spacing w:line="540" w:lineRule="exact"/>
        <w:ind w:firstLine="437"/>
        <w:rPr>
          <w:rFonts w:hint="eastAsia" w:ascii="宋体" w:hAnsi="宋体" w:cs="宋体"/>
          <w:color w:val="auto"/>
          <w:szCs w:val="21"/>
          <w:highlight w:val="none"/>
        </w:rPr>
      </w:pPr>
    </w:p>
    <w:p w14:paraId="493C8377">
      <w:pPr>
        <w:spacing w:line="540" w:lineRule="exact"/>
        <w:rPr>
          <w:rFonts w:hint="eastAsia" w:ascii="宋体" w:hAnsi="宋体" w:cs="宋体"/>
          <w:color w:val="auto"/>
          <w:szCs w:val="21"/>
          <w:highlight w:val="none"/>
        </w:rPr>
      </w:pPr>
    </w:p>
    <w:p w14:paraId="0846FF2B">
      <w:pPr>
        <w:adjustRightInd w:val="0"/>
        <w:snapToGrid w:val="0"/>
        <w:spacing w:line="480" w:lineRule="auto"/>
        <w:ind w:firstLine="437"/>
        <w:rPr>
          <w:rFonts w:hint="eastAsia" w:ascii="宋体" w:hAnsi="宋体" w:cs="宋体"/>
          <w:color w:val="auto"/>
          <w:szCs w:val="21"/>
          <w:highlight w:val="none"/>
        </w:rPr>
      </w:pPr>
    </w:p>
    <w:p w14:paraId="5E827BB4">
      <w:pPr>
        <w:adjustRightInd w:val="0"/>
        <w:snapToGrid w:val="0"/>
        <w:spacing w:line="480" w:lineRule="auto"/>
        <w:ind w:firstLine="960" w:firstLineChars="300"/>
        <w:rPr>
          <w:rFonts w:hint="eastAsia" w:ascii="宋体" w:hAnsi="宋体" w:cs="宋体"/>
          <w:color w:val="auto"/>
          <w:sz w:val="32"/>
          <w:szCs w:val="32"/>
          <w:highlight w:val="none"/>
        </w:rPr>
      </w:pPr>
      <w:r>
        <w:rPr>
          <w:rFonts w:hint="eastAsia" w:ascii="宋体" w:hAnsi="宋体" w:cs="宋体"/>
          <w:color w:val="auto"/>
          <w:sz w:val="32"/>
          <w:szCs w:val="32"/>
          <w:highlight w:val="none"/>
        </w:rPr>
        <w:t>招   标   人：</w:t>
      </w:r>
      <w:r>
        <w:rPr>
          <w:rFonts w:hint="eastAsia" w:ascii="宋体" w:hAnsi="宋体" w:eastAsia="宋体" w:cs="宋体"/>
          <w:color w:val="auto"/>
          <w:sz w:val="32"/>
          <w:szCs w:val="32"/>
          <w:highlight w:val="none"/>
          <w:u w:val="single"/>
          <w:lang w:eastAsia="zh-CN"/>
        </w:rPr>
        <w:t>滁州市兴全矿业投资有限公司</w:t>
      </w:r>
      <w:r>
        <w:rPr>
          <w:rFonts w:hint="eastAsia" w:ascii="宋体" w:hAnsi="宋体" w:cs="宋体"/>
          <w:color w:val="auto"/>
          <w:sz w:val="32"/>
          <w:szCs w:val="32"/>
          <w:highlight w:val="none"/>
        </w:rPr>
        <w:t>（盖章）</w:t>
      </w:r>
    </w:p>
    <w:p w14:paraId="2EBF76EA">
      <w:pPr>
        <w:adjustRightInd w:val="0"/>
        <w:snapToGrid w:val="0"/>
        <w:spacing w:line="480" w:lineRule="auto"/>
        <w:ind w:firstLine="960" w:firstLineChars="300"/>
        <w:rPr>
          <w:rFonts w:hint="eastAsia" w:ascii="宋体" w:hAnsi="宋体" w:cs="宋体"/>
          <w:color w:val="auto"/>
          <w:sz w:val="32"/>
          <w:szCs w:val="32"/>
          <w:highlight w:val="none"/>
        </w:rPr>
      </w:pPr>
      <w:r>
        <w:rPr>
          <w:rFonts w:hint="eastAsia" w:ascii="宋体" w:hAnsi="宋体" w:cs="宋体"/>
          <w:color w:val="auto"/>
          <w:sz w:val="32"/>
          <w:szCs w:val="32"/>
          <w:highlight w:val="none"/>
        </w:rPr>
        <w:t>招标代理机构：</w:t>
      </w:r>
      <w:r>
        <w:rPr>
          <w:rFonts w:hint="eastAsia" w:ascii="宋体" w:hAnsi="宋体" w:eastAsia="宋体" w:cs="宋体"/>
          <w:color w:val="auto"/>
          <w:sz w:val="32"/>
          <w:szCs w:val="32"/>
          <w:highlight w:val="none"/>
          <w:u w:val="single"/>
          <w:lang w:eastAsia="zh-CN"/>
        </w:rPr>
        <w:t>滁州市城投工程咨询管理有限公司</w:t>
      </w:r>
      <w:r>
        <w:rPr>
          <w:rFonts w:hint="eastAsia" w:ascii="宋体" w:hAnsi="宋体" w:cs="宋体"/>
          <w:color w:val="auto"/>
          <w:sz w:val="32"/>
          <w:szCs w:val="32"/>
          <w:highlight w:val="none"/>
        </w:rPr>
        <w:t>（盖章）</w:t>
      </w:r>
    </w:p>
    <w:p w14:paraId="3097C708">
      <w:pPr>
        <w:rPr>
          <w:rFonts w:hint="eastAsia"/>
          <w:color w:val="auto"/>
          <w:highlight w:val="none"/>
        </w:rPr>
      </w:pPr>
    </w:p>
    <w:p w14:paraId="1063694B">
      <w:pPr>
        <w:pStyle w:val="19"/>
        <w:rPr>
          <w:rFonts w:hint="eastAsia"/>
          <w:color w:val="auto"/>
          <w:highlight w:val="none"/>
        </w:rPr>
      </w:pPr>
    </w:p>
    <w:p w14:paraId="08A4C791">
      <w:pPr>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u w:val="single"/>
          <w:lang w:val="en-US" w:eastAsia="zh-CN"/>
        </w:rPr>
        <w:t>2026</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lang w:val="en-US" w:eastAsia="zh-CN"/>
        </w:rPr>
        <w:t>1</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lang w:val="en-US" w:eastAsia="zh-CN"/>
        </w:rPr>
        <w:t xml:space="preserve"> 21 </w:t>
      </w:r>
      <w:r>
        <w:rPr>
          <w:rFonts w:hint="eastAsia" w:ascii="宋体" w:hAnsi="宋体" w:cs="宋体"/>
          <w:color w:val="auto"/>
          <w:sz w:val="32"/>
          <w:szCs w:val="32"/>
          <w:highlight w:val="none"/>
        </w:rPr>
        <w:t>日</w:t>
      </w:r>
    </w:p>
    <w:p w14:paraId="0EC8266C">
      <w:pPr>
        <w:pStyle w:val="19"/>
        <w:rPr>
          <w:rFonts w:hint="eastAsia"/>
          <w:color w:val="auto"/>
          <w:highlight w:val="none"/>
        </w:rPr>
      </w:pPr>
    </w:p>
    <w:p w14:paraId="208FAF6D">
      <w:pPr>
        <w:pStyle w:val="36"/>
        <w:adjustRightInd w:val="0"/>
        <w:snapToGrid w:val="0"/>
        <w:spacing w:before="0" w:line="240" w:lineRule="auto"/>
        <w:ind w:right="210" w:rightChars="100"/>
        <w:jc w:val="center"/>
        <w:rPr>
          <w:color w:val="auto"/>
          <w:sz w:val="52"/>
          <w:highlight w:val="none"/>
        </w:rPr>
      </w:pPr>
      <w:r>
        <w:rPr>
          <w:color w:val="auto"/>
          <w:sz w:val="52"/>
          <w:highlight w:val="none"/>
          <w:lang w:val="zh-CN"/>
        </w:rPr>
        <w:t>目</w:t>
      </w:r>
      <w:r>
        <w:rPr>
          <w:rFonts w:hint="eastAsia"/>
          <w:color w:val="auto"/>
          <w:sz w:val="52"/>
          <w:highlight w:val="none"/>
          <w:lang w:val="zh-CN"/>
        </w:rPr>
        <w:t xml:space="preserve">  </w:t>
      </w:r>
      <w:r>
        <w:rPr>
          <w:color w:val="auto"/>
          <w:sz w:val="52"/>
          <w:highlight w:val="none"/>
          <w:lang w:val="zh-CN"/>
        </w:rPr>
        <w:t>录</w:t>
      </w:r>
    </w:p>
    <w:p w14:paraId="5406997E">
      <w:pPr>
        <w:pStyle w:val="16"/>
        <w:tabs>
          <w:tab w:val="right" w:leader="dot" w:pos="10120"/>
        </w:tabs>
        <w:rPr>
          <w:rFonts w:ascii="Calibri" w:hAnsi="Calibri"/>
          <w:b w:val="0"/>
          <w:bCs w:val="0"/>
          <w:caps w:val="0"/>
          <w:color w:val="auto"/>
          <w:sz w:val="32"/>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"_Toc95223332"</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color w:val="auto"/>
          <w:sz w:val="28"/>
          <w:highlight w:val="none"/>
        </w:rPr>
        <w:t>第一章</w:t>
      </w:r>
      <w:r>
        <w:rPr>
          <w:rStyle w:val="30"/>
          <w:color w:val="auto"/>
          <w:sz w:val="28"/>
          <w:highlight w:val="none"/>
        </w:rPr>
        <w:t xml:space="preserve">  </w:t>
      </w:r>
      <w:r>
        <w:rPr>
          <w:rStyle w:val="30"/>
          <w:rFonts w:hint="eastAsia"/>
          <w:color w:val="auto"/>
          <w:sz w:val="28"/>
          <w:highlight w:val="none"/>
        </w:rPr>
        <w:t>招标公告</w:t>
      </w:r>
      <w:r>
        <w:rPr>
          <w:color w:val="auto"/>
          <w:sz w:val="28"/>
          <w:highlight w:val="none"/>
        </w:rPr>
        <w:tab/>
      </w:r>
      <w:r>
        <w:rPr>
          <w:color w:val="auto"/>
          <w:sz w:val="28"/>
          <w:highlight w:val="none"/>
        </w:rPr>
        <w:fldChar w:fldCharType="begin"/>
      </w:r>
      <w:r>
        <w:rPr>
          <w:color w:val="auto"/>
          <w:sz w:val="28"/>
          <w:highlight w:val="none"/>
        </w:rPr>
        <w:instrText xml:space="preserve"> PAGEREF _Toc95223332 \h </w:instrText>
      </w:r>
      <w:r>
        <w:rPr>
          <w:color w:val="auto"/>
          <w:sz w:val="28"/>
          <w:highlight w:val="none"/>
        </w:rPr>
        <w:fldChar w:fldCharType="separate"/>
      </w:r>
      <w:r>
        <w:rPr>
          <w:color w:val="auto"/>
          <w:sz w:val="28"/>
          <w:highlight w:val="none"/>
        </w:rPr>
        <w:t>1</w:t>
      </w:r>
      <w:r>
        <w:rPr>
          <w:color w:val="auto"/>
          <w:sz w:val="28"/>
          <w:highlight w:val="none"/>
        </w:rPr>
        <w:fldChar w:fldCharType="end"/>
      </w:r>
      <w:r>
        <w:rPr>
          <w:rStyle w:val="30"/>
          <w:color w:val="auto"/>
          <w:sz w:val="28"/>
          <w:highlight w:val="none"/>
        </w:rPr>
        <w:fldChar w:fldCharType="end"/>
      </w:r>
    </w:p>
    <w:p w14:paraId="4415AFC0">
      <w:pPr>
        <w:pStyle w:val="16"/>
        <w:tabs>
          <w:tab w:val="right" w:leader="dot" w:pos="10120"/>
        </w:tabs>
        <w:rPr>
          <w:rFonts w:ascii="Calibri" w:hAnsi="Calibri"/>
          <w:b w:val="0"/>
          <w:bCs w:val="0"/>
          <w:caps w:val="0"/>
          <w:color w:val="auto"/>
          <w:sz w:val="32"/>
          <w:szCs w:val="22"/>
          <w:highlight w:val="none"/>
        </w:rPr>
      </w:pP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"_Toc95223333"</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color w:val="auto"/>
          <w:sz w:val="28"/>
          <w:highlight w:val="none"/>
        </w:rPr>
        <w:t>第二章</w:t>
      </w:r>
      <w:r>
        <w:rPr>
          <w:rStyle w:val="30"/>
          <w:color w:val="auto"/>
          <w:sz w:val="28"/>
          <w:highlight w:val="none"/>
        </w:rPr>
        <w:t xml:space="preserve"> </w:t>
      </w:r>
      <w:r>
        <w:rPr>
          <w:rStyle w:val="30"/>
          <w:rFonts w:hint="eastAsia"/>
          <w:color w:val="auto"/>
          <w:sz w:val="28"/>
          <w:highlight w:val="none"/>
        </w:rPr>
        <w:t>投标人须知</w:t>
      </w:r>
      <w:r>
        <w:rPr>
          <w:color w:val="auto"/>
          <w:sz w:val="28"/>
          <w:highlight w:val="none"/>
        </w:rPr>
        <w:tab/>
      </w:r>
      <w:r>
        <w:rPr>
          <w:color w:val="auto"/>
          <w:sz w:val="28"/>
          <w:highlight w:val="none"/>
        </w:rPr>
        <w:fldChar w:fldCharType="begin"/>
      </w:r>
      <w:r>
        <w:rPr>
          <w:color w:val="auto"/>
          <w:sz w:val="28"/>
          <w:highlight w:val="none"/>
        </w:rPr>
        <w:instrText xml:space="preserve"> PAGEREF _Toc95223333 \h </w:instrText>
      </w:r>
      <w:r>
        <w:rPr>
          <w:color w:val="auto"/>
          <w:sz w:val="28"/>
          <w:highlight w:val="none"/>
        </w:rPr>
        <w:fldChar w:fldCharType="separate"/>
      </w:r>
      <w:r>
        <w:rPr>
          <w:color w:val="auto"/>
          <w:sz w:val="28"/>
          <w:highlight w:val="none"/>
        </w:rPr>
        <w:t>1</w:t>
      </w:r>
      <w:r>
        <w:rPr>
          <w:color w:val="auto"/>
          <w:sz w:val="28"/>
          <w:highlight w:val="none"/>
        </w:rPr>
        <w:fldChar w:fldCharType="end"/>
      </w:r>
      <w:r>
        <w:rPr>
          <w:rStyle w:val="30"/>
          <w:color w:val="auto"/>
          <w:sz w:val="28"/>
          <w:highlight w:val="none"/>
        </w:rPr>
        <w:fldChar w:fldCharType="end"/>
      </w:r>
    </w:p>
    <w:p w14:paraId="723DE245">
      <w:pPr>
        <w:pStyle w:val="16"/>
        <w:tabs>
          <w:tab w:val="right" w:leader="dot" w:pos="10120"/>
        </w:tabs>
        <w:rPr>
          <w:rFonts w:hint="eastAsia" w:ascii="Calibri" w:hAnsi="Calibri" w:eastAsia="宋体"/>
          <w:b w:val="0"/>
          <w:bCs w:val="0"/>
          <w:caps w:val="0"/>
          <w:color w:val="auto"/>
          <w:sz w:val="32"/>
          <w:szCs w:val="22"/>
          <w:highlight w:val="none"/>
          <w:lang w:val="en-US" w:eastAsia="zh-CN"/>
        </w:rPr>
      </w:pP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"_Toc95223391"</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color w:val="auto"/>
          <w:sz w:val="28"/>
          <w:highlight w:val="none"/>
        </w:rPr>
        <w:t>第三章</w:t>
      </w:r>
      <w:r>
        <w:rPr>
          <w:rStyle w:val="30"/>
          <w:color w:val="auto"/>
          <w:sz w:val="28"/>
          <w:highlight w:val="none"/>
        </w:rPr>
        <w:t xml:space="preserve"> </w:t>
      </w:r>
      <w:r>
        <w:rPr>
          <w:rStyle w:val="30"/>
          <w:rFonts w:hint="eastAsia"/>
          <w:color w:val="auto"/>
          <w:sz w:val="28"/>
          <w:highlight w:val="none"/>
        </w:rPr>
        <w:t>资格审查办法</w:t>
      </w:r>
      <w:r>
        <w:rPr>
          <w:color w:val="auto"/>
          <w:sz w:val="28"/>
          <w:highlight w:val="none"/>
        </w:rPr>
        <w:tab/>
      </w:r>
      <w:r>
        <w:rPr>
          <w:rFonts w:hint="eastAsia"/>
          <w:color w:val="auto"/>
          <w:sz w:val="28"/>
          <w:highlight w:val="none"/>
          <w:lang w:val="en-US" w:eastAsia="zh-CN"/>
        </w:rPr>
        <w:t>2</w:t>
      </w:r>
      <w:r>
        <w:rPr>
          <w:rStyle w:val="30"/>
          <w:color w:val="auto"/>
          <w:sz w:val="28"/>
          <w:highlight w:val="none"/>
        </w:rPr>
        <w:fldChar w:fldCharType="end"/>
      </w:r>
      <w:r>
        <w:rPr>
          <w:rStyle w:val="30"/>
          <w:rFonts w:hint="eastAsia"/>
          <w:color w:val="auto"/>
          <w:sz w:val="28"/>
          <w:highlight w:val="none"/>
          <w:lang w:val="en-US" w:eastAsia="zh-CN"/>
        </w:rPr>
        <w:t>0</w:t>
      </w:r>
    </w:p>
    <w:p w14:paraId="1C3698E5">
      <w:pPr>
        <w:pStyle w:val="16"/>
        <w:tabs>
          <w:tab w:val="right" w:leader="dot" w:pos="10120"/>
        </w:tabs>
        <w:rPr>
          <w:rFonts w:ascii="Calibri" w:hAnsi="Calibri"/>
          <w:b w:val="0"/>
          <w:bCs w:val="0"/>
          <w:caps w:val="0"/>
          <w:color w:val="auto"/>
          <w:sz w:val="32"/>
          <w:szCs w:val="22"/>
          <w:highlight w:val="none"/>
        </w:rPr>
      </w:pP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"_Toc95223428"</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color w:val="auto"/>
          <w:sz w:val="28"/>
          <w:highlight w:val="none"/>
        </w:rPr>
        <w:t>第四章 评标办法（综合评估法）</w:t>
      </w:r>
      <w:r>
        <w:rPr>
          <w:color w:val="auto"/>
          <w:sz w:val="28"/>
          <w:highlight w:val="none"/>
        </w:rPr>
        <w:tab/>
      </w:r>
      <w:r>
        <w:rPr>
          <w:color w:val="auto"/>
          <w:sz w:val="28"/>
          <w:highlight w:val="none"/>
        </w:rPr>
        <w:fldChar w:fldCharType="begin"/>
      </w:r>
      <w:r>
        <w:rPr>
          <w:color w:val="auto"/>
          <w:sz w:val="28"/>
          <w:highlight w:val="none"/>
        </w:rPr>
        <w:instrText xml:space="preserve"> PAGEREF _Toc95223428 \h </w:instrText>
      </w:r>
      <w:r>
        <w:rPr>
          <w:color w:val="auto"/>
          <w:sz w:val="28"/>
          <w:highlight w:val="none"/>
        </w:rPr>
        <w:fldChar w:fldCharType="separate"/>
      </w:r>
      <w:r>
        <w:rPr>
          <w:color w:val="auto"/>
          <w:sz w:val="28"/>
          <w:highlight w:val="none"/>
        </w:rPr>
        <w:t>22</w:t>
      </w:r>
      <w:r>
        <w:rPr>
          <w:color w:val="auto"/>
          <w:sz w:val="28"/>
          <w:highlight w:val="none"/>
        </w:rPr>
        <w:fldChar w:fldCharType="end"/>
      </w:r>
      <w:r>
        <w:rPr>
          <w:rStyle w:val="30"/>
          <w:color w:val="auto"/>
          <w:sz w:val="28"/>
          <w:highlight w:val="none"/>
        </w:rPr>
        <w:fldChar w:fldCharType="end"/>
      </w:r>
    </w:p>
    <w:p w14:paraId="24AF5634">
      <w:pPr>
        <w:pStyle w:val="16"/>
        <w:tabs>
          <w:tab w:val="right" w:leader="dot" w:pos="10120"/>
        </w:tabs>
        <w:rPr>
          <w:rFonts w:ascii="Calibri" w:hAnsi="Calibri"/>
          <w:b w:val="0"/>
          <w:bCs w:val="0"/>
          <w:caps w:val="0"/>
          <w:color w:val="auto"/>
          <w:sz w:val="32"/>
          <w:szCs w:val="22"/>
          <w:highlight w:val="none"/>
        </w:rPr>
      </w:pP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"_Toc95223458"</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color w:val="auto"/>
          <w:sz w:val="28"/>
          <w:highlight w:val="none"/>
        </w:rPr>
        <w:t>第五章</w:t>
      </w:r>
      <w:r>
        <w:rPr>
          <w:rStyle w:val="30"/>
          <w:color w:val="auto"/>
          <w:sz w:val="28"/>
          <w:highlight w:val="none"/>
        </w:rPr>
        <w:t xml:space="preserve"> </w:t>
      </w:r>
      <w:r>
        <w:rPr>
          <w:rStyle w:val="30"/>
          <w:rFonts w:hint="eastAsia"/>
          <w:color w:val="auto"/>
          <w:sz w:val="28"/>
          <w:highlight w:val="none"/>
        </w:rPr>
        <w:t>合同条款及格式</w:t>
      </w:r>
      <w:r>
        <w:rPr>
          <w:color w:val="auto"/>
          <w:sz w:val="28"/>
          <w:highlight w:val="none"/>
        </w:rPr>
        <w:tab/>
      </w:r>
      <w:r>
        <w:rPr>
          <w:color w:val="auto"/>
          <w:sz w:val="28"/>
          <w:highlight w:val="none"/>
        </w:rPr>
        <w:fldChar w:fldCharType="begin"/>
      </w:r>
      <w:r>
        <w:rPr>
          <w:color w:val="auto"/>
          <w:sz w:val="28"/>
          <w:highlight w:val="none"/>
        </w:rPr>
        <w:instrText xml:space="preserve"> PAGEREF _Toc95223458 \h </w:instrText>
      </w:r>
      <w:r>
        <w:rPr>
          <w:color w:val="auto"/>
          <w:sz w:val="28"/>
          <w:highlight w:val="none"/>
        </w:rPr>
        <w:fldChar w:fldCharType="separate"/>
      </w:r>
      <w:r>
        <w:rPr>
          <w:color w:val="auto"/>
          <w:sz w:val="28"/>
          <w:highlight w:val="none"/>
        </w:rPr>
        <w:t>36</w:t>
      </w:r>
      <w:r>
        <w:rPr>
          <w:color w:val="auto"/>
          <w:sz w:val="28"/>
          <w:highlight w:val="none"/>
        </w:rPr>
        <w:fldChar w:fldCharType="end"/>
      </w:r>
      <w:r>
        <w:rPr>
          <w:rStyle w:val="30"/>
          <w:color w:val="auto"/>
          <w:sz w:val="28"/>
          <w:highlight w:val="none"/>
        </w:rPr>
        <w:fldChar w:fldCharType="end"/>
      </w:r>
    </w:p>
    <w:p w14:paraId="03576DE3">
      <w:pPr>
        <w:pStyle w:val="16"/>
        <w:tabs>
          <w:tab w:val="right" w:leader="dot" w:pos="10120"/>
        </w:tabs>
        <w:rPr>
          <w:rFonts w:ascii="Calibri" w:hAnsi="Calibri"/>
          <w:b w:val="0"/>
          <w:bCs w:val="0"/>
          <w:caps w:val="0"/>
          <w:color w:val="auto"/>
          <w:sz w:val="32"/>
          <w:szCs w:val="22"/>
          <w:highlight w:val="none"/>
        </w:rPr>
      </w:pP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"_Toc95223515"</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ascii="宋体" w:hAnsi="宋体" w:cs="宋体"/>
          <w:color w:val="auto"/>
          <w:kern w:val="44"/>
          <w:sz w:val="28"/>
          <w:highlight w:val="none"/>
        </w:rPr>
        <w:t>第六章 工程量清单</w:t>
      </w:r>
      <w:r>
        <w:rPr>
          <w:color w:val="auto"/>
          <w:sz w:val="28"/>
          <w:highlight w:val="none"/>
        </w:rPr>
        <w:tab/>
      </w:r>
      <w:r>
        <w:rPr>
          <w:color w:val="auto"/>
          <w:sz w:val="28"/>
          <w:highlight w:val="none"/>
        </w:rPr>
        <w:fldChar w:fldCharType="begin"/>
      </w:r>
      <w:r>
        <w:rPr>
          <w:color w:val="auto"/>
          <w:sz w:val="28"/>
          <w:highlight w:val="none"/>
        </w:rPr>
        <w:instrText xml:space="preserve"> PAGEREF _Toc95223515 \h </w:instrText>
      </w:r>
      <w:r>
        <w:rPr>
          <w:color w:val="auto"/>
          <w:sz w:val="28"/>
          <w:highlight w:val="none"/>
        </w:rPr>
        <w:fldChar w:fldCharType="separate"/>
      </w:r>
      <w:r>
        <w:rPr>
          <w:color w:val="auto"/>
          <w:sz w:val="28"/>
          <w:highlight w:val="none"/>
        </w:rPr>
        <w:t>88</w:t>
      </w:r>
      <w:r>
        <w:rPr>
          <w:color w:val="auto"/>
          <w:sz w:val="28"/>
          <w:highlight w:val="none"/>
        </w:rPr>
        <w:fldChar w:fldCharType="end"/>
      </w:r>
      <w:r>
        <w:rPr>
          <w:rStyle w:val="30"/>
          <w:color w:val="auto"/>
          <w:sz w:val="28"/>
          <w:highlight w:val="none"/>
        </w:rPr>
        <w:fldChar w:fldCharType="end"/>
      </w:r>
    </w:p>
    <w:p w14:paraId="091BAC0B">
      <w:pPr>
        <w:pStyle w:val="16"/>
        <w:tabs>
          <w:tab w:val="right" w:leader="dot" w:pos="10120"/>
        </w:tabs>
        <w:rPr>
          <w:rFonts w:ascii="Calibri" w:hAnsi="Calibri"/>
          <w:b w:val="0"/>
          <w:bCs w:val="0"/>
          <w:caps w:val="0"/>
          <w:color w:val="auto"/>
          <w:sz w:val="32"/>
          <w:szCs w:val="22"/>
          <w:highlight w:val="none"/>
        </w:rPr>
      </w:pP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"_Toc95223522"</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ascii="宋体" w:hAnsi="宋体" w:cs="宋体"/>
          <w:color w:val="auto"/>
          <w:kern w:val="44"/>
          <w:sz w:val="28"/>
          <w:highlight w:val="none"/>
        </w:rPr>
        <w:t>第七章</w:t>
      </w:r>
      <w:r>
        <w:rPr>
          <w:rStyle w:val="30"/>
          <w:rFonts w:ascii="宋体" w:hAnsi="宋体" w:cs="宋体"/>
          <w:color w:val="auto"/>
          <w:kern w:val="44"/>
          <w:sz w:val="28"/>
          <w:highlight w:val="none"/>
        </w:rPr>
        <w:t xml:space="preserve"> </w:t>
      </w:r>
      <w:r>
        <w:rPr>
          <w:rStyle w:val="30"/>
          <w:rFonts w:hint="eastAsia" w:ascii="宋体" w:hAnsi="宋体" w:cs="宋体"/>
          <w:color w:val="auto"/>
          <w:kern w:val="44"/>
          <w:sz w:val="28"/>
          <w:highlight w:val="none"/>
        </w:rPr>
        <w:t>图</w:t>
      </w:r>
      <w:r>
        <w:rPr>
          <w:rStyle w:val="30"/>
          <w:rFonts w:ascii="宋体" w:hAnsi="宋体" w:cs="宋体"/>
          <w:color w:val="auto"/>
          <w:kern w:val="44"/>
          <w:sz w:val="28"/>
          <w:highlight w:val="none"/>
        </w:rPr>
        <w:t xml:space="preserve">  </w:t>
      </w:r>
      <w:r>
        <w:rPr>
          <w:rStyle w:val="30"/>
          <w:rFonts w:hint="eastAsia" w:ascii="宋体" w:hAnsi="宋体" w:cs="宋体"/>
          <w:color w:val="auto"/>
          <w:kern w:val="44"/>
          <w:sz w:val="28"/>
          <w:highlight w:val="none"/>
        </w:rPr>
        <w:t>纸</w:t>
      </w:r>
      <w:r>
        <w:rPr>
          <w:color w:val="auto"/>
          <w:sz w:val="28"/>
          <w:highlight w:val="none"/>
        </w:rPr>
        <w:tab/>
      </w:r>
      <w:r>
        <w:rPr>
          <w:color w:val="auto"/>
          <w:sz w:val="28"/>
          <w:highlight w:val="none"/>
        </w:rPr>
        <w:fldChar w:fldCharType="begin"/>
      </w:r>
      <w:r>
        <w:rPr>
          <w:color w:val="auto"/>
          <w:sz w:val="28"/>
          <w:highlight w:val="none"/>
        </w:rPr>
        <w:instrText xml:space="preserve"> PAGEREF _Toc95223522 \h </w:instrText>
      </w:r>
      <w:r>
        <w:rPr>
          <w:color w:val="auto"/>
          <w:sz w:val="28"/>
          <w:highlight w:val="none"/>
        </w:rPr>
        <w:fldChar w:fldCharType="separate"/>
      </w:r>
      <w:r>
        <w:rPr>
          <w:color w:val="auto"/>
          <w:sz w:val="28"/>
          <w:highlight w:val="none"/>
        </w:rPr>
        <w:t>92</w:t>
      </w:r>
      <w:r>
        <w:rPr>
          <w:color w:val="auto"/>
          <w:sz w:val="28"/>
          <w:highlight w:val="none"/>
        </w:rPr>
        <w:fldChar w:fldCharType="end"/>
      </w:r>
      <w:r>
        <w:rPr>
          <w:rStyle w:val="30"/>
          <w:color w:val="auto"/>
          <w:sz w:val="28"/>
          <w:highlight w:val="none"/>
        </w:rPr>
        <w:fldChar w:fldCharType="end"/>
      </w:r>
    </w:p>
    <w:p w14:paraId="5D7999F4">
      <w:pPr>
        <w:pStyle w:val="16"/>
        <w:tabs>
          <w:tab w:val="right" w:leader="dot" w:pos="10120"/>
        </w:tabs>
        <w:rPr>
          <w:rFonts w:ascii="Calibri" w:hAnsi="Calibri"/>
          <w:b w:val="0"/>
          <w:bCs w:val="0"/>
          <w:caps w:val="0"/>
          <w:color w:val="auto"/>
          <w:sz w:val="32"/>
          <w:szCs w:val="22"/>
          <w:highlight w:val="none"/>
        </w:rPr>
      </w:pP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"_Toc95223525"</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ascii="宋体" w:hAnsi="宋体" w:cs="宋体"/>
          <w:color w:val="auto"/>
          <w:kern w:val="44"/>
          <w:sz w:val="28"/>
          <w:highlight w:val="none"/>
        </w:rPr>
        <w:t>第八章 技术标准和要求</w:t>
      </w:r>
      <w:r>
        <w:rPr>
          <w:color w:val="auto"/>
          <w:sz w:val="28"/>
          <w:highlight w:val="none"/>
        </w:rPr>
        <w:tab/>
      </w:r>
      <w:r>
        <w:rPr>
          <w:color w:val="auto"/>
          <w:sz w:val="28"/>
          <w:highlight w:val="none"/>
        </w:rPr>
        <w:fldChar w:fldCharType="begin"/>
      </w:r>
      <w:r>
        <w:rPr>
          <w:color w:val="auto"/>
          <w:sz w:val="28"/>
          <w:highlight w:val="none"/>
        </w:rPr>
        <w:instrText xml:space="preserve"> PAGEREF _Toc95223525 \h </w:instrText>
      </w:r>
      <w:r>
        <w:rPr>
          <w:color w:val="auto"/>
          <w:sz w:val="28"/>
          <w:highlight w:val="none"/>
        </w:rPr>
        <w:fldChar w:fldCharType="separate"/>
      </w:r>
      <w:r>
        <w:rPr>
          <w:color w:val="auto"/>
          <w:sz w:val="28"/>
          <w:highlight w:val="none"/>
        </w:rPr>
        <w:t>93</w:t>
      </w:r>
      <w:r>
        <w:rPr>
          <w:color w:val="auto"/>
          <w:sz w:val="28"/>
          <w:highlight w:val="none"/>
        </w:rPr>
        <w:fldChar w:fldCharType="end"/>
      </w:r>
      <w:r>
        <w:rPr>
          <w:rStyle w:val="30"/>
          <w:color w:val="auto"/>
          <w:sz w:val="28"/>
          <w:highlight w:val="none"/>
        </w:rPr>
        <w:fldChar w:fldCharType="end"/>
      </w:r>
    </w:p>
    <w:p w14:paraId="6C151BEC">
      <w:pPr>
        <w:pStyle w:val="16"/>
        <w:tabs>
          <w:tab w:val="right" w:leader="dot" w:pos="10120"/>
        </w:tabs>
        <w:rPr>
          <w:rFonts w:ascii="Calibri" w:hAnsi="Calibri"/>
          <w:b w:val="0"/>
          <w:bCs w:val="0"/>
          <w:caps w:val="0"/>
          <w:color w:val="auto"/>
          <w:sz w:val="32"/>
          <w:szCs w:val="22"/>
          <w:highlight w:val="none"/>
        </w:rPr>
      </w:pP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"_Toc95223531"</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color w:val="auto"/>
          <w:sz w:val="28"/>
          <w:highlight w:val="none"/>
        </w:rPr>
        <w:t>第九章 投标文件格式</w:t>
      </w:r>
      <w:r>
        <w:rPr>
          <w:color w:val="auto"/>
          <w:sz w:val="28"/>
          <w:highlight w:val="none"/>
        </w:rPr>
        <w:tab/>
      </w:r>
      <w:r>
        <w:rPr>
          <w:color w:val="auto"/>
          <w:sz w:val="28"/>
          <w:highlight w:val="none"/>
        </w:rPr>
        <w:fldChar w:fldCharType="begin"/>
      </w:r>
      <w:r>
        <w:rPr>
          <w:color w:val="auto"/>
          <w:sz w:val="28"/>
          <w:highlight w:val="none"/>
        </w:rPr>
        <w:instrText xml:space="preserve"> PAGEREF _Toc95223531 \h </w:instrText>
      </w:r>
      <w:r>
        <w:rPr>
          <w:color w:val="auto"/>
          <w:sz w:val="28"/>
          <w:highlight w:val="none"/>
        </w:rPr>
        <w:fldChar w:fldCharType="separate"/>
      </w:r>
      <w:r>
        <w:rPr>
          <w:color w:val="auto"/>
          <w:sz w:val="28"/>
          <w:highlight w:val="none"/>
        </w:rPr>
        <w:t>94</w:t>
      </w:r>
      <w:r>
        <w:rPr>
          <w:color w:val="auto"/>
          <w:sz w:val="28"/>
          <w:highlight w:val="none"/>
        </w:rPr>
        <w:fldChar w:fldCharType="end"/>
      </w:r>
      <w:r>
        <w:rPr>
          <w:rStyle w:val="30"/>
          <w:color w:val="auto"/>
          <w:sz w:val="28"/>
          <w:highlight w:val="none"/>
        </w:rPr>
        <w:fldChar w:fldCharType="end"/>
      </w:r>
    </w:p>
    <w:p w14:paraId="4F78224A">
      <w:pPr>
        <w:pStyle w:val="16"/>
        <w:tabs>
          <w:tab w:val="right" w:leader="dot" w:pos="10120"/>
        </w:tabs>
        <w:rPr>
          <w:rFonts w:ascii="Calibri" w:hAnsi="Calibri"/>
          <w:b w:val="0"/>
          <w:bCs w:val="0"/>
          <w:caps w:val="0"/>
          <w:color w:val="auto"/>
          <w:sz w:val="32"/>
          <w:szCs w:val="22"/>
          <w:highlight w:val="none"/>
        </w:rPr>
      </w:pP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"_Toc95223547"</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eastAsia="黑体"/>
          <w:color w:val="auto"/>
          <w:sz w:val="28"/>
          <w:highlight w:val="none"/>
        </w:rPr>
        <w:t>第十章</w:t>
      </w:r>
      <w:r>
        <w:rPr>
          <w:rStyle w:val="30"/>
          <w:rFonts w:eastAsia="黑体"/>
          <w:color w:val="auto"/>
          <w:sz w:val="28"/>
          <w:highlight w:val="none"/>
        </w:rPr>
        <w:t xml:space="preserve"> </w:t>
      </w:r>
      <w:r>
        <w:rPr>
          <w:rStyle w:val="30"/>
          <w:rFonts w:hint="eastAsia" w:eastAsia="黑体"/>
          <w:color w:val="auto"/>
          <w:sz w:val="28"/>
          <w:highlight w:val="none"/>
        </w:rPr>
        <w:t xml:space="preserve"> 招标人、招标代理机构对本招标文件的确认</w:t>
      </w:r>
      <w:bookmarkStart w:id="9" w:name="_Hlt95223550"/>
      <w:bookmarkStart w:id="10" w:name="_Hlt95223551"/>
      <w:r>
        <w:rPr>
          <w:color w:val="auto"/>
          <w:sz w:val="28"/>
          <w:highlight w:val="none"/>
        </w:rPr>
        <w:tab/>
      </w:r>
      <w:bookmarkEnd w:id="9"/>
      <w:bookmarkEnd w:id="10"/>
      <w:r>
        <w:rPr>
          <w:color w:val="auto"/>
          <w:sz w:val="28"/>
          <w:highlight w:val="none"/>
        </w:rPr>
        <w:fldChar w:fldCharType="begin"/>
      </w:r>
      <w:r>
        <w:rPr>
          <w:color w:val="auto"/>
          <w:sz w:val="28"/>
          <w:highlight w:val="none"/>
        </w:rPr>
        <w:instrText xml:space="preserve"> PAGEREF _Toc95223547 \h </w:instrText>
      </w:r>
      <w:r>
        <w:rPr>
          <w:color w:val="auto"/>
          <w:sz w:val="28"/>
          <w:highlight w:val="none"/>
        </w:rPr>
        <w:fldChar w:fldCharType="separate"/>
      </w:r>
      <w:r>
        <w:rPr>
          <w:color w:val="auto"/>
          <w:sz w:val="28"/>
          <w:highlight w:val="none"/>
        </w:rPr>
        <w:t>118</w:t>
      </w:r>
      <w:r>
        <w:rPr>
          <w:color w:val="auto"/>
          <w:sz w:val="28"/>
          <w:highlight w:val="none"/>
        </w:rPr>
        <w:fldChar w:fldCharType="end"/>
      </w:r>
      <w:r>
        <w:rPr>
          <w:rStyle w:val="30"/>
          <w:color w:val="auto"/>
          <w:sz w:val="28"/>
          <w:highlight w:val="none"/>
        </w:rPr>
        <w:fldChar w:fldCharType="end"/>
      </w:r>
    </w:p>
    <w:p w14:paraId="64BBAC87">
      <w:pPr>
        <w:pStyle w:val="16"/>
        <w:tabs>
          <w:tab w:val="right" w:leader="dot" w:pos="10120"/>
        </w:tabs>
        <w:rPr>
          <w:rFonts w:hint="default" w:ascii="Calibri" w:hAnsi="Calibri" w:eastAsia="宋体"/>
          <w:b w:val="0"/>
          <w:bCs w:val="0"/>
          <w:caps w:val="0"/>
          <w:color w:val="auto"/>
          <w:sz w:val="32"/>
          <w:szCs w:val="22"/>
          <w:highlight w:val="none"/>
          <w:lang w:val="en-US" w:eastAsia="zh-CN"/>
        </w:rPr>
      </w:pP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"_Toc95223548"</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ascii="黑体" w:hAnsi="黑体" w:eastAsia="黑体"/>
          <w:color w:val="auto"/>
          <w:sz w:val="28"/>
          <w:highlight w:val="none"/>
        </w:rPr>
        <w:t>附件</w:t>
      </w:r>
      <w:r>
        <w:rPr>
          <w:rStyle w:val="30"/>
          <w:rFonts w:ascii="黑体" w:hAnsi="黑体" w:eastAsia="黑体"/>
          <w:color w:val="auto"/>
          <w:sz w:val="28"/>
          <w:highlight w:val="none"/>
        </w:rPr>
        <w:t xml:space="preserve">1 </w:t>
      </w:r>
      <w:r>
        <w:rPr>
          <w:rStyle w:val="30"/>
          <w:rFonts w:hint="eastAsia" w:ascii="黑体" w:hAnsi="黑体" w:eastAsia="黑体"/>
          <w:color w:val="auto"/>
          <w:sz w:val="28"/>
          <w:highlight w:val="none"/>
        </w:rPr>
        <w:t>关于联合惩戒失信行为加强信用查询管理的通知</w:t>
      </w:r>
      <w:r>
        <w:rPr>
          <w:color w:val="auto"/>
          <w:sz w:val="28"/>
          <w:highlight w:val="none"/>
        </w:rPr>
        <w:tab/>
      </w:r>
      <w:r>
        <w:rPr>
          <w:rFonts w:hint="eastAsia"/>
          <w:color w:val="auto"/>
          <w:sz w:val="28"/>
          <w:highlight w:val="none"/>
          <w:lang w:val="en-US" w:eastAsia="zh-CN"/>
        </w:rPr>
        <w:t>1</w:t>
      </w:r>
      <w:r>
        <w:rPr>
          <w:rStyle w:val="30"/>
          <w:color w:val="auto"/>
          <w:sz w:val="28"/>
          <w:highlight w:val="none"/>
        </w:rPr>
        <w:fldChar w:fldCharType="end"/>
      </w:r>
      <w:r>
        <w:rPr>
          <w:rStyle w:val="30"/>
          <w:rFonts w:hint="eastAsia"/>
          <w:color w:val="auto"/>
          <w:sz w:val="28"/>
          <w:highlight w:val="none"/>
          <w:lang w:val="en-US" w:eastAsia="zh-CN"/>
        </w:rPr>
        <w:t>19</w:t>
      </w:r>
    </w:p>
    <w:p w14:paraId="7E5BD222">
      <w:pPr>
        <w:pStyle w:val="16"/>
        <w:tabs>
          <w:tab w:val="right" w:leader="dot" w:pos="10120"/>
        </w:tabs>
        <w:rPr>
          <w:rStyle w:val="30"/>
          <w:rFonts w:hint="eastAsia"/>
          <w:color w:val="auto"/>
          <w:sz w:val="28"/>
          <w:highlight w:val="none"/>
        </w:rPr>
      </w:pPr>
      <w:r>
        <w:rPr>
          <w:rStyle w:val="30"/>
          <w:color w:val="auto"/>
          <w:sz w:val="28"/>
          <w:highlight w:val="none"/>
        </w:rPr>
        <w:fldChar w:fldCharType="begin"/>
      </w:r>
      <w:r>
        <w:rPr>
          <w:rStyle w:val="30"/>
          <w:color w:val="auto"/>
          <w:sz w:val="28"/>
          <w:highlight w:val="none"/>
        </w:rPr>
        <w:instrText xml:space="preserve"> </w:instrText>
      </w:r>
      <w:r>
        <w:rPr>
          <w:color w:val="auto"/>
          <w:sz w:val="28"/>
          <w:highlight w:val="none"/>
        </w:rPr>
        <w:instrText xml:space="preserve">HYPERLINK \l "_Toc95223549"</w:instrText>
      </w:r>
      <w:r>
        <w:rPr>
          <w:rStyle w:val="30"/>
          <w:color w:val="auto"/>
          <w:sz w:val="28"/>
          <w:highlight w:val="none"/>
        </w:rPr>
        <w:instrText xml:space="preserve"> </w:instrText>
      </w:r>
      <w:r>
        <w:rPr>
          <w:rStyle w:val="30"/>
          <w:color w:val="auto"/>
          <w:sz w:val="28"/>
          <w:highlight w:val="none"/>
        </w:rPr>
        <w:fldChar w:fldCharType="separate"/>
      </w:r>
      <w:r>
        <w:rPr>
          <w:rStyle w:val="30"/>
          <w:rFonts w:hint="eastAsia" w:ascii="黑体" w:hAnsi="黑体" w:eastAsia="黑体"/>
          <w:color w:val="auto"/>
          <w:sz w:val="28"/>
          <w:highlight w:val="none"/>
        </w:rPr>
        <w:t>附件</w:t>
      </w:r>
      <w:r>
        <w:rPr>
          <w:rStyle w:val="30"/>
          <w:rFonts w:ascii="黑体" w:hAnsi="黑体" w:eastAsia="黑体"/>
          <w:color w:val="auto"/>
          <w:sz w:val="28"/>
          <w:highlight w:val="none"/>
        </w:rPr>
        <w:t xml:space="preserve">2 </w:t>
      </w:r>
      <w:r>
        <w:rPr>
          <w:rStyle w:val="30"/>
          <w:rFonts w:hint="eastAsia" w:ascii="黑体" w:hAnsi="黑体" w:eastAsia="黑体"/>
          <w:color w:val="auto"/>
          <w:sz w:val="28"/>
          <w:highlight w:val="none"/>
        </w:rPr>
        <w:t>“信用中国”查询的严重失信行为类别及判定依据</w:t>
      </w:r>
      <w:r>
        <w:rPr>
          <w:color w:val="auto"/>
          <w:sz w:val="28"/>
          <w:highlight w:val="none"/>
        </w:rPr>
        <w:tab/>
      </w:r>
      <w:r>
        <w:rPr>
          <w:color w:val="auto"/>
          <w:sz w:val="28"/>
          <w:highlight w:val="none"/>
        </w:rPr>
        <w:fldChar w:fldCharType="begin"/>
      </w:r>
      <w:r>
        <w:rPr>
          <w:color w:val="auto"/>
          <w:sz w:val="28"/>
          <w:highlight w:val="none"/>
        </w:rPr>
        <w:instrText xml:space="preserve"> PAGEREF _Toc95223549 \h </w:instrText>
      </w:r>
      <w:r>
        <w:rPr>
          <w:color w:val="auto"/>
          <w:sz w:val="28"/>
          <w:highlight w:val="none"/>
        </w:rPr>
        <w:fldChar w:fldCharType="separate"/>
      </w:r>
      <w:r>
        <w:rPr>
          <w:color w:val="auto"/>
          <w:sz w:val="28"/>
          <w:highlight w:val="none"/>
        </w:rPr>
        <w:t>123</w:t>
      </w:r>
      <w:r>
        <w:rPr>
          <w:color w:val="auto"/>
          <w:sz w:val="28"/>
          <w:highlight w:val="none"/>
        </w:rPr>
        <w:fldChar w:fldCharType="end"/>
      </w:r>
      <w:r>
        <w:rPr>
          <w:rStyle w:val="30"/>
          <w:color w:val="auto"/>
          <w:sz w:val="28"/>
          <w:highlight w:val="none"/>
        </w:rPr>
        <w:fldChar w:fldCharType="end"/>
      </w:r>
    </w:p>
    <w:p w14:paraId="6AF3C7EF">
      <w:pPr>
        <w:rPr>
          <w:rFonts w:hint="eastAsia"/>
          <w:color w:val="auto"/>
          <w:sz w:val="24"/>
          <w:highlight w:val="none"/>
        </w:rPr>
      </w:pPr>
    </w:p>
    <w:p w14:paraId="4C7E4E32">
      <w:pPr>
        <w:pStyle w:val="16"/>
        <w:rPr>
          <w:rFonts w:hint="eastAsia"/>
          <w:color w:val="auto"/>
          <w:highlight w:val="none"/>
        </w:rPr>
      </w:pPr>
    </w:p>
    <w:p w14:paraId="6379DE7A">
      <w:pPr>
        <w:rPr>
          <w:rFonts w:hint="eastAsia"/>
          <w:color w:val="auto"/>
          <w:highlight w:val="none"/>
        </w:rPr>
      </w:pPr>
    </w:p>
    <w:p w14:paraId="6CFCFA02">
      <w:pPr>
        <w:pStyle w:val="16"/>
        <w:rPr>
          <w:rFonts w:hint="eastAsia"/>
          <w:color w:val="auto"/>
          <w:highlight w:val="none"/>
        </w:rPr>
      </w:pPr>
    </w:p>
    <w:p w14:paraId="14BC1A16">
      <w:pPr>
        <w:rPr>
          <w:rFonts w:hint="eastAsia"/>
          <w:color w:val="auto"/>
          <w:highlight w:val="none"/>
        </w:rPr>
      </w:pPr>
    </w:p>
    <w:p w14:paraId="7E33E7AF">
      <w:pPr>
        <w:pStyle w:val="16"/>
        <w:rPr>
          <w:rFonts w:hint="eastAsia"/>
          <w:color w:val="auto"/>
          <w:highlight w:val="none"/>
        </w:rPr>
      </w:pPr>
    </w:p>
    <w:p w14:paraId="4054A0B4">
      <w:pPr>
        <w:rPr>
          <w:rFonts w:hint="eastAsia"/>
          <w:color w:val="auto"/>
          <w:highlight w:val="none"/>
        </w:rPr>
      </w:pPr>
    </w:p>
    <w:p w14:paraId="303D35C0">
      <w:pPr>
        <w:pStyle w:val="16"/>
        <w:rPr>
          <w:rFonts w:hint="eastAsia"/>
          <w:color w:val="auto"/>
          <w:highlight w:val="none"/>
        </w:rPr>
      </w:pPr>
    </w:p>
    <w:p w14:paraId="31BCF4D7">
      <w:pPr>
        <w:rPr>
          <w:rFonts w:hint="eastAsia"/>
          <w:color w:val="auto"/>
          <w:highlight w:val="none"/>
        </w:rPr>
      </w:pPr>
    </w:p>
    <w:p w14:paraId="17F46CF2">
      <w:pPr>
        <w:pStyle w:val="16"/>
        <w:rPr>
          <w:rFonts w:hint="eastAsia"/>
          <w:color w:val="auto"/>
          <w:highlight w:val="none"/>
        </w:rPr>
      </w:pPr>
    </w:p>
    <w:p w14:paraId="7F08599B">
      <w:pPr>
        <w:rPr>
          <w:rFonts w:hint="eastAsia"/>
          <w:color w:val="auto"/>
          <w:highlight w:val="none"/>
        </w:rPr>
      </w:pPr>
    </w:p>
    <w:p w14:paraId="58FE28DB">
      <w:pPr>
        <w:rPr>
          <w:rFonts w:hint="eastAsia"/>
          <w:color w:val="auto"/>
          <w:highlight w:val="none"/>
        </w:rPr>
        <w:sectPr>
          <w:headerReference r:id="rId4" w:type="default"/>
          <w:pgSz w:w="11910" w:h="16850"/>
          <w:pgMar w:top="1600" w:right="660" w:bottom="1100" w:left="1120" w:header="0" w:footer="746" w:gutter="0"/>
          <w:pgNumType w:start="1"/>
          <w:cols w:space="720" w:num="1"/>
        </w:sectPr>
      </w:pPr>
    </w:p>
    <w:p w14:paraId="4158D22F">
      <w:pPr>
        <w:pStyle w:val="2"/>
        <w:spacing w:before="0" w:after="0" w:line="240" w:lineRule="auto"/>
        <w:jc w:val="center"/>
        <w:rPr>
          <w:rFonts w:hint="eastAsia"/>
          <w:color w:val="auto"/>
          <w:highlight w:val="none"/>
          <w:lang w:val="zh-CN"/>
        </w:rPr>
      </w:pPr>
      <w:r>
        <w:rPr>
          <w:color w:val="auto"/>
          <w:highlight w:val="none"/>
          <w:lang w:val="zh-CN"/>
        </w:rPr>
        <w:fldChar w:fldCharType="end"/>
      </w:r>
      <w:bookmarkStart w:id="11" w:name="_Toc95223332"/>
      <w:r>
        <w:rPr>
          <w:rFonts w:hint="eastAsia"/>
          <w:color w:val="auto"/>
          <w:highlight w:val="none"/>
        </w:rPr>
        <w:t>第一章  招标公告</w:t>
      </w:r>
      <w:bookmarkEnd w:id="11"/>
    </w:p>
    <w:p w14:paraId="16C36FDC">
      <w:pPr>
        <w:pStyle w:val="19"/>
        <w:ind w:left="0" w:leftChars="0" w:firstLine="472" w:firstLineChars="196"/>
        <w:rPr>
          <w:b/>
          <w:color w:val="auto"/>
          <w:sz w:val="24"/>
          <w:highlight w:val="none"/>
        </w:rPr>
      </w:pPr>
      <w:r>
        <w:rPr>
          <w:rFonts w:hint="eastAsia" w:ascii="宋体" w:hAnsi="宋体" w:cs="宋体"/>
          <w:b/>
          <w:bCs/>
          <w:color w:val="auto"/>
          <w:sz w:val="24"/>
          <w:highlight w:val="none"/>
          <w:lang w:eastAsia="zh-CN"/>
        </w:rPr>
        <w:t>兴全矿业骨料加工厂新能源充电桩项目（二次）</w:t>
      </w:r>
      <w:r>
        <w:rPr>
          <w:rFonts w:hint="eastAsia"/>
          <w:b/>
          <w:color w:val="auto"/>
          <w:sz w:val="24"/>
          <w:highlight w:val="none"/>
        </w:rPr>
        <w:t>招标公告信息（电子招标投标）</w:t>
      </w:r>
    </w:p>
    <w:tbl>
      <w:tblPr>
        <w:tblStyle w:val="20"/>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8313"/>
      </w:tblGrid>
      <w:tr w14:paraId="1E4D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88" w:type="dxa"/>
            <w:gridSpan w:val="2"/>
            <w:noWrap w:val="0"/>
            <w:vAlign w:val="center"/>
          </w:tcPr>
          <w:p w14:paraId="061ACDAC">
            <w:pPr>
              <w:spacing w:line="560" w:lineRule="exact"/>
              <w:jc w:val="center"/>
              <w:rPr>
                <w:rFonts w:hint="eastAsia" w:ascii="宋体" w:hAnsi="宋体" w:cs="宋体"/>
                <w:bCs/>
                <w:color w:val="auto"/>
                <w:kern w:val="1"/>
                <w:sz w:val="24"/>
                <w:highlight w:val="none"/>
              </w:rPr>
            </w:pPr>
            <w:r>
              <w:rPr>
                <w:rFonts w:hint="eastAsia" w:ascii="宋体" w:hAnsi="宋体" w:cs="宋体"/>
                <w:b/>
                <w:bCs/>
                <w:color w:val="auto"/>
                <w:sz w:val="24"/>
                <w:highlight w:val="none"/>
              </w:rPr>
              <w:t>招标条件</w:t>
            </w:r>
          </w:p>
        </w:tc>
      </w:tr>
      <w:tr w14:paraId="34EE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6DD081C">
            <w:pPr>
              <w:spacing w:line="560" w:lineRule="exact"/>
              <w:jc w:val="center"/>
              <w:rPr>
                <w:rFonts w:asci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8313" w:type="dxa"/>
            <w:noWrap w:val="0"/>
            <w:vAlign w:val="top"/>
          </w:tcPr>
          <w:p w14:paraId="276F7A73">
            <w:pPr>
              <w:spacing w:line="560" w:lineRule="exact"/>
              <w:jc w:val="left"/>
              <w:rPr>
                <w:rFonts w:ascii="宋体" w:cs="宋体"/>
                <w:bCs/>
                <w:color w:val="auto"/>
                <w:kern w:val="1"/>
                <w:szCs w:val="21"/>
                <w:highlight w:val="none"/>
              </w:rPr>
            </w:pPr>
            <w:r>
              <w:rPr>
                <w:rFonts w:hint="eastAsia" w:ascii="Times New Roman" w:hAnsi="Times New Roman" w:eastAsia="微软雅黑" w:cs="Times New Roman"/>
                <w:color w:val="auto"/>
                <w:sz w:val="21"/>
                <w:szCs w:val="21"/>
                <w:highlight w:val="none"/>
                <w:lang w:eastAsia="zh-CN"/>
              </w:rPr>
              <w:t>兴全矿业骨料加工厂新能源充电桩项目（二次）</w:t>
            </w:r>
            <w:r>
              <w:rPr>
                <w:rFonts w:hint="eastAsia" w:ascii="宋体" w:cs="宋体"/>
                <w:bCs/>
                <w:color w:val="auto"/>
                <w:kern w:val="1"/>
                <w:szCs w:val="21"/>
                <w:highlight w:val="none"/>
              </w:rPr>
              <w:t xml:space="preserve">  </w:t>
            </w:r>
          </w:p>
        </w:tc>
      </w:tr>
      <w:tr w14:paraId="3341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1D82DF4">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项目审批、核准或备案机关名称</w:t>
            </w:r>
          </w:p>
        </w:tc>
        <w:tc>
          <w:tcPr>
            <w:tcW w:w="8313" w:type="dxa"/>
            <w:noWrap w:val="0"/>
            <w:vAlign w:val="center"/>
          </w:tcPr>
          <w:p w14:paraId="1CC4FB6D">
            <w:pPr>
              <w:widowControl/>
              <w:spacing w:line="560" w:lineRule="exact"/>
              <w:jc w:val="left"/>
              <w:rPr>
                <w:rFonts w:hint="eastAsia" w:ascii="宋体" w:hAnsi="宋体" w:cs="宋体"/>
                <w:color w:val="auto"/>
                <w:szCs w:val="21"/>
                <w:highlight w:val="none"/>
              </w:rPr>
            </w:pPr>
            <w:r>
              <w:rPr>
                <w:rFonts w:hint="eastAsia" w:ascii="Times New Roman" w:hAnsi="Times New Roman" w:eastAsia="微软雅黑" w:cs="Times New Roman"/>
                <w:color w:val="auto"/>
                <w:sz w:val="21"/>
                <w:szCs w:val="21"/>
                <w:highlight w:val="none"/>
                <w:lang w:val="en-US" w:eastAsia="zh-CN"/>
              </w:rPr>
              <w:t>全椒县发展</w:t>
            </w:r>
            <w:r>
              <w:rPr>
                <w:rFonts w:hint="default" w:ascii="Times New Roman" w:hAnsi="Times New Roman" w:eastAsia="微软雅黑" w:cs="Times New Roman"/>
                <w:color w:val="auto"/>
                <w:sz w:val="21"/>
                <w:szCs w:val="21"/>
                <w:highlight w:val="none"/>
                <w:lang w:val="en-US" w:eastAsia="zh-CN"/>
              </w:rPr>
              <w:t>和改革委员会</w:t>
            </w:r>
            <w:r>
              <w:rPr>
                <w:rFonts w:hint="eastAsia" w:ascii="Times New Roman" w:hAnsi="Times New Roman" w:eastAsia="微软雅黑" w:cs="Times New Roman"/>
                <w:color w:val="auto"/>
                <w:sz w:val="21"/>
                <w:szCs w:val="21"/>
                <w:highlight w:val="none"/>
              </w:rPr>
              <w:t xml:space="preserve"> </w:t>
            </w:r>
            <w:r>
              <w:rPr>
                <w:rFonts w:hint="eastAsia" w:ascii="宋体" w:hAnsi="宋体" w:cs="宋体"/>
                <w:color w:val="auto"/>
                <w:szCs w:val="21"/>
                <w:highlight w:val="none"/>
              </w:rPr>
              <w:t xml:space="preserve"> </w:t>
            </w:r>
          </w:p>
        </w:tc>
      </w:tr>
      <w:tr w14:paraId="4CF9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982E837">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批文名称及编号</w:t>
            </w:r>
          </w:p>
        </w:tc>
        <w:tc>
          <w:tcPr>
            <w:tcW w:w="8313" w:type="dxa"/>
            <w:noWrap w:val="0"/>
            <w:vAlign w:val="center"/>
          </w:tcPr>
          <w:p w14:paraId="68E1224B">
            <w:pPr>
              <w:widowControl/>
              <w:spacing w:line="560" w:lineRule="exact"/>
              <w:jc w:val="left"/>
              <w:rPr>
                <w:rFonts w:hint="eastAsia" w:ascii="Times New Roman" w:hAnsi="Times New Roman" w:eastAsia="微软雅黑" w:cs="Times New Roman"/>
                <w:color w:val="auto"/>
                <w:sz w:val="21"/>
                <w:szCs w:val="21"/>
                <w:highlight w:val="none"/>
                <w:lang w:val="en-US" w:eastAsia="zh-CN"/>
              </w:rPr>
            </w:pPr>
            <w:r>
              <w:rPr>
                <w:rFonts w:hint="eastAsia" w:ascii="Times New Roman" w:hAnsi="Times New Roman" w:eastAsia="微软雅黑" w:cs="Times New Roman"/>
                <w:color w:val="auto"/>
                <w:sz w:val="21"/>
                <w:szCs w:val="21"/>
                <w:highlight w:val="none"/>
                <w:lang w:val="en-US" w:eastAsia="zh-CN"/>
              </w:rPr>
              <w:t>批文名称：兴全矿业骨料加工厂新能源充电桩项目（二次）</w:t>
            </w:r>
          </w:p>
          <w:p w14:paraId="1CF27047">
            <w:pPr>
              <w:widowControl/>
              <w:spacing w:line="560" w:lineRule="exact"/>
              <w:jc w:val="left"/>
              <w:rPr>
                <w:rFonts w:hint="eastAsia" w:ascii="宋体" w:hAnsi="宋体" w:cs="宋体"/>
                <w:color w:val="auto"/>
                <w:szCs w:val="21"/>
                <w:highlight w:val="none"/>
              </w:rPr>
            </w:pPr>
            <w:r>
              <w:rPr>
                <w:rFonts w:hint="eastAsia" w:ascii="Times New Roman" w:hAnsi="Times New Roman" w:eastAsia="微软雅黑" w:cs="Times New Roman"/>
                <w:color w:val="auto"/>
                <w:sz w:val="21"/>
                <w:szCs w:val="21"/>
                <w:highlight w:val="none"/>
                <w:lang w:val="en-US" w:eastAsia="zh-CN"/>
              </w:rPr>
              <w:t>编号：2508-341124-04-01-224786</w:t>
            </w:r>
            <w:r>
              <w:rPr>
                <w:rFonts w:hint="eastAsia" w:ascii="宋体" w:hAnsi="宋体" w:cs="宋体"/>
                <w:color w:val="auto"/>
                <w:szCs w:val="21"/>
                <w:highlight w:val="none"/>
              </w:rPr>
              <w:t xml:space="preserve"> </w:t>
            </w:r>
          </w:p>
        </w:tc>
      </w:tr>
      <w:tr w14:paraId="5AD0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13C4B4C">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8313" w:type="dxa"/>
            <w:noWrap w:val="0"/>
            <w:vAlign w:val="center"/>
          </w:tcPr>
          <w:p w14:paraId="5B9BF32D">
            <w:pPr>
              <w:widowControl/>
              <w:spacing w:line="560" w:lineRule="exact"/>
              <w:jc w:val="left"/>
              <w:rPr>
                <w:rFonts w:hint="eastAsia" w:ascii="宋体" w:hAnsi="宋体" w:cs="宋体"/>
                <w:color w:val="auto"/>
                <w:szCs w:val="21"/>
                <w:highlight w:val="none"/>
              </w:rPr>
            </w:pPr>
            <w:r>
              <w:rPr>
                <w:rFonts w:hint="eastAsia" w:ascii="Times New Roman" w:hAnsi="Times New Roman" w:eastAsia="微软雅黑" w:cs="Times New Roman"/>
                <w:color w:val="auto"/>
                <w:sz w:val="21"/>
                <w:szCs w:val="21"/>
                <w:highlight w:val="none"/>
                <w:lang w:eastAsia="zh-CN"/>
              </w:rPr>
              <w:t>滁州市兴全矿业投资有限公司</w:t>
            </w:r>
            <w:r>
              <w:rPr>
                <w:rFonts w:hint="eastAsia" w:ascii="宋体" w:hAnsi="宋体" w:cs="宋体"/>
                <w:color w:val="auto"/>
                <w:szCs w:val="21"/>
                <w:highlight w:val="none"/>
              </w:rPr>
              <w:t xml:space="preserve">  </w:t>
            </w:r>
          </w:p>
        </w:tc>
      </w:tr>
      <w:tr w14:paraId="2869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98889F9">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8313" w:type="dxa"/>
            <w:noWrap w:val="0"/>
            <w:vAlign w:val="center"/>
          </w:tcPr>
          <w:p w14:paraId="3D083B2B">
            <w:pPr>
              <w:widowControl/>
              <w:spacing w:line="560" w:lineRule="exact"/>
              <w:jc w:val="left"/>
              <w:rPr>
                <w:rFonts w:hint="eastAsia" w:ascii="宋体" w:hAnsi="宋体" w:cs="宋体"/>
                <w:color w:val="auto"/>
                <w:szCs w:val="21"/>
                <w:highlight w:val="none"/>
              </w:rPr>
            </w:pPr>
            <w:r>
              <w:rPr>
                <w:rFonts w:hint="eastAsia" w:ascii="Times New Roman" w:hAnsi="Times New Roman" w:eastAsia="微软雅黑" w:cs="Times New Roman"/>
                <w:color w:val="auto"/>
                <w:sz w:val="21"/>
                <w:szCs w:val="21"/>
                <w:highlight w:val="none"/>
                <w:lang w:eastAsia="zh-CN"/>
              </w:rPr>
              <w:t xml:space="preserve">滁州市兴全矿业投资有限公司 </w:t>
            </w:r>
            <w:r>
              <w:rPr>
                <w:rFonts w:hint="eastAsia" w:ascii="宋体" w:hAnsi="宋体" w:cs="宋体"/>
                <w:color w:val="auto"/>
                <w:szCs w:val="21"/>
                <w:highlight w:val="none"/>
              </w:rPr>
              <w:t xml:space="preserve"> </w:t>
            </w:r>
          </w:p>
        </w:tc>
      </w:tr>
      <w:tr w14:paraId="3BB7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E5E11A5">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8313" w:type="dxa"/>
            <w:noWrap w:val="0"/>
            <w:vAlign w:val="center"/>
          </w:tcPr>
          <w:p w14:paraId="239DE6E1">
            <w:pPr>
              <w:widowControl/>
              <w:spacing w:line="560" w:lineRule="exact"/>
              <w:jc w:val="left"/>
              <w:rPr>
                <w:rFonts w:hint="eastAsia" w:ascii="宋体" w:hAnsi="宋体" w:cs="宋体"/>
                <w:color w:val="auto"/>
                <w:szCs w:val="21"/>
                <w:highlight w:val="none"/>
              </w:rPr>
            </w:pPr>
            <w:r>
              <w:rPr>
                <w:rFonts w:hint="eastAsia" w:ascii="Times New Roman" w:hAnsi="Times New Roman" w:eastAsia="微软雅黑" w:cs="Times New Roman"/>
                <w:color w:val="auto"/>
                <w:sz w:val="21"/>
                <w:szCs w:val="21"/>
                <w:highlight w:val="none"/>
                <w:lang w:val="en-US" w:eastAsia="zh-CN"/>
              </w:rPr>
              <w:t>自筹资金</w:t>
            </w:r>
            <w:r>
              <w:rPr>
                <w:rFonts w:hint="eastAsia" w:ascii="宋体" w:hAnsi="宋体" w:cs="宋体"/>
                <w:color w:val="auto"/>
                <w:szCs w:val="21"/>
                <w:highlight w:val="none"/>
              </w:rPr>
              <w:t xml:space="preserve"> </w:t>
            </w:r>
          </w:p>
        </w:tc>
      </w:tr>
      <w:tr w14:paraId="2434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E8D53E2">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8313" w:type="dxa"/>
            <w:noWrap w:val="0"/>
            <w:vAlign w:val="center"/>
          </w:tcPr>
          <w:p w14:paraId="08993343">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 xml:space="preserve"> </w:t>
            </w:r>
          </w:p>
        </w:tc>
      </w:tr>
      <w:tr w14:paraId="2203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45DC041">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8313" w:type="dxa"/>
            <w:noWrap w:val="0"/>
            <w:vAlign w:val="center"/>
          </w:tcPr>
          <w:p w14:paraId="46BAB1CF">
            <w:pPr>
              <w:widowControl/>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公开招标</w:t>
            </w:r>
            <w:r>
              <w:rPr>
                <w:rFonts w:hint="eastAsia" w:ascii="宋体" w:hAnsi="宋体" w:cs="宋体"/>
                <w:color w:val="auto"/>
                <w:szCs w:val="21"/>
                <w:highlight w:val="none"/>
              </w:rPr>
              <w:t xml:space="preserve"> </w:t>
            </w:r>
          </w:p>
        </w:tc>
      </w:tr>
      <w:tr w14:paraId="3BCC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5848F07">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8313" w:type="dxa"/>
            <w:noWrap w:val="0"/>
            <w:vAlign w:val="center"/>
          </w:tcPr>
          <w:p w14:paraId="76F57F3F">
            <w:pPr>
              <w:widowControl/>
              <w:spacing w:line="560" w:lineRule="exact"/>
              <w:jc w:val="left"/>
              <w:rPr>
                <w:rFonts w:hint="eastAsia" w:ascii="宋体" w:hAnsi="宋体" w:cs="宋体"/>
                <w:color w:val="auto"/>
                <w:szCs w:val="21"/>
                <w:highlight w:val="none"/>
              </w:rPr>
            </w:pPr>
            <w:r>
              <w:rPr>
                <w:rFonts w:hint="eastAsia" w:ascii="宋体" w:hAnsi="宋体" w:eastAsia="宋体" w:cs="宋体"/>
                <w:color w:val="auto"/>
                <w:szCs w:val="21"/>
                <w:highlight w:val="none"/>
                <w:lang w:val="en-US" w:eastAsia="zh-CN"/>
              </w:rPr>
              <w:t>综合评估法</w:t>
            </w:r>
            <w:r>
              <w:rPr>
                <w:rFonts w:hint="eastAsia" w:ascii="宋体" w:hAnsi="宋体" w:cs="宋体"/>
                <w:color w:val="auto"/>
                <w:szCs w:val="21"/>
                <w:highlight w:val="none"/>
              </w:rPr>
              <w:t xml:space="preserve">  </w:t>
            </w:r>
          </w:p>
        </w:tc>
      </w:tr>
      <w:tr w14:paraId="329F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7AF77549">
            <w:pPr>
              <w:widowControl/>
              <w:spacing w:line="560" w:lineRule="exact"/>
              <w:jc w:val="center"/>
              <w:rPr>
                <w:rFonts w:ascii="宋体" w:cs="宋体"/>
                <w:color w:val="auto"/>
                <w:szCs w:val="21"/>
                <w:highlight w:val="none"/>
              </w:rPr>
            </w:pPr>
            <w:r>
              <w:rPr>
                <w:rFonts w:hint="eastAsia" w:ascii="宋体" w:hAnsi="宋体" w:cs="宋体"/>
                <w:b/>
                <w:bCs/>
                <w:color w:val="auto"/>
                <w:sz w:val="24"/>
                <w:highlight w:val="none"/>
              </w:rPr>
              <w:t>项目概况与招标范围</w:t>
            </w:r>
          </w:p>
        </w:tc>
      </w:tr>
      <w:tr w14:paraId="44AF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1973784">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8313" w:type="dxa"/>
            <w:noWrap w:val="0"/>
            <w:vAlign w:val="center"/>
          </w:tcPr>
          <w:p w14:paraId="2CEBB30D">
            <w:pPr>
              <w:widowControl/>
              <w:spacing w:line="560" w:lineRule="exact"/>
              <w:jc w:val="left"/>
              <w:rPr>
                <w:color w:val="auto"/>
                <w:szCs w:val="21"/>
                <w:highlight w:val="none"/>
              </w:rPr>
            </w:pPr>
            <w:r>
              <w:rPr>
                <w:rFonts w:hint="eastAsia" w:ascii="Times New Roman" w:hAnsi="Times New Roman" w:eastAsia="微软雅黑" w:cs="Times New Roman"/>
                <w:color w:val="auto"/>
                <w:sz w:val="21"/>
                <w:szCs w:val="21"/>
                <w:highlight w:val="none"/>
                <w:lang w:eastAsia="zh-CN"/>
              </w:rPr>
              <w:t>兴全矿业骨料加工厂新能源充电桩项目（二次）</w:t>
            </w:r>
            <w:r>
              <w:rPr>
                <w:rFonts w:hint="eastAsia"/>
                <w:color w:val="auto"/>
                <w:szCs w:val="21"/>
                <w:highlight w:val="none"/>
              </w:rPr>
              <w:t xml:space="preserve">  </w:t>
            </w:r>
          </w:p>
        </w:tc>
      </w:tr>
      <w:tr w14:paraId="0E73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0E0FF89">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招标项目编号</w:t>
            </w:r>
          </w:p>
        </w:tc>
        <w:tc>
          <w:tcPr>
            <w:tcW w:w="8313" w:type="dxa"/>
            <w:noWrap w:val="0"/>
            <w:vAlign w:val="center"/>
          </w:tcPr>
          <w:p w14:paraId="5DD1C725">
            <w:pPr>
              <w:widowControl/>
              <w:spacing w:line="560" w:lineRule="exact"/>
              <w:jc w:val="left"/>
              <w:rPr>
                <w:rFonts w:hint="eastAsia" w:ascii="Times New Roman" w:hAnsi="Times New Roman" w:eastAsia="微软雅黑" w:cs="Times New Roman"/>
                <w:color w:val="auto"/>
                <w:sz w:val="21"/>
                <w:szCs w:val="21"/>
                <w:highlight w:val="none"/>
                <w:lang w:eastAsia="zh-CN"/>
              </w:rPr>
            </w:pPr>
            <w:r>
              <w:rPr>
                <w:rFonts w:hint="default" w:ascii="Times New Roman" w:hAnsi="Times New Roman" w:eastAsia="微软雅黑" w:cs="Times New Roman"/>
                <w:color w:val="auto"/>
                <w:sz w:val="21"/>
                <w:szCs w:val="21"/>
                <w:highlight w:val="none"/>
                <w:lang w:eastAsia="zh-CN"/>
              </w:rPr>
              <w:t>czqjgc202601-005</w:t>
            </w:r>
            <w:r>
              <w:rPr>
                <w:rFonts w:hint="eastAsia" w:ascii="Times New Roman" w:hAnsi="Times New Roman" w:eastAsia="微软雅黑" w:cs="Times New Roman"/>
                <w:color w:val="auto"/>
                <w:sz w:val="21"/>
                <w:szCs w:val="21"/>
                <w:highlight w:val="none"/>
                <w:lang w:eastAsia="zh-CN"/>
              </w:rPr>
              <w:t xml:space="preserve"> </w:t>
            </w:r>
          </w:p>
        </w:tc>
      </w:tr>
      <w:tr w14:paraId="553F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37086AA">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8313" w:type="dxa"/>
            <w:noWrap w:val="0"/>
            <w:vAlign w:val="center"/>
          </w:tcPr>
          <w:p w14:paraId="4A18FF7E">
            <w:pPr>
              <w:widowControl/>
              <w:spacing w:line="560" w:lineRule="exact"/>
              <w:jc w:val="left"/>
              <w:rPr>
                <w:rFonts w:hint="eastAsia" w:ascii="Times New Roman" w:hAnsi="Times New Roman" w:eastAsia="微软雅黑" w:cs="Times New Roman"/>
                <w:color w:val="auto"/>
                <w:sz w:val="21"/>
                <w:szCs w:val="21"/>
                <w:highlight w:val="none"/>
                <w:lang w:eastAsia="zh-CN"/>
              </w:rPr>
            </w:pPr>
            <w:r>
              <w:rPr>
                <w:rFonts w:hint="eastAsia" w:ascii="Times New Roman" w:hAnsi="Times New Roman" w:eastAsia="微软雅黑" w:cs="Times New Roman"/>
                <w:color w:val="auto"/>
                <w:sz w:val="21"/>
                <w:szCs w:val="21"/>
                <w:highlight w:val="none"/>
                <w:lang w:val="en-US" w:eastAsia="zh-CN"/>
              </w:rPr>
              <w:t>一个标段</w:t>
            </w:r>
            <w:r>
              <w:rPr>
                <w:rFonts w:hint="eastAsia" w:ascii="Times New Roman" w:hAnsi="Times New Roman" w:eastAsia="微软雅黑" w:cs="Times New Roman"/>
                <w:color w:val="auto"/>
                <w:sz w:val="21"/>
                <w:szCs w:val="21"/>
                <w:highlight w:val="none"/>
                <w:lang w:eastAsia="zh-CN"/>
              </w:rPr>
              <w:t xml:space="preserve">  </w:t>
            </w:r>
          </w:p>
        </w:tc>
      </w:tr>
      <w:tr w14:paraId="6F34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02276E4">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招标项目标段编号</w:t>
            </w:r>
          </w:p>
        </w:tc>
        <w:tc>
          <w:tcPr>
            <w:tcW w:w="8313" w:type="dxa"/>
            <w:noWrap w:val="0"/>
            <w:vAlign w:val="center"/>
          </w:tcPr>
          <w:p w14:paraId="3E005D01">
            <w:pPr>
              <w:widowControl/>
              <w:spacing w:line="560" w:lineRule="exact"/>
              <w:jc w:val="left"/>
              <w:rPr>
                <w:rFonts w:hint="eastAsia" w:ascii="Times New Roman" w:hAnsi="Times New Roman" w:eastAsia="微软雅黑" w:cs="Times New Roman"/>
                <w:color w:val="auto"/>
                <w:sz w:val="21"/>
                <w:szCs w:val="21"/>
                <w:highlight w:val="none"/>
                <w:lang w:eastAsia="zh-CN"/>
              </w:rPr>
            </w:pPr>
            <w:r>
              <w:rPr>
                <w:rFonts w:hint="default" w:ascii="Times New Roman" w:hAnsi="Times New Roman" w:eastAsia="微软雅黑" w:cs="Times New Roman"/>
                <w:color w:val="auto"/>
                <w:sz w:val="21"/>
                <w:szCs w:val="21"/>
                <w:highlight w:val="none"/>
                <w:lang w:eastAsia="zh-CN"/>
              </w:rPr>
              <w:t>czqjgc202601-005</w:t>
            </w:r>
            <w:r>
              <w:rPr>
                <w:rFonts w:hint="eastAsia" w:ascii="Times New Roman" w:hAnsi="Times New Roman" w:eastAsia="微软雅黑" w:cs="Times New Roman"/>
                <w:color w:val="auto"/>
                <w:sz w:val="21"/>
                <w:szCs w:val="21"/>
                <w:highlight w:val="none"/>
                <w:lang w:val="en-US" w:eastAsia="zh-CN"/>
              </w:rPr>
              <w:t>-01</w:t>
            </w:r>
            <w:r>
              <w:rPr>
                <w:rFonts w:hint="eastAsia" w:ascii="Times New Roman" w:hAnsi="Times New Roman" w:eastAsia="微软雅黑" w:cs="Times New Roman"/>
                <w:color w:val="auto"/>
                <w:sz w:val="21"/>
                <w:szCs w:val="21"/>
                <w:highlight w:val="none"/>
                <w:lang w:eastAsia="zh-CN"/>
              </w:rPr>
              <w:t xml:space="preserve"> </w:t>
            </w:r>
          </w:p>
        </w:tc>
      </w:tr>
      <w:tr w14:paraId="65C3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50959D5">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8313" w:type="dxa"/>
            <w:noWrap w:val="0"/>
            <w:vAlign w:val="center"/>
          </w:tcPr>
          <w:p w14:paraId="4856F96D">
            <w:pPr>
              <w:widowControl/>
              <w:spacing w:line="560" w:lineRule="exact"/>
              <w:jc w:val="left"/>
              <w:rPr>
                <w:color w:val="auto"/>
                <w:szCs w:val="21"/>
                <w:highlight w:val="none"/>
              </w:rPr>
            </w:pPr>
            <w:r>
              <w:rPr>
                <w:rFonts w:hint="default" w:ascii="Times New Roman" w:hAnsi="Times New Roman" w:eastAsia="微软雅黑" w:cs="Times New Roman"/>
                <w:color w:val="auto"/>
                <w:sz w:val="21"/>
                <w:szCs w:val="21"/>
                <w:highlight w:val="none"/>
              </w:rPr>
              <w:t>滁州市全椒县六镇镇兴全矿业骨料加工厂内</w:t>
            </w:r>
            <w:r>
              <w:rPr>
                <w:rFonts w:hint="eastAsia" w:ascii="Times New Roman" w:hAnsi="Times New Roman" w:eastAsia="微软雅黑" w:cs="Times New Roman"/>
                <w:color w:val="auto"/>
                <w:sz w:val="21"/>
                <w:szCs w:val="21"/>
                <w:highlight w:val="none"/>
              </w:rPr>
              <w:t xml:space="preserve"> </w:t>
            </w:r>
          </w:p>
        </w:tc>
      </w:tr>
      <w:tr w14:paraId="7BB4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ED399F5">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8313" w:type="dxa"/>
            <w:noWrap w:val="0"/>
            <w:vAlign w:val="center"/>
          </w:tcPr>
          <w:p w14:paraId="25FBE8FC">
            <w:pPr>
              <w:spacing w:line="240" w:lineRule="auto"/>
              <w:jc w:val="left"/>
              <w:rPr>
                <w:color w:val="auto"/>
                <w:szCs w:val="21"/>
                <w:highlight w:val="none"/>
              </w:rPr>
            </w:pPr>
            <w:r>
              <w:rPr>
                <w:rFonts w:hint="default" w:ascii="Times New Roman" w:hAnsi="Times New Roman" w:eastAsia="微软雅黑" w:cs="Times New Roman"/>
                <w:color w:val="auto"/>
                <w:sz w:val="21"/>
                <w:szCs w:val="21"/>
                <w:highlight w:val="none"/>
              </w:rPr>
              <w:t>本工程建设地点位于滁州市全椒县六镇镇兴全矿业骨料加工厂内，投资建设35KV变压器及成套配电柜，一路引至卸料平台供电动矿卡专项使用，一路引至加工厂北侧地块供新能源重卡运输车辆及小型汽车使用，新建不少于18个400KW的快速充电桩。充电桩建设发包内容包括但不限于：</w:t>
            </w:r>
            <w:r>
              <w:rPr>
                <w:rFonts w:hint="eastAsia" w:ascii="Times New Roman" w:hAnsi="Times New Roman" w:eastAsia="微软雅黑" w:cs="Times New Roman"/>
                <w:color w:val="auto"/>
                <w:sz w:val="21"/>
                <w:szCs w:val="21"/>
                <w:highlight w:val="none"/>
                <w:lang w:val="en-US" w:eastAsia="zh-CN"/>
              </w:rPr>
              <w:t>35KV变电站增容、10KV配电工程、电缆采购与敷设、充电桩安装调试、电气系统试验及配套附属设施等，具体以招标清单及设计图纸为准。</w:t>
            </w:r>
            <w:r>
              <w:rPr>
                <w:rFonts w:hint="eastAsia"/>
                <w:color w:val="auto"/>
                <w:szCs w:val="21"/>
                <w:highlight w:val="none"/>
              </w:rPr>
              <w:t xml:space="preserve">  </w:t>
            </w:r>
          </w:p>
        </w:tc>
      </w:tr>
      <w:tr w14:paraId="3B64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44CFE47">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8313" w:type="dxa"/>
            <w:noWrap w:val="0"/>
            <w:vAlign w:val="center"/>
          </w:tcPr>
          <w:p w14:paraId="52392BD6">
            <w:pPr>
              <w:widowControl/>
              <w:spacing w:line="560" w:lineRule="exact"/>
              <w:jc w:val="left"/>
              <w:rPr>
                <w:color w:val="auto"/>
                <w:szCs w:val="21"/>
                <w:highlight w:val="none"/>
              </w:rPr>
            </w:pPr>
            <w:r>
              <w:rPr>
                <w:rFonts w:hint="eastAsia" w:ascii="Times New Roman" w:hAnsi="Times New Roman" w:eastAsia="宋体" w:cs="Times New Roman"/>
                <w:color w:val="auto"/>
                <w:szCs w:val="21"/>
                <w:highlight w:val="none"/>
                <w:lang w:val="en-US" w:eastAsia="zh-CN"/>
              </w:rPr>
              <w:t>6</w:t>
            </w:r>
            <w:r>
              <w:rPr>
                <w:rFonts w:hint="eastAsia" w:cs="Times New Roman"/>
                <w:color w:val="auto"/>
                <w:szCs w:val="21"/>
                <w:highlight w:val="none"/>
                <w:lang w:val="en-US" w:eastAsia="zh-CN"/>
              </w:rPr>
              <w:t>30万</w:t>
            </w:r>
            <w:r>
              <w:rPr>
                <w:rFonts w:hint="eastAsia" w:ascii="Times New Roman" w:hAnsi="Times New Roman" w:eastAsia="宋体" w:cs="Times New Roman"/>
                <w:color w:val="auto"/>
                <w:szCs w:val="21"/>
                <w:highlight w:val="none"/>
                <w:lang w:val="en-US" w:eastAsia="zh-CN"/>
              </w:rPr>
              <w:t xml:space="preserve">元 </w:t>
            </w:r>
          </w:p>
        </w:tc>
      </w:tr>
      <w:tr w14:paraId="6981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5C4286F">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8313" w:type="dxa"/>
            <w:noWrap w:val="0"/>
            <w:vAlign w:val="center"/>
          </w:tcPr>
          <w:p w14:paraId="0B42D2FE">
            <w:pPr>
              <w:widowControl/>
              <w:spacing w:line="560" w:lineRule="exact"/>
              <w:jc w:val="left"/>
              <w:rPr>
                <w:color w:val="auto"/>
                <w:szCs w:val="21"/>
                <w:highlight w:val="none"/>
              </w:rPr>
            </w:pPr>
            <w:r>
              <w:rPr>
                <w:rFonts w:hint="eastAsia"/>
                <w:color w:val="auto"/>
                <w:szCs w:val="21"/>
                <w:highlight w:val="none"/>
                <w:lang w:val="en-US" w:eastAsia="zh-CN"/>
              </w:rPr>
              <w:t>详见招标文件</w:t>
            </w:r>
            <w:r>
              <w:rPr>
                <w:rFonts w:hint="eastAsia"/>
                <w:color w:val="auto"/>
                <w:szCs w:val="21"/>
                <w:highlight w:val="none"/>
              </w:rPr>
              <w:t xml:space="preserve">  </w:t>
            </w:r>
          </w:p>
        </w:tc>
      </w:tr>
      <w:tr w14:paraId="67FC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D61D7ED">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8313" w:type="dxa"/>
            <w:noWrap w:val="0"/>
            <w:vAlign w:val="center"/>
          </w:tcPr>
          <w:p w14:paraId="7BB05AF5">
            <w:pPr>
              <w:widowControl/>
              <w:spacing w:line="560" w:lineRule="exact"/>
              <w:jc w:val="left"/>
              <w:rPr>
                <w:color w:val="auto"/>
                <w:szCs w:val="21"/>
                <w:highlight w:val="none"/>
              </w:rPr>
            </w:pPr>
            <w:r>
              <w:rPr>
                <w:rFonts w:hint="eastAsia" w:ascii="宋体" w:hAnsi="宋体" w:cs="宋体"/>
                <w:color w:val="auto"/>
                <w:szCs w:val="21"/>
                <w:highlight w:val="none"/>
                <w:lang w:val="en-US" w:eastAsia="zh-CN"/>
              </w:rPr>
              <w:t>本工程施工图纸和工程量清单中的所有内容</w:t>
            </w:r>
            <w:r>
              <w:rPr>
                <w:rFonts w:hint="eastAsia"/>
                <w:color w:val="auto"/>
                <w:szCs w:val="21"/>
                <w:highlight w:val="none"/>
              </w:rPr>
              <w:t xml:space="preserve"> </w:t>
            </w:r>
          </w:p>
        </w:tc>
      </w:tr>
      <w:tr w14:paraId="7B4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57A2804">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8313" w:type="dxa"/>
            <w:noWrap w:val="0"/>
            <w:vAlign w:val="center"/>
          </w:tcPr>
          <w:p w14:paraId="1E00F06E">
            <w:pPr>
              <w:widowControl/>
              <w:spacing w:line="560" w:lineRule="exact"/>
              <w:jc w:val="left"/>
              <w:rPr>
                <w:color w:val="auto"/>
                <w:szCs w:val="21"/>
                <w:highlight w:val="none"/>
              </w:rPr>
            </w:pPr>
            <w:r>
              <w:rPr>
                <w:rFonts w:hint="eastAsia" w:ascii="宋体" w:hAnsi="宋体" w:eastAsia="宋体" w:cs="宋体"/>
                <w:color w:val="auto"/>
                <w:kern w:val="0"/>
                <w:szCs w:val="21"/>
                <w:highlight w:val="none"/>
                <w:lang w:val="en-US" w:eastAsia="zh-CN"/>
              </w:rPr>
              <w:t>电力工程</w:t>
            </w:r>
            <w:r>
              <w:rPr>
                <w:rFonts w:hint="eastAsia"/>
                <w:color w:val="auto"/>
                <w:szCs w:val="21"/>
                <w:highlight w:val="none"/>
              </w:rPr>
              <w:t xml:space="preserve">  </w:t>
            </w:r>
          </w:p>
        </w:tc>
      </w:tr>
      <w:tr w14:paraId="34CC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095593C">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w:t>
            </w:r>
          </w:p>
        </w:tc>
        <w:tc>
          <w:tcPr>
            <w:tcW w:w="8313" w:type="dxa"/>
            <w:noWrap w:val="0"/>
            <w:vAlign w:val="center"/>
          </w:tcPr>
          <w:p w14:paraId="6A736DE2">
            <w:pPr>
              <w:widowControl/>
              <w:spacing w:line="560" w:lineRule="exact"/>
              <w:jc w:val="left"/>
              <w:rPr>
                <w:color w:val="auto"/>
                <w:szCs w:val="21"/>
                <w:highlight w:val="none"/>
              </w:rPr>
            </w:pPr>
            <w:r>
              <w:rPr>
                <w:rFonts w:hint="eastAsia"/>
                <w:color w:val="auto"/>
                <w:szCs w:val="21"/>
                <w:highlight w:val="none"/>
                <w:lang w:val="en-US" w:eastAsia="zh-CN"/>
              </w:rPr>
              <w:t>/</w:t>
            </w:r>
          </w:p>
        </w:tc>
      </w:tr>
      <w:tr w14:paraId="0C58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0F8068E3">
            <w:pPr>
              <w:widowControl/>
              <w:spacing w:line="560" w:lineRule="exact"/>
              <w:jc w:val="center"/>
              <w:rPr>
                <w:b/>
                <w:color w:val="auto"/>
                <w:sz w:val="24"/>
                <w:highlight w:val="none"/>
              </w:rPr>
            </w:pPr>
            <w:r>
              <w:rPr>
                <w:rFonts w:hint="eastAsia"/>
                <w:b/>
                <w:color w:val="auto"/>
                <w:sz w:val="24"/>
                <w:highlight w:val="none"/>
              </w:rPr>
              <w:t>投标人资格要求</w:t>
            </w:r>
          </w:p>
        </w:tc>
      </w:tr>
      <w:tr w14:paraId="2621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1E2863F">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投标人资质条件</w:t>
            </w:r>
          </w:p>
        </w:tc>
        <w:tc>
          <w:tcPr>
            <w:tcW w:w="8313" w:type="dxa"/>
            <w:noWrap w:val="0"/>
            <w:vAlign w:val="center"/>
          </w:tcPr>
          <w:p w14:paraId="25D7DFDE">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color w:val="auto"/>
                <w:szCs w:val="21"/>
                <w:highlight w:val="none"/>
              </w:rPr>
              <w:t>投标人须具备</w:t>
            </w:r>
            <w:r>
              <w:rPr>
                <w:rFonts w:hint="eastAsia" w:ascii="宋体" w:hAnsi="宋体" w:eastAsia="宋体" w:cs="宋体"/>
                <w:color w:val="auto"/>
                <w:sz w:val="21"/>
                <w:szCs w:val="21"/>
                <w:highlight w:val="none"/>
                <w:lang w:val="en-US" w:eastAsia="zh-CN"/>
              </w:rPr>
              <w:t>同时满足下列要求：</w:t>
            </w:r>
          </w:p>
          <w:p w14:paraId="74FACF24">
            <w:pPr>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①具备电力工程施工总承包叁级（或以上）资质，并具有有效的安全生产许可证；</w:t>
            </w:r>
          </w:p>
          <w:p w14:paraId="51765E70">
            <w:pPr>
              <w:widowControl/>
              <w:spacing w:line="560" w:lineRule="exact"/>
              <w:jc w:val="left"/>
              <w:rPr>
                <w:color w:val="auto"/>
                <w:szCs w:val="21"/>
                <w:highlight w:val="none"/>
              </w:rPr>
            </w:pPr>
            <w:r>
              <w:rPr>
                <w:rFonts w:hint="eastAsia" w:ascii="宋体" w:hAnsi="宋体" w:eastAsia="宋体" w:cs="宋体"/>
                <w:color w:val="auto"/>
                <w:sz w:val="21"/>
                <w:szCs w:val="21"/>
                <w:highlight w:val="none"/>
                <w:lang w:val="en-US" w:eastAsia="zh-CN"/>
              </w:rPr>
              <w:t>②具备电力主管部门颁发的承装、承修、承试</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val="en-US" w:eastAsia="zh-CN"/>
              </w:rPr>
              <w:t>级（或以上）电力设施许可证</w:t>
            </w:r>
            <w:r>
              <w:rPr>
                <w:rFonts w:hint="eastAsia"/>
                <w:color w:val="auto"/>
                <w:szCs w:val="21"/>
                <w:highlight w:val="none"/>
              </w:rPr>
              <w:t>。</w:t>
            </w:r>
          </w:p>
        </w:tc>
      </w:tr>
      <w:tr w14:paraId="7300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6D4BDC7">
            <w:pPr>
              <w:widowControl/>
              <w:spacing w:line="560" w:lineRule="exact"/>
              <w:jc w:val="center"/>
              <w:rPr>
                <w:rFonts w:hint="eastAsia" w:ascii="宋体" w:hAnsi="宋体" w:cs="宋体"/>
                <w:color w:val="auto"/>
                <w:kern w:val="0"/>
                <w:szCs w:val="21"/>
                <w:highlight w:val="none"/>
              </w:rPr>
            </w:pPr>
            <w:r>
              <w:rPr>
                <w:rFonts w:hint="eastAsia" w:ascii="宋体" w:hAnsi="宋体" w:cs="宋体"/>
                <w:bCs/>
                <w:snapToGrid w:val="0"/>
                <w:color w:val="auto"/>
                <w:kern w:val="0"/>
                <w:szCs w:val="21"/>
                <w:highlight w:val="none"/>
              </w:rPr>
              <w:t>项目经理资格要求</w:t>
            </w:r>
          </w:p>
        </w:tc>
        <w:tc>
          <w:tcPr>
            <w:tcW w:w="8313" w:type="dxa"/>
            <w:noWrap w:val="0"/>
            <w:vAlign w:val="center"/>
          </w:tcPr>
          <w:p w14:paraId="72D6565B">
            <w:pPr>
              <w:widowControl/>
              <w:spacing w:line="560" w:lineRule="exact"/>
              <w:jc w:val="left"/>
              <w:rPr>
                <w:color w:val="auto"/>
                <w:szCs w:val="21"/>
                <w:highlight w:val="none"/>
              </w:rPr>
            </w:pPr>
            <w:r>
              <w:rPr>
                <w:rFonts w:hint="eastAsia"/>
                <w:color w:val="auto"/>
                <w:szCs w:val="21"/>
                <w:highlight w:val="none"/>
              </w:rPr>
              <w:t>投标人拟委任项目经理须具备</w:t>
            </w:r>
            <w:r>
              <w:rPr>
                <w:rFonts w:hint="eastAsia" w:ascii="宋体" w:hAnsi="宋体" w:eastAsia="宋体" w:cs="宋体"/>
                <w:color w:val="auto"/>
                <w:szCs w:val="21"/>
                <w:highlight w:val="none"/>
                <w:u w:val="single"/>
              </w:rPr>
              <w:t>注册在投标单位的</w:t>
            </w:r>
            <w:r>
              <w:rPr>
                <w:rFonts w:hint="eastAsia" w:ascii="宋体" w:hAnsi="宋体" w:eastAsia="宋体" w:cs="宋体"/>
                <w:color w:val="auto"/>
                <w:szCs w:val="21"/>
                <w:highlight w:val="none"/>
                <w:u w:val="single"/>
                <w:lang w:val="en-US" w:eastAsia="zh-CN"/>
              </w:rPr>
              <w:t>机电工程</w:t>
            </w:r>
            <w:r>
              <w:rPr>
                <w:rFonts w:hint="eastAsia" w:ascii="宋体" w:hAnsi="宋体" w:eastAsia="宋体" w:cs="宋体"/>
                <w:color w:val="auto"/>
                <w:szCs w:val="21"/>
                <w:highlight w:val="none"/>
                <w:u w:val="single"/>
              </w:rPr>
              <w:t>二级</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或</w:t>
            </w:r>
            <w:r>
              <w:rPr>
                <w:rFonts w:hint="eastAsia" w:ascii="宋体" w:hAnsi="宋体" w:eastAsia="宋体" w:cs="宋体"/>
                <w:color w:val="auto"/>
                <w:szCs w:val="21"/>
                <w:highlight w:val="none"/>
                <w:u w:val="single"/>
              </w:rPr>
              <w:t>以上</w:t>
            </w:r>
            <w:r>
              <w:rPr>
                <w:rFonts w:hint="eastAsia" w:ascii="宋体" w:hAnsi="宋体" w:eastAsia="宋体" w:cs="宋体"/>
                <w:color w:val="auto"/>
                <w:szCs w:val="21"/>
                <w:highlight w:val="none"/>
                <w:u w:val="single"/>
                <w:lang w:eastAsia="zh-CN"/>
              </w:rPr>
              <w:t>）</w:t>
            </w:r>
            <w:r>
              <w:rPr>
                <w:rFonts w:hint="eastAsia"/>
                <w:color w:val="auto"/>
                <w:szCs w:val="21"/>
                <w:highlight w:val="none"/>
              </w:rPr>
              <w:t>注册建造师资格，具备有效的安全生产考核合格(B类)证书。</w:t>
            </w:r>
            <w:bookmarkStart w:id="12" w:name="OLE_LINK34"/>
            <w:bookmarkStart w:id="13" w:name="OLE_LINK33"/>
            <w:r>
              <w:rPr>
                <w:rFonts w:hint="eastAsia"/>
                <w:color w:val="auto"/>
                <w:szCs w:val="21"/>
                <w:highlight w:val="none"/>
              </w:rPr>
              <w:t>本项目不接受投标截止时间前六个月内在滁州市区域内办理过项目经理（建造师）变更备案手续的原项目经理（建造师）作为拟任项目经理（建造师）参加投标。</w:t>
            </w:r>
            <w:bookmarkEnd w:id="12"/>
            <w:bookmarkEnd w:id="13"/>
          </w:p>
        </w:tc>
      </w:tr>
      <w:tr w14:paraId="5BC8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B5047F4">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8313" w:type="dxa"/>
            <w:noWrap w:val="0"/>
            <w:vAlign w:val="center"/>
          </w:tcPr>
          <w:p w14:paraId="5C132799">
            <w:pPr>
              <w:widowControl/>
              <w:spacing w:line="560" w:lineRule="exact"/>
              <w:jc w:val="left"/>
              <w:rPr>
                <w:color w:val="auto"/>
                <w:szCs w:val="21"/>
                <w:highlight w:val="none"/>
              </w:rPr>
            </w:pPr>
            <w:r>
              <w:rPr>
                <w:rFonts w:hint="eastAsia"/>
                <w:color w:val="auto"/>
                <w:szCs w:val="21"/>
                <w:highlight w:val="none"/>
              </w:rPr>
              <w:t>1、</w:t>
            </w:r>
            <w:bookmarkStart w:id="14" w:name="OLE_LINK35"/>
            <w:bookmarkStart w:id="15" w:name="OLE_LINK36"/>
            <w:r>
              <w:rPr>
                <w:rFonts w:hint="eastAsia"/>
                <w:color w:val="auto"/>
                <w:szCs w:val="21"/>
                <w:highlight w:val="none"/>
              </w:rPr>
              <w:t>投标人存在以下情形之一的，不得被确定为中标人：</w:t>
            </w:r>
          </w:p>
          <w:p w14:paraId="00E99325">
            <w:pPr>
              <w:widowControl/>
              <w:spacing w:line="560" w:lineRule="exact"/>
              <w:jc w:val="left"/>
              <w:rPr>
                <w:rFonts w:hint="eastAsia"/>
                <w:color w:val="auto"/>
                <w:szCs w:val="21"/>
                <w:highlight w:val="none"/>
              </w:rPr>
            </w:pPr>
            <w:r>
              <w:rPr>
                <w:rFonts w:hint="eastAsia"/>
                <w:color w:val="auto"/>
                <w:szCs w:val="21"/>
                <w:highlight w:val="none"/>
              </w:rPr>
              <w:t>①被列入“信用中国”网站“失信被执行人”的;</w:t>
            </w:r>
          </w:p>
          <w:p w14:paraId="390BD017">
            <w:pPr>
              <w:widowControl/>
              <w:spacing w:line="560" w:lineRule="exact"/>
              <w:jc w:val="left"/>
              <w:rPr>
                <w:rFonts w:hint="eastAsia"/>
                <w:color w:val="auto"/>
                <w:szCs w:val="21"/>
                <w:highlight w:val="none"/>
              </w:rPr>
            </w:pPr>
            <w:r>
              <w:rPr>
                <w:rFonts w:hint="eastAsia"/>
                <w:color w:val="auto"/>
                <w:szCs w:val="21"/>
                <w:highlight w:val="none"/>
              </w:rPr>
              <w:t>②被列入“信用中国”网站“重大税收违法失信主体”的；</w:t>
            </w:r>
          </w:p>
          <w:p w14:paraId="5DB1FBCA">
            <w:pPr>
              <w:widowControl/>
              <w:spacing w:line="560" w:lineRule="exact"/>
              <w:jc w:val="left"/>
              <w:rPr>
                <w:rFonts w:hint="eastAsia"/>
                <w:color w:val="auto"/>
                <w:szCs w:val="21"/>
                <w:highlight w:val="none"/>
              </w:rPr>
            </w:pPr>
            <w:r>
              <w:rPr>
                <w:rFonts w:hint="eastAsia"/>
                <w:color w:val="auto"/>
                <w:szCs w:val="21"/>
                <w:highlight w:val="none"/>
              </w:rPr>
              <w:t>③被列入“信用中国”网站“拖欠农民工工资失信联合惩戒对象名单”的；</w:t>
            </w:r>
          </w:p>
          <w:p w14:paraId="77E99074">
            <w:pPr>
              <w:widowControl/>
              <w:spacing w:line="560" w:lineRule="exact"/>
              <w:jc w:val="left"/>
              <w:rPr>
                <w:rFonts w:hint="eastAsia"/>
                <w:color w:val="auto"/>
                <w:szCs w:val="21"/>
                <w:highlight w:val="none"/>
              </w:rPr>
            </w:pPr>
            <w:r>
              <w:rPr>
                <w:rFonts w:hint="eastAsia"/>
                <w:color w:val="auto"/>
                <w:szCs w:val="21"/>
                <w:highlight w:val="none"/>
              </w:rPr>
              <w:t>④被列入“信用中国”网站 “严重失信主体名单”的；</w:t>
            </w:r>
          </w:p>
          <w:p w14:paraId="7CC3661C">
            <w:pPr>
              <w:widowControl/>
              <w:spacing w:line="560" w:lineRule="exact"/>
              <w:jc w:val="left"/>
              <w:rPr>
                <w:rFonts w:hint="eastAsia"/>
                <w:color w:val="auto"/>
                <w:szCs w:val="21"/>
                <w:highlight w:val="none"/>
              </w:rPr>
            </w:pPr>
            <w:r>
              <w:rPr>
                <w:rFonts w:hint="eastAsia"/>
                <w:color w:val="auto"/>
                <w:szCs w:val="21"/>
                <w:highlight w:val="none"/>
              </w:rPr>
              <w:t>⑤在“信用中国”网站上披露的仍在公示期的严重失信行为(具体行为类别及判定依据见附件2)的。</w:t>
            </w:r>
          </w:p>
          <w:p w14:paraId="0033ED9F">
            <w:pPr>
              <w:widowControl/>
              <w:spacing w:line="560" w:lineRule="exact"/>
              <w:jc w:val="left"/>
              <w:rPr>
                <w:rFonts w:hint="eastAsia"/>
                <w:color w:val="auto"/>
                <w:szCs w:val="21"/>
                <w:highlight w:val="none"/>
              </w:rPr>
            </w:pPr>
            <w:r>
              <w:rPr>
                <w:rFonts w:hint="eastAsia"/>
                <w:color w:val="auto"/>
                <w:szCs w:val="21"/>
                <w:highlight w:val="none"/>
              </w:rPr>
              <w:t>⑥被列入国家企业信用信息公示系统网站“经营异常名录”或者“严重违法失信名单”的。</w:t>
            </w:r>
          </w:p>
          <w:p w14:paraId="6966D653">
            <w:pPr>
              <w:widowControl/>
              <w:spacing w:line="560" w:lineRule="exact"/>
              <w:jc w:val="left"/>
              <w:rPr>
                <w:rFonts w:hint="eastAsia"/>
                <w:color w:val="auto"/>
                <w:szCs w:val="21"/>
                <w:highlight w:val="none"/>
              </w:rPr>
            </w:pPr>
            <w:r>
              <w:rPr>
                <w:rFonts w:hint="eastAsia"/>
                <w:color w:val="auto"/>
                <w:szCs w:val="21"/>
                <w:highlight w:val="none"/>
              </w:rPr>
              <w:t>⑦前三年有行贿犯罪行为的单位和个人；</w:t>
            </w:r>
          </w:p>
          <w:p w14:paraId="08447D69">
            <w:pPr>
              <w:widowControl/>
              <w:spacing w:line="560" w:lineRule="exact"/>
              <w:jc w:val="left"/>
              <w:rPr>
                <w:rFonts w:hint="eastAsia"/>
                <w:color w:val="auto"/>
                <w:szCs w:val="21"/>
                <w:highlight w:val="none"/>
              </w:rPr>
            </w:pPr>
            <w:r>
              <w:rPr>
                <w:rFonts w:hint="eastAsia"/>
                <w:color w:val="auto"/>
                <w:szCs w:val="21"/>
                <w:highlight w:val="none"/>
              </w:rPr>
              <w:t>⑧被滁州市县两级公管部门及各行业主管部门取消在一定期限内的投标资格且在取消期限内的；</w:t>
            </w:r>
          </w:p>
          <w:p w14:paraId="6A856AF8">
            <w:pPr>
              <w:widowControl/>
              <w:spacing w:line="560" w:lineRule="exact"/>
              <w:jc w:val="left"/>
              <w:rPr>
                <w:rFonts w:hint="eastAsia"/>
                <w:color w:val="auto"/>
                <w:szCs w:val="21"/>
                <w:highlight w:val="none"/>
              </w:rPr>
            </w:pPr>
            <w:r>
              <w:rPr>
                <w:rFonts w:hint="eastAsia"/>
                <w:color w:val="auto"/>
                <w:szCs w:val="21"/>
                <w:highlight w:val="none"/>
              </w:rPr>
              <w:t>⑨因拖欠农民工工资被县级及以上有关行政主管部门限制投标资格且在限制期限内的；</w:t>
            </w:r>
          </w:p>
          <w:p w14:paraId="3884C296">
            <w:pPr>
              <w:widowControl/>
              <w:spacing w:line="560" w:lineRule="exact"/>
              <w:ind w:left="105" w:hanging="105" w:hangingChars="50"/>
              <w:jc w:val="left"/>
              <w:rPr>
                <w:rFonts w:hint="eastAsia"/>
                <w:color w:val="auto"/>
                <w:szCs w:val="21"/>
                <w:highlight w:val="none"/>
              </w:rPr>
            </w:pPr>
            <w:r>
              <w:rPr>
                <w:rFonts w:hint="eastAsia"/>
                <w:color w:val="auto"/>
                <w:szCs w:val="21"/>
                <w:highlight w:val="none"/>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E48F63F">
            <w:pPr>
              <w:widowControl/>
              <w:spacing w:line="560" w:lineRule="exact"/>
              <w:ind w:left="105" w:hanging="105" w:hangingChars="50"/>
              <w:jc w:val="left"/>
              <w:rPr>
                <w:color w:val="auto"/>
                <w:szCs w:val="21"/>
                <w:highlight w:val="none"/>
              </w:rPr>
            </w:pPr>
            <w:r>
              <w:rPr>
                <w:rFonts w:hint="eastAsia"/>
                <w:color w:val="auto"/>
                <w:szCs w:val="21"/>
                <w:highlight w:val="none"/>
              </w:rPr>
              <w:t>2、投标人所属分公司、办事处等分支机构存在第1条信誉要求①-⑩项情形之一的，</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rPr>
              <w:t>接受</w:t>
            </w:r>
            <w:r>
              <w:rPr>
                <w:rFonts w:hint="eastAsia"/>
                <w:color w:val="auto"/>
                <w:szCs w:val="21"/>
                <w:highlight w:val="none"/>
              </w:rPr>
              <w:t>其被确定为中标人。</w:t>
            </w:r>
          </w:p>
          <w:p w14:paraId="6FF3A861">
            <w:pPr>
              <w:widowControl/>
              <w:spacing w:line="560" w:lineRule="exact"/>
              <w:jc w:val="left"/>
              <w:rPr>
                <w:color w:val="auto"/>
                <w:szCs w:val="21"/>
                <w:highlight w:val="none"/>
              </w:rPr>
            </w:pPr>
            <w:r>
              <w:rPr>
                <w:rFonts w:hint="eastAsia"/>
                <w:color w:val="auto"/>
                <w:szCs w:val="21"/>
                <w:highlight w:val="none"/>
              </w:rPr>
              <w:t>备注：第1、2条按照附件1“关于联合惩戒失信行为加强信用查询管理的通知”查询或承诺。</w:t>
            </w:r>
            <w:bookmarkEnd w:id="14"/>
            <w:bookmarkEnd w:id="15"/>
          </w:p>
        </w:tc>
      </w:tr>
      <w:tr w14:paraId="1100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A3114CF">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联合体投标</w:t>
            </w:r>
          </w:p>
        </w:tc>
        <w:tc>
          <w:tcPr>
            <w:tcW w:w="8313" w:type="dxa"/>
            <w:noWrap w:val="0"/>
            <w:vAlign w:val="center"/>
          </w:tcPr>
          <w:p w14:paraId="0A43D0A5">
            <w:pPr>
              <w:widowControl/>
              <w:adjustRightInd w:val="0"/>
              <w:snapToGrid w:val="0"/>
              <w:spacing w:line="560" w:lineRule="exact"/>
              <w:jc w:val="left"/>
              <w:rPr>
                <w:rFonts w:ascii="宋体" w:hAnsi="宋体" w:cs="宋体"/>
                <w:color w:val="auto"/>
                <w:kern w:val="0"/>
                <w:szCs w:val="21"/>
                <w:highlight w:val="none"/>
              </w:rPr>
            </w:pPr>
            <w:r>
              <w:rPr>
                <w:rFonts w:hint="eastAsia"/>
                <w:color w:val="auto"/>
                <w:highlight w:val="none"/>
              </w:rPr>
              <w:t>本次招标</w:t>
            </w:r>
            <w:bookmarkStart w:id="16" w:name="OLE_LINK37"/>
            <w:r>
              <w:rPr>
                <w:rFonts w:hint="eastAsia" w:ascii="宋体" w:hAnsi="宋体" w:cs="宋体"/>
                <w:bCs/>
                <w:color w:val="auto"/>
                <w:kern w:val="0"/>
                <w:szCs w:val="21"/>
                <w:highlight w:val="none"/>
                <w:lang w:val="en-US" w:eastAsia="zh-CN"/>
              </w:rPr>
              <w:t>不接受联合体投标。</w:t>
            </w:r>
            <w:bookmarkEnd w:id="16"/>
          </w:p>
        </w:tc>
      </w:tr>
      <w:tr w14:paraId="6CCA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E7DFE27">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多标段投标</w:t>
            </w:r>
          </w:p>
        </w:tc>
        <w:tc>
          <w:tcPr>
            <w:tcW w:w="8313" w:type="dxa"/>
            <w:noWrap w:val="0"/>
            <w:vAlign w:val="center"/>
          </w:tcPr>
          <w:p w14:paraId="4CDF07D1">
            <w:pPr>
              <w:widowControl/>
              <w:spacing w:line="560" w:lineRule="exact"/>
              <w:jc w:val="left"/>
              <w:rPr>
                <w:rFonts w:ascii="宋体" w:cs="宋体-18030"/>
                <w:color w:val="auto"/>
                <w:szCs w:val="21"/>
                <w:highlight w:val="none"/>
              </w:rPr>
            </w:pPr>
            <w:r>
              <w:rPr>
                <w:rFonts w:hint="eastAsia" w:ascii="宋体" w:cs="宋体-18030"/>
                <w:color w:val="auto"/>
                <w:szCs w:val="21"/>
                <w:highlight w:val="none"/>
              </w:rPr>
              <w:t>各投标人均可就本招标项目上述标段中的</w:t>
            </w:r>
            <w:r>
              <w:rPr>
                <w:rFonts w:hint="eastAsia" w:ascii="宋体" w:cs="宋体-18030"/>
                <w:color w:val="auto"/>
                <w:szCs w:val="21"/>
                <w:highlight w:val="none"/>
                <w:u w:val="single"/>
              </w:rPr>
              <w:t xml:space="preserve"> </w:t>
            </w:r>
            <w:r>
              <w:rPr>
                <w:rFonts w:hint="eastAsia" w:ascii="宋体" w:cs="宋体-18030"/>
                <w:color w:val="auto"/>
                <w:szCs w:val="21"/>
                <w:highlight w:val="none"/>
                <w:u w:val="single"/>
                <w:lang w:val="en-US" w:eastAsia="zh-CN"/>
              </w:rPr>
              <w:t>/</w:t>
            </w:r>
            <w:r>
              <w:rPr>
                <w:rFonts w:hint="eastAsia" w:ascii="宋体" w:cs="宋体-18030"/>
                <w:color w:val="auto"/>
                <w:szCs w:val="21"/>
                <w:highlight w:val="none"/>
              </w:rPr>
              <w:t>个标段投标，但最多允许中标</w:t>
            </w:r>
            <w:r>
              <w:rPr>
                <w:rFonts w:hint="eastAsia" w:ascii="宋体" w:cs="宋体-18030"/>
                <w:color w:val="auto"/>
                <w:szCs w:val="21"/>
                <w:highlight w:val="none"/>
                <w:u w:val="single"/>
                <w:lang w:val="en-US" w:eastAsia="zh-CN"/>
              </w:rPr>
              <w:t>/</w:t>
            </w:r>
            <w:r>
              <w:rPr>
                <w:rFonts w:hint="eastAsia" w:ascii="宋体" w:cs="宋体-18030"/>
                <w:color w:val="auto"/>
                <w:szCs w:val="21"/>
                <w:highlight w:val="none"/>
              </w:rPr>
              <w:t>个标段(适用于分标段的招标项目)。（关于多标段投标的其他说明）。</w:t>
            </w:r>
          </w:p>
        </w:tc>
      </w:tr>
      <w:tr w14:paraId="6965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C12928C">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其他要求</w:t>
            </w:r>
          </w:p>
        </w:tc>
        <w:tc>
          <w:tcPr>
            <w:tcW w:w="8313" w:type="dxa"/>
            <w:noWrap w:val="0"/>
            <w:vAlign w:val="center"/>
          </w:tcPr>
          <w:p w14:paraId="7BEE0448">
            <w:pPr>
              <w:spacing w:line="560" w:lineRule="exact"/>
              <w:jc w:val="left"/>
              <w:rPr>
                <w:rFonts w:ascii="宋体" w:cs="宋体-18030"/>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无</w:t>
            </w:r>
            <w:r>
              <w:rPr>
                <w:rFonts w:hint="eastAsia" w:ascii="宋体" w:hAnsi="宋体"/>
                <w:color w:val="auto"/>
                <w:szCs w:val="21"/>
                <w:highlight w:val="none"/>
              </w:rPr>
              <w:t xml:space="preserve"> </w:t>
            </w:r>
          </w:p>
        </w:tc>
      </w:tr>
      <w:tr w14:paraId="10E6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428A60A2">
            <w:pPr>
              <w:widowControl/>
              <w:spacing w:line="560" w:lineRule="exact"/>
              <w:jc w:val="center"/>
              <w:rPr>
                <w:b/>
                <w:color w:val="auto"/>
                <w:sz w:val="24"/>
                <w:highlight w:val="none"/>
              </w:rPr>
            </w:pPr>
            <w:r>
              <w:rPr>
                <w:rFonts w:hint="eastAsia"/>
                <w:b/>
                <w:color w:val="auto"/>
                <w:sz w:val="24"/>
                <w:highlight w:val="none"/>
              </w:rPr>
              <w:t>招标文件的获取</w:t>
            </w:r>
          </w:p>
        </w:tc>
      </w:tr>
      <w:tr w14:paraId="789F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27FB6D4">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获取时间</w:t>
            </w:r>
          </w:p>
        </w:tc>
        <w:tc>
          <w:tcPr>
            <w:tcW w:w="8313" w:type="dxa"/>
            <w:noWrap w:val="0"/>
            <w:vAlign w:val="center"/>
          </w:tcPr>
          <w:p w14:paraId="1D496ABE">
            <w:pPr>
              <w:widowControl/>
              <w:spacing w:line="560" w:lineRule="exact"/>
              <w:jc w:val="left"/>
              <w:rPr>
                <w:color w:val="auto"/>
                <w:szCs w:val="21"/>
                <w:highlight w:val="none"/>
              </w:rPr>
            </w:pPr>
            <w:r>
              <w:rPr>
                <w:rFonts w:hint="eastAsia" w:ascii="宋体" w:hAnsi="宋体" w:cs="宋体"/>
                <w:bCs/>
                <w:snapToGrid w:val="0"/>
                <w:color w:val="auto"/>
                <w:kern w:val="0"/>
                <w:szCs w:val="21"/>
                <w:highlight w:val="none"/>
                <w:u w:val="single"/>
                <w:lang w:val="en-US" w:eastAsia="zh-CN"/>
              </w:rPr>
              <w:t>2026</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1</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 xml:space="preserve"> 21 </w:t>
            </w:r>
            <w:r>
              <w:rPr>
                <w:rFonts w:hint="eastAsia" w:ascii="宋体" w:hAnsi="宋体" w:cs="宋体"/>
                <w:bCs/>
                <w:snapToGrid w:val="0"/>
                <w:color w:val="auto"/>
                <w:kern w:val="0"/>
                <w:szCs w:val="21"/>
                <w:highlight w:val="none"/>
              </w:rPr>
              <w:t>日</w:t>
            </w:r>
            <w:r>
              <w:rPr>
                <w:rFonts w:hint="eastAsia" w:ascii="宋体" w:hAnsi="宋体" w:cs="宋体"/>
                <w:bCs/>
                <w:snapToGrid w:val="0"/>
                <w:color w:val="auto"/>
                <w:kern w:val="0"/>
                <w:szCs w:val="21"/>
                <w:highlight w:val="none"/>
                <w:u w:val="single"/>
                <w:lang w:val="en-US" w:eastAsia="zh-CN"/>
              </w:rPr>
              <w:t>17</w:t>
            </w:r>
            <w:r>
              <w:rPr>
                <w:rFonts w:hint="eastAsia" w:ascii="宋体" w:hAnsi="宋体" w:cs="宋体"/>
                <w:bCs/>
                <w:snapToGrid w:val="0"/>
                <w:color w:val="auto"/>
                <w:kern w:val="0"/>
                <w:szCs w:val="21"/>
                <w:highlight w:val="none"/>
              </w:rPr>
              <w:t>时</w:t>
            </w:r>
            <w:r>
              <w:rPr>
                <w:rFonts w:hint="eastAsia" w:ascii="宋体" w:hAnsi="宋体" w:cs="宋体"/>
                <w:bCs/>
                <w:snapToGrid w:val="0"/>
                <w:color w:val="auto"/>
                <w:kern w:val="0"/>
                <w:szCs w:val="21"/>
                <w:highlight w:val="none"/>
                <w:u w:val="single"/>
                <w:lang w:val="en-US" w:eastAsia="zh-CN"/>
              </w:rPr>
              <w:t>30</w:t>
            </w:r>
            <w:r>
              <w:rPr>
                <w:rFonts w:hint="eastAsia" w:ascii="宋体" w:hAnsi="宋体" w:cs="宋体"/>
                <w:bCs/>
                <w:snapToGrid w:val="0"/>
                <w:color w:val="auto"/>
                <w:kern w:val="0"/>
                <w:szCs w:val="21"/>
                <w:highlight w:val="none"/>
              </w:rPr>
              <w:t>分至</w:t>
            </w:r>
            <w:r>
              <w:rPr>
                <w:rFonts w:hint="eastAsia" w:ascii="宋体" w:hAnsi="宋体" w:cs="宋体"/>
                <w:bCs/>
                <w:snapToGrid w:val="0"/>
                <w:color w:val="auto"/>
                <w:kern w:val="0"/>
                <w:szCs w:val="21"/>
                <w:highlight w:val="none"/>
                <w:u w:val="single"/>
                <w:lang w:val="en-US" w:eastAsia="zh-CN"/>
              </w:rPr>
              <w:t>2026</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2</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 xml:space="preserve"> 11 </w:t>
            </w:r>
            <w:r>
              <w:rPr>
                <w:rFonts w:hint="eastAsia" w:ascii="宋体" w:hAnsi="宋体" w:cs="宋体"/>
                <w:bCs/>
                <w:snapToGrid w:val="0"/>
                <w:color w:val="auto"/>
                <w:kern w:val="0"/>
                <w:szCs w:val="21"/>
                <w:highlight w:val="none"/>
              </w:rPr>
              <w:t>日</w:t>
            </w:r>
            <w:r>
              <w:rPr>
                <w:rFonts w:hint="eastAsia" w:ascii="宋体" w:hAnsi="宋体" w:cs="宋体"/>
                <w:bCs/>
                <w:snapToGrid w:val="0"/>
                <w:color w:val="auto"/>
                <w:kern w:val="0"/>
                <w:szCs w:val="21"/>
                <w:highlight w:val="none"/>
                <w:u w:val="single"/>
                <w:lang w:val="en-US" w:eastAsia="zh-CN"/>
              </w:rPr>
              <w:t>9</w:t>
            </w:r>
            <w:r>
              <w:rPr>
                <w:rFonts w:hint="eastAsia" w:ascii="宋体" w:hAnsi="宋体" w:cs="宋体"/>
                <w:bCs/>
                <w:snapToGrid w:val="0"/>
                <w:color w:val="auto"/>
                <w:kern w:val="0"/>
                <w:szCs w:val="21"/>
                <w:highlight w:val="none"/>
              </w:rPr>
              <w:t>时</w:t>
            </w:r>
            <w:r>
              <w:rPr>
                <w:rFonts w:hint="eastAsia" w:ascii="宋体" w:hAnsi="宋体" w:cs="宋体"/>
                <w:bCs/>
                <w:snapToGrid w:val="0"/>
                <w:color w:val="auto"/>
                <w:kern w:val="0"/>
                <w:szCs w:val="21"/>
                <w:highlight w:val="none"/>
                <w:u w:val="single"/>
                <w:lang w:val="en-US" w:eastAsia="zh-CN"/>
              </w:rPr>
              <w:t>10</w:t>
            </w:r>
            <w:r>
              <w:rPr>
                <w:rFonts w:hint="eastAsia" w:ascii="宋体" w:hAnsi="宋体" w:cs="宋体"/>
                <w:bCs/>
                <w:snapToGrid w:val="0"/>
                <w:color w:val="auto"/>
                <w:kern w:val="0"/>
                <w:szCs w:val="21"/>
                <w:highlight w:val="none"/>
              </w:rPr>
              <w:t>分。</w:t>
            </w:r>
          </w:p>
        </w:tc>
      </w:tr>
      <w:tr w14:paraId="6952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B1D1F3C">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8313" w:type="dxa"/>
            <w:noWrap w:val="0"/>
            <w:vAlign w:val="center"/>
          </w:tcPr>
          <w:p w14:paraId="572B3FB6">
            <w:pPr>
              <w:adjustRightInd w:val="0"/>
              <w:snapToGrid w:val="0"/>
              <w:spacing w:line="572" w:lineRule="exact"/>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潜在投标人须登录</w:t>
            </w:r>
            <w:bookmarkStart w:id="17" w:name="OLE_LINK43"/>
            <w:bookmarkStart w:id="18" w:name="OLE_LINK42"/>
            <w:r>
              <w:rPr>
                <w:rFonts w:hint="eastAsia" w:ascii="宋体" w:hAnsi="宋体" w:cs="宋体"/>
                <w:bCs/>
                <w:snapToGrid w:val="0"/>
                <w:color w:val="auto"/>
                <w:kern w:val="0"/>
                <w:szCs w:val="21"/>
                <w:highlight w:val="none"/>
                <w:u w:val="single"/>
              </w:rPr>
              <w:t>滁州市公共资源交易中心网站（http://ggzy.chuzhou.gov.cn/）</w:t>
            </w:r>
            <w:bookmarkEnd w:id="17"/>
            <w:bookmarkEnd w:id="18"/>
            <w:r>
              <w:rPr>
                <w:rFonts w:hint="eastAsia" w:ascii="宋体" w:hAnsi="宋体" w:cs="宋体"/>
                <w:bCs/>
                <w:snapToGrid w:val="0"/>
                <w:color w:val="auto"/>
                <w:kern w:val="0"/>
                <w:szCs w:val="21"/>
                <w:highlight w:val="none"/>
              </w:rPr>
              <w:t>查阅并下载电子招标文件。</w:t>
            </w:r>
          </w:p>
          <w:p w14:paraId="16AF102D">
            <w:pPr>
              <w:widowControl/>
              <w:wordWrap w:val="0"/>
              <w:spacing w:line="560" w:lineRule="exact"/>
              <w:jc w:val="left"/>
              <w:rPr>
                <w:color w:val="auto"/>
                <w:szCs w:val="21"/>
                <w:highlight w:val="none"/>
              </w:rPr>
            </w:pPr>
            <w:r>
              <w:rPr>
                <w:rFonts w:hint="eastAsia" w:ascii="宋体" w:hAnsi="宋体" w:cs="宋体"/>
                <w:bCs/>
                <w:snapToGrid w:val="0"/>
                <w:color w:val="auto"/>
                <w:kern w:val="0"/>
                <w:szCs w:val="21"/>
                <w:highlight w:val="none"/>
              </w:rPr>
              <w:t>招标文件获取过程中有任何疑问，请在工作时间（</w:t>
            </w:r>
            <w:bookmarkStart w:id="19" w:name="OLE_LINK45"/>
            <w:bookmarkStart w:id="20" w:name="OLE_LINK44"/>
            <w:r>
              <w:rPr>
                <w:rFonts w:hint="eastAsia" w:ascii="宋体" w:hAnsi="宋体" w:cs="宋体"/>
                <w:bCs/>
                <w:snapToGrid w:val="0"/>
                <w:color w:val="auto"/>
                <w:kern w:val="0"/>
                <w:szCs w:val="21"/>
                <w:highlight w:val="none"/>
              </w:rPr>
              <w:t>工作时间：工作日</w:t>
            </w:r>
            <w:r>
              <w:rPr>
                <w:rFonts w:hint="eastAsia" w:ascii="宋体" w:hAnsi="宋体" w:cs="宋体"/>
                <w:bCs/>
                <w:snapToGrid w:val="0"/>
                <w:color w:val="auto"/>
                <w:kern w:val="0"/>
                <w:szCs w:val="21"/>
                <w:highlight w:val="none"/>
                <w:u w:val="single"/>
              </w:rPr>
              <w:t>8:00-12:00,14:30-17:30</w:t>
            </w:r>
            <w:r>
              <w:rPr>
                <w:rFonts w:hint="eastAsia" w:ascii="宋体" w:hAnsi="宋体" w:cs="宋体"/>
                <w:bCs/>
                <w:snapToGrid w:val="0"/>
                <w:color w:val="auto"/>
                <w:kern w:val="0"/>
                <w:szCs w:val="21"/>
                <w:highlight w:val="none"/>
              </w:rPr>
              <w:t>）拨打</w:t>
            </w:r>
            <w:r>
              <w:rPr>
                <w:rFonts w:hint="eastAsia" w:ascii="宋体" w:hAnsi="宋体" w:cs="宋体"/>
                <w:bCs/>
                <w:snapToGrid w:val="0"/>
                <w:color w:val="auto"/>
                <w:kern w:val="0"/>
                <w:szCs w:val="21"/>
                <w:highlight w:val="none"/>
                <w:u w:val="single"/>
              </w:rPr>
              <w:t>0550-3801701</w:t>
            </w:r>
            <w:r>
              <w:rPr>
                <w:rFonts w:hint="eastAsia" w:ascii="宋体" w:hAnsi="宋体" w:cs="宋体"/>
                <w:bCs/>
                <w:snapToGrid w:val="0"/>
                <w:color w:val="auto"/>
                <w:kern w:val="0"/>
                <w:szCs w:val="21"/>
                <w:highlight w:val="none"/>
              </w:rPr>
              <w:t>。</w:t>
            </w:r>
            <w:bookmarkEnd w:id="19"/>
            <w:bookmarkEnd w:id="20"/>
          </w:p>
        </w:tc>
      </w:tr>
      <w:tr w14:paraId="69D3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C1C7477">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招标公告发布时间</w:t>
            </w:r>
          </w:p>
        </w:tc>
        <w:tc>
          <w:tcPr>
            <w:tcW w:w="8313" w:type="dxa"/>
            <w:noWrap w:val="0"/>
            <w:vAlign w:val="center"/>
          </w:tcPr>
          <w:p w14:paraId="6DBFFA2C">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年</w:t>
            </w:r>
            <w:r>
              <w:rPr>
                <w:rFonts w:hint="eastAsia"/>
                <w:color w:val="auto"/>
                <w:szCs w:val="21"/>
                <w:highlight w:val="none"/>
                <w:lang w:val="en-US" w:eastAsia="zh-CN"/>
              </w:rPr>
              <w:t>1</w:t>
            </w:r>
            <w:r>
              <w:rPr>
                <w:rFonts w:hint="eastAsia"/>
                <w:color w:val="auto"/>
                <w:szCs w:val="21"/>
                <w:highlight w:val="none"/>
              </w:rPr>
              <w:t>月</w:t>
            </w:r>
            <w:r>
              <w:rPr>
                <w:rFonts w:hint="eastAsia"/>
                <w:color w:val="auto"/>
                <w:szCs w:val="21"/>
                <w:highlight w:val="none"/>
                <w:lang w:val="en-US" w:eastAsia="zh-CN"/>
              </w:rPr>
              <w:t>21</w:t>
            </w:r>
            <w:r>
              <w:rPr>
                <w:rFonts w:hint="eastAsia"/>
                <w:color w:val="auto"/>
                <w:szCs w:val="21"/>
                <w:highlight w:val="none"/>
              </w:rPr>
              <w:t>日</w:t>
            </w:r>
          </w:p>
        </w:tc>
      </w:tr>
      <w:tr w14:paraId="391D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776AA51">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投标文件递交的截止时间</w:t>
            </w:r>
          </w:p>
        </w:tc>
        <w:tc>
          <w:tcPr>
            <w:tcW w:w="8313" w:type="dxa"/>
            <w:noWrap w:val="0"/>
            <w:vAlign w:val="center"/>
          </w:tcPr>
          <w:p w14:paraId="1D397713">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年</w:t>
            </w:r>
            <w:r>
              <w:rPr>
                <w:rFonts w:hint="eastAsia"/>
                <w:color w:val="auto"/>
                <w:szCs w:val="21"/>
                <w:highlight w:val="none"/>
                <w:lang w:val="en-US" w:eastAsia="zh-CN"/>
              </w:rPr>
              <w:t>2</w:t>
            </w:r>
            <w:r>
              <w:rPr>
                <w:rFonts w:hint="eastAsia"/>
                <w:color w:val="auto"/>
                <w:szCs w:val="21"/>
                <w:highlight w:val="none"/>
              </w:rPr>
              <w:t>月</w:t>
            </w:r>
            <w:r>
              <w:rPr>
                <w:rFonts w:hint="eastAsia"/>
                <w:color w:val="auto"/>
                <w:szCs w:val="21"/>
                <w:highlight w:val="none"/>
                <w:lang w:val="en-US" w:eastAsia="zh-CN"/>
              </w:rPr>
              <w:t>11</w:t>
            </w:r>
            <w:r>
              <w:rPr>
                <w:rFonts w:hint="eastAsia"/>
                <w:color w:val="auto"/>
                <w:szCs w:val="21"/>
                <w:highlight w:val="none"/>
              </w:rPr>
              <w:t>日</w:t>
            </w:r>
            <w:r>
              <w:rPr>
                <w:rFonts w:hint="eastAsia"/>
                <w:color w:val="auto"/>
                <w:szCs w:val="21"/>
                <w:highlight w:val="none"/>
                <w:lang w:val="en-US" w:eastAsia="zh-CN"/>
              </w:rPr>
              <w:t>9</w:t>
            </w:r>
            <w:r>
              <w:rPr>
                <w:rFonts w:hint="eastAsia"/>
                <w:color w:val="auto"/>
                <w:szCs w:val="21"/>
                <w:highlight w:val="none"/>
              </w:rPr>
              <w:t>时</w:t>
            </w:r>
            <w:r>
              <w:rPr>
                <w:rFonts w:hint="eastAsia"/>
                <w:color w:val="auto"/>
                <w:szCs w:val="21"/>
                <w:highlight w:val="none"/>
                <w:lang w:val="en-US" w:eastAsia="zh-CN"/>
              </w:rPr>
              <w:t>10</w:t>
            </w:r>
            <w:r>
              <w:rPr>
                <w:rFonts w:hint="eastAsia"/>
                <w:color w:val="auto"/>
                <w:szCs w:val="21"/>
                <w:highlight w:val="none"/>
              </w:rPr>
              <w:t>分</w:t>
            </w:r>
          </w:p>
        </w:tc>
      </w:tr>
      <w:tr w14:paraId="0F7D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4D9E100">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投标文件递交的方式</w:t>
            </w:r>
          </w:p>
        </w:tc>
        <w:tc>
          <w:tcPr>
            <w:tcW w:w="8313" w:type="dxa"/>
            <w:noWrap w:val="0"/>
            <w:vAlign w:val="center"/>
          </w:tcPr>
          <w:p w14:paraId="6BC064AE">
            <w:pPr>
              <w:widowControl/>
              <w:spacing w:line="560" w:lineRule="exact"/>
              <w:jc w:val="left"/>
              <w:rPr>
                <w:color w:val="auto"/>
                <w:szCs w:val="21"/>
                <w:highlight w:val="none"/>
              </w:rPr>
            </w:pPr>
            <w:r>
              <w:rPr>
                <w:rFonts w:hint="eastAsia"/>
                <w:color w:val="auto"/>
                <w:szCs w:val="21"/>
                <w:highlight w:val="none"/>
              </w:rPr>
              <w:t>投标人应在投标截止时间前通过</w:t>
            </w:r>
            <w:bookmarkStart w:id="21" w:name="OLE_LINK46"/>
            <w:bookmarkStart w:id="22" w:name="OLE_LINK48"/>
            <w:bookmarkStart w:id="23" w:name="OLE_LINK47"/>
            <w:r>
              <w:rPr>
                <w:rFonts w:hint="eastAsia"/>
                <w:color w:val="auto"/>
                <w:szCs w:val="21"/>
                <w:highlight w:val="none"/>
              </w:rPr>
              <w:t>滁州市公共资源交易中心交易系统</w:t>
            </w:r>
            <w:bookmarkEnd w:id="21"/>
            <w:bookmarkEnd w:id="22"/>
            <w:bookmarkEnd w:id="23"/>
            <w:r>
              <w:rPr>
                <w:rFonts w:hint="eastAsia"/>
                <w:color w:val="auto"/>
                <w:szCs w:val="21"/>
                <w:highlight w:val="none"/>
              </w:rPr>
              <w:t>递交电子投标文件。</w:t>
            </w:r>
          </w:p>
        </w:tc>
      </w:tr>
      <w:tr w14:paraId="443A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75" w:type="dxa"/>
            <w:noWrap w:val="0"/>
            <w:vAlign w:val="center"/>
          </w:tcPr>
          <w:p w14:paraId="40D1C698">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开标时间</w:t>
            </w:r>
          </w:p>
        </w:tc>
        <w:tc>
          <w:tcPr>
            <w:tcW w:w="8313" w:type="dxa"/>
            <w:noWrap w:val="0"/>
            <w:vAlign w:val="center"/>
          </w:tcPr>
          <w:p w14:paraId="188808ED">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年</w:t>
            </w:r>
            <w:r>
              <w:rPr>
                <w:rFonts w:hint="eastAsia"/>
                <w:color w:val="auto"/>
                <w:szCs w:val="21"/>
                <w:highlight w:val="none"/>
                <w:lang w:val="en-US" w:eastAsia="zh-CN"/>
              </w:rPr>
              <w:t>2</w:t>
            </w:r>
            <w:r>
              <w:rPr>
                <w:rFonts w:hint="eastAsia"/>
                <w:color w:val="auto"/>
                <w:szCs w:val="21"/>
                <w:highlight w:val="none"/>
              </w:rPr>
              <w:t>月</w:t>
            </w:r>
            <w:r>
              <w:rPr>
                <w:rFonts w:hint="eastAsia"/>
                <w:color w:val="auto"/>
                <w:szCs w:val="21"/>
                <w:highlight w:val="none"/>
                <w:lang w:val="en-US" w:eastAsia="zh-CN"/>
              </w:rPr>
              <w:t>11</w:t>
            </w:r>
            <w:r>
              <w:rPr>
                <w:rFonts w:hint="eastAsia"/>
                <w:color w:val="auto"/>
                <w:szCs w:val="21"/>
                <w:highlight w:val="none"/>
              </w:rPr>
              <w:t>日</w:t>
            </w:r>
            <w:r>
              <w:rPr>
                <w:rFonts w:hint="eastAsia"/>
                <w:color w:val="auto"/>
                <w:szCs w:val="21"/>
                <w:highlight w:val="none"/>
                <w:lang w:val="en-US" w:eastAsia="zh-CN"/>
              </w:rPr>
              <w:t>9</w:t>
            </w:r>
            <w:r>
              <w:rPr>
                <w:rFonts w:hint="eastAsia"/>
                <w:color w:val="auto"/>
                <w:szCs w:val="21"/>
                <w:highlight w:val="none"/>
              </w:rPr>
              <w:t>时</w:t>
            </w:r>
            <w:r>
              <w:rPr>
                <w:rFonts w:hint="eastAsia"/>
                <w:color w:val="auto"/>
                <w:szCs w:val="21"/>
                <w:highlight w:val="none"/>
                <w:lang w:val="en-US" w:eastAsia="zh-CN"/>
              </w:rPr>
              <w:t>10</w:t>
            </w:r>
            <w:r>
              <w:rPr>
                <w:rFonts w:hint="eastAsia"/>
                <w:color w:val="auto"/>
                <w:szCs w:val="21"/>
                <w:highlight w:val="none"/>
              </w:rPr>
              <w:t>分</w:t>
            </w:r>
          </w:p>
        </w:tc>
      </w:tr>
      <w:tr w14:paraId="260B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5" w:type="dxa"/>
            <w:noWrap w:val="0"/>
            <w:vAlign w:val="center"/>
          </w:tcPr>
          <w:p w14:paraId="40310BF3">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开标地点</w:t>
            </w:r>
          </w:p>
        </w:tc>
        <w:tc>
          <w:tcPr>
            <w:tcW w:w="8313" w:type="dxa"/>
            <w:noWrap w:val="0"/>
            <w:vAlign w:val="center"/>
          </w:tcPr>
          <w:p w14:paraId="2ACF3722">
            <w:pPr>
              <w:widowControl/>
              <w:wordWrap w:val="0"/>
              <w:spacing w:line="560" w:lineRule="exact"/>
              <w:jc w:val="left"/>
              <w:rPr>
                <w:rFonts w:ascii="宋体" w:cs="宋体"/>
                <w:color w:val="auto"/>
                <w:kern w:val="0"/>
                <w:szCs w:val="21"/>
                <w:highlight w:val="none"/>
              </w:rPr>
            </w:pPr>
            <w:r>
              <w:rPr>
                <w:rFonts w:hint="eastAsia" w:ascii="宋体" w:hAnsi="宋体" w:cs="宋体"/>
                <w:color w:val="auto"/>
                <w:kern w:val="0"/>
                <w:szCs w:val="21"/>
                <w:highlight w:val="none"/>
              </w:rPr>
              <w:t>网上开标，投标人登录滁州市不见面开标系统参与网上开标（网址：</w:t>
            </w: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"https://ggzy.chuzhou.gov.cn/BidOpening/bidopeninghallaction/hall/login</w:instrText>
            </w:r>
            <w:r>
              <w:rPr>
                <w:rFonts w:hint="eastAsia" w:ascii="宋体" w:hAnsi="宋体" w:cs="宋体"/>
                <w:color w:val="auto"/>
                <w:kern w:val="0"/>
                <w:szCs w:val="21"/>
                <w:highlight w:val="none"/>
              </w:rPr>
              <w:instrText xml:space="preserve">）。操作手册见</w:instrText>
            </w:r>
            <w:r>
              <w:rPr>
                <w:rFonts w:ascii="宋体" w:hAnsi="宋体" w:cs="宋体"/>
                <w:color w:val="auto"/>
                <w:kern w:val="0"/>
                <w:szCs w:val="21"/>
                <w:highlight w:val="none"/>
              </w:rPr>
              <w:instrText xml:space="preserve">" </w:instrText>
            </w:r>
            <w:r>
              <w:rPr>
                <w:rFonts w:ascii="宋体" w:hAnsi="宋体" w:cs="宋体"/>
                <w:color w:val="auto"/>
                <w:kern w:val="0"/>
                <w:szCs w:val="21"/>
                <w:highlight w:val="none"/>
              </w:rPr>
              <w:fldChar w:fldCharType="separate"/>
            </w:r>
            <w:r>
              <w:rPr>
                <w:rStyle w:val="30"/>
                <w:rFonts w:ascii="宋体" w:hAnsi="宋体" w:cs="宋体"/>
                <w:color w:val="auto"/>
                <w:kern w:val="0"/>
                <w:szCs w:val="21"/>
                <w:highlight w:val="none"/>
              </w:rPr>
              <w:t>https://ggzy.chuzhou.gov.cn/BidOpening/bidopeninghallaction/hall/login</w:t>
            </w:r>
            <w:r>
              <w:rPr>
                <w:rStyle w:val="30"/>
                <w:rFonts w:hint="eastAsia" w:ascii="宋体" w:hAnsi="宋体" w:cs="宋体"/>
                <w:color w:val="auto"/>
                <w:kern w:val="0"/>
                <w:szCs w:val="21"/>
                <w:highlight w:val="none"/>
              </w:rPr>
              <w:t>）。操作手册见</w:t>
            </w:r>
            <w:r>
              <w:rPr>
                <w:rFonts w:ascii="宋体" w:hAnsi="宋体" w:cs="宋体"/>
                <w:color w:val="auto"/>
                <w:kern w:val="0"/>
                <w:szCs w:val="21"/>
                <w:highlight w:val="none"/>
              </w:rPr>
              <w:fldChar w:fldCharType="end"/>
            </w:r>
            <w:r>
              <w:rPr>
                <w:rFonts w:ascii="宋体" w:hAnsi="宋体" w:cs="宋体"/>
                <w:color w:val="auto"/>
                <w:kern w:val="0"/>
                <w:szCs w:val="21"/>
                <w:highlight w:val="none"/>
              </w:rPr>
              <w:t>https://ggzy.chuzhou.gov.cn/fwzn/011006/20240510/f0637388-583d-4c69-8331-05b6adfcf24d.html</w:t>
            </w:r>
            <w:r>
              <w:rPr>
                <w:rFonts w:hint="eastAsia" w:ascii="宋体" w:hAnsi="宋体" w:cs="宋体"/>
                <w:color w:val="auto"/>
                <w:kern w:val="0"/>
                <w:szCs w:val="21"/>
                <w:highlight w:val="none"/>
              </w:rPr>
              <w:t>。</w:t>
            </w:r>
          </w:p>
        </w:tc>
      </w:tr>
      <w:tr w14:paraId="4DD0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A2ABE04">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招标文件价格</w:t>
            </w:r>
          </w:p>
        </w:tc>
        <w:tc>
          <w:tcPr>
            <w:tcW w:w="8313" w:type="dxa"/>
            <w:noWrap w:val="0"/>
            <w:vAlign w:val="center"/>
          </w:tcPr>
          <w:p w14:paraId="3806A3F4">
            <w:pPr>
              <w:widowControl/>
              <w:spacing w:line="560" w:lineRule="exact"/>
              <w:jc w:val="left"/>
              <w:rPr>
                <w:rFonts w:ascii="宋体" w:cs="宋体"/>
                <w:color w:val="auto"/>
                <w:kern w:val="0"/>
                <w:szCs w:val="21"/>
                <w:highlight w:val="none"/>
              </w:rPr>
            </w:pPr>
            <w:r>
              <w:rPr>
                <w:rFonts w:ascii="宋体" w:cs="宋体"/>
                <w:color w:val="auto"/>
                <w:kern w:val="0"/>
                <w:szCs w:val="21"/>
                <w:highlight w:val="none"/>
              </w:rPr>
              <w:t>0</w:t>
            </w:r>
            <w:r>
              <w:rPr>
                <w:rFonts w:hint="eastAsia" w:ascii="宋体" w:hAnsi="宋体" w:cs="宋体"/>
                <w:color w:val="auto"/>
                <w:kern w:val="0"/>
                <w:szCs w:val="21"/>
                <w:highlight w:val="none"/>
              </w:rPr>
              <w:t>元</w:t>
            </w:r>
          </w:p>
        </w:tc>
      </w:tr>
      <w:tr w14:paraId="4BDB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31401BA">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发布公告的媒介</w:t>
            </w:r>
          </w:p>
        </w:tc>
        <w:tc>
          <w:tcPr>
            <w:tcW w:w="8313" w:type="dxa"/>
            <w:noWrap w:val="0"/>
            <w:vAlign w:val="center"/>
          </w:tcPr>
          <w:p w14:paraId="635E072D">
            <w:pPr>
              <w:widowControl/>
              <w:spacing w:line="560" w:lineRule="exact"/>
              <w:jc w:val="left"/>
              <w:rPr>
                <w:rFonts w:ascii="宋体" w:cs="宋体"/>
                <w:color w:val="auto"/>
                <w:kern w:val="0"/>
                <w:szCs w:val="21"/>
                <w:highlight w:val="none"/>
              </w:rPr>
            </w:pPr>
            <w:bookmarkStart w:id="24" w:name="OLE_LINK49"/>
            <w:bookmarkStart w:id="25" w:name="OLE_LINK50"/>
            <w:r>
              <w:rPr>
                <w:rFonts w:hint="eastAsia" w:ascii="宋体" w:cs="宋体"/>
                <w:color w:val="auto"/>
                <w:kern w:val="0"/>
                <w:szCs w:val="21"/>
                <w:highlight w:val="none"/>
              </w:rPr>
              <w:t>本次招标公告同时在滁州市公共资源交易中心、安徽省公共资源交易监管网、安徽省招标投标信息网等网站发布。</w:t>
            </w:r>
            <w:bookmarkEnd w:id="24"/>
            <w:bookmarkEnd w:id="25"/>
          </w:p>
        </w:tc>
      </w:tr>
      <w:tr w14:paraId="1069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FB6D356">
            <w:pPr>
              <w:widowControl/>
              <w:spacing w:line="560" w:lineRule="exact"/>
              <w:jc w:val="center"/>
              <w:rPr>
                <w:rFonts w:hint="eastAsia" w:ascii="宋体" w:hAnsi="宋体" w:cs="宋体"/>
                <w:color w:val="auto"/>
                <w:szCs w:val="21"/>
                <w:highlight w:val="none"/>
              </w:rPr>
            </w:pPr>
            <w:bookmarkStart w:id="26" w:name="OLE_LINK52"/>
            <w:bookmarkStart w:id="27" w:name="OLE_LINK51"/>
            <w:r>
              <w:rPr>
                <w:rFonts w:hint="eastAsia" w:ascii="宋体" w:hAnsi="宋体" w:cs="宋体"/>
                <w:b/>
                <w:color w:val="auto"/>
                <w:szCs w:val="21"/>
                <w:highlight w:val="none"/>
              </w:rPr>
              <w:t>投标人提出异议的截止时间及方式</w:t>
            </w:r>
            <w:bookmarkEnd w:id="26"/>
            <w:bookmarkEnd w:id="27"/>
          </w:p>
        </w:tc>
        <w:tc>
          <w:tcPr>
            <w:tcW w:w="8313" w:type="dxa"/>
            <w:noWrap w:val="0"/>
            <w:vAlign w:val="center"/>
          </w:tcPr>
          <w:p w14:paraId="08DA5673">
            <w:pPr>
              <w:widowControl/>
              <w:spacing w:line="560" w:lineRule="exact"/>
              <w:jc w:val="left"/>
              <w:rPr>
                <w:rFonts w:hint="eastAsia" w:ascii="宋体" w:cs="宋体"/>
                <w:color w:val="auto"/>
                <w:kern w:val="0"/>
                <w:szCs w:val="21"/>
                <w:highlight w:val="none"/>
              </w:rPr>
            </w:pPr>
            <w:bookmarkStart w:id="28" w:name="OLE_LINK53"/>
            <w:bookmarkStart w:id="29" w:name="OLE_LINK54"/>
            <w:r>
              <w:rPr>
                <w:rFonts w:hint="eastAsia" w:ascii="宋体" w:hAnsi="宋体" w:cs="宋体"/>
                <w:b/>
                <w:color w:val="auto"/>
                <w:kern w:val="0"/>
                <w:szCs w:val="21"/>
                <w:highlight w:val="none"/>
              </w:rPr>
              <w:t>如投标人对招标文件有异议，请于</w:t>
            </w:r>
            <w:r>
              <w:rPr>
                <w:rFonts w:hint="eastAsia" w:ascii="宋体" w:hAnsi="宋体" w:cs="宋体"/>
                <w:b/>
                <w:color w:val="auto"/>
                <w:kern w:val="0"/>
                <w:szCs w:val="21"/>
                <w:highlight w:val="none"/>
                <w:u w:val="single"/>
                <w:lang w:val="en-US" w:eastAsia="zh-CN"/>
              </w:rPr>
              <w:t>2026</w:t>
            </w:r>
            <w:r>
              <w:rPr>
                <w:rFonts w:hint="eastAsia" w:ascii="宋体" w:hAnsi="宋体" w:cs="宋体"/>
                <w:b/>
                <w:color w:val="auto"/>
                <w:kern w:val="0"/>
                <w:szCs w:val="21"/>
                <w:highlight w:val="none"/>
              </w:rPr>
              <w:t>年</w:t>
            </w:r>
            <w:r>
              <w:rPr>
                <w:rFonts w:hint="eastAsia" w:ascii="宋体" w:hAnsi="宋体" w:cs="宋体"/>
                <w:b/>
                <w:color w:val="auto"/>
                <w:kern w:val="0"/>
                <w:szCs w:val="21"/>
                <w:highlight w:val="none"/>
                <w:u w:val="single"/>
                <w:lang w:val="en-US" w:eastAsia="zh-CN"/>
              </w:rPr>
              <w:t xml:space="preserve"> 2 </w:t>
            </w:r>
            <w:r>
              <w:rPr>
                <w:rFonts w:hint="eastAsia" w:ascii="宋体" w:hAnsi="宋体" w:cs="宋体"/>
                <w:b/>
                <w:color w:val="auto"/>
                <w:kern w:val="0"/>
                <w:szCs w:val="21"/>
                <w:highlight w:val="none"/>
              </w:rPr>
              <w:t>月</w:t>
            </w:r>
            <w:r>
              <w:rPr>
                <w:rFonts w:hint="eastAsia" w:ascii="宋体" w:hAnsi="宋体" w:cs="宋体"/>
                <w:b/>
                <w:color w:val="auto"/>
                <w:kern w:val="0"/>
                <w:szCs w:val="21"/>
                <w:highlight w:val="none"/>
                <w:u w:val="single"/>
                <w:lang w:val="en-US" w:eastAsia="zh-CN"/>
              </w:rPr>
              <w:t xml:space="preserve"> 1 </w:t>
            </w:r>
            <w:r>
              <w:rPr>
                <w:rFonts w:hint="eastAsia" w:ascii="宋体" w:hAnsi="宋体" w:cs="宋体"/>
                <w:b/>
                <w:color w:val="auto"/>
                <w:kern w:val="0"/>
                <w:szCs w:val="21"/>
                <w:highlight w:val="none"/>
              </w:rPr>
              <w:t>日</w:t>
            </w:r>
            <w:r>
              <w:rPr>
                <w:rFonts w:hint="eastAsia" w:ascii="宋体" w:hAnsi="宋体" w:cs="宋体"/>
                <w:b/>
                <w:color w:val="auto"/>
                <w:kern w:val="0"/>
                <w:szCs w:val="21"/>
                <w:highlight w:val="none"/>
                <w:lang w:val="en-US" w:eastAsia="zh-CN"/>
              </w:rPr>
              <w:t>9</w:t>
            </w:r>
            <w:r>
              <w:rPr>
                <w:rFonts w:hint="eastAsia" w:ascii="宋体" w:hAnsi="宋体" w:cs="宋体"/>
                <w:b/>
                <w:color w:val="auto"/>
                <w:kern w:val="0"/>
                <w:szCs w:val="21"/>
                <w:highlight w:val="none"/>
              </w:rPr>
              <w:t>时</w:t>
            </w:r>
            <w:r>
              <w:rPr>
                <w:rFonts w:hint="eastAsia" w:ascii="宋体" w:hAnsi="宋体" w:cs="宋体"/>
                <w:b/>
                <w:color w:val="auto"/>
                <w:kern w:val="0"/>
                <w:szCs w:val="21"/>
                <w:highlight w:val="none"/>
                <w:lang w:val="en-US" w:eastAsia="zh-CN"/>
              </w:rPr>
              <w:t>10分</w:t>
            </w:r>
            <w:r>
              <w:rPr>
                <w:rFonts w:hint="eastAsia" w:ascii="宋体" w:hAnsi="宋体" w:cs="宋体"/>
                <w:b/>
                <w:color w:val="auto"/>
                <w:kern w:val="0"/>
                <w:szCs w:val="21"/>
                <w:highlight w:val="none"/>
              </w:rPr>
              <w:t>（投标截止 10 日）前在滁州市公共资源交易中心网电子交易系统中在线进行异议，具体操作步骤和程序请参见服务指南&gt;交易须知&gt;在线异议、质疑和投诉操作手册。</w:t>
            </w:r>
            <w:bookmarkEnd w:id="28"/>
            <w:bookmarkEnd w:id="29"/>
          </w:p>
        </w:tc>
      </w:tr>
      <w:tr w14:paraId="2599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0FD2E68">
            <w:pPr>
              <w:widowControl/>
              <w:spacing w:line="560" w:lineRule="exact"/>
              <w:jc w:val="center"/>
              <w:rPr>
                <w:rFonts w:hint="eastAsia" w:ascii="宋体" w:cs="宋体"/>
                <w:color w:val="auto"/>
                <w:kern w:val="0"/>
                <w:szCs w:val="21"/>
                <w:highlight w:val="none"/>
              </w:rPr>
            </w:pPr>
            <w:bookmarkStart w:id="30" w:name="OLE_LINK55"/>
            <w:bookmarkStart w:id="31" w:name="OLE_LINK56"/>
            <w:r>
              <w:rPr>
                <w:rFonts w:hint="eastAsia" w:ascii="宋体" w:cs="宋体"/>
                <w:color w:val="auto"/>
                <w:kern w:val="0"/>
                <w:szCs w:val="21"/>
                <w:highlight w:val="none"/>
              </w:rPr>
              <w:t>受理异议的联系人及联系方式</w:t>
            </w:r>
            <w:bookmarkEnd w:id="30"/>
            <w:bookmarkEnd w:id="31"/>
          </w:p>
        </w:tc>
        <w:tc>
          <w:tcPr>
            <w:tcW w:w="8313" w:type="dxa"/>
            <w:noWrap w:val="0"/>
            <w:vAlign w:val="center"/>
          </w:tcPr>
          <w:p w14:paraId="1765A0C2">
            <w:pPr>
              <w:widowControl/>
              <w:spacing w:line="560" w:lineRule="exact"/>
              <w:jc w:val="left"/>
              <w:rPr>
                <w:rFonts w:hint="eastAsia" w:ascii="宋体" w:cs="宋体"/>
                <w:color w:val="auto"/>
                <w:kern w:val="0"/>
                <w:szCs w:val="21"/>
                <w:highlight w:val="none"/>
              </w:rPr>
            </w:pPr>
            <w:bookmarkStart w:id="32" w:name="OLE_LINK57"/>
            <w:bookmarkStart w:id="33" w:name="OLE_LINK58"/>
            <w:r>
              <w:rPr>
                <w:rFonts w:hint="eastAsia" w:ascii="宋体" w:cs="宋体"/>
                <w:color w:val="auto"/>
                <w:kern w:val="0"/>
                <w:szCs w:val="21"/>
                <w:highlight w:val="none"/>
              </w:rPr>
              <w:t>联系人：</w:t>
            </w:r>
            <w:r>
              <w:rPr>
                <w:rFonts w:hint="eastAsia" w:ascii="宋体" w:cs="宋体"/>
                <w:color w:val="auto"/>
                <w:kern w:val="0"/>
                <w:szCs w:val="21"/>
                <w:highlight w:val="none"/>
                <w:u w:val="single"/>
                <w:lang w:val="en-US" w:eastAsia="zh-CN"/>
              </w:rPr>
              <w:t>王芳</w:t>
            </w:r>
            <w:r>
              <w:rPr>
                <w:rFonts w:hint="eastAsia" w:ascii="宋体" w:cs="宋体"/>
                <w:color w:val="auto"/>
                <w:kern w:val="0"/>
                <w:szCs w:val="21"/>
                <w:highlight w:val="none"/>
              </w:rPr>
              <w:t>联系方式:</w:t>
            </w:r>
            <w:bookmarkEnd w:id="32"/>
            <w:bookmarkEnd w:id="33"/>
            <w:r>
              <w:rPr>
                <w:rFonts w:hint="eastAsia" w:ascii="宋体" w:cs="宋体"/>
                <w:color w:val="auto"/>
                <w:kern w:val="0"/>
                <w:szCs w:val="21"/>
                <w:highlight w:val="none"/>
                <w:u w:val="single"/>
                <w:lang w:val="en-US" w:eastAsia="zh-CN"/>
              </w:rPr>
              <w:t>18955055067</w:t>
            </w:r>
          </w:p>
        </w:tc>
      </w:tr>
      <w:tr w14:paraId="190EB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20BF990">
            <w:pPr>
              <w:widowControl/>
              <w:spacing w:line="560" w:lineRule="exact"/>
              <w:jc w:val="center"/>
              <w:rPr>
                <w:rFonts w:hint="eastAsia" w:ascii="宋体" w:cs="宋体"/>
                <w:color w:val="auto"/>
                <w:kern w:val="0"/>
                <w:szCs w:val="21"/>
                <w:highlight w:val="none"/>
              </w:rPr>
            </w:pPr>
            <w:r>
              <w:rPr>
                <w:rFonts w:hint="eastAsia" w:ascii="宋体" w:hAnsi="宋体" w:cs="宋体"/>
                <w:b/>
                <w:color w:val="auto"/>
                <w:szCs w:val="21"/>
                <w:highlight w:val="none"/>
              </w:rPr>
              <w:t>投标人提出投诉的方式</w:t>
            </w:r>
          </w:p>
        </w:tc>
        <w:tc>
          <w:tcPr>
            <w:tcW w:w="8313" w:type="dxa"/>
            <w:noWrap w:val="0"/>
            <w:vAlign w:val="top"/>
          </w:tcPr>
          <w:p w14:paraId="386EB870">
            <w:pPr>
              <w:widowControl/>
              <w:wordWrap w:val="0"/>
              <w:spacing w:line="560" w:lineRule="exact"/>
              <w:jc w:val="left"/>
              <w:rPr>
                <w:rFonts w:hint="eastAsia" w:ascii="宋体" w:cs="宋体"/>
                <w:color w:val="auto"/>
                <w:kern w:val="0"/>
                <w:szCs w:val="21"/>
                <w:highlight w:val="none"/>
              </w:rPr>
            </w:pPr>
            <w:bookmarkStart w:id="34" w:name="OLE_LINK59"/>
            <w:r>
              <w:rPr>
                <w:rFonts w:hint="eastAsia" w:ascii="宋体" w:hAnsi="宋体" w:cs="宋体"/>
                <w:color w:val="auto"/>
                <w:kern w:val="0"/>
                <w:szCs w:val="21"/>
                <w:highlight w:val="none"/>
                <w:u w:val="single"/>
              </w:rPr>
              <w:t xml:space="preserve">投标人或者其他利害关系人认为招标投标活动违反法律、法规和规章规定的，有权向相关行政监督部门投诉。在线投诉具体步骤和程序请参照服务指南&gt;投诉渠道 </w:t>
            </w:r>
            <w:r>
              <w:rPr>
                <w:rFonts w:ascii="宋体" w:hAnsi="宋体" w:cs="宋体"/>
                <w:color w:val="auto"/>
                <w:kern w:val="0"/>
                <w:szCs w:val="21"/>
                <w:highlight w:val="none"/>
                <w:u w:val="single"/>
              </w:rPr>
              <w:fldChar w:fldCharType="begin"/>
            </w:r>
            <w:r>
              <w:rPr>
                <w:rFonts w:ascii="宋体" w:hAnsi="宋体" w:cs="宋体"/>
                <w:color w:val="auto"/>
                <w:kern w:val="0"/>
                <w:szCs w:val="21"/>
                <w:highlight w:val="none"/>
                <w:u w:val="single"/>
              </w:rPr>
              <w:instrText xml:space="preserve"> HYPERLINK "https://ggzy.chuzhou.gov.cn/fwzn/011001/serviceGuide.html" </w:instrText>
            </w:r>
            <w:r>
              <w:rPr>
                <w:rFonts w:ascii="宋体" w:hAnsi="宋体" w:cs="宋体"/>
                <w:color w:val="auto"/>
                <w:kern w:val="0"/>
                <w:szCs w:val="21"/>
                <w:highlight w:val="none"/>
                <w:u w:val="single"/>
              </w:rPr>
              <w:fldChar w:fldCharType="separate"/>
            </w:r>
            <w:r>
              <w:rPr>
                <w:rFonts w:ascii="宋体" w:hAnsi="宋体" w:cs="宋体"/>
                <w:color w:val="auto"/>
                <w:kern w:val="0"/>
                <w:szCs w:val="21"/>
                <w:highlight w:val="none"/>
                <w:u w:val="single"/>
              </w:rPr>
              <w:t>https://ggzy.chuzhou.gov.cn/fwzn/011001/serviceGuide.html</w:t>
            </w:r>
            <w:r>
              <w:rPr>
                <w:rFonts w:ascii="宋体" w:hAnsi="宋体" w:cs="宋体"/>
                <w:color w:val="auto"/>
                <w:kern w:val="0"/>
                <w:szCs w:val="21"/>
                <w:highlight w:val="none"/>
                <w:u w:val="single"/>
              </w:rPr>
              <w:fldChar w:fldCharType="end"/>
            </w:r>
            <w:r>
              <w:rPr>
                <w:rFonts w:hint="eastAsia" w:ascii="宋体" w:hAnsi="宋体" w:cs="宋体"/>
                <w:color w:val="auto"/>
                <w:kern w:val="0"/>
                <w:szCs w:val="21"/>
                <w:highlight w:val="none"/>
                <w:u w:val="single"/>
              </w:rPr>
              <w:t>；投诉书格式等内容参见服务指南&gt;办事指南&gt;投标人服务&gt;投诉受理一次告知书</w:t>
            </w:r>
            <w:r>
              <w:rPr>
                <w:rFonts w:ascii="宋体" w:hAnsi="宋体" w:cs="宋体"/>
                <w:color w:val="auto"/>
                <w:kern w:val="0"/>
                <w:szCs w:val="21"/>
                <w:highlight w:val="none"/>
                <w:u w:val="single"/>
              </w:rPr>
              <w:t>https://ggzy.chuzhou.gov.cn/fwzn/011001/011001001/011001001003/20211022/4b7d87ec-2c58-49b0-b76c-3a6277377930.html</w:t>
            </w:r>
            <w:r>
              <w:rPr>
                <w:rFonts w:hint="eastAsia" w:ascii="宋体" w:hAnsi="宋体" w:cs="宋体"/>
                <w:color w:val="auto"/>
                <w:kern w:val="0"/>
                <w:szCs w:val="21"/>
                <w:highlight w:val="none"/>
                <w:u w:val="single"/>
              </w:rPr>
              <w:t>。</w:t>
            </w:r>
            <w:bookmarkEnd w:id="34"/>
          </w:p>
        </w:tc>
      </w:tr>
      <w:tr w14:paraId="7118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699ADBEA">
            <w:pPr>
              <w:widowControl/>
              <w:spacing w:line="560" w:lineRule="exact"/>
              <w:jc w:val="center"/>
              <w:rPr>
                <w:rFonts w:hint="eastAsia" w:ascii="宋体" w:cs="宋体"/>
                <w:b/>
                <w:color w:val="auto"/>
                <w:kern w:val="0"/>
                <w:sz w:val="24"/>
                <w:highlight w:val="none"/>
              </w:rPr>
            </w:pPr>
            <w:r>
              <w:rPr>
                <w:rFonts w:hint="eastAsia" w:ascii="宋体" w:hAnsi="宋体" w:cs="宋体"/>
                <w:b/>
                <w:color w:val="auto"/>
                <w:sz w:val="24"/>
                <w:highlight w:val="none"/>
              </w:rPr>
              <w:t>投标保证金收取</w:t>
            </w:r>
          </w:p>
        </w:tc>
      </w:tr>
      <w:tr w14:paraId="5C7F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FCA5966">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投标保证金收取</w:t>
            </w:r>
            <w:r>
              <w:rPr>
                <w:rStyle w:val="33"/>
                <w:rFonts w:ascii="宋体" w:hAnsi="宋体" w:cs="宋体"/>
                <w:color w:val="auto"/>
                <w:szCs w:val="21"/>
                <w:highlight w:val="none"/>
              </w:rPr>
              <w:footnoteReference w:id="0"/>
            </w:r>
          </w:p>
        </w:tc>
        <w:tc>
          <w:tcPr>
            <w:tcW w:w="8313" w:type="dxa"/>
            <w:noWrap w:val="0"/>
            <w:vAlign w:val="center"/>
          </w:tcPr>
          <w:p w14:paraId="57E80FD6">
            <w:pPr>
              <w:widowControl/>
              <w:spacing w:line="560" w:lineRule="exact"/>
              <w:jc w:val="left"/>
              <w:rPr>
                <w:rFonts w:hint="eastAsia" w:ascii="宋体" w:hAnsi="宋体"/>
                <w:color w:val="auto"/>
                <w:highlight w:val="none"/>
              </w:rPr>
            </w:pPr>
            <w:r>
              <w:rPr>
                <w:rFonts w:hint="eastAsia" w:ascii="宋体" w:hAnsi="宋体" w:cs="宋体"/>
                <w:color w:val="auto"/>
                <w:kern w:val="0"/>
                <w:szCs w:val="21"/>
                <w:highlight w:val="none"/>
              </w:rPr>
              <w:t>投标保证金的金额：</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万元，要求投标人提交投标保证金。</w:t>
            </w:r>
          </w:p>
        </w:tc>
      </w:tr>
      <w:tr w14:paraId="51ED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top"/>
          </w:tcPr>
          <w:p w14:paraId="69FC7274">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投标保证金形式</w:t>
            </w:r>
          </w:p>
        </w:tc>
        <w:tc>
          <w:tcPr>
            <w:tcW w:w="8313" w:type="dxa"/>
            <w:noWrap w:val="0"/>
            <w:vAlign w:val="top"/>
          </w:tcPr>
          <w:p w14:paraId="1D1A1C83">
            <w:pPr>
              <w:widowControl/>
              <w:spacing w:line="560" w:lineRule="exact"/>
              <w:jc w:val="left"/>
              <w:rPr>
                <w:rFonts w:hint="eastAsia" w:ascii="宋体" w:hAnsi="宋体" w:cs="MS Mincho"/>
                <w:color w:val="auto"/>
                <w:kern w:val="0"/>
                <w:szCs w:val="21"/>
                <w:highlight w:val="none"/>
              </w:rPr>
            </w:pPr>
            <w:bookmarkStart w:id="35" w:name="OLE_LINK71"/>
            <w:bookmarkStart w:id="36" w:name="OLE_LINK66"/>
            <w:bookmarkStart w:id="37" w:name="OLE_LINK61"/>
            <w:bookmarkStart w:id="38" w:name="OLE_LINK62"/>
            <w:bookmarkStart w:id="39" w:name="OLE_LINK69"/>
            <w:r>
              <w:rPr>
                <w:rFonts w:hint="eastAsia" w:ascii="宋体" w:hAnsi="宋体" w:cs="宋体"/>
                <w:color w:val="auto"/>
                <w:kern w:val="0"/>
                <w:szCs w:val="21"/>
                <w:highlight w:val="none"/>
              </w:rPr>
              <w:t>支持现金（银行转账、银行电汇等）、非现金形式（支票、银行汇票、本票等）、电子保函、纸质银行保函。</w:t>
            </w:r>
            <w:bookmarkEnd w:id="35"/>
            <w:bookmarkEnd w:id="36"/>
            <w:bookmarkEnd w:id="37"/>
            <w:bookmarkEnd w:id="38"/>
            <w:bookmarkEnd w:id="39"/>
          </w:p>
        </w:tc>
      </w:tr>
      <w:tr w14:paraId="31FB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77C7EDD">
            <w:pPr>
              <w:widowControl/>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接收投标保证金的账户信息</w:t>
            </w:r>
          </w:p>
        </w:tc>
        <w:tc>
          <w:tcPr>
            <w:tcW w:w="8313" w:type="dxa"/>
            <w:noWrap w:val="0"/>
            <w:vAlign w:val="center"/>
          </w:tcPr>
          <w:p w14:paraId="52A7A394">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5FBDAB95">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①户名：全椒县公共资源交易中心</w:t>
            </w:r>
          </w:p>
          <w:p w14:paraId="7E1BB6BD">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开户行：中国建设银行股份有限公司全椒支行</w:t>
            </w:r>
          </w:p>
          <w:p w14:paraId="0CFEB977">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账  号：</w:t>
            </w:r>
            <w:r>
              <w:rPr>
                <w:rFonts w:hint="default" w:ascii="宋体" w:hAnsi="宋体" w:eastAsia="宋体" w:cs="宋体"/>
                <w:color w:val="auto"/>
                <w:kern w:val="0"/>
                <w:sz w:val="21"/>
                <w:szCs w:val="21"/>
                <w:highlight w:val="none"/>
                <w:lang w:val="en-US" w:eastAsia="zh-CN" w:bidi="ar-SA"/>
              </w:rPr>
              <w:t>6232811720000015995</w:t>
            </w:r>
          </w:p>
          <w:p w14:paraId="35557FA1">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②户  名：全椒县公共资源交易中心</w:t>
            </w:r>
          </w:p>
          <w:p w14:paraId="5E8560AF">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开户行：中国邮政储蓄银行股份有限公司全椒县支行</w:t>
            </w:r>
          </w:p>
          <w:p w14:paraId="12FB33E0">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账  号：</w:t>
            </w:r>
            <w:r>
              <w:rPr>
                <w:rFonts w:hint="default" w:ascii="宋体" w:hAnsi="宋体" w:eastAsia="宋体" w:cs="宋体"/>
                <w:color w:val="auto"/>
                <w:kern w:val="0"/>
                <w:sz w:val="21"/>
                <w:szCs w:val="21"/>
                <w:highlight w:val="none"/>
                <w:lang w:val="en-US" w:eastAsia="zh-CN" w:bidi="ar-SA"/>
              </w:rPr>
              <w:t>10024818970001000104249</w:t>
            </w:r>
          </w:p>
          <w:p w14:paraId="0C47C26E">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③户  名：全椒县公共资源交易中心        </w:t>
            </w:r>
          </w:p>
          <w:p w14:paraId="2C94596E">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开户行：中国工商银行全椒支行营业部               </w:t>
            </w:r>
          </w:p>
          <w:p w14:paraId="2499074C">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账  号：</w:t>
            </w:r>
            <w:r>
              <w:rPr>
                <w:rFonts w:hint="default" w:ascii="宋体" w:hAnsi="宋体" w:eastAsia="宋体" w:cs="宋体"/>
                <w:color w:val="auto"/>
                <w:kern w:val="0"/>
                <w:sz w:val="21"/>
                <w:szCs w:val="21"/>
                <w:highlight w:val="none"/>
                <w:lang w:val="en-US" w:eastAsia="zh-CN" w:bidi="ar-SA"/>
              </w:rPr>
              <w:t>1313042138000337059</w:t>
            </w:r>
          </w:p>
          <w:p w14:paraId="15AAF65C">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④户  名：全椒县公共资源交易中心        </w:t>
            </w:r>
          </w:p>
          <w:p w14:paraId="1D182F4E">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开户行：中国银行股份有限公司全椒支行               </w:t>
            </w:r>
          </w:p>
          <w:p w14:paraId="6DC21C5D">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账  号：</w:t>
            </w:r>
            <w:r>
              <w:rPr>
                <w:rFonts w:hint="default" w:ascii="宋体" w:hAnsi="宋体" w:eastAsia="宋体" w:cs="宋体"/>
                <w:color w:val="auto"/>
                <w:kern w:val="0"/>
                <w:sz w:val="21"/>
                <w:szCs w:val="21"/>
                <w:highlight w:val="none"/>
                <w:lang w:val="en-US" w:eastAsia="zh-CN" w:bidi="ar-SA"/>
              </w:rPr>
              <w:t>184230257290</w:t>
            </w:r>
          </w:p>
          <w:p w14:paraId="5C4BFDD4">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 采用现金形式缴纳保证金时须在交易附言中注明：“</w:t>
            </w:r>
            <w:r>
              <w:rPr>
                <w:rFonts w:hint="default" w:ascii="宋体" w:hAnsi="宋体" w:eastAsia="宋体" w:cs="宋体"/>
                <w:color w:val="auto"/>
                <w:kern w:val="0"/>
                <w:sz w:val="21"/>
                <w:szCs w:val="21"/>
                <w:highlight w:val="none"/>
                <w:lang w:val="en-US" w:eastAsia="zh-CN" w:bidi="ar-SA"/>
              </w:rPr>
              <w:t>czqjgc202601-005</w:t>
            </w:r>
            <w:r>
              <w:rPr>
                <w:rFonts w:hint="eastAsia" w:ascii="宋体" w:hAnsi="宋体" w:eastAsia="宋体" w:cs="宋体"/>
                <w:color w:val="auto"/>
                <w:kern w:val="0"/>
                <w:sz w:val="21"/>
                <w:szCs w:val="21"/>
                <w:highlight w:val="none"/>
                <w:lang w:val="en-US" w:eastAsia="zh-CN" w:bidi="ar-SA"/>
              </w:rPr>
              <w:t>（招标项目编号）项目投标保证金”。</w:t>
            </w:r>
          </w:p>
          <w:p w14:paraId="2605861A">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2）采用支票、银行汇票、本</w:t>
            </w:r>
            <w:bookmarkStart w:id="1665" w:name="_GoBack"/>
            <w:bookmarkEnd w:id="1665"/>
            <w:r>
              <w:rPr>
                <w:rFonts w:hint="eastAsia" w:ascii="宋体" w:hAnsi="宋体" w:eastAsia="宋体" w:cs="宋体"/>
                <w:color w:val="auto"/>
                <w:kern w:val="0"/>
                <w:sz w:val="21"/>
                <w:szCs w:val="21"/>
                <w:highlight w:val="none"/>
                <w:lang w:val="en-US" w:eastAsia="zh-CN" w:bidi="ar-SA"/>
              </w:rPr>
              <w:t>票等非现金形式提交投标保证金时，投标人应在付款人开户行申请书附言处注明“</w:t>
            </w:r>
            <w:r>
              <w:rPr>
                <w:rFonts w:hint="default" w:ascii="宋体" w:hAnsi="宋体" w:eastAsia="宋体" w:cs="宋体"/>
                <w:color w:val="auto"/>
                <w:kern w:val="0"/>
                <w:sz w:val="21"/>
                <w:szCs w:val="21"/>
                <w:highlight w:val="none"/>
                <w:lang w:val="en-US" w:eastAsia="zh-CN" w:bidi="ar-SA"/>
              </w:rPr>
              <w:t>czqjgc202601-005</w:t>
            </w:r>
            <w:r>
              <w:rPr>
                <w:rFonts w:hint="eastAsia" w:ascii="宋体" w:hAnsi="宋体" w:eastAsia="宋体" w:cs="宋体"/>
                <w:color w:val="auto"/>
                <w:kern w:val="0"/>
                <w:sz w:val="21"/>
                <w:szCs w:val="21"/>
                <w:highlight w:val="none"/>
                <w:lang w:val="en-US" w:eastAsia="zh-CN" w:bidi="ar-SA"/>
              </w:rPr>
              <w:t>（招标项目编号）项目投标保证金”字样，应确保收款人开户行进账单完整反映交易附言内容，由此导致无法识别投标保证金对应的投标项目，其后果由投标人负责。</w:t>
            </w:r>
          </w:p>
          <w:p w14:paraId="4D480E7D">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3)采用电子保函形式具体要求如下：</w:t>
            </w:r>
          </w:p>
          <w:p w14:paraId="7BF64899">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①电子保函提交要求：</w:t>
            </w:r>
          </w:p>
          <w:p w14:paraId="7D6728CC">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a.投标人须在投标文件提交截止时间前提供与滁州市公共资源交易中心金融服务平台对接的电子保函，否则视为投标保证金未按规定要求缴纳。</w:t>
            </w:r>
          </w:p>
          <w:p w14:paraId="74A6DA09">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b.电子保函生效时间须为所投项目规定的保证金到账截止时间之前，电子保函的有效期截止时间不得短于招标文件约定的投标有效期截止时间，否则视为投标保证金未按规定要求缴纳。</w:t>
            </w:r>
          </w:p>
          <w:p w14:paraId="71088519">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c.投标有效期内未能确定中标结果，需要延长投标有效期，投标人同意延长投标有效期的，须相应延长电子保函的有效期。</w:t>
            </w:r>
          </w:p>
          <w:p w14:paraId="61FD8C9B">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d.投标人存在投标保证金不予退还的情形，采用电子保函形式的将予以追缴。</w:t>
            </w:r>
          </w:p>
          <w:p w14:paraId="448F43CF">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4)采用纸质银行保函形式具体要求如下：</w:t>
            </w:r>
          </w:p>
          <w:p w14:paraId="55082315">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①应为投标人基本账户开户银行出具的不可撤销、不可转让的见索即付独立保函,所需费用由投标人承担。</w:t>
            </w:r>
          </w:p>
          <w:p w14:paraId="395FF1B2">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②投标人在投标文件中必须提供基本存款账户证明（如基本存款账户开户许可证或基本存款账户信息），同时将纸质保函扫描件提供在投标文件中。</w:t>
            </w:r>
          </w:p>
          <w:p w14:paraId="677354EC">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③投标人在投标文件中必须提供明确有效的查询途径（ 网址链接及查询方式），否则该纸质银行保函无效。</w:t>
            </w:r>
          </w:p>
          <w:p w14:paraId="439F220E">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1F04AE1C">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2.保证金电子保函业务应急处置措施。由于自然灾害、事故灾难、突发公共网络安全事件或者系统原因，以及保证金电子保函系统使用过程中出现的以下情况：</w:t>
            </w:r>
          </w:p>
          <w:p w14:paraId="188F3CCE">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（1）开标时，系统获取明文保函文件异常，无法正常获取保函文件；</w:t>
            </w:r>
          </w:p>
          <w:p w14:paraId="638FB2D4">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（2）保证金电子保函系统的软件或数据库出现错误，不能进行正常操作；</w:t>
            </w:r>
          </w:p>
          <w:p w14:paraId="41AFD9DA">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（3）保证金电子保函系统服务器发生故障等情况，无法访问或无法使用电子保函；</w:t>
            </w:r>
          </w:p>
          <w:p w14:paraId="2A100DBD">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（4）保证金电子保函系统服务器受到病毒或其他外来的攻击；</w:t>
            </w:r>
          </w:p>
          <w:p w14:paraId="5A7AF45B">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（5）其他影响电子保函出具的异常情形。</w:t>
            </w:r>
          </w:p>
          <w:p w14:paraId="0B032848">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1C29849D">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3.本次招标失败，再次进行招标的，投标人须按照新的账户重新缴纳投标保证金。</w:t>
            </w:r>
          </w:p>
          <w:p w14:paraId="47D73296">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4.投标人为联合体投标的，由牵头人基本账户转出投标保证金或由牵头人办理保函。</w:t>
            </w:r>
          </w:p>
          <w:p w14:paraId="6CFDA5F8">
            <w:pPr>
              <w:pStyle w:val="44"/>
              <w:keepNext w:val="0"/>
              <w:keepLines w:val="0"/>
              <w:pageBreakBefore w:val="0"/>
              <w:kinsoku/>
              <w:wordWrap/>
              <w:overflowPunct/>
              <w:topLinePunct w:val="0"/>
              <w:autoSpaceDE/>
              <w:autoSpaceDN/>
              <w:bidi w:val="0"/>
              <w:snapToGrid/>
              <w:spacing w:line="56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5.是否适用免缴投标保证金政策</w:t>
            </w:r>
          </w:p>
          <w:p w14:paraId="2DC79068">
            <w:pPr>
              <w:widowControl/>
              <w:spacing w:line="560" w:lineRule="exact"/>
              <w:jc w:val="left"/>
              <w:rPr>
                <w:rFonts w:ascii="宋体" w:hAnsi="宋体" w:cs="宋体"/>
                <w:color w:val="auto"/>
                <w:kern w:val="0"/>
                <w:szCs w:val="21"/>
                <w:highlight w:val="none"/>
              </w:rPr>
            </w:pPr>
            <w:permStart w:id="0" w:edGrp="everyone"/>
            <w:r>
              <w:rPr>
                <w:rFonts w:hint="eastAsia" w:ascii="宋体" w:hAnsi="宋体" w:eastAsia="宋体" w:cs="宋体"/>
                <w:color w:val="auto"/>
                <w:kern w:val="0"/>
                <w:sz w:val="21"/>
                <w:szCs w:val="21"/>
                <w:highlight w:val="none"/>
                <w:lang w:val="en-US" w:eastAsia="zh-CN" w:bidi="ar-SA"/>
              </w:rPr>
              <w:t xml:space="preserve">不适用 </w:t>
            </w:r>
            <w:permEnd w:id="0"/>
            <w:r>
              <w:rPr>
                <w:rFonts w:hint="eastAsia" w:ascii="仿宋" w:hAnsi="仿宋" w:eastAsia="仿宋" w:cs="Times New Roman"/>
                <w:color w:val="000000" w:themeColor="text1"/>
                <w:kern w:val="2"/>
                <w:sz w:val="32"/>
                <w:szCs w:val="32"/>
                <w:lang w:val="en-US" w:eastAsia="zh-CN" w:bidi="ar-SA"/>
                <w14:textFill>
                  <w14:solidFill>
                    <w14:schemeClr w14:val="tx1"/>
                  </w14:solidFill>
                </w14:textFill>
              </w:rPr>
              <w:t>。</w:t>
            </w:r>
          </w:p>
        </w:tc>
      </w:tr>
      <w:tr w14:paraId="74D0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70515C3">
            <w:pPr>
              <w:widowControl/>
              <w:spacing w:line="560" w:lineRule="exact"/>
              <w:jc w:val="center"/>
              <w:rPr>
                <w:rFonts w:hint="eastAsia"/>
                <w:bCs/>
                <w:color w:val="auto"/>
                <w:spacing w:val="-6"/>
                <w:szCs w:val="21"/>
                <w:highlight w:val="none"/>
              </w:rPr>
            </w:pPr>
            <w:r>
              <w:rPr>
                <w:rFonts w:hint="eastAsia"/>
                <w:bCs/>
                <w:color w:val="auto"/>
                <w:spacing w:val="-6"/>
                <w:szCs w:val="21"/>
                <w:highlight w:val="none"/>
              </w:rPr>
              <w:t>备注</w:t>
            </w:r>
          </w:p>
        </w:tc>
        <w:tc>
          <w:tcPr>
            <w:tcW w:w="8313" w:type="dxa"/>
            <w:noWrap w:val="0"/>
            <w:vAlign w:val="center"/>
          </w:tcPr>
          <w:p w14:paraId="582F5718">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1、投标人为联合体投标的，保证金由牵头人基本账户转入交易中心账户或由牵头人办理投标担保。</w:t>
            </w:r>
          </w:p>
          <w:p w14:paraId="4ABBA840">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本项目不缴纳投标保证金条款仅针对在投标过程中未违反本招标文件第二章“投标人须知”中第3.4.4项约定的投标人。如在投标过程中投标人存在本招标文件第二章“投标人须知”中第3.4.4项约定情形，则无条件按招标人要求的金额、时间、账号缴纳投标保证金。投标人采用银行保函、担保机构担保、保证保险方式提交投标保证金的，如出现本招标文件“投标人须知”第 3.4.4 项所列情形的，提供担保的银行、担保机构及保险机构将无条件向招标人支付保函所列的全部投标保证金金额，该支付行为视同投标保证金不予退还。</w:t>
            </w:r>
          </w:p>
          <w:p w14:paraId="117F1573">
            <w:pPr>
              <w:spacing w:line="560" w:lineRule="exact"/>
              <w:rPr>
                <w:rFonts w:hint="eastAsia" w:ascii="宋体" w:hAnsi="宋体" w:cs="宋体"/>
                <w:b/>
                <w:color w:val="auto"/>
                <w:kern w:val="0"/>
                <w:szCs w:val="21"/>
                <w:highlight w:val="none"/>
              </w:rPr>
            </w:pPr>
            <w:r>
              <w:rPr>
                <w:rFonts w:hint="eastAsia"/>
                <w:color w:val="auto"/>
                <w:highlight w:val="none"/>
              </w:rPr>
              <w:t>3、投标人采用虚假银行保函、担保机构担保、保证保险方式提交投标保证金的，应依法承担弄虚作假、骗取中标的法律责任。</w:t>
            </w:r>
          </w:p>
        </w:tc>
      </w:tr>
      <w:tr w14:paraId="5F0F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21408338">
            <w:pPr>
              <w:widowControl/>
              <w:spacing w:line="56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其他说明</w:t>
            </w:r>
          </w:p>
        </w:tc>
      </w:tr>
      <w:tr w14:paraId="598F3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C8C20D1">
            <w:pPr>
              <w:widowControl/>
              <w:spacing w:line="560" w:lineRule="exact"/>
              <w:jc w:val="center"/>
              <w:rPr>
                <w:rFonts w:hint="eastAsia"/>
                <w:bCs/>
                <w:color w:val="auto"/>
                <w:spacing w:val="-6"/>
                <w:szCs w:val="21"/>
                <w:highlight w:val="none"/>
              </w:rPr>
            </w:pPr>
            <w:r>
              <w:rPr>
                <w:rFonts w:hint="eastAsia"/>
                <w:bCs/>
                <w:color w:val="auto"/>
                <w:spacing w:val="-6"/>
                <w:szCs w:val="21"/>
                <w:highlight w:val="none"/>
              </w:rPr>
              <w:t>重要说明</w:t>
            </w:r>
          </w:p>
        </w:tc>
        <w:tc>
          <w:tcPr>
            <w:tcW w:w="8313" w:type="dxa"/>
            <w:noWrap w:val="0"/>
            <w:vAlign w:val="center"/>
          </w:tcPr>
          <w:p w14:paraId="10B69DE3">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1、本项目只接受在安徽省公共资源交易市场主体库（</w:t>
            </w:r>
            <w:r>
              <w:rPr>
                <w:rFonts w:ascii="宋体" w:hAnsi="宋体" w:cs="宋体"/>
                <w:color w:val="auto"/>
                <w:kern w:val="0"/>
                <w:szCs w:val="21"/>
                <w:highlight w:val="none"/>
              </w:rPr>
              <w:t>http://ggzy.ah.gov.cn/ahggfwpt-zhutiku/dengludenglu</w:t>
            </w:r>
            <w:r>
              <w:rPr>
                <w:rFonts w:hint="eastAsia" w:ascii="宋体" w:hAnsi="宋体" w:cs="宋体"/>
                <w:color w:val="auto"/>
                <w:kern w:val="0"/>
                <w:szCs w:val="21"/>
                <w:highlight w:val="none"/>
              </w:rPr>
              <w:t>）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B205528">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6D8B5805">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316F7633">
            <w:pPr>
              <w:widowControl/>
              <w:wordWrap w:val="0"/>
              <w:spacing w:line="560" w:lineRule="exact"/>
              <w:jc w:val="left"/>
              <w:rPr>
                <w:rFonts w:hint="eastAsia"/>
                <w:color w:val="auto"/>
                <w:highlight w:val="none"/>
              </w:rPr>
            </w:pPr>
            <w:r>
              <w:rPr>
                <w:rFonts w:hint="eastAsia" w:ascii="宋体" w:hAnsi="宋体" w:cs="宋体"/>
                <w:color w:val="auto"/>
                <w:kern w:val="0"/>
                <w:szCs w:val="21"/>
                <w:highlight w:val="none"/>
              </w:rPr>
              <w:t>4、投标文件格式、内容和制作要求以招标文件为准，投标文件制作工具中提供的相关格式及内容仅供参考，投标企业可根据招标文件要求自行调整。</w:t>
            </w:r>
          </w:p>
        </w:tc>
      </w:tr>
      <w:tr w14:paraId="0972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ABC1708">
            <w:pPr>
              <w:widowControl/>
              <w:spacing w:line="560" w:lineRule="exact"/>
              <w:jc w:val="center"/>
              <w:rPr>
                <w:rFonts w:hint="eastAsia"/>
                <w:bCs/>
                <w:color w:val="auto"/>
                <w:spacing w:val="-6"/>
                <w:szCs w:val="21"/>
                <w:highlight w:val="none"/>
              </w:rPr>
            </w:pPr>
            <w:r>
              <w:rPr>
                <w:rFonts w:hint="eastAsia"/>
                <w:bCs/>
                <w:color w:val="auto"/>
                <w:spacing w:val="-6"/>
                <w:szCs w:val="21"/>
                <w:highlight w:val="none"/>
              </w:rPr>
              <w:t>特别提示</w:t>
            </w:r>
          </w:p>
          <w:p w14:paraId="27D6B9F9">
            <w:pPr>
              <w:pStyle w:val="19"/>
              <w:rPr>
                <w:rFonts w:hint="eastAsia"/>
                <w:color w:val="auto"/>
                <w:highlight w:val="none"/>
              </w:rPr>
            </w:pPr>
          </w:p>
        </w:tc>
        <w:tc>
          <w:tcPr>
            <w:tcW w:w="8313" w:type="dxa"/>
            <w:noWrap w:val="0"/>
            <w:vAlign w:val="center"/>
          </w:tcPr>
          <w:p w14:paraId="6FE5FCFF">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本项目投标保证金、履约保证金、工程质量保证金、农民工工资保证金均支持保函使用。以现金形式提交保证金的，应当同时退还保证金本金和银行同期存款利息。</w:t>
            </w:r>
          </w:p>
          <w:p w14:paraId="0ECDD356">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2.投标人应填写投标信息并下载招标文件，否则无法上传投标文件。</w:t>
            </w:r>
          </w:p>
          <w:p w14:paraId="4BAC2196">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注：投标人如为联合体的，牵头人必须完善投标人信息，并在上传投标文件环节添加联合体投标信息。</w:t>
            </w:r>
          </w:p>
          <w:p w14:paraId="4BE80783">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75855CDF">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4.如果过程中出现招标文件更改，应以最后发布的招标答疑澄清文件中的模板制作本项目最新投标文件。</w:t>
            </w:r>
          </w:p>
          <w:p w14:paraId="31278D1D">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5.投标人应当用本单位CA数字证书制作投标文件，制作成功后进行投标文件上传。 </w:t>
            </w:r>
          </w:p>
          <w:p w14:paraId="0BC0D528">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6A4334F5">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7.请投标人注意加密投标文件CA数字证书的有效期，不在有效期的CA数字证书无法解密投标文件。</w:t>
            </w:r>
          </w:p>
          <w:p w14:paraId="1029CE49">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8.投标人投标MAC地址一致或申请开具电子保函MAC地址一致的，由评标委员会否决其投标。</w:t>
            </w:r>
          </w:p>
          <w:p w14:paraId="02DBB0FE">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9.投标人投标文件中单方面出现其他投标人材料的（依法组成联合体投标的除外），由评标委员会否决其投标。</w:t>
            </w:r>
          </w:p>
          <w:p w14:paraId="678B7674">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6596195F">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11.若存在不予退还投标人投标保证金的情形，银行转账的，由公共资源交易中心代为收缴，递交保函的，由招标人予以追缴。</w:t>
            </w:r>
          </w:p>
          <w:p w14:paraId="4F78B97A">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52923BAF">
            <w:pPr>
              <w:widowControl/>
              <w:wordWrap w:val="0"/>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13.投标人联系人或联系电话相同的，由评标委员会否决其投标，并报告监管部门作不良行为处理和进一步调查。</w:t>
            </w:r>
          </w:p>
          <w:p w14:paraId="0F45870F">
            <w:pPr>
              <w:widowControl/>
              <w:wordWrap w:val="0"/>
              <w:spacing w:line="560" w:lineRule="exact"/>
              <w:jc w:val="left"/>
              <w:rPr>
                <w:rFonts w:hint="eastAsia"/>
                <w:color w:val="auto"/>
                <w:highlight w:val="none"/>
              </w:rPr>
            </w:pPr>
            <w:r>
              <w:rPr>
                <w:rFonts w:hint="eastAsia" w:ascii="宋体" w:hAnsi="宋体" w:cs="宋体"/>
                <w:color w:val="auto"/>
                <w:kern w:val="0"/>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065E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6B324B12">
            <w:pPr>
              <w:widowControl/>
              <w:spacing w:line="560" w:lineRule="exact"/>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联系方式（受理异议的联系人及联系方式）</w:t>
            </w:r>
          </w:p>
        </w:tc>
      </w:tr>
      <w:tr w14:paraId="0E8B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81DCD06">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招标人名称</w:t>
            </w:r>
          </w:p>
        </w:tc>
        <w:tc>
          <w:tcPr>
            <w:tcW w:w="8313" w:type="dxa"/>
            <w:noWrap w:val="0"/>
            <w:vAlign w:val="center"/>
          </w:tcPr>
          <w:p w14:paraId="1C99E80C">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eastAsia="zh-CN"/>
              </w:rPr>
              <w:t>滁州市兴全矿业投资有限公司</w:t>
            </w:r>
            <w:r>
              <w:rPr>
                <w:rFonts w:hint="eastAsia" w:ascii="宋体" w:hAnsi="宋体" w:cs="宋体"/>
                <w:color w:val="auto"/>
                <w:kern w:val="0"/>
                <w:szCs w:val="21"/>
                <w:highlight w:val="none"/>
              </w:rPr>
              <w:t xml:space="preserve"> </w:t>
            </w:r>
          </w:p>
        </w:tc>
      </w:tr>
      <w:tr w14:paraId="4117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B276A43">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招标人地址</w:t>
            </w:r>
          </w:p>
        </w:tc>
        <w:tc>
          <w:tcPr>
            <w:tcW w:w="8313" w:type="dxa"/>
            <w:noWrap w:val="0"/>
            <w:vAlign w:val="center"/>
          </w:tcPr>
          <w:p w14:paraId="4105D612">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lang w:eastAsia="zh-CN"/>
              </w:rPr>
              <w:t>安徽省滁州市全椒县六镇镇草庵街道08号</w:t>
            </w:r>
            <w:r>
              <w:rPr>
                <w:rFonts w:hint="eastAsia" w:ascii="宋体" w:hAnsi="宋体" w:cs="宋体"/>
                <w:color w:val="auto"/>
                <w:kern w:val="0"/>
                <w:szCs w:val="21"/>
                <w:highlight w:val="none"/>
              </w:rPr>
              <w:t xml:space="preserve">   </w:t>
            </w:r>
          </w:p>
        </w:tc>
      </w:tr>
      <w:tr w14:paraId="2813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125EA1F">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招标人联系人</w:t>
            </w:r>
          </w:p>
        </w:tc>
        <w:tc>
          <w:tcPr>
            <w:tcW w:w="8313" w:type="dxa"/>
            <w:noWrap w:val="0"/>
            <w:vAlign w:val="center"/>
          </w:tcPr>
          <w:p w14:paraId="01CD2B95">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李明松</w:t>
            </w:r>
            <w:r>
              <w:rPr>
                <w:rFonts w:hint="eastAsia" w:ascii="宋体" w:hAnsi="宋体" w:cs="宋体"/>
                <w:color w:val="auto"/>
                <w:kern w:val="0"/>
                <w:szCs w:val="21"/>
                <w:highlight w:val="none"/>
              </w:rPr>
              <w:t xml:space="preserve"> </w:t>
            </w:r>
          </w:p>
        </w:tc>
      </w:tr>
      <w:tr w14:paraId="0921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806C931">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招标人电话</w:t>
            </w:r>
          </w:p>
        </w:tc>
        <w:tc>
          <w:tcPr>
            <w:tcW w:w="8313" w:type="dxa"/>
            <w:noWrap w:val="0"/>
            <w:vAlign w:val="center"/>
          </w:tcPr>
          <w:p w14:paraId="06B9022C">
            <w:pPr>
              <w:widowControl/>
              <w:spacing w:line="440" w:lineRule="exact"/>
              <w:jc w:val="left"/>
              <w:rPr>
                <w:rFonts w:hint="default" w:ascii="宋体" w:hAnsi="宋体" w:cs="宋体"/>
                <w:color w:val="auto"/>
                <w:kern w:val="0"/>
                <w:szCs w:val="21"/>
                <w:highlight w:val="none"/>
                <w:lang w:val="en-US"/>
              </w:rPr>
            </w:pPr>
            <w:r>
              <w:rPr>
                <w:rFonts w:hint="eastAsia" w:eastAsia="微软雅黑" w:cs="Times New Roman"/>
                <w:color w:val="auto"/>
                <w:sz w:val="21"/>
                <w:szCs w:val="21"/>
                <w:highlight w:val="none"/>
                <w:lang w:val="en-US" w:eastAsia="zh-CN"/>
              </w:rPr>
              <w:t>18055086593</w:t>
            </w:r>
          </w:p>
        </w:tc>
      </w:tr>
      <w:tr w14:paraId="7804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315F86A">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招标代理机构名称</w:t>
            </w:r>
          </w:p>
        </w:tc>
        <w:tc>
          <w:tcPr>
            <w:tcW w:w="8313" w:type="dxa"/>
            <w:noWrap w:val="0"/>
            <w:vAlign w:val="center"/>
          </w:tcPr>
          <w:p w14:paraId="4528C5A2">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滁州市城投工程咨询管理有限公司</w:t>
            </w:r>
            <w:r>
              <w:rPr>
                <w:rFonts w:hint="eastAsia" w:ascii="宋体" w:hAnsi="宋体" w:cs="宋体"/>
                <w:color w:val="auto"/>
                <w:kern w:val="0"/>
                <w:szCs w:val="21"/>
                <w:highlight w:val="none"/>
              </w:rPr>
              <w:t xml:space="preserve"> </w:t>
            </w:r>
          </w:p>
        </w:tc>
      </w:tr>
      <w:tr w14:paraId="35E7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CF943EF">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招标代理机构地址</w:t>
            </w:r>
          </w:p>
        </w:tc>
        <w:tc>
          <w:tcPr>
            <w:tcW w:w="8313" w:type="dxa"/>
            <w:noWrap w:val="0"/>
            <w:vAlign w:val="center"/>
          </w:tcPr>
          <w:p w14:paraId="4D2563AF">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滁州市龙蟠大道109号房产</w:t>
            </w:r>
            <w:r>
              <w:rPr>
                <w:rFonts w:hint="eastAsia" w:ascii="宋体" w:hAnsi="宋体" w:cs="宋体"/>
                <w:color w:val="auto"/>
                <w:szCs w:val="21"/>
                <w:highlight w:val="none"/>
                <w:lang w:val="en-US" w:eastAsia="zh-CN"/>
              </w:rPr>
              <w:t>商务</w:t>
            </w:r>
            <w:r>
              <w:rPr>
                <w:rFonts w:hint="eastAsia" w:ascii="宋体" w:hAnsi="宋体" w:cs="宋体"/>
                <w:color w:val="auto"/>
                <w:szCs w:val="21"/>
                <w:highlight w:val="none"/>
              </w:rPr>
              <w:t>大厦6楼</w:t>
            </w:r>
            <w:r>
              <w:rPr>
                <w:rFonts w:hint="eastAsia" w:ascii="宋体" w:hAnsi="宋体" w:cs="宋体"/>
                <w:color w:val="auto"/>
                <w:kern w:val="0"/>
                <w:szCs w:val="21"/>
                <w:highlight w:val="none"/>
              </w:rPr>
              <w:t xml:space="preserve"> </w:t>
            </w:r>
          </w:p>
        </w:tc>
      </w:tr>
      <w:tr w14:paraId="38D4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A82AC72">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招标代理机构    联系人</w:t>
            </w:r>
          </w:p>
        </w:tc>
        <w:tc>
          <w:tcPr>
            <w:tcW w:w="8313" w:type="dxa"/>
            <w:noWrap w:val="0"/>
            <w:vAlign w:val="center"/>
          </w:tcPr>
          <w:p w14:paraId="528562FB">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王芳</w:t>
            </w:r>
            <w:r>
              <w:rPr>
                <w:rFonts w:hint="eastAsia" w:ascii="宋体" w:hAnsi="宋体" w:cs="宋体"/>
                <w:color w:val="auto"/>
                <w:kern w:val="0"/>
                <w:szCs w:val="21"/>
                <w:highlight w:val="none"/>
              </w:rPr>
              <w:t xml:space="preserve"> </w:t>
            </w:r>
          </w:p>
        </w:tc>
      </w:tr>
      <w:tr w14:paraId="116D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541AA51">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代理机构电话</w:t>
            </w:r>
          </w:p>
        </w:tc>
        <w:tc>
          <w:tcPr>
            <w:tcW w:w="8313" w:type="dxa"/>
            <w:noWrap w:val="0"/>
            <w:vAlign w:val="center"/>
          </w:tcPr>
          <w:p w14:paraId="2812055E">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szCs w:val="21"/>
                <w:highlight w:val="none"/>
              </w:rPr>
              <w:t>0550-</w:t>
            </w:r>
            <w:r>
              <w:rPr>
                <w:rFonts w:hint="eastAsia" w:ascii="宋体" w:hAnsi="宋体" w:cs="宋体"/>
                <w:color w:val="auto"/>
                <w:szCs w:val="21"/>
                <w:highlight w:val="none"/>
                <w:lang w:eastAsia="zh-CN"/>
              </w:rPr>
              <w:t>3519519</w:t>
            </w:r>
            <w:r>
              <w:rPr>
                <w:rFonts w:hint="eastAsia" w:ascii="宋体" w:hAnsi="宋体" w:cs="宋体"/>
                <w:color w:val="auto"/>
                <w:szCs w:val="21"/>
                <w:highlight w:val="none"/>
              </w:rPr>
              <w:t>、</w:t>
            </w:r>
            <w:r>
              <w:rPr>
                <w:rFonts w:hint="eastAsia" w:ascii="宋体" w:hAnsi="宋体" w:cs="宋体"/>
                <w:color w:val="auto"/>
                <w:szCs w:val="21"/>
                <w:highlight w:val="none"/>
                <w:lang w:eastAsia="zh-CN"/>
              </w:rPr>
              <w:t>18955055067</w:t>
            </w:r>
            <w:r>
              <w:rPr>
                <w:rFonts w:hint="eastAsia" w:ascii="宋体" w:hAnsi="宋体" w:cs="宋体"/>
                <w:color w:val="auto"/>
                <w:kern w:val="0"/>
                <w:szCs w:val="21"/>
                <w:highlight w:val="none"/>
              </w:rPr>
              <w:t xml:space="preserve"> </w:t>
            </w:r>
          </w:p>
        </w:tc>
      </w:tr>
      <w:tr w14:paraId="6AD1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C825AB7">
            <w:pPr>
              <w:widowControl/>
              <w:spacing w:line="440" w:lineRule="exact"/>
              <w:jc w:val="center"/>
              <w:rPr>
                <w:rFonts w:hint="eastAsia"/>
                <w:bCs/>
                <w:color w:val="auto"/>
                <w:spacing w:val="-6"/>
                <w:szCs w:val="21"/>
                <w:highlight w:val="none"/>
              </w:rPr>
            </w:pPr>
            <w:r>
              <w:rPr>
                <w:rFonts w:hint="eastAsia"/>
                <w:bCs/>
                <w:color w:val="auto"/>
                <w:spacing w:val="-6"/>
                <w:szCs w:val="21"/>
                <w:highlight w:val="none"/>
              </w:rPr>
              <w:t>招标投标行政监督部门</w:t>
            </w:r>
          </w:p>
        </w:tc>
        <w:tc>
          <w:tcPr>
            <w:tcW w:w="8313" w:type="dxa"/>
            <w:noWrap w:val="0"/>
            <w:vAlign w:val="center"/>
          </w:tcPr>
          <w:p w14:paraId="58A57DE3">
            <w:pPr>
              <w:widowControl/>
              <w:spacing w:line="440" w:lineRule="exact"/>
              <w:jc w:val="left"/>
              <w:rPr>
                <w:rFonts w:hint="eastAsia" w:ascii="宋体" w:hAnsi="宋体" w:cs="宋体"/>
                <w:color w:val="auto"/>
                <w:kern w:val="0"/>
                <w:szCs w:val="21"/>
                <w:highlight w:val="none"/>
              </w:rPr>
            </w:pPr>
            <w:r>
              <w:rPr>
                <w:rFonts w:hint="eastAsia" w:ascii="宋体" w:hAnsi="宋体" w:eastAsia="宋体" w:cs="宋体"/>
                <w:color w:val="auto"/>
                <w:sz w:val="21"/>
                <w:szCs w:val="21"/>
                <w:highlight w:val="none"/>
              </w:rPr>
              <w:t>全椒县公共资源交易监督管理局</w:t>
            </w:r>
            <w:r>
              <w:rPr>
                <w:rFonts w:hint="eastAsia" w:ascii="宋体" w:hAnsi="宋体" w:cs="宋体"/>
                <w:color w:val="auto"/>
                <w:kern w:val="0"/>
                <w:szCs w:val="21"/>
                <w:highlight w:val="none"/>
              </w:rPr>
              <w:t xml:space="preserve"> </w:t>
            </w:r>
          </w:p>
        </w:tc>
      </w:tr>
      <w:bookmarkEnd w:id="0"/>
      <w:bookmarkEnd w:id="1"/>
      <w:bookmarkEnd w:id="2"/>
      <w:bookmarkEnd w:id="3"/>
    </w:tbl>
    <w:p w14:paraId="4ECBB2F9">
      <w:pPr>
        <w:pStyle w:val="2"/>
        <w:pageBreakBefore/>
        <w:adjustRightInd w:val="0"/>
        <w:snapToGrid w:val="0"/>
        <w:spacing w:before="0" w:after="0" w:line="560" w:lineRule="exact"/>
        <w:jc w:val="center"/>
        <w:rPr>
          <w:rFonts w:hint="eastAsia"/>
          <w:color w:val="auto"/>
          <w:highlight w:val="none"/>
        </w:rPr>
      </w:pPr>
      <w:bookmarkStart w:id="40" w:name="_Toc95223333"/>
      <w:bookmarkStart w:id="41" w:name="_Toc60061431"/>
      <w:bookmarkStart w:id="42" w:name="_Toc179632544"/>
      <w:bookmarkStart w:id="43" w:name="_Toc152042303"/>
      <w:bookmarkStart w:id="44" w:name="_Toc247085687"/>
      <w:bookmarkStart w:id="45" w:name="_Toc246996916"/>
      <w:bookmarkStart w:id="46" w:name="_Toc324404813"/>
      <w:bookmarkStart w:id="47" w:name="_Toc506107267"/>
      <w:bookmarkStart w:id="48" w:name="_Toc15058844"/>
      <w:bookmarkStart w:id="49" w:name="_Toc246996173"/>
      <w:bookmarkStart w:id="50" w:name="_Toc144974495"/>
      <w:bookmarkStart w:id="51" w:name="_Toc152045527"/>
      <w:r>
        <w:rPr>
          <w:rFonts w:hint="eastAsia"/>
          <w:color w:val="auto"/>
          <w:highlight w:val="none"/>
        </w:rPr>
        <w:t>第二章 投标人须知</w:t>
      </w:r>
      <w:bookmarkEnd w:id="40"/>
      <w:bookmarkEnd w:id="41"/>
      <w:bookmarkEnd w:id="42"/>
      <w:bookmarkEnd w:id="43"/>
      <w:bookmarkEnd w:id="44"/>
      <w:bookmarkEnd w:id="45"/>
      <w:bookmarkEnd w:id="46"/>
      <w:bookmarkEnd w:id="47"/>
      <w:bookmarkEnd w:id="48"/>
      <w:bookmarkEnd w:id="49"/>
      <w:bookmarkEnd w:id="50"/>
      <w:bookmarkEnd w:id="51"/>
    </w:p>
    <w:p w14:paraId="15A4ADEA">
      <w:pPr>
        <w:pStyle w:val="3"/>
        <w:adjustRightInd w:val="0"/>
        <w:snapToGrid w:val="0"/>
        <w:spacing w:before="0" w:after="0" w:line="560" w:lineRule="exact"/>
        <w:jc w:val="center"/>
        <w:rPr>
          <w:rFonts w:hint="eastAsia"/>
          <w:color w:val="auto"/>
          <w:highlight w:val="none"/>
        </w:rPr>
      </w:pPr>
      <w:bookmarkStart w:id="52" w:name="_Toc152045528"/>
      <w:bookmarkStart w:id="53" w:name="_Toc15058845"/>
      <w:bookmarkStart w:id="54" w:name="_Toc152042304"/>
      <w:bookmarkStart w:id="55" w:name="_Toc506107268"/>
      <w:bookmarkStart w:id="56" w:name="_Toc324404814"/>
      <w:bookmarkStart w:id="57" w:name="_Toc144974496"/>
      <w:bookmarkStart w:id="58" w:name="_Toc60061432"/>
      <w:bookmarkStart w:id="59" w:name="_Toc95223334"/>
      <w:bookmarkStart w:id="60" w:name="_Toc247085688"/>
      <w:bookmarkStart w:id="61" w:name="_Toc179632545"/>
      <w:bookmarkStart w:id="62" w:name="_Toc246996174"/>
      <w:bookmarkStart w:id="63" w:name="_Toc246996917"/>
      <w:bookmarkStart w:id="64" w:name="_Toc83301687"/>
      <w:bookmarkStart w:id="65" w:name="_Toc15058846"/>
      <w:bookmarkStart w:id="66" w:name="_Toc246996918"/>
      <w:bookmarkStart w:id="67" w:name="_Toc247085689"/>
      <w:bookmarkStart w:id="68" w:name="_Toc179632546"/>
      <w:bookmarkStart w:id="69" w:name="_Toc152042305"/>
      <w:bookmarkStart w:id="70" w:name="_Toc506107269"/>
      <w:bookmarkStart w:id="71" w:name="_Toc324404815"/>
      <w:bookmarkStart w:id="72" w:name="_Toc152045529"/>
      <w:bookmarkStart w:id="73" w:name="_Toc246996175"/>
      <w:bookmarkStart w:id="74" w:name="_Toc144974497"/>
      <w:r>
        <w:rPr>
          <w:rFonts w:hint="eastAsia"/>
          <w:color w:val="auto"/>
          <w:highlight w:val="none"/>
        </w:rPr>
        <w:t>投标人须知前附表</w:t>
      </w:r>
      <w:bookmarkEnd w:id="52"/>
      <w:bookmarkEnd w:id="53"/>
      <w:bookmarkEnd w:id="54"/>
      <w:bookmarkEnd w:id="55"/>
      <w:bookmarkEnd w:id="56"/>
      <w:bookmarkEnd w:id="57"/>
      <w:bookmarkEnd w:id="58"/>
      <w:bookmarkEnd w:id="59"/>
      <w:bookmarkEnd w:id="60"/>
      <w:bookmarkEnd w:id="61"/>
      <w:bookmarkEnd w:id="62"/>
      <w:bookmarkEnd w:id="63"/>
      <w:bookmarkEnd w:id="64"/>
    </w:p>
    <w:tbl>
      <w:tblPr>
        <w:tblStyle w:val="20"/>
        <w:tblW w:w="0" w:type="auto"/>
        <w:jc w:val="center"/>
        <w:tblLayout w:type="fixed"/>
        <w:tblCellMar>
          <w:top w:w="0" w:type="dxa"/>
          <w:left w:w="108" w:type="dxa"/>
          <w:bottom w:w="0" w:type="dxa"/>
          <w:right w:w="108" w:type="dxa"/>
        </w:tblCellMar>
      </w:tblPr>
      <w:tblGrid>
        <w:gridCol w:w="1016"/>
        <w:gridCol w:w="1984"/>
        <w:gridCol w:w="7175"/>
      </w:tblGrid>
      <w:tr w14:paraId="237BC166">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F793701">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50B1E01">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1A23417">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61F08D9C">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401E29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E4C161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B1C49E2">
            <w:pPr>
              <w:pStyle w:val="38"/>
              <w:adjustRightInd w:val="0"/>
              <w:snapToGrid w:val="0"/>
              <w:spacing w:line="560" w:lineRule="exact"/>
              <w:jc w:val="left"/>
              <w:rPr>
                <w:rFonts w:hint="eastAsia" w:ascii="宋体" w:hAnsi="宋体" w:cs="宋体"/>
                <w:color w:val="auto"/>
                <w:kern w:val="2"/>
                <w:sz w:val="24"/>
                <w:szCs w:val="24"/>
                <w:highlight w:val="none"/>
              </w:rPr>
            </w:pPr>
            <w:r>
              <w:rPr>
                <w:rFonts w:hint="eastAsia" w:ascii="宋体" w:hAnsi="宋体" w:cs="宋体"/>
                <w:color w:val="auto"/>
                <w:sz w:val="24"/>
                <w:highlight w:val="none"/>
              </w:rPr>
              <w:t>见招标公告</w:t>
            </w:r>
          </w:p>
        </w:tc>
      </w:tr>
      <w:tr w14:paraId="7DC763C0">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2128B7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DE7530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招标代理机构</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34E3805">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5BB20CE5">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E5E092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1A6C83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招标项目名称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054DF4A">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32B3861A">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B6E7645">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F65766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建设地点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09F1C43">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2D7A8C50">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16B13C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922200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资金来源及出资比例</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04F4752">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见招标公告</w:t>
            </w:r>
          </w:p>
        </w:tc>
      </w:tr>
      <w:tr w14:paraId="572C5FA1">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8D7DBE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14C2B8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资金落实情况</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E586577">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已落实</w:t>
            </w:r>
            <w:r>
              <w:rPr>
                <w:rFonts w:hint="eastAsia" w:ascii="宋体" w:hAnsi="宋体" w:cs="宋体"/>
                <w:color w:val="auto"/>
                <w:sz w:val="24"/>
                <w:highlight w:val="none"/>
              </w:rPr>
              <w:t xml:space="preserve"> </w:t>
            </w:r>
          </w:p>
        </w:tc>
      </w:tr>
      <w:tr w14:paraId="26872837">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9DE516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102A30F">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招标范围</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EFF8ACE">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eastAsia="宋体" w:cs="宋体"/>
                <w:color w:val="auto"/>
                <w:sz w:val="24"/>
                <w:szCs w:val="24"/>
                <w:highlight w:val="none"/>
                <w:lang w:val="en-US" w:eastAsia="zh-CN"/>
              </w:rPr>
              <w:t>见招标公告</w:t>
            </w:r>
          </w:p>
        </w:tc>
      </w:tr>
      <w:tr w14:paraId="585B15FF">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AD3D82B">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C46ED6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计划工期</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2BCCD19">
            <w:pPr>
              <w:adjustRightInd w:val="0"/>
              <w:snapToGrid w:val="0"/>
              <w:spacing w:line="560" w:lineRule="exact"/>
              <w:rPr>
                <w:rFonts w:hint="eastAsia" w:ascii="宋体" w:hAnsi="宋体" w:cs="宋体"/>
                <w:b/>
                <w:color w:val="auto"/>
                <w:sz w:val="24"/>
                <w:highlight w:val="none"/>
              </w:rPr>
            </w:pPr>
            <w:r>
              <w:rPr>
                <w:rFonts w:hint="eastAsia" w:ascii="宋体" w:hAnsi="宋体" w:cs="宋体"/>
                <w:b/>
                <w:color w:val="auto"/>
                <w:sz w:val="24"/>
                <w:highlight w:val="none"/>
              </w:rPr>
              <w:t>计划工期：不高于</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45</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个日历天。</w:t>
            </w:r>
          </w:p>
          <w:p w14:paraId="0E7EA2C7">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计划开工日期： 年 月  日  （具体开工日期以开工通知为准）                   </w:t>
            </w:r>
          </w:p>
          <w:p w14:paraId="19F2C083">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计划竣工日期：  年 月  日</w:t>
            </w:r>
          </w:p>
          <w:p w14:paraId="0A444C82">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除上述总工期外，招标人还要求以下区段工期（如有）：</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tc>
      </w:tr>
      <w:tr w14:paraId="54F87F1F">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6186320">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1.3.3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619279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质量要求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FCEEBD1">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工程质量必须达到国家工程施工质量验收</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合格</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 xml:space="preserve">标准。 </w:t>
            </w:r>
          </w:p>
        </w:tc>
      </w:tr>
      <w:tr w14:paraId="5F50CA6A">
        <w:tblPrEx>
          <w:tblCellMar>
            <w:top w:w="0" w:type="dxa"/>
            <w:left w:w="108" w:type="dxa"/>
            <w:bottom w:w="0" w:type="dxa"/>
            <w:right w:w="108" w:type="dxa"/>
          </w:tblCellMar>
        </w:tblPrEx>
        <w:trPr>
          <w:trHeight w:val="1232" w:hRule="atLeast"/>
          <w:jc w:val="center"/>
        </w:trPr>
        <w:tc>
          <w:tcPr>
            <w:tcW w:w="1016" w:type="dxa"/>
            <w:tcBorders>
              <w:top w:val="single" w:color="auto" w:sz="4" w:space="0"/>
              <w:left w:val="single" w:color="auto" w:sz="4" w:space="0"/>
              <w:right w:val="single" w:color="auto" w:sz="4" w:space="0"/>
            </w:tcBorders>
            <w:noWrap w:val="0"/>
            <w:vAlign w:val="center"/>
          </w:tcPr>
          <w:p w14:paraId="691D2BB4">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1.4.1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B6070E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投标人资质条件、能力和信誉</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7F66240">
            <w:pPr>
              <w:widowControl/>
              <w:adjustRightInd w:val="0"/>
              <w:snapToGrid w:val="0"/>
              <w:spacing w:line="560" w:lineRule="exact"/>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详见招标公告</w:t>
            </w:r>
          </w:p>
        </w:tc>
      </w:tr>
      <w:tr w14:paraId="43C0788E">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ACF798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1.4.2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5C7F753">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是否接受联合体投标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7D2D5D3">
            <w:pPr>
              <w:pStyle w:val="8"/>
              <w:topLinePunct/>
              <w:adjustRightInd w:val="0"/>
              <w:snapToGrid w:val="0"/>
              <w:spacing w:line="560" w:lineRule="exact"/>
              <w:rPr>
                <w:rFonts w:hint="eastAsia" w:hAnsi="宋体" w:cs="宋体"/>
                <w:color w:val="auto"/>
                <w:szCs w:val="24"/>
                <w:highlight w:val="none"/>
              </w:rPr>
            </w:pPr>
            <w:r>
              <w:rPr>
                <w:rFonts w:hint="eastAsia" w:hAnsi="宋体" w:cs="宋体"/>
                <w:color w:val="auto"/>
                <w:szCs w:val="24"/>
                <w:highlight w:val="none"/>
                <w:u w:val="single"/>
              </w:rPr>
              <w:t>详见招标公告</w:t>
            </w:r>
          </w:p>
        </w:tc>
      </w:tr>
      <w:tr w14:paraId="52235D7D">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30AB9B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1.4.3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145096B">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投标人不得存在的其他关联情形</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98BE3E2">
            <w:pPr>
              <w:pStyle w:val="8"/>
              <w:topLinePunct/>
              <w:adjustRightInd w:val="0"/>
              <w:snapToGrid w:val="0"/>
              <w:spacing w:line="560" w:lineRule="exact"/>
              <w:rPr>
                <w:rFonts w:hint="eastAsia" w:hAnsi="宋体" w:cs="宋体"/>
                <w:color w:val="auto"/>
                <w:szCs w:val="24"/>
                <w:highlight w:val="none"/>
              </w:rPr>
            </w:pPr>
            <w:r>
              <w:rPr>
                <w:rFonts w:hint="eastAsia" w:ascii="宋体" w:hAnsi="宋体" w:eastAsia="宋体" w:cs="宋体"/>
                <w:color w:val="auto"/>
                <w:sz w:val="24"/>
                <w:szCs w:val="24"/>
                <w:highlight w:val="none"/>
                <w:u w:val="single"/>
              </w:rPr>
              <w:t>详见招标公告</w:t>
            </w:r>
          </w:p>
        </w:tc>
      </w:tr>
      <w:tr w14:paraId="5D632235">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E7C432B">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82D46CC">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踏勘现场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CF38D44">
            <w:pPr>
              <w:pStyle w:val="8"/>
              <w:topLinePunct/>
              <w:adjustRightInd w:val="0"/>
              <w:snapToGrid w:val="0"/>
              <w:spacing w:line="560" w:lineRule="exact"/>
              <w:rPr>
                <w:rFonts w:hint="eastAsia" w:hAnsi="宋体" w:cs="宋体"/>
                <w:color w:val="auto"/>
                <w:szCs w:val="24"/>
                <w:highlight w:val="none"/>
              </w:rPr>
            </w:pPr>
            <w:r>
              <w:rPr>
                <w:rFonts w:hint="eastAsia" w:hAnsi="宋体" w:cs="宋体"/>
                <w:color w:val="auto"/>
                <w:spacing w:val="-4"/>
                <w:kern w:val="0"/>
                <w:szCs w:val="24"/>
                <w:highlight w:val="none"/>
              </w:rPr>
              <w:t>不组织，投标人自行组织踏勘</w:t>
            </w:r>
            <w:r>
              <w:rPr>
                <w:rFonts w:hint="eastAsia" w:hAnsi="宋体" w:cs="宋体"/>
                <w:color w:val="auto"/>
                <w:szCs w:val="24"/>
                <w:highlight w:val="none"/>
              </w:rPr>
              <w:t>。</w:t>
            </w:r>
          </w:p>
          <w:p w14:paraId="769BCE08">
            <w:pPr>
              <w:pStyle w:val="8"/>
              <w:topLinePunct/>
              <w:adjustRightInd w:val="0"/>
              <w:snapToGrid w:val="0"/>
              <w:spacing w:line="560" w:lineRule="exact"/>
              <w:rPr>
                <w:rFonts w:hint="eastAsia" w:hAnsi="宋体" w:cs="宋体"/>
                <w:color w:val="auto"/>
                <w:szCs w:val="24"/>
                <w:highlight w:val="none"/>
              </w:rPr>
            </w:pPr>
          </w:p>
        </w:tc>
      </w:tr>
      <w:tr w14:paraId="7A412813">
        <w:tblPrEx>
          <w:tblCellMar>
            <w:top w:w="0" w:type="dxa"/>
            <w:left w:w="108" w:type="dxa"/>
            <w:bottom w:w="0" w:type="dxa"/>
            <w:right w:w="108" w:type="dxa"/>
          </w:tblCellMar>
        </w:tblPrEx>
        <w:trPr>
          <w:trHeight w:val="66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E2DE945">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1.10.1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D6241DD">
            <w:pPr>
              <w:adjustRightInd w:val="0"/>
              <w:snapToGrid w:val="0"/>
              <w:spacing w:line="560" w:lineRule="exact"/>
              <w:jc w:val="center"/>
              <w:rPr>
                <w:rFonts w:hint="eastAsia" w:ascii="宋体" w:hAnsi="宋体" w:cs="宋体"/>
                <w:color w:val="auto"/>
                <w:spacing w:val="-4"/>
                <w:kern w:val="0"/>
                <w:sz w:val="24"/>
                <w:highlight w:val="none"/>
              </w:rPr>
            </w:pPr>
            <w:r>
              <w:rPr>
                <w:rFonts w:hint="eastAsia" w:ascii="宋体" w:hAnsi="宋体" w:cs="宋体"/>
                <w:color w:val="auto"/>
                <w:spacing w:val="-4"/>
                <w:kern w:val="0"/>
                <w:sz w:val="24"/>
                <w:highlight w:val="none"/>
              </w:rPr>
              <w:t>投标预备会</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38A5655">
            <w:pPr>
              <w:pStyle w:val="8"/>
              <w:topLinePunct/>
              <w:adjustRightInd w:val="0"/>
              <w:snapToGrid w:val="0"/>
              <w:spacing w:line="560" w:lineRule="exact"/>
              <w:rPr>
                <w:rFonts w:hint="eastAsia" w:hAnsi="宋体" w:cs="宋体"/>
                <w:color w:val="auto"/>
                <w:szCs w:val="24"/>
                <w:highlight w:val="none"/>
              </w:rPr>
            </w:pPr>
            <w:r>
              <w:rPr>
                <w:rFonts w:hint="eastAsia" w:hAnsi="宋体" w:cs="宋体"/>
                <w:color w:val="auto"/>
                <w:szCs w:val="24"/>
                <w:highlight w:val="none"/>
                <w:u w:val="single"/>
              </w:rPr>
              <w:t>不召开。</w:t>
            </w:r>
          </w:p>
        </w:tc>
      </w:tr>
      <w:tr w14:paraId="7CF094D2">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88B684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1.10.2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1C7F27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投标人在投标预备会前提出问题</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41B0A5C">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53E5F9C4">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形式：</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tc>
      </w:tr>
      <w:tr w14:paraId="62D52ADD">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524C40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451292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分包</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11832C1">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u w:val="single"/>
              </w:rPr>
              <w:t>允许，</w:t>
            </w:r>
            <w:r>
              <w:rPr>
                <w:rFonts w:hint="eastAsia" w:ascii="宋体" w:hAnsi="宋体" w:cs="宋体"/>
                <w:color w:val="auto"/>
                <w:sz w:val="24"/>
                <w:highlight w:val="none"/>
              </w:rPr>
              <w:t>分包内容要求：</w:t>
            </w:r>
            <w:r>
              <w:rPr>
                <w:rFonts w:hint="eastAsia" w:ascii="宋体" w:hAnsi="宋体" w:eastAsia="宋体" w:cs="宋体"/>
                <w:color w:val="auto"/>
                <w:sz w:val="24"/>
                <w:szCs w:val="24"/>
                <w:highlight w:val="none"/>
                <w:u w:val="single"/>
                <w:lang w:val="en-US" w:eastAsia="zh-CN"/>
              </w:rPr>
              <w:t>经招标人允许，可将非主体、非关键性工作分包</w:t>
            </w:r>
            <w:r>
              <w:rPr>
                <w:rFonts w:hint="eastAsia" w:ascii="宋体" w:hAnsi="宋体" w:eastAsia="宋体" w:cs="宋体"/>
                <w:color w:val="auto"/>
                <w:sz w:val="24"/>
                <w:szCs w:val="24"/>
                <w:highlight w:val="none"/>
              </w:rPr>
              <w:t xml:space="preserve"> </w:t>
            </w:r>
            <w:r>
              <w:rPr>
                <w:rFonts w:hint="eastAsia" w:ascii="宋体" w:hAnsi="宋体" w:cs="宋体"/>
                <w:color w:val="auto"/>
                <w:sz w:val="24"/>
                <w:highlight w:val="none"/>
              </w:rPr>
              <w:t xml:space="preserve">                       </w:t>
            </w:r>
          </w:p>
          <w:p w14:paraId="77DB96A1">
            <w:pPr>
              <w:adjustRightInd w:val="0"/>
              <w:snapToGrid w:val="0"/>
              <w:spacing w:line="560" w:lineRule="exact"/>
              <w:jc w:val="left"/>
              <w:rPr>
                <w:rFonts w:hint="eastAsia" w:ascii="宋体" w:hAnsi="宋体" w:cs="宋体"/>
                <w:color w:val="auto"/>
                <w:kern w:val="0"/>
                <w:sz w:val="24"/>
                <w:highlight w:val="none"/>
              </w:rPr>
            </w:pPr>
            <w:r>
              <w:rPr>
                <w:rFonts w:hint="eastAsia" w:ascii="宋体" w:hAnsi="宋体" w:cs="宋体"/>
                <w:color w:val="auto"/>
                <w:sz w:val="24"/>
                <w:highlight w:val="none"/>
              </w:rPr>
              <w:t>注：允许分包的，其分包合同须报建设单位备案。</w:t>
            </w:r>
          </w:p>
        </w:tc>
      </w:tr>
      <w:tr w14:paraId="2AD49BD4">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19E87C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D71D06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构成招标文件的其他资料</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48C40C6">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eastAsia="宋体" w:cs="宋体"/>
                <w:color w:val="auto"/>
                <w:sz w:val="24"/>
                <w:szCs w:val="24"/>
                <w:highlight w:val="none"/>
                <w:lang w:val="en-US" w:eastAsia="zh-CN"/>
              </w:rPr>
              <w:t>图纸、工程量清单、最高投标限价、澄清答疑文件（如有）</w:t>
            </w:r>
            <w:r>
              <w:rPr>
                <w:rFonts w:hint="eastAsia" w:ascii="宋体" w:hAnsi="宋体" w:eastAsia="宋体" w:cs="宋体"/>
                <w:color w:val="auto"/>
                <w:sz w:val="24"/>
                <w:szCs w:val="24"/>
                <w:highlight w:val="none"/>
              </w:rPr>
              <w:t xml:space="preserve">  </w:t>
            </w:r>
            <w:r>
              <w:rPr>
                <w:rFonts w:hint="eastAsia" w:ascii="宋体" w:hAnsi="宋体" w:cs="宋体"/>
                <w:color w:val="auto"/>
                <w:sz w:val="24"/>
                <w:highlight w:val="none"/>
              </w:rPr>
              <w:t xml:space="preserve"> </w:t>
            </w:r>
          </w:p>
        </w:tc>
      </w:tr>
      <w:tr w14:paraId="7C714B1D">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E691DEA">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14F81A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投标人提出异议的截止时间及方式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77EFE81">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kern w:val="0"/>
                <w:sz w:val="24"/>
                <w:highlight w:val="none"/>
              </w:rPr>
              <w:t xml:space="preserve">如投标人对招标文件有异议，请于 </w:t>
            </w: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rPr>
              <w:t xml:space="preserve"> 年</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时</w:t>
            </w:r>
            <w:r>
              <w:rPr>
                <w:rFonts w:hint="eastAsia" w:ascii="宋体" w:hAnsi="宋体" w:cs="宋体"/>
                <w:color w:val="auto"/>
                <w:kern w:val="0"/>
                <w:sz w:val="24"/>
                <w:highlight w:val="none"/>
                <w:lang w:val="en-US" w:eastAsia="zh-CN"/>
              </w:rPr>
              <w:t>10分</w:t>
            </w:r>
            <w:r>
              <w:rPr>
                <w:rFonts w:hint="eastAsia" w:ascii="宋体" w:hAnsi="宋体" w:cs="宋体"/>
                <w:color w:val="auto"/>
                <w:kern w:val="0"/>
                <w:sz w:val="24"/>
                <w:highlight w:val="none"/>
              </w:rPr>
              <w:t>（投标截止 10 日）前在滁州市公共资源交易中心网电子交易系统中进行异议，具体操作步骤和程序请参见服务指南&gt;交易须知&gt;在线异议、质疑和投诉操作手册。</w:t>
            </w:r>
          </w:p>
        </w:tc>
      </w:tr>
      <w:tr w14:paraId="121BEFE5">
        <w:tblPrEx>
          <w:tblCellMar>
            <w:top w:w="0" w:type="dxa"/>
            <w:left w:w="108" w:type="dxa"/>
            <w:bottom w:w="0" w:type="dxa"/>
            <w:right w:w="108" w:type="dxa"/>
          </w:tblCellMar>
        </w:tblPrEx>
        <w:trPr>
          <w:trHeight w:val="1196"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229CD3A">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C7FDE3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招标人澄清的时间及方式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6175507">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w:t>
            </w:r>
            <w:r>
              <w:rPr>
                <w:rFonts w:hint="eastAsia" w:ascii="宋体" w:hAnsi="宋体" w:cs="宋体"/>
                <w:color w:val="auto"/>
                <w:sz w:val="24"/>
                <w:highlight w:val="none"/>
                <w:u w:val="single"/>
              </w:rPr>
              <w:t>17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30分</w:t>
            </w:r>
            <w:r>
              <w:rPr>
                <w:rFonts w:hint="eastAsia" w:ascii="宋体" w:hAnsi="宋体" w:cs="宋体"/>
                <w:color w:val="auto"/>
                <w:sz w:val="24"/>
                <w:highlight w:val="none"/>
              </w:rPr>
              <w:t>前</w:t>
            </w:r>
            <w:r>
              <w:rPr>
                <w:rFonts w:hint="eastAsia" w:ascii="宋体" w:hAnsi="宋体" w:cs="宋体"/>
                <w:color w:val="auto"/>
                <w:kern w:val="0"/>
                <w:sz w:val="24"/>
                <w:highlight w:val="none"/>
              </w:rPr>
              <w:t>在滁州市公共资源交易中心网站</w:t>
            </w:r>
            <w:r>
              <w:rPr>
                <w:rFonts w:hint="eastAsia" w:ascii="宋体" w:hAnsi="宋体" w:cs="宋体"/>
                <w:color w:val="auto"/>
                <w:sz w:val="24"/>
                <w:highlight w:val="none"/>
              </w:rPr>
              <w:t xml:space="preserve"> “答疑澄清文件”栏目予以公告</w:t>
            </w:r>
            <w:r>
              <w:rPr>
                <w:rFonts w:hint="eastAsia" w:ascii="宋体" w:hAnsi="宋体" w:cs="宋体"/>
                <w:color w:val="auto"/>
                <w:kern w:val="0"/>
                <w:sz w:val="24"/>
                <w:highlight w:val="none"/>
              </w:rPr>
              <w:t>。</w:t>
            </w:r>
          </w:p>
        </w:tc>
      </w:tr>
      <w:tr w14:paraId="4BAD575E">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5510BF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9DDDA00">
            <w:pPr>
              <w:adjustRightInd w:val="0"/>
              <w:snapToGrid w:val="0"/>
              <w:spacing w:line="560" w:lineRule="exact"/>
              <w:jc w:val="center"/>
              <w:rPr>
                <w:rFonts w:hint="eastAsia" w:ascii="宋体" w:hAnsi="宋体" w:cs="宋体"/>
                <w:color w:val="auto"/>
                <w:sz w:val="24"/>
                <w:highlight w:val="none"/>
              </w:rPr>
            </w:pPr>
            <w:r>
              <w:rPr>
                <w:rFonts w:hint="eastAsia"/>
                <w:color w:val="auto"/>
                <w:sz w:val="24"/>
                <w:highlight w:val="none"/>
              </w:rPr>
              <w:t>增值税税金</w:t>
            </w:r>
          </w:p>
        </w:tc>
        <w:tc>
          <w:tcPr>
            <w:tcW w:w="7175" w:type="dxa"/>
            <w:tcBorders>
              <w:top w:val="single" w:color="auto" w:sz="4" w:space="0"/>
              <w:left w:val="single" w:color="auto" w:sz="4" w:space="0"/>
              <w:bottom w:val="single" w:color="auto" w:sz="4" w:space="0"/>
              <w:right w:val="single" w:color="auto" w:sz="4" w:space="0"/>
            </w:tcBorders>
            <w:noWrap w:val="0"/>
            <w:vAlign w:val="top"/>
          </w:tcPr>
          <w:p w14:paraId="70E811ED">
            <w:p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（1）计税方法：</w:t>
            </w:r>
            <w:r>
              <w:rPr>
                <w:rFonts w:hint="eastAsia" w:ascii="宋体" w:hAnsi="宋体" w:eastAsia="宋体" w:cs="宋体"/>
                <w:bCs/>
                <w:snapToGrid w:val="0"/>
                <w:color w:val="auto"/>
                <w:kern w:val="0"/>
                <w:sz w:val="24"/>
                <w:szCs w:val="24"/>
                <w:highlight w:val="none"/>
              </w:rPr>
              <w:t>一般计税方法</w:t>
            </w:r>
          </w:p>
          <w:p w14:paraId="588FA3C7">
            <w:pPr>
              <w:adjustRightInd w:val="0"/>
              <w:snapToGrid w:val="0"/>
              <w:spacing w:line="560" w:lineRule="exact"/>
              <w:rPr>
                <w:rFonts w:hint="eastAsia" w:ascii="宋体" w:hAnsi="宋体" w:cs="宋体"/>
                <w:bCs/>
                <w:snapToGrid w:val="0"/>
                <w:color w:val="auto"/>
                <w:kern w:val="0"/>
                <w:sz w:val="24"/>
                <w:highlight w:val="none"/>
                <w:u w:val="single"/>
              </w:rPr>
            </w:pPr>
            <w:r>
              <w:rPr>
                <w:rFonts w:hint="eastAsia" w:ascii="宋体" w:hAnsi="宋体" w:cs="宋体"/>
                <w:bCs/>
                <w:snapToGrid w:val="0"/>
                <w:color w:val="auto"/>
                <w:kern w:val="0"/>
                <w:sz w:val="24"/>
                <w:highlight w:val="none"/>
              </w:rPr>
              <w:t>（2）发票类型：</w:t>
            </w:r>
            <w:r>
              <w:rPr>
                <w:rFonts w:hint="eastAsia" w:ascii="宋体" w:hAnsi="宋体" w:eastAsia="宋体" w:cs="宋体"/>
                <w:bCs/>
                <w:snapToGrid w:val="0"/>
                <w:color w:val="auto"/>
                <w:kern w:val="0"/>
                <w:sz w:val="24"/>
                <w:szCs w:val="24"/>
                <w:highlight w:val="none"/>
              </w:rPr>
              <w:t>增值税专用发票</w:t>
            </w:r>
          </w:p>
          <w:p w14:paraId="66AE5D83">
            <w:pPr>
              <w:numPr>
                <w:ilvl w:val="0"/>
                <w:numId w:val="2"/>
              </w:num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增值税税率按照国家有关规定执行。</w:t>
            </w:r>
          </w:p>
          <w:p w14:paraId="37972B77">
            <w:pPr>
              <w:pStyle w:val="8"/>
              <w:topLinePunct/>
              <w:adjustRightInd w:val="0"/>
              <w:snapToGrid w:val="0"/>
              <w:spacing w:line="560" w:lineRule="exact"/>
              <w:ind w:firstLine="600" w:firstLineChars="250"/>
              <w:rPr>
                <w:rFonts w:hint="eastAsia" w:hAnsi="宋体" w:cs="宋体"/>
                <w:color w:val="auto"/>
                <w:kern w:val="0"/>
                <w:szCs w:val="24"/>
                <w:highlight w:val="none"/>
              </w:rPr>
            </w:pPr>
            <w:r>
              <w:rPr>
                <w:rFonts w:hint="eastAsia" w:hAnsi="宋体" w:cs="宋体"/>
                <w:bCs/>
                <w:snapToGrid w:val="0"/>
                <w:color w:val="auto"/>
                <w:kern w:val="0"/>
                <w:szCs w:val="24"/>
                <w:highlight w:val="none"/>
              </w:rPr>
              <w:t>其它：</w:t>
            </w:r>
            <w:r>
              <w:rPr>
                <w:rFonts w:hint="eastAsia" w:hAnsi="宋体" w:cs="宋体"/>
                <w:bCs/>
                <w:snapToGrid w:val="0"/>
                <w:color w:val="auto"/>
                <w:kern w:val="0"/>
                <w:szCs w:val="24"/>
                <w:highlight w:val="none"/>
                <w:u w:val="single"/>
              </w:rPr>
              <w:t xml:space="preserve"> </w:t>
            </w:r>
            <w:r>
              <w:rPr>
                <w:rFonts w:hint="eastAsia" w:hAnsi="宋体" w:cs="宋体"/>
                <w:bCs/>
                <w:snapToGrid w:val="0"/>
                <w:color w:val="auto"/>
                <w:kern w:val="0"/>
                <w:szCs w:val="24"/>
                <w:highlight w:val="none"/>
                <w:u w:val="single"/>
                <w:lang w:val="en-US" w:eastAsia="zh-CN"/>
              </w:rPr>
              <w:t>/</w:t>
            </w:r>
            <w:r>
              <w:rPr>
                <w:rFonts w:hint="eastAsia" w:hAnsi="宋体" w:cs="宋体"/>
                <w:bCs/>
                <w:snapToGrid w:val="0"/>
                <w:color w:val="auto"/>
                <w:kern w:val="0"/>
                <w:szCs w:val="24"/>
                <w:highlight w:val="none"/>
                <w:u w:val="single"/>
              </w:rPr>
              <w:t xml:space="preserve">     </w:t>
            </w:r>
            <w:r>
              <w:rPr>
                <w:rFonts w:hint="eastAsia" w:hAnsi="宋体" w:cs="宋体"/>
                <w:bCs/>
                <w:snapToGrid w:val="0"/>
                <w:color w:val="auto"/>
                <w:kern w:val="0"/>
                <w:szCs w:val="24"/>
                <w:highlight w:val="none"/>
              </w:rPr>
              <w:t xml:space="preserve"> 。</w:t>
            </w:r>
          </w:p>
        </w:tc>
      </w:tr>
      <w:tr w14:paraId="10AEC3FA">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0E39B0F">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3.2.4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3DD64E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
                <w:bCs/>
                <w:color w:val="auto"/>
                <w:sz w:val="24"/>
                <w:highlight w:val="none"/>
              </w:rPr>
              <w:t>最高投标限价</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7F88EFF">
            <w:pPr>
              <w:keepNext w:val="0"/>
              <w:keepLines w:val="0"/>
              <w:widowControl/>
              <w:suppressLineNumbers w:val="0"/>
              <w:jc w:val="left"/>
              <w:rPr>
                <w:rFonts w:hint="eastAsia" w:ascii="宋体" w:hAnsi="宋体" w:cs="宋体"/>
                <w:b/>
                <w:color w:val="auto"/>
                <w:sz w:val="24"/>
                <w:highlight w:val="none"/>
                <w:u w:val="single"/>
              </w:rPr>
            </w:pPr>
            <w:r>
              <w:rPr>
                <w:rFonts w:hint="eastAsia" w:ascii="宋体" w:hAnsi="宋体" w:cs="宋体"/>
                <w:bCs/>
                <w:color w:val="auto"/>
                <w:sz w:val="24"/>
                <w:highlight w:val="none"/>
                <w:u w:val="single"/>
              </w:rPr>
              <w:t>有</w:t>
            </w:r>
            <w:r>
              <w:rPr>
                <w:rFonts w:hint="eastAsia" w:ascii="宋体" w:hAnsi="宋体" w:cs="宋体"/>
                <w:bCs/>
                <w:color w:val="auto"/>
                <w:sz w:val="24"/>
                <w:highlight w:val="none"/>
              </w:rPr>
              <w:t>，</w:t>
            </w:r>
            <w:r>
              <w:rPr>
                <w:rFonts w:hint="eastAsia" w:ascii="宋体" w:hAnsi="宋体" w:cs="宋体"/>
                <w:color w:val="auto"/>
                <w:sz w:val="24"/>
                <w:highlight w:val="none"/>
              </w:rPr>
              <w:t>公布的最高投标限价：</w:t>
            </w:r>
            <w:r>
              <w:rPr>
                <w:rFonts w:hint="eastAsia" w:ascii="宋体" w:hAnsi="宋体" w:eastAsia="宋体" w:cs="宋体"/>
                <w:b/>
                <w:bCs/>
                <w:color w:val="auto"/>
                <w:sz w:val="24"/>
                <w:highlight w:val="none"/>
                <w:u w:val="single"/>
                <w:lang w:val="en-US" w:eastAsia="zh-CN"/>
              </w:rPr>
              <w:t>6295499.09</w:t>
            </w:r>
            <w:r>
              <w:rPr>
                <w:rFonts w:hint="eastAsia" w:ascii="宋体" w:hAnsi="宋体" w:eastAsia="宋体" w:cs="宋体"/>
                <w:b/>
                <w:bCs/>
                <w:color w:val="auto"/>
                <w:sz w:val="24"/>
                <w:highlight w:val="none"/>
                <w:u w:val="single"/>
              </w:rPr>
              <w:t>元（其中含暂列金额</w:t>
            </w:r>
            <w:r>
              <w:rPr>
                <w:rFonts w:hint="eastAsia" w:ascii="宋体" w:hAnsi="宋体" w:eastAsia="宋体" w:cs="宋体"/>
                <w:b/>
                <w:bCs/>
                <w:color w:val="auto"/>
                <w:sz w:val="24"/>
                <w:highlight w:val="none"/>
                <w:u w:val="single"/>
                <w:lang w:val="en-US" w:eastAsia="zh-CN"/>
              </w:rPr>
              <w:t>100000.00</w:t>
            </w:r>
            <w:r>
              <w:rPr>
                <w:rFonts w:hint="eastAsia" w:ascii="宋体" w:hAnsi="宋体" w:eastAsia="宋体" w:cs="宋体"/>
                <w:b/>
                <w:bCs/>
                <w:color w:val="auto"/>
                <w:sz w:val="24"/>
                <w:highlight w:val="none"/>
                <w:u w:val="single"/>
              </w:rPr>
              <w:t>元）</w:t>
            </w:r>
            <w:r>
              <w:rPr>
                <w:rFonts w:hint="eastAsia" w:ascii="宋体" w:hAnsi="宋体" w:cs="宋体"/>
                <w:color w:val="auto"/>
                <w:sz w:val="24"/>
                <w:highlight w:val="none"/>
              </w:rPr>
              <w:t>。应当</w:t>
            </w:r>
            <w:r>
              <w:rPr>
                <w:rFonts w:hint="eastAsia" w:ascii="宋体" w:hAnsi="宋体" w:cs="宋体"/>
                <w:b/>
                <w:bCs/>
                <w:color w:val="auto"/>
                <w:sz w:val="24"/>
                <w:highlight w:val="none"/>
                <w:u w:val="single"/>
              </w:rPr>
              <w:t>包括总价、各单位工程的分部分项工程费、措施项目费、其他项目费、不可竞争性费用和税金。</w:t>
            </w:r>
          </w:p>
          <w:p w14:paraId="00EC7248">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发布时间：</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21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17</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30分</w:t>
            </w:r>
            <w:r>
              <w:rPr>
                <w:rFonts w:hint="eastAsia" w:ascii="宋体" w:hAnsi="宋体" w:cs="宋体"/>
                <w:color w:val="auto"/>
                <w:sz w:val="24"/>
                <w:highlight w:val="none"/>
              </w:rPr>
              <w:t>前。</w:t>
            </w:r>
          </w:p>
          <w:p w14:paraId="03F87433">
            <w:pPr>
              <w:adjustRightInd w:val="0"/>
              <w:snapToGrid w:val="0"/>
              <w:spacing w:line="560" w:lineRule="exact"/>
              <w:rPr>
                <w:rFonts w:hint="eastAsia" w:ascii="宋体" w:hAnsi="宋体" w:cs="宋体"/>
                <w:b/>
                <w:color w:val="auto"/>
                <w:sz w:val="24"/>
                <w:highlight w:val="none"/>
              </w:rPr>
            </w:pPr>
            <w:r>
              <w:rPr>
                <w:rFonts w:hint="eastAsia" w:ascii="宋体" w:hAnsi="宋体" w:cs="宋体"/>
                <w:b/>
                <w:bCs/>
                <w:color w:val="auto"/>
                <w:sz w:val="24"/>
                <w:highlight w:val="none"/>
              </w:rPr>
              <w:t>发布媒介：</w:t>
            </w:r>
            <w:r>
              <w:rPr>
                <w:rFonts w:hint="eastAsia" w:ascii="宋体" w:hAnsi="宋体" w:cs="宋体"/>
                <w:b/>
                <w:bCs/>
                <w:color w:val="auto"/>
                <w:kern w:val="0"/>
                <w:sz w:val="24"/>
                <w:highlight w:val="none"/>
              </w:rPr>
              <w:t>滁州市公共资源交易中心网站。</w:t>
            </w:r>
          </w:p>
        </w:tc>
      </w:tr>
      <w:tr w14:paraId="23099123">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4E0431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3.2.5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2F7430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投标报价的</w:t>
            </w:r>
          </w:p>
          <w:p w14:paraId="05AF467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其他要求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AFBD8C0">
            <w:pPr>
              <w:pStyle w:val="8"/>
              <w:topLinePunct/>
              <w:adjustRightInd w:val="0"/>
              <w:snapToGrid w:val="0"/>
              <w:spacing w:line="560" w:lineRule="exact"/>
              <w:rPr>
                <w:rFonts w:hint="eastAsia" w:hAnsi="宋体" w:cs="宋体"/>
                <w:color w:val="auto"/>
                <w:kern w:val="0"/>
                <w:szCs w:val="24"/>
                <w:highlight w:val="none"/>
              </w:rPr>
            </w:pPr>
            <w:r>
              <w:rPr>
                <w:rFonts w:hint="eastAsia" w:hAnsi="宋体" w:cs="宋体"/>
                <w:color w:val="auto"/>
                <w:kern w:val="0"/>
                <w:szCs w:val="24"/>
                <w:highlight w:val="none"/>
              </w:rPr>
              <w:t xml:space="preserve"> </w:t>
            </w:r>
            <w:r>
              <w:rPr>
                <w:rFonts w:hint="eastAsia" w:ascii="宋体" w:hAnsi="宋体" w:eastAsia="宋体" w:cs="宋体"/>
                <w:color w:val="auto"/>
                <w:kern w:val="0"/>
                <w:sz w:val="24"/>
                <w:szCs w:val="24"/>
                <w:highlight w:val="none"/>
                <w:lang w:val="en-US" w:eastAsia="zh-CN"/>
              </w:rPr>
              <w:t>详见招标文件技术标准和要求及配套的图纸、工程量清单、清单总说明等</w:t>
            </w:r>
          </w:p>
        </w:tc>
      </w:tr>
      <w:tr w14:paraId="7A2A3946">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014AA2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53B933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7845D11">
            <w:pPr>
              <w:pStyle w:val="8"/>
              <w:topLinePunct/>
              <w:adjustRightInd w:val="0"/>
              <w:snapToGrid w:val="0"/>
              <w:spacing w:line="560" w:lineRule="exact"/>
              <w:rPr>
                <w:rFonts w:hint="eastAsia" w:hAnsi="宋体" w:cs="宋体"/>
                <w:color w:val="auto"/>
                <w:kern w:val="0"/>
                <w:szCs w:val="24"/>
                <w:highlight w:val="none"/>
              </w:rPr>
            </w:pPr>
            <w:r>
              <w:rPr>
                <w:rFonts w:hint="eastAsia" w:hAnsi="宋体" w:cs="宋体"/>
                <w:color w:val="auto"/>
                <w:kern w:val="0"/>
                <w:szCs w:val="24"/>
                <w:highlight w:val="none"/>
              </w:rPr>
              <w:t>自投标人递交投标文件截止之日起计算</w:t>
            </w:r>
            <w:r>
              <w:rPr>
                <w:rFonts w:hint="eastAsia" w:hAnsi="宋体" w:cs="宋体"/>
                <w:color w:val="auto"/>
                <w:kern w:val="0"/>
                <w:szCs w:val="24"/>
                <w:highlight w:val="none"/>
                <w:lang w:val="en-US" w:eastAsia="zh-CN"/>
              </w:rPr>
              <w:t>90</w:t>
            </w:r>
            <w:r>
              <w:rPr>
                <w:rFonts w:hint="eastAsia" w:hAnsi="宋体" w:cs="宋体"/>
                <w:color w:val="auto"/>
                <w:kern w:val="0"/>
                <w:szCs w:val="24"/>
                <w:highlight w:val="none"/>
              </w:rPr>
              <w:t>日历天。在此期限内，凡符合本招标文件要求的投标文件均保持有效。</w:t>
            </w:r>
          </w:p>
        </w:tc>
      </w:tr>
      <w:tr w14:paraId="5B2E7274">
        <w:tblPrEx>
          <w:tblCellMar>
            <w:top w:w="0" w:type="dxa"/>
            <w:left w:w="108" w:type="dxa"/>
            <w:bottom w:w="0" w:type="dxa"/>
            <w:right w:w="108" w:type="dxa"/>
          </w:tblCellMar>
        </w:tblPrEx>
        <w:trPr>
          <w:trHeight w:val="64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B7F0C50">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3.4.1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EFA7FA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投标保证金</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4E39083">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详见招标公告。</w:t>
            </w:r>
          </w:p>
        </w:tc>
      </w:tr>
      <w:tr w14:paraId="31206F67">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D861F2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3.5.1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BBF82B5">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snapToGrid w:val="0"/>
                <w:color w:val="auto"/>
                <w:kern w:val="0"/>
                <w:sz w:val="24"/>
                <w:highlight w:val="none"/>
                <w:shd w:val="clear" w:color="auto" w:fill="FFFFFF"/>
              </w:rPr>
              <w:t>施工组织设计编制的特殊要求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C7FB385">
            <w:pPr>
              <w:adjustRightInd w:val="0"/>
              <w:snapToGrid w:val="0"/>
              <w:spacing w:line="560" w:lineRule="exact"/>
              <w:rPr>
                <w:rFonts w:hint="eastAsia" w:ascii="宋体" w:hAnsi="宋体" w:cs="宋体"/>
                <w:snapToGrid w:val="0"/>
                <w:color w:val="auto"/>
                <w:kern w:val="0"/>
                <w:sz w:val="24"/>
                <w:highlight w:val="none"/>
                <w:shd w:val="clear" w:color="auto" w:fill="FFFFFF"/>
              </w:rPr>
            </w:pPr>
            <w:r>
              <w:rPr>
                <w:rFonts w:hint="eastAsia" w:ascii="宋体" w:hAnsi="宋体" w:cs="宋体"/>
                <w:b/>
                <w:snapToGrid w:val="0"/>
                <w:color w:val="auto"/>
                <w:kern w:val="0"/>
                <w:sz w:val="24"/>
                <w:highlight w:val="none"/>
                <w:shd w:val="clear" w:color="auto" w:fill="FFFFFF"/>
              </w:rPr>
              <w:t>（1）本招标项目重点难点：</w:t>
            </w:r>
            <w:r>
              <w:rPr>
                <w:rFonts w:hint="eastAsia" w:ascii="宋体" w:hAnsi="宋体" w:cs="宋体"/>
                <w:b/>
                <w:snapToGrid w:val="0"/>
                <w:color w:val="auto"/>
                <w:kern w:val="0"/>
                <w:sz w:val="24"/>
                <w:highlight w:val="none"/>
                <w:u w:val="single"/>
                <w:shd w:val="clear" w:color="auto" w:fill="FFFFFF"/>
              </w:rPr>
              <w:t xml:space="preserve"> </w:t>
            </w:r>
            <w:r>
              <w:rPr>
                <w:rFonts w:hint="eastAsia" w:ascii="宋体" w:hAnsi="宋体" w:cs="宋体"/>
                <w:b/>
                <w:snapToGrid w:val="0"/>
                <w:color w:val="auto"/>
                <w:kern w:val="0"/>
                <w:sz w:val="24"/>
                <w:highlight w:val="none"/>
                <w:u w:val="single"/>
                <w:shd w:val="clear" w:color="auto" w:fill="FFFFFF"/>
                <w:lang w:val="en-US" w:eastAsia="zh-CN"/>
              </w:rPr>
              <w:t>整体工期保障、35KV变电设备安装、系统调试</w:t>
            </w:r>
            <w:r>
              <w:rPr>
                <w:rFonts w:hint="eastAsia" w:ascii="宋体" w:hAnsi="宋体" w:cs="宋体"/>
                <w:b/>
                <w:snapToGrid w:val="0"/>
                <w:color w:val="auto"/>
                <w:kern w:val="0"/>
                <w:sz w:val="24"/>
                <w:highlight w:val="none"/>
                <w:u w:val="single"/>
                <w:shd w:val="clear" w:color="auto" w:fill="FFFFFF"/>
              </w:rPr>
              <w:t xml:space="preserve"> </w:t>
            </w:r>
            <w:r>
              <w:rPr>
                <w:rFonts w:hint="eastAsia" w:ascii="宋体" w:hAnsi="宋体" w:cs="宋体"/>
                <w:snapToGrid w:val="0"/>
                <w:color w:val="auto"/>
                <w:kern w:val="0"/>
                <w:sz w:val="24"/>
                <w:highlight w:val="none"/>
                <w:shd w:val="clear" w:color="auto" w:fill="FFFFFF"/>
              </w:rPr>
              <w:t xml:space="preserve">； </w:t>
            </w:r>
          </w:p>
          <w:p w14:paraId="0333037D">
            <w:pPr>
              <w:adjustRightInd w:val="0"/>
              <w:snapToGrid w:val="0"/>
              <w:spacing w:line="560" w:lineRule="exact"/>
              <w:rPr>
                <w:rFonts w:hint="eastAsia" w:ascii="宋体" w:hAnsi="宋体" w:cs="宋体"/>
                <w:snapToGrid w:val="0"/>
                <w:color w:val="auto"/>
                <w:kern w:val="0"/>
                <w:sz w:val="24"/>
                <w:highlight w:val="none"/>
                <w:shd w:val="clear" w:color="auto" w:fill="FFFFFF"/>
              </w:rPr>
            </w:pPr>
            <w:r>
              <w:rPr>
                <w:rFonts w:hint="eastAsia" w:ascii="宋体" w:hAnsi="宋体" w:cs="宋体"/>
                <w:snapToGrid w:val="0"/>
                <w:color w:val="auto"/>
                <w:kern w:val="0"/>
                <w:sz w:val="24"/>
                <w:highlight w:val="none"/>
                <w:shd w:val="clear" w:color="auto" w:fill="FFFFFF"/>
              </w:rPr>
              <w:t>（注：本项内容与施工组织设计重难点评审相对应，投标人必须在施工组织设计中全面重点阐述）</w:t>
            </w:r>
          </w:p>
          <w:p w14:paraId="6A6AD6DF">
            <w:pPr>
              <w:numPr>
                <w:ilvl w:val="0"/>
                <w:numId w:val="3"/>
              </w:numPr>
              <w:adjustRightInd w:val="0"/>
              <w:snapToGrid w:val="0"/>
              <w:spacing w:line="560" w:lineRule="exact"/>
              <w:rPr>
                <w:rFonts w:hint="eastAsia" w:ascii="宋体" w:hAnsi="宋体" w:cs="宋体"/>
                <w:snapToGrid w:val="0"/>
                <w:color w:val="auto"/>
                <w:kern w:val="0"/>
                <w:sz w:val="24"/>
                <w:highlight w:val="none"/>
                <w:shd w:val="clear" w:color="auto" w:fill="FFFFFF"/>
              </w:rPr>
            </w:pPr>
            <w:r>
              <w:rPr>
                <w:rFonts w:hint="eastAsia" w:ascii="宋体" w:hAnsi="宋体" w:cs="宋体"/>
                <w:b/>
                <w:snapToGrid w:val="0"/>
                <w:color w:val="auto"/>
                <w:kern w:val="0"/>
                <w:sz w:val="24"/>
                <w:highlight w:val="none"/>
                <w:shd w:val="clear" w:color="auto" w:fill="FFFFFF"/>
              </w:rPr>
              <w:t>本招标项目危险性较大的分部分项工程清单：2000KV.A组合式成套箱式变电站、400KW直流充电一体双枪充电桩安装、35KV变压器及其配套柜</w:t>
            </w:r>
            <w:r>
              <w:rPr>
                <w:rFonts w:hint="eastAsia" w:ascii="宋体" w:hAnsi="宋体" w:cs="宋体"/>
                <w:b/>
                <w:snapToGrid w:val="0"/>
                <w:color w:val="auto"/>
                <w:kern w:val="0"/>
                <w:sz w:val="24"/>
                <w:highlight w:val="none"/>
                <w:shd w:val="clear" w:color="auto" w:fill="FFFFFF"/>
                <w:lang w:val="en-US" w:eastAsia="zh-CN"/>
              </w:rPr>
              <w:t>施工，</w:t>
            </w:r>
            <w:r>
              <w:rPr>
                <w:rFonts w:hint="eastAsia" w:ascii="宋体" w:hAnsi="宋体" w:eastAsia="宋体" w:cs="宋体"/>
                <w:b/>
                <w:snapToGrid w:val="0"/>
                <w:color w:val="auto"/>
                <w:kern w:val="0"/>
                <w:sz w:val="24"/>
                <w:highlight w:val="none"/>
                <w:shd w:val="clear" w:color="auto" w:fill="FFFFFF"/>
              </w:rPr>
              <w:t>施工单位在投标时补充完善危大工程清单并明确相应的安全管理措施</w:t>
            </w:r>
            <w:r>
              <w:rPr>
                <w:rFonts w:hint="eastAsia" w:ascii="宋体" w:hAnsi="宋体" w:cs="宋体"/>
                <w:snapToGrid w:val="0"/>
                <w:color w:val="auto"/>
                <w:kern w:val="0"/>
                <w:sz w:val="24"/>
                <w:highlight w:val="none"/>
                <w:shd w:val="clear" w:color="auto" w:fill="FFFFFF"/>
              </w:rPr>
              <w:t>。</w:t>
            </w:r>
          </w:p>
        </w:tc>
      </w:tr>
      <w:tr w14:paraId="4625E241">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A06BFF3">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3.5.8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AC99E15">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投标文件份数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0B43809">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加密电子投标文件应在投标截止时间前通过交易中心电子交易系统上传。</w:t>
            </w:r>
          </w:p>
          <w:p w14:paraId="6AACFE1D">
            <w:pPr>
              <w:adjustRightInd w:val="0"/>
              <w:snapToGrid w:val="0"/>
              <w:spacing w:line="560" w:lineRule="exact"/>
              <w:rPr>
                <w:rFonts w:hint="eastAsia" w:ascii="宋体" w:hAnsi="宋体" w:cs="宋体"/>
                <w:color w:val="auto"/>
                <w:sz w:val="24"/>
                <w:highlight w:val="none"/>
              </w:rPr>
            </w:pPr>
            <w:r>
              <w:rPr>
                <w:rFonts w:hint="eastAsia" w:ascii="宋体" w:hAnsi="宋体" w:cs="宋体"/>
                <w:b/>
                <w:color w:val="auto"/>
                <w:kern w:val="0"/>
                <w:sz w:val="24"/>
                <w:highlight w:val="none"/>
              </w:rPr>
              <w:t>（投标人中标后须递交与网上电子投标文件完全一致的纸质版投标文件，并按要求加盖单位章；份数：正本</w:t>
            </w:r>
            <w:r>
              <w:rPr>
                <w:rFonts w:hint="eastAsia" w:ascii="宋体" w:hAnsi="宋体" w:cs="宋体"/>
                <w:b/>
                <w:color w:val="auto"/>
                <w:kern w:val="0"/>
                <w:sz w:val="24"/>
                <w:highlight w:val="none"/>
                <w:u w:val="single"/>
                <w:lang w:val="en-US" w:eastAsia="zh-CN"/>
              </w:rPr>
              <w:t>1</w:t>
            </w:r>
            <w:r>
              <w:rPr>
                <w:rFonts w:hint="eastAsia" w:ascii="宋体" w:hAnsi="宋体" w:cs="宋体"/>
                <w:b/>
                <w:color w:val="auto"/>
                <w:kern w:val="0"/>
                <w:sz w:val="24"/>
                <w:highlight w:val="none"/>
              </w:rPr>
              <w:t>份，副本</w:t>
            </w:r>
            <w:r>
              <w:rPr>
                <w:rFonts w:hint="eastAsia" w:ascii="宋体" w:hAnsi="宋体" w:cs="宋体"/>
                <w:b/>
                <w:color w:val="auto"/>
                <w:kern w:val="0"/>
                <w:sz w:val="24"/>
                <w:highlight w:val="none"/>
                <w:u w:val="single"/>
                <w:lang w:val="en-US" w:eastAsia="zh-CN"/>
              </w:rPr>
              <w:t>2</w:t>
            </w:r>
            <w:r>
              <w:rPr>
                <w:rFonts w:hint="eastAsia" w:ascii="宋体" w:hAnsi="宋体" w:cs="宋体"/>
                <w:b/>
                <w:color w:val="auto"/>
                <w:kern w:val="0"/>
                <w:sz w:val="24"/>
                <w:highlight w:val="none"/>
              </w:rPr>
              <w:t>份；中标人领取中标通知书时，一并递交给招标代理机构）。</w:t>
            </w:r>
          </w:p>
        </w:tc>
      </w:tr>
      <w:tr w14:paraId="6140A454">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A09995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3.6.1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FE178C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是否允许递交备选投标方案</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E388833">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u w:val="single"/>
              </w:rPr>
              <w:t>不允许</w:t>
            </w:r>
          </w:p>
        </w:tc>
      </w:tr>
      <w:tr w14:paraId="4B484F37">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EE60B3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4.3.2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69E9FB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是否退还投标文件</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12B985A">
            <w:pPr>
              <w:adjustRightInd w:val="0"/>
              <w:snapToGrid w:val="0"/>
              <w:spacing w:line="560" w:lineRule="exact"/>
              <w:rPr>
                <w:rFonts w:hint="eastAsia" w:ascii="宋体" w:hAnsi="宋体" w:cs="宋体"/>
                <w:color w:val="auto"/>
                <w:sz w:val="24"/>
                <w:highlight w:val="none"/>
                <w:u w:val="single"/>
              </w:rPr>
            </w:pPr>
            <w:r>
              <w:rPr>
                <w:rFonts w:hint="eastAsia" w:ascii="宋体" w:hAnsi="宋体" w:cs="宋体"/>
                <w:color w:val="auto"/>
                <w:sz w:val="24"/>
                <w:highlight w:val="none"/>
                <w:u w:val="single"/>
              </w:rPr>
              <w:t>否</w:t>
            </w:r>
          </w:p>
        </w:tc>
      </w:tr>
      <w:tr w14:paraId="7C2604B6">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E99B4E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5.1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515BCE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开标时间和地点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9DE0853">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开标时间：同投标截止时间</w:t>
            </w:r>
          </w:p>
          <w:p w14:paraId="6B99A4F8">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开标地点：见招标公告</w:t>
            </w:r>
          </w:p>
        </w:tc>
      </w:tr>
      <w:tr w14:paraId="4EE15233">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61A509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5.2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CBAC77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开标程序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E0DC411">
            <w:p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color w:val="auto"/>
                <w:sz w:val="24"/>
                <w:highlight w:val="none"/>
              </w:rPr>
              <w:t>（2）解密时间：解密程序开始后</w:t>
            </w:r>
            <w:r>
              <w:rPr>
                <w:rFonts w:hint="eastAsia" w:ascii="宋体" w:hAnsi="宋体" w:cs="宋体"/>
                <w:color w:val="auto"/>
                <w:sz w:val="24"/>
                <w:highlight w:val="none"/>
                <w:u w:val="single"/>
              </w:rPr>
              <w:t>60</w:t>
            </w:r>
            <w:r>
              <w:rPr>
                <w:rFonts w:hint="eastAsia" w:ascii="宋体" w:hAnsi="宋体" w:cs="宋体"/>
                <w:color w:val="auto"/>
                <w:sz w:val="24"/>
                <w:highlight w:val="none"/>
              </w:rPr>
              <w:t>分钟内</w:t>
            </w:r>
            <w:r>
              <w:rPr>
                <w:rFonts w:hint="eastAsia" w:ascii="宋体" w:hAnsi="宋体" w:cs="宋体"/>
                <w:bCs/>
                <w:snapToGrid w:val="0"/>
                <w:color w:val="auto"/>
                <w:kern w:val="0"/>
                <w:sz w:val="24"/>
                <w:highlight w:val="none"/>
              </w:rPr>
              <w:t>（以电子交易系统解密倒计时为准），</w:t>
            </w:r>
            <w:r>
              <w:rPr>
                <w:rFonts w:hint="eastAsia" w:ascii="宋体" w:hAnsi="宋体" w:cs="宋体"/>
                <w:color w:val="auto"/>
                <w:sz w:val="24"/>
                <w:highlight w:val="none"/>
              </w:rPr>
              <w:t>解密时间为</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11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rPr>
              <w:t>分至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rPr>
              <w:t xml:space="preserve">年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11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rPr>
              <w:t>分。</w:t>
            </w:r>
          </w:p>
          <w:p w14:paraId="1525DFC5">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highlight w:val="none"/>
              </w:rPr>
              <w:t>（4）公布投标人</w:t>
            </w:r>
            <w:r>
              <w:rPr>
                <w:rFonts w:hint="eastAsia" w:ascii="宋体" w:hAnsi="宋体" w:cs="宋体"/>
                <w:color w:val="auto"/>
                <w:sz w:val="24"/>
                <w:highlight w:val="none"/>
                <w:u w:val="single"/>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）公布在投标截止时间前通过电子交易系统完成投标文件递交的投标人名称；</w:t>
            </w:r>
          </w:p>
          <w:p w14:paraId="001FE461">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投标人在投标截止时间后，在规定的解密时间内完成投标文件的解密工作；</w:t>
            </w:r>
          </w:p>
          <w:p w14:paraId="4909E27B">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招标人或招标代理机构完成解密工作，导入并读取所有成功解密的投标文件；</w:t>
            </w:r>
          </w:p>
          <w:p w14:paraId="2826FED1">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公布投标人名称、标段名称、投标报价、质量目标、工期及其他内容；</w:t>
            </w:r>
          </w:p>
          <w:p w14:paraId="16BD786F">
            <w:pPr>
              <w:adjustRightInd w:val="0"/>
              <w:snapToGrid w:val="0"/>
              <w:spacing w:line="560" w:lineRule="exact"/>
              <w:rPr>
                <w:rFonts w:hint="eastAsia" w:ascii="宋体" w:hAnsi="宋体" w:cs="宋体"/>
                <w:color w:val="auto"/>
                <w:sz w:val="24"/>
                <w:highlight w:val="none"/>
              </w:rPr>
            </w:pP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开标结束</w:t>
            </w:r>
            <w:r>
              <w:rPr>
                <w:rFonts w:hint="eastAsia" w:ascii="宋体" w:hAnsi="宋体" w:cs="宋体"/>
                <w:color w:val="auto"/>
                <w:sz w:val="24"/>
                <w:highlight w:val="none"/>
              </w:rPr>
              <w:t>。</w:t>
            </w:r>
          </w:p>
          <w:p w14:paraId="5F71DC7C">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多标段开标顺序：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rPr>
              <w:t>。</w:t>
            </w:r>
          </w:p>
        </w:tc>
      </w:tr>
      <w:tr w14:paraId="793046C9">
        <w:tblPrEx>
          <w:tblCellMar>
            <w:top w:w="0" w:type="dxa"/>
            <w:left w:w="108" w:type="dxa"/>
            <w:bottom w:w="0" w:type="dxa"/>
            <w:right w:w="108" w:type="dxa"/>
          </w:tblCellMar>
        </w:tblPrEx>
        <w:trPr>
          <w:trHeight w:val="488"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1BD7292">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6.1.1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537BDA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评标委员会的组建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4B6C7A0">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评标委员会构成：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人，其中招标人代表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 xml:space="preserve">人，评标专家 </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人。</w:t>
            </w:r>
          </w:p>
          <w:p w14:paraId="119E034A">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评标专家确定方式：评标专家由招标人在开标前从专家库中随机抽取。</w:t>
            </w:r>
          </w:p>
        </w:tc>
      </w:tr>
      <w:tr w14:paraId="782B75EE">
        <w:tblPrEx>
          <w:tblCellMar>
            <w:top w:w="0" w:type="dxa"/>
            <w:left w:w="108" w:type="dxa"/>
            <w:bottom w:w="0" w:type="dxa"/>
            <w:right w:w="108" w:type="dxa"/>
          </w:tblCellMar>
        </w:tblPrEx>
        <w:trPr>
          <w:trHeight w:val="88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CA42F33">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6.3.2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E3F59BF">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评标委员会确定中标候选人的人数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EF9C31C">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 3名，并标明排序。</w:t>
            </w:r>
          </w:p>
        </w:tc>
      </w:tr>
      <w:tr w14:paraId="5F4FF4A1">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1833084">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9AF2F1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中标候选人公示媒介及期限</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24F5704">
            <w:pPr>
              <w:widowControl/>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公示媒介：同招标公告发布媒介</w:t>
            </w:r>
          </w:p>
          <w:p w14:paraId="10E0B41D">
            <w:pPr>
              <w:widowControl/>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公示期限：公示发布次日起3日（如公示第三日为休息日或节假日，则顺延至休息日或节假日后第一个工作日）</w:t>
            </w:r>
          </w:p>
        </w:tc>
      </w:tr>
      <w:tr w14:paraId="3E602A90">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793C794">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0453B57">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是否授权评标委员会确定中标人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65A5FCF">
            <w:pPr>
              <w:widowControl/>
              <w:adjustRightInd w:val="0"/>
              <w:snapToGrid w:val="0"/>
              <w:spacing w:line="560" w:lineRule="exact"/>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否</w:t>
            </w:r>
          </w:p>
        </w:tc>
      </w:tr>
      <w:tr w14:paraId="5C853ACB">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7E5453C">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7.6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4D80827">
            <w:pPr>
              <w:adjustRightInd w:val="0"/>
              <w:snapToGrid w:val="0"/>
              <w:spacing w:line="560" w:lineRule="exact"/>
              <w:jc w:val="center"/>
              <w:rPr>
                <w:rFonts w:hint="eastAsia" w:ascii="宋体" w:hAnsi="宋体" w:cs="宋体"/>
                <w:color w:val="auto"/>
                <w:sz w:val="24"/>
                <w:highlight w:val="none"/>
              </w:rPr>
            </w:pPr>
            <w:r>
              <w:rPr>
                <w:rFonts w:hint="eastAsia"/>
                <w:color w:val="auto"/>
                <w:sz w:val="24"/>
                <w:highlight w:val="none"/>
              </w:rPr>
              <w:t>中标通知书发出形式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6EC45C2">
            <w:pPr>
              <w:widowControl/>
              <w:adjustRightInd w:val="0"/>
              <w:snapToGrid w:val="0"/>
              <w:spacing w:line="560" w:lineRule="exact"/>
              <w:rPr>
                <w:rFonts w:hint="eastAsia" w:ascii="宋体" w:hAnsi="宋体" w:cs="宋体"/>
                <w:color w:val="auto"/>
                <w:sz w:val="24"/>
                <w:highlight w:val="none"/>
              </w:rPr>
            </w:pPr>
            <w:r>
              <w:rPr>
                <w:rFonts w:hint="eastAsia"/>
                <w:color w:val="auto"/>
                <w:sz w:val="24"/>
                <w:highlight w:val="none"/>
              </w:rPr>
              <w:t>数据电文</w:t>
            </w:r>
          </w:p>
        </w:tc>
      </w:tr>
      <w:tr w14:paraId="594125CC">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8F2C398">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D4B0DC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中标结果公示媒介</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23D6AEE">
            <w:pPr>
              <w:widowControl/>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公示媒介：同招标公告发布媒介；</w:t>
            </w:r>
          </w:p>
          <w:p w14:paraId="1471D20A">
            <w:pPr>
              <w:widowControl/>
              <w:adjustRightInd w:val="0"/>
              <w:snapToGrid w:val="0"/>
              <w:spacing w:line="560" w:lineRule="exact"/>
              <w:jc w:val="left"/>
              <w:rPr>
                <w:rFonts w:hint="eastAsia"/>
                <w:color w:val="auto"/>
                <w:highlight w:val="none"/>
              </w:rPr>
            </w:pPr>
            <w:r>
              <w:rPr>
                <w:rFonts w:hint="eastAsia" w:ascii="宋体" w:hAnsi="宋体" w:cs="宋体"/>
                <w:color w:val="auto"/>
                <w:sz w:val="24"/>
                <w:highlight w:val="none"/>
              </w:rPr>
              <w:t xml:space="preserve">公示期限：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日（公示期截止时间在法定休息日的顺延至首个工作日）。</w:t>
            </w:r>
          </w:p>
        </w:tc>
      </w:tr>
      <w:tr w14:paraId="5B3B9B4B">
        <w:tblPrEx>
          <w:tblCellMar>
            <w:top w:w="0" w:type="dxa"/>
            <w:left w:w="108" w:type="dxa"/>
            <w:bottom w:w="0" w:type="dxa"/>
            <w:right w:w="108" w:type="dxa"/>
          </w:tblCellMar>
        </w:tblPrEx>
        <w:trPr>
          <w:trHeight w:val="9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F3CA26B">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D82817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履约担保</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6BBB42F">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sz w:val="24"/>
                <w:highlight w:val="none"/>
              </w:rPr>
              <w:t>要求中标人提交履约保证金。</w:t>
            </w:r>
          </w:p>
          <w:p w14:paraId="1E7BB274">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形式：支持银行转账、银行电汇、银行保函、担保机构担保、保证保险使用。</w:t>
            </w:r>
          </w:p>
          <w:p w14:paraId="781F60CB">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金   额：中标合同金额×</w:t>
            </w:r>
            <w:r>
              <w:rPr>
                <w:rFonts w:hint="eastAsia" w:ascii="宋体" w:hAnsi="宋体" w:cs="宋体"/>
                <w:color w:val="auto"/>
                <w:sz w:val="24"/>
                <w:highlight w:val="none"/>
                <w:u w:val="single"/>
              </w:rPr>
              <w:t>2%</w:t>
            </w:r>
            <w:r>
              <w:rPr>
                <w:rFonts w:hint="eastAsia" w:ascii="宋体" w:hAnsi="宋体" w:cs="宋体"/>
                <w:color w:val="auto"/>
                <w:sz w:val="24"/>
                <w:highlight w:val="none"/>
              </w:rPr>
              <w:t xml:space="preserve"> </w:t>
            </w:r>
          </w:p>
          <w:p w14:paraId="66EDDDDA">
            <w:pPr>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收款单位：另行通知</w:t>
            </w:r>
          </w:p>
          <w:p w14:paraId="659F1B16">
            <w:pPr>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开户银行：另行通知   </w:t>
            </w:r>
          </w:p>
          <w:p w14:paraId="4238529D">
            <w:pPr>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银行账号：另行通知 </w:t>
            </w:r>
          </w:p>
          <w:p w14:paraId="017EE1D4">
            <w:pPr>
              <w:adjustRightInd w:val="0"/>
              <w:snapToGrid w:val="0"/>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缴纳时限：合同签订</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 xml:space="preserve">    </w:t>
            </w:r>
          </w:p>
          <w:p w14:paraId="521D68D4">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履约保证金退还时限：履约保证金有效期满7日内。</w:t>
            </w:r>
          </w:p>
          <w:p w14:paraId="46A9A020">
            <w:pPr>
              <w:pStyle w:val="19"/>
              <w:adjustRightInd w:val="0"/>
              <w:snapToGrid w:val="0"/>
              <w:spacing w:after="0" w:line="560" w:lineRule="exact"/>
              <w:ind w:left="0" w:leftChars="0" w:firstLine="0" w:firstLineChars="0"/>
              <w:rPr>
                <w:rFonts w:hint="eastAsia" w:ascii="宋体" w:hAnsi="宋体" w:cs="宋体"/>
                <w:color w:val="auto"/>
                <w:position w:val="6"/>
                <w:sz w:val="24"/>
                <w:highlight w:val="none"/>
                <w:u w:val="single"/>
              </w:rPr>
            </w:pPr>
            <w:r>
              <w:rPr>
                <w:rFonts w:hint="eastAsia" w:ascii="宋体" w:hAnsi="宋体" w:cs="宋体"/>
                <w:color w:val="auto"/>
                <w:position w:val="6"/>
                <w:sz w:val="24"/>
                <w:highlight w:val="none"/>
                <w:u w:val="single"/>
              </w:rPr>
              <w:t>其他相关要求（由招标人根据各项目及自身情况填写）：</w:t>
            </w:r>
          </w:p>
          <w:p w14:paraId="7BE1B66C">
            <w:pPr>
              <w:pStyle w:val="19"/>
              <w:pageBreakBefore w:val="0"/>
              <w:numPr>
                <w:ilvl w:val="0"/>
                <w:numId w:val="4"/>
              </w:numPr>
              <w:kinsoku/>
              <w:wordWrap/>
              <w:overflowPunct/>
              <w:autoSpaceDE/>
              <w:autoSpaceDN/>
              <w:bidi w:val="0"/>
              <w:adjustRightInd w:val="0"/>
              <w:snapToGrid w:val="0"/>
              <w:spacing w:after="0" w:line="400" w:lineRule="exact"/>
              <w:ind w:left="0" w:leftChars="0" w:firstLine="0" w:firstLineChars="0"/>
              <w:textAlignment w:val="auto"/>
              <w:rPr>
                <w:rFonts w:hint="eastAsia" w:ascii="宋体" w:hAnsi="宋体" w:eastAsia="宋体" w:cs="宋体"/>
                <w:color w:val="auto"/>
                <w:position w:val="6"/>
                <w:sz w:val="24"/>
                <w:szCs w:val="24"/>
                <w:highlight w:val="none"/>
                <w:u w:val="single"/>
              </w:rPr>
            </w:pPr>
            <w:r>
              <w:rPr>
                <w:rFonts w:hint="eastAsia" w:ascii="宋体" w:hAnsi="宋体" w:cs="宋体"/>
                <w:color w:val="auto"/>
                <w:position w:val="6"/>
                <w:sz w:val="24"/>
                <w:highlight w:val="none"/>
                <w:u w:val="single"/>
              </w:rPr>
              <w:t>具体要求：</w:t>
            </w:r>
            <w:r>
              <w:rPr>
                <w:rFonts w:hint="eastAsia" w:ascii="宋体" w:hAnsi="宋体" w:eastAsia="宋体" w:cs="宋体"/>
                <w:color w:val="auto"/>
                <w:position w:val="6"/>
                <w:sz w:val="24"/>
                <w:szCs w:val="24"/>
                <w:highlight w:val="none"/>
                <w:u w:val="single"/>
                <w:lang w:val="en-US" w:eastAsia="zh-CN"/>
              </w:rPr>
              <w:t>采用银行保函的具体要求：①保函形式须为见索即付型（无条件保函）；②须经招标人认可。采用担保保函的具体要求：须经招标人认可，须为见索即付型（无条件保函）；采用商业保险的具体要求：须经招标人认可，须为见索即付型（无条件保函）； 用第三方担保的具体要求：须经招标人认可，须为见索即付型（无条件保函）</w:t>
            </w:r>
            <w:r>
              <w:rPr>
                <w:rFonts w:hint="eastAsia" w:ascii="宋体" w:hAnsi="宋体" w:eastAsia="宋体" w:cs="宋体"/>
                <w:color w:val="auto"/>
                <w:position w:val="6"/>
                <w:sz w:val="24"/>
                <w:szCs w:val="24"/>
                <w:highlight w:val="none"/>
                <w:u w:val="single"/>
              </w:rPr>
              <w:t xml:space="preserve"> ；</w:t>
            </w:r>
          </w:p>
          <w:p w14:paraId="4F2C0C9E">
            <w:pPr>
              <w:pStyle w:val="19"/>
              <w:numPr>
                <w:ilvl w:val="0"/>
                <w:numId w:val="4"/>
              </w:numPr>
              <w:adjustRightInd w:val="0"/>
              <w:snapToGrid w:val="0"/>
              <w:spacing w:after="0" w:line="560" w:lineRule="exact"/>
              <w:ind w:left="0" w:leftChars="0" w:firstLine="0" w:firstLineChars="0"/>
              <w:rPr>
                <w:rFonts w:hint="eastAsia"/>
                <w:color w:val="auto"/>
                <w:sz w:val="24"/>
                <w:highlight w:val="none"/>
              </w:rPr>
            </w:pPr>
            <w:r>
              <w:rPr>
                <w:rFonts w:hint="eastAsia" w:ascii="宋体" w:hAnsi="宋体" w:eastAsia="宋体" w:cs="宋体"/>
                <w:color w:val="auto"/>
                <w:position w:val="6"/>
                <w:sz w:val="24"/>
                <w:szCs w:val="24"/>
                <w:highlight w:val="none"/>
                <w:u w:val="single"/>
              </w:rPr>
              <w:t>联合体参加投标且中标的，以联合体牵头人的名义按上述要求缴纳履约担保。</w:t>
            </w:r>
          </w:p>
        </w:tc>
      </w:tr>
      <w:tr w14:paraId="3259DB44">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7EE22FD">
            <w:pPr>
              <w:adjustRightInd w:val="0"/>
              <w:snapToGrid w:val="0"/>
              <w:spacing w:line="560" w:lineRule="exact"/>
              <w:jc w:val="center"/>
              <w:rPr>
                <w:rFonts w:ascii="宋体" w:hAnsi="宋体" w:cs="宋体"/>
                <w:color w:val="auto"/>
                <w:sz w:val="24"/>
                <w:highlight w:val="none"/>
              </w:rPr>
            </w:pPr>
            <w:r>
              <w:rPr>
                <w:rFonts w:hint="eastAsia" w:ascii="宋体" w:hAnsi="宋体" w:cs="宋体"/>
                <w:color w:val="auto"/>
                <w:sz w:val="24"/>
                <w:highlight w:val="none"/>
              </w:rPr>
              <w:t>7.9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1A7652F">
            <w:pPr>
              <w:adjustRightInd w:val="0"/>
              <w:snapToGrid w:val="0"/>
              <w:spacing w:line="560" w:lineRule="exact"/>
              <w:jc w:val="center"/>
              <w:rPr>
                <w:rFonts w:hint="eastAsia" w:ascii="宋体" w:hAnsi="宋体" w:cs="宋体"/>
                <w:color w:val="auto"/>
                <w:sz w:val="24"/>
                <w:highlight w:val="none"/>
              </w:rPr>
            </w:pPr>
            <w:r>
              <w:rPr>
                <w:rFonts w:hint="eastAsia"/>
                <w:color w:val="auto"/>
                <w:sz w:val="24"/>
                <w:highlight w:val="none"/>
              </w:rPr>
              <w:t>签订合同</w:t>
            </w:r>
          </w:p>
        </w:tc>
        <w:tc>
          <w:tcPr>
            <w:tcW w:w="7175" w:type="dxa"/>
            <w:tcBorders>
              <w:top w:val="single" w:color="auto" w:sz="4" w:space="0"/>
              <w:left w:val="single" w:color="auto" w:sz="4" w:space="0"/>
              <w:bottom w:val="single" w:color="auto" w:sz="4" w:space="0"/>
              <w:right w:val="single" w:color="auto" w:sz="4" w:space="0"/>
            </w:tcBorders>
            <w:noWrap w:val="0"/>
            <w:vAlign w:val="top"/>
          </w:tcPr>
          <w:p w14:paraId="74ABEF52">
            <w:pPr>
              <w:adjustRightInd w:val="0"/>
              <w:snapToGrid w:val="0"/>
              <w:spacing w:line="560" w:lineRule="exact"/>
              <w:rPr>
                <w:rFonts w:hint="eastAsia" w:ascii="宋体" w:hAnsi="宋体" w:cs="宋体"/>
                <w:color w:val="auto"/>
                <w:sz w:val="24"/>
                <w:highlight w:val="none"/>
              </w:rPr>
            </w:pPr>
            <w:r>
              <w:rPr>
                <w:rFonts w:hint="eastAsia"/>
                <w:color w:val="auto"/>
                <w:sz w:val="24"/>
                <w:highlight w:val="none"/>
              </w:rPr>
              <w:t>中标通知书发出之日起</w:t>
            </w:r>
            <w:r>
              <w:rPr>
                <w:rFonts w:hint="eastAsia"/>
                <w:color w:val="auto"/>
                <w:sz w:val="24"/>
                <w:highlight w:val="none"/>
                <w:u w:val="single"/>
              </w:rPr>
              <w:t xml:space="preserve"> </w:t>
            </w:r>
            <w:r>
              <w:rPr>
                <w:rFonts w:hint="eastAsia"/>
                <w:color w:val="auto"/>
                <w:sz w:val="24"/>
                <w:highlight w:val="none"/>
                <w:u w:val="single"/>
                <w:lang w:val="en-US" w:eastAsia="zh-CN"/>
              </w:rPr>
              <w:t>7</w:t>
            </w:r>
            <w:r>
              <w:rPr>
                <w:rFonts w:hint="eastAsia"/>
                <w:color w:val="auto"/>
                <w:sz w:val="24"/>
                <w:highlight w:val="none"/>
                <w:u w:val="single"/>
              </w:rPr>
              <w:t xml:space="preserve"> </w:t>
            </w:r>
            <w:r>
              <w:rPr>
                <w:rFonts w:hint="eastAsia"/>
                <w:color w:val="auto"/>
                <w:sz w:val="24"/>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017D2BC4">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41D3BF6C">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10.需要补充的其他内容</w:t>
            </w:r>
          </w:p>
        </w:tc>
      </w:tr>
      <w:tr w14:paraId="420E0347">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70538C3C">
            <w:pPr>
              <w:adjustRightInd w:val="0"/>
              <w:snapToGrid w:val="0"/>
              <w:spacing w:line="560" w:lineRule="exact"/>
              <w:jc w:val="left"/>
              <w:rPr>
                <w:rFonts w:hint="eastAsia" w:ascii="宋体" w:hAnsi="宋体" w:cs="宋体"/>
                <w:color w:val="auto"/>
                <w:sz w:val="24"/>
                <w:highlight w:val="none"/>
              </w:rPr>
            </w:pPr>
            <w:r>
              <w:rPr>
                <w:rFonts w:hint="eastAsia" w:ascii="宋体" w:hAnsi="宋体" w:cs="宋体"/>
                <w:color w:val="auto"/>
                <w:sz w:val="24"/>
                <w:highlight w:val="none"/>
              </w:rPr>
              <w:t>10.1招标代理服务费和专家评审劳务费</w:t>
            </w:r>
          </w:p>
        </w:tc>
      </w:tr>
      <w:tr w14:paraId="22C0AA6F">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B3921D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ADB3B0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招标代理服务费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37DD0D1">
            <w:pPr>
              <w:adjustRightInd w:val="0"/>
              <w:snapToGrid w:val="0"/>
              <w:spacing w:line="560" w:lineRule="exact"/>
              <w:rPr>
                <w:rFonts w:hint="eastAsia" w:ascii="宋体" w:hAnsi="宋体" w:cs="宋体"/>
                <w:color w:val="auto"/>
                <w:kern w:val="0"/>
                <w:sz w:val="24"/>
                <w:highlight w:val="none"/>
              </w:rPr>
            </w:pPr>
            <w:r>
              <w:rPr>
                <w:rFonts w:hint="eastAsia" w:ascii="宋体" w:hAnsi="宋体" w:cs="宋体"/>
                <w:color w:val="auto"/>
                <w:sz w:val="24"/>
                <w:highlight w:val="none"/>
              </w:rPr>
              <w:t>代理服务费具体金额及参考标准：</w:t>
            </w:r>
            <w:r>
              <w:rPr>
                <w:rFonts w:hint="eastAsia" w:ascii="宋体" w:hAnsi="宋体" w:eastAsia="宋体" w:cs="宋体"/>
                <w:color w:val="auto"/>
                <w:kern w:val="0"/>
                <w:sz w:val="24"/>
                <w:highlight w:val="none"/>
                <w:lang w:val="en-US" w:eastAsia="zh-CN"/>
              </w:rPr>
              <w:t>2.25</w:t>
            </w:r>
            <w:r>
              <w:rPr>
                <w:rFonts w:hint="eastAsia" w:ascii="宋体" w:hAnsi="宋体" w:cs="宋体"/>
                <w:color w:val="auto"/>
                <w:kern w:val="0"/>
                <w:sz w:val="24"/>
                <w:highlight w:val="none"/>
                <w:lang w:val="en-US" w:eastAsia="zh-CN"/>
              </w:rPr>
              <w:t>75</w:t>
            </w:r>
            <w:r>
              <w:rPr>
                <w:rFonts w:hint="eastAsia" w:ascii="宋体" w:hAnsi="宋体" w:eastAsia="宋体" w:cs="宋体"/>
                <w:color w:val="auto"/>
                <w:kern w:val="0"/>
                <w:sz w:val="24"/>
                <w:highlight w:val="none"/>
                <w:lang w:val="en-US" w:eastAsia="zh-CN"/>
              </w:rPr>
              <w:t>万元，参考国家计委关于印发《招标代理服务收费管理暂行办法》的通知(计价格【2002】1980号)50%收取</w:t>
            </w:r>
            <w:r>
              <w:rPr>
                <w:rFonts w:hint="eastAsia" w:ascii="宋体" w:hAnsi="宋体" w:cs="宋体"/>
                <w:color w:val="auto"/>
                <w:kern w:val="0"/>
                <w:sz w:val="24"/>
                <w:highlight w:val="none"/>
              </w:rPr>
              <w:t>；</w:t>
            </w:r>
          </w:p>
          <w:p w14:paraId="03DE0ED1">
            <w:pPr>
              <w:adjustRightInd w:val="0"/>
              <w:snapToGrid w:val="0"/>
              <w:spacing w:line="5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代理服务费支付主体</w:t>
            </w:r>
            <w:r>
              <w:rPr>
                <w:rStyle w:val="33"/>
                <w:rFonts w:ascii="宋体" w:hAnsi="宋体" w:cs="宋体"/>
                <w:color w:val="auto"/>
                <w:kern w:val="0"/>
                <w:sz w:val="24"/>
                <w:highlight w:val="none"/>
              </w:rPr>
              <w:footnoteReference w:id="1"/>
            </w:r>
            <w:r>
              <w:rPr>
                <w:rFonts w:hint="eastAsia" w:ascii="宋体" w:hAnsi="宋体" w:cs="宋体"/>
                <w:color w:val="auto"/>
                <w:sz w:val="24"/>
                <w:highlight w:val="none"/>
              </w:rPr>
              <w:t>：</w:t>
            </w:r>
            <w:r>
              <w:rPr>
                <w:rFonts w:hint="eastAsia" w:ascii="宋体" w:hAnsi="宋体" w:cs="宋体"/>
                <w:color w:val="auto"/>
                <w:kern w:val="0"/>
                <w:sz w:val="24"/>
                <w:highlight w:val="none"/>
                <w:u w:val="single"/>
                <w:lang w:val="en-US" w:eastAsia="zh-CN"/>
              </w:rPr>
              <w:t>中标人</w:t>
            </w:r>
            <w:r>
              <w:rPr>
                <w:rFonts w:hint="eastAsia" w:ascii="宋体" w:hAnsi="宋体" w:cs="宋体"/>
                <w:color w:val="auto"/>
                <w:kern w:val="0"/>
                <w:sz w:val="24"/>
                <w:highlight w:val="none"/>
              </w:rPr>
              <w:t>；</w:t>
            </w:r>
          </w:p>
          <w:p w14:paraId="253A655C">
            <w:pPr>
              <w:adjustRightInd w:val="0"/>
              <w:snapToGrid w:val="0"/>
              <w:spacing w:line="560" w:lineRule="exact"/>
              <w:rPr>
                <w:rFonts w:hint="eastAsia" w:ascii="宋体" w:hAnsi="宋体" w:cs="宋体"/>
                <w:color w:val="auto"/>
                <w:kern w:val="0"/>
                <w:sz w:val="24"/>
                <w:highlight w:val="none"/>
              </w:rPr>
            </w:pPr>
            <w:r>
              <w:rPr>
                <w:rFonts w:hint="eastAsia" w:ascii="宋体" w:hAnsi="宋体" w:cs="宋体"/>
                <w:color w:val="auto"/>
                <w:sz w:val="24"/>
                <w:highlight w:val="none"/>
              </w:rPr>
              <w:t>代理服务费收取方式：</w:t>
            </w:r>
            <w:r>
              <w:rPr>
                <w:rFonts w:hint="eastAsia" w:ascii="宋体" w:hAnsi="宋体" w:eastAsia="宋体" w:cs="宋体"/>
                <w:color w:val="auto"/>
                <w:sz w:val="24"/>
                <w:szCs w:val="24"/>
                <w:highlight w:val="none"/>
                <w:lang w:val="en-US" w:eastAsia="zh-CN"/>
              </w:rPr>
              <w:t>中标人在领取中标通知书前一次性缴纳至代理机构账户</w:t>
            </w:r>
            <w:r>
              <w:rPr>
                <w:rFonts w:hint="eastAsia" w:ascii="宋体" w:hAnsi="宋体" w:cs="宋体"/>
                <w:color w:val="auto"/>
                <w:kern w:val="0"/>
                <w:sz w:val="24"/>
                <w:highlight w:val="none"/>
              </w:rPr>
              <w:t>。</w:t>
            </w:r>
          </w:p>
        </w:tc>
      </w:tr>
      <w:tr w14:paraId="162A0DE1">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1B8BEA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1957E6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专家评审劳务费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B3A75D8">
            <w:pPr>
              <w:adjustRightInd w:val="0"/>
              <w:snapToGri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费用或支付标准：</w:t>
            </w:r>
            <w:r>
              <w:rPr>
                <w:rFonts w:hint="eastAsia" w:ascii="宋体" w:hAnsi="宋体" w:eastAsia="宋体" w:cs="宋体"/>
                <w:color w:val="auto"/>
                <w:kern w:val="0"/>
                <w:sz w:val="24"/>
                <w:szCs w:val="24"/>
                <w:highlight w:val="none"/>
                <w:u w:val="single"/>
                <w:lang w:val="en-US" w:eastAsia="zh-CN"/>
              </w:rPr>
              <w:t>按照《滁州市评标专家评标评审劳务费标准》（滁公管【2017】34号）计算，具体以实际发生费用为准</w:t>
            </w:r>
          </w:p>
          <w:p w14:paraId="3493D7B2">
            <w:pPr>
              <w:adjustRightInd w:val="0"/>
              <w:snapToGrid w:val="0"/>
              <w:spacing w:line="560" w:lineRule="exact"/>
              <w:rPr>
                <w:rFonts w:hint="eastAsia"/>
                <w:color w:val="auto"/>
                <w:sz w:val="24"/>
                <w:highlight w:val="none"/>
              </w:rPr>
            </w:pPr>
            <w:r>
              <w:rPr>
                <w:rFonts w:hint="eastAsia" w:ascii="宋体" w:hAnsi="宋体" w:cs="宋体"/>
                <w:color w:val="auto"/>
                <w:sz w:val="24"/>
                <w:highlight w:val="none"/>
              </w:rPr>
              <w:t>支付主体：</w:t>
            </w:r>
            <w:r>
              <w:rPr>
                <w:rFonts w:hint="eastAsia" w:ascii="宋体" w:hAnsi="宋体" w:eastAsia="宋体" w:cs="宋体"/>
                <w:color w:val="auto"/>
                <w:sz w:val="24"/>
                <w:szCs w:val="24"/>
                <w:highlight w:val="none"/>
                <w:lang w:val="en-US" w:eastAsia="zh-CN"/>
              </w:rPr>
              <w:t>招标人</w:t>
            </w:r>
          </w:p>
        </w:tc>
      </w:tr>
      <w:tr w14:paraId="130425BA">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198A14FF">
            <w:pPr>
              <w:adjustRightInd w:val="0"/>
              <w:snapToGrid w:val="0"/>
              <w:spacing w:line="560" w:lineRule="exact"/>
              <w:rPr>
                <w:rFonts w:hint="eastAsia" w:ascii="宋体" w:hAnsi="宋体" w:cs="宋体"/>
                <w:bCs/>
                <w:snapToGrid w:val="0"/>
                <w:color w:val="auto"/>
                <w:kern w:val="0"/>
                <w:sz w:val="24"/>
                <w:highlight w:val="none"/>
              </w:rPr>
            </w:pPr>
            <w:r>
              <w:rPr>
                <w:rFonts w:hint="eastAsia" w:ascii="宋体" w:hAnsi="宋体" w:cs="宋体"/>
                <w:color w:val="auto"/>
                <w:sz w:val="24"/>
                <w:highlight w:val="none"/>
              </w:rPr>
              <w:t>10.2 招标文件获取与通知</w:t>
            </w:r>
          </w:p>
        </w:tc>
      </w:tr>
      <w:tr w14:paraId="62D3A73A">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BEC115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1E3D7FD">
            <w:pPr>
              <w:adjustRightInd w:val="0"/>
              <w:snapToGrid w:val="0"/>
              <w:spacing w:line="560" w:lineRule="exact"/>
              <w:jc w:val="center"/>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电子招投标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5570163">
            <w:pPr>
              <w:adjustRightInd w:val="0"/>
              <w:snapToGrid w:val="0"/>
              <w:spacing w:line="560" w:lineRule="exact"/>
              <w:rPr>
                <w:rFonts w:hint="eastAsia" w:ascii="宋体" w:hAnsi="宋体" w:cs="宋体"/>
                <w:color w:val="auto"/>
                <w:sz w:val="24"/>
                <w:highlight w:val="none"/>
              </w:rPr>
            </w:pPr>
            <w:r>
              <w:rPr>
                <w:rFonts w:hint="eastAsia" w:ascii="宋体" w:hAnsi="宋体" w:cs="宋体"/>
                <w:bCs/>
                <w:snapToGrid w:val="0"/>
                <w:color w:val="auto"/>
                <w:kern w:val="0"/>
                <w:sz w:val="24"/>
                <w:highlight w:val="none"/>
              </w:rPr>
              <w:t>本项目采用电子招标投标方式。</w:t>
            </w:r>
          </w:p>
        </w:tc>
      </w:tr>
      <w:tr w14:paraId="59884D6D">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0E0DFF8">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7B4892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Cs/>
                <w:snapToGrid w:val="0"/>
                <w:color w:val="auto"/>
                <w:kern w:val="0"/>
                <w:sz w:val="24"/>
                <w:highlight w:val="none"/>
              </w:rPr>
              <w:t>图纸获取说明</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2C763D1">
            <w:pPr>
              <w:adjustRightInd w:val="0"/>
              <w:snapToGrid w:val="0"/>
              <w:spacing w:line="560" w:lineRule="exact"/>
              <w:rPr>
                <w:rFonts w:hint="eastAsia" w:ascii="宋体" w:hAnsi="宋体" w:cs="宋体"/>
                <w:color w:val="auto"/>
                <w:sz w:val="24"/>
                <w:highlight w:val="none"/>
              </w:rPr>
            </w:pPr>
            <w:r>
              <w:rPr>
                <w:rFonts w:hint="eastAsia" w:ascii="宋体" w:hAnsi="宋体" w:eastAsia="宋体" w:cs="宋体"/>
                <w:bCs/>
                <w:snapToGrid w:val="0"/>
                <w:color w:val="auto"/>
                <w:kern w:val="0"/>
                <w:sz w:val="24"/>
                <w:szCs w:val="24"/>
                <w:highlight w:val="none"/>
              </w:rPr>
              <w:t>本项目的招标文件、工程量清单、最高投标限价、澄清及修改等相关资料均通过</w:t>
            </w:r>
            <w:r>
              <w:rPr>
                <w:rFonts w:hint="eastAsia" w:ascii="宋体" w:hAnsi="宋体" w:eastAsia="宋体" w:cs="宋体"/>
                <w:bCs/>
                <w:snapToGrid w:val="0"/>
                <w:color w:val="auto"/>
                <w:kern w:val="0"/>
                <w:sz w:val="24"/>
                <w:szCs w:val="24"/>
                <w:highlight w:val="none"/>
                <w:u w:val="single"/>
              </w:rPr>
              <w:t>滁州市公共资源交易中心网站</w:t>
            </w:r>
            <w:r>
              <w:rPr>
                <w:rFonts w:hint="eastAsia" w:ascii="宋体" w:hAnsi="宋体" w:eastAsia="宋体" w:cs="宋体"/>
                <w:bCs/>
                <w:snapToGrid w:val="0"/>
                <w:color w:val="auto"/>
                <w:kern w:val="0"/>
                <w:sz w:val="24"/>
                <w:szCs w:val="24"/>
                <w:highlight w:val="none"/>
              </w:rPr>
              <w:t>发布，投标人应自行下载。投标人应当及时登录</w:t>
            </w:r>
            <w:r>
              <w:rPr>
                <w:rFonts w:hint="eastAsia" w:ascii="宋体" w:hAnsi="宋体" w:eastAsia="宋体" w:cs="宋体"/>
                <w:bCs/>
                <w:snapToGrid w:val="0"/>
                <w:color w:val="auto"/>
                <w:kern w:val="0"/>
                <w:sz w:val="24"/>
                <w:szCs w:val="24"/>
                <w:highlight w:val="none"/>
                <w:u w:val="single"/>
              </w:rPr>
              <w:t>滁州市公共资源交易中心交易</w:t>
            </w:r>
            <w:r>
              <w:rPr>
                <w:rFonts w:hint="eastAsia" w:ascii="宋体" w:hAnsi="宋体" w:eastAsia="宋体" w:cs="宋体"/>
                <w:bCs/>
                <w:snapToGrid w:val="0"/>
                <w:color w:val="auto"/>
                <w:kern w:val="0"/>
                <w:sz w:val="24"/>
                <w:szCs w:val="24"/>
                <w:highlight w:val="none"/>
              </w:rPr>
              <w:t>系统查看。</w:t>
            </w:r>
            <w:r>
              <w:rPr>
                <w:rFonts w:hint="eastAsia" w:ascii="宋体" w:hAnsi="宋体" w:cs="宋体"/>
                <w:color w:val="auto"/>
                <w:sz w:val="24"/>
                <w:highlight w:val="none"/>
              </w:rPr>
              <w:t xml:space="preserve"> </w:t>
            </w:r>
          </w:p>
        </w:tc>
      </w:tr>
      <w:tr w14:paraId="66C9CD12">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8CAC80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950FDF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Cs/>
                <w:snapToGrid w:val="0"/>
                <w:color w:val="auto"/>
                <w:kern w:val="0"/>
                <w:sz w:val="24"/>
                <w:highlight w:val="none"/>
              </w:rPr>
              <w:t>获取与查看通知</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B23E78A">
            <w:pPr>
              <w:adjustRightInd w:val="0"/>
              <w:snapToGrid w:val="0"/>
              <w:spacing w:line="560" w:lineRule="exact"/>
              <w:rPr>
                <w:rFonts w:hint="eastAsia" w:ascii="宋体" w:hAnsi="宋体" w:cs="宋体"/>
                <w:color w:val="auto"/>
                <w:sz w:val="24"/>
                <w:highlight w:val="none"/>
              </w:rPr>
            </w:pPr>
            <w:r>
              <w:rPr>
                <w:rFonts w:hint="eastAsia" w:ascii="宋体" w:hAnsi="宋体" w:cs="宋体"/>
                <w:bCs/>
                <w:snapToGrid w:val="0"/>
                <w:color w:val="auto"/>
                <w:kern w:val="0"/>
                <w:sz w:val="24"/>
                <w:highlight w:val="none"/>
              </w:rPr>
              <w:t>本项目的招标文件、工程量清单、最高投标限价、澄清及修改等相关资料均通过</w:t>
            </w:r>
            <w:r>
              <w:rPr>
                <w:rFonts w:hint="eastAsia" w:ascii="宋体" w:hAnsi="宋体" w:cs="宋体"/>
                <w:bCs/>
                <w:snapToGrid w:val="0"/>
                <w:color w:val="auto"/>
                <w:kern w:val="0"/>
                <w:sz w:val="24"/>
                <w:highlight w:val="none"/>
                <w:u w:val="single"/>
              </w:rPr>
              <w:t>滁州市公共资源交易中心网站</w:t>
            </w:r>
            <w:r>
              <w:rPr>
                <w:rFonts w:hint="eastAsia" w:ascii="宋体" w:hAnsi="宋体" w:cs="宋体"/>
                <w:bCs/>
                <w:snapToGrid w:val="0"/>
                <w:color w:val="auto"/>
                <w:kern w:val="0"/>
                <w:sz w:val="24"/>
                <w:highlight w:val="none"/>
              </w:rPr>
              <w:t>发布，投标人应自行下载。投标人应当及时登录</w:t>
            </w:r>
            <w:r>
              <w:rPr>
                <w:rFonts w:hint="eastAsia" w:ascii="宋体" w:hAnsi="宋体" w:cs="宋体"/>
                <w:bCs/>
                <w:snapToGrid w:val="0"/>
                <w:color w:val="auto"/>
                <w:kern w:val="0"/>
                <w:sz w:val="24"/>
                <w:highlight w:val="none"/>
                <w:u w:val="single"/>
              </w:rPr>
              <w:t>滁州市公共资源交易中心交易</w:t>
            </w:r>
            <w:r>
              <w:rPr>
                <w:rFonts w:hint="eastAsia" w:ascii="宋体" w:hAnsi="宋体" w:cs="宋体"/>
                <w:bCs/>
                <w:snapToGrid w:val="0"/>
                <w:color w:val="auto"/>
                <w:kern w:val="0"/>
                <w:sz w:val="24"/>
                <w:highlight w:val="none"/>
              </w:rPr>
              <w:t>系统查看。</w:t>
            </w:r>
          </w:p>
        </w:tc>
      </w:tr>
      <w:tr w14:paraId="58A44463">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B5BD7E4">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F0404D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主要材料要求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1E6D92A">
            <w:pPr>
              <w:pStyle w:val="39"/>
              <w:spacing w:line="560" w:lineRule="exact"/>
              <w:jc w:val="left"/>
              <w:rPr>
                <w:rFonts w:hint="eastAsia" w:ascii="宋体" w:hAnsi="宋体" w:eastAsia="宋体" w:cs="宋体"/>
                <w:bCs/>
                <w:color w:val="auto"/>
                <w:sz w:val="24"/>
                <w:szCs w:val="24"/>
                <w:highlight w:val="none"/>
                <w:lang w:val="en-US"/>
              </w:rPr>
            </w:pPr>
            <w:r>
              <w:rPr>
                <w:rFonts w:hint="eastAsia"/>
                <w:bCs/>
                <w:color w:val="auto"/>
                <w:sz w:val="24"/>
                <w:highlight w:val="none"/>
                <w:lang w:val="en-US"/>
              </w:rPr>
              <w:t>主要材料由</w:t>
            </w:r>
            <w:r>
              <w:rPr>
                <w:rFonts w:hint="eastAsia" w:ascii="宋体" w:hAnsi="宋体" w:eastAsia="宋体" w:cs="宋体"/>
                <w:bCs/>
                <w:color w:val="auto"/>
                <w:sz w:val="24"/>
                <w:szCs w:val="24"/>
                <w:highlight w:val="none"/>
                <w:lang w:val="en-US"/>
              </w:rPr>
              <w:t>中标人自行采购</w:t>
            </w:r>
          </w:p>
          <w:p w14:paraId="31A47208">
            <w:pPr>
              <w:pStyle w:val="39"/>
              <w:spacing w:line="560" w:lineRule="exact"/>
              <w:jc w:val="left"/>
              <w:rPr>
                <w:rFonts w:hint="eastAsia"/>
                <w:bCs/>
                <w:color w:val="auto"/>
                <w:sz w:val="24"/>
                <w:highlight w:val="none"/>
                <w:lang w:val="en-US"/>
              </w:rPr>
            </w:pPr>
            <w:r>
              <w:rPr>
                <w:rFonts w:hint="eastAsia"/>
                <w:bCs/>
                <w:color w:val="auto"/>
                <w:sz w:val="24"/>
                <w:highlight w:val="none"/>
                <w:lang w:val="en-US"/>
              </w:rPr>
              <w:t>如招标人对主要材料、设备的技术性能指标有特殊要求，应在招标文件第八章“技术标准和要求”品牌推荐表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54CE8775">
            <w:pPr>
              <w:pStyle w:val="39"/>
              <w:spacing w:line="560" w:lineRule="exact"/>
              <w:jc w:val="left"/>
              <w:rPr>
                <w:rFonts w:hint="eastAsia"/>
                <w:b/>
                <w:bCs/>
                <w:color w:val="auto"/>
                <w:sz w:val="24"/>
                <w:highlight w:val="none"/>
                <w:u w:val="single"/>
                <w:lang w:val="en-US"/>
              </w:rPr>
            </w:pPr>
            <w:r>
              <w:rPr>
                <w:rFonts w:hint="eastAsia"/>
                <w:b/>
                <w:bCs/>
                <w:color w:val="auto"/>
                <w:sz w:val="24"/>
                <w:highlight w:val="none"/>
                <w:lang w:val="en-US"/>
              </w:rPr>
              <w:t>1、</w:t>
            </w:r>
            <w:r>
              <w:rPr>
                <w:rFonts w:hint="eastAsia"/>
                <w:b/>
                <w:bCs/>
                <w:color w:val="auto"/>
                <w:sz w:val="24"/>
                <w:highlight w:val="none"/>
                <w:u w:val="single"/>
                <w:lang w:val="en-US"/>
              </w:rPr>
              <w:t>本工程采用商品砼。</w:t>
            </w:r>
          </w:p>
          <w:p w14:paraId="6073B545">
            <w:pPr>
              <w:pStyle w:val="39"/>
              <w:spacing w:line="560" w:lineRule="exact"/>
              <w:jc w:val="left"/>
              <w:rPr>
                <w:rFonts w:hint="eastAsia"/>
                <w:b/>
                <w:bCs/>
                <w:color w:val="auto"/>
                <w:sz w:val="24"/>
                <w:highlight w:val="none"/>
                <w:u w:val="single"/>
                <w:lang w:val="en-US"/>
              </w:rPr>
            </w:pPr>
            <w:r>
              <w:rPr>
                <w:rFonts w:hint="eastAsia"/>
                <w:b/>
                <w:bCs/>
                <w:color w:val="auto"/>
                <w:sz w:val="24"/>
                <w:highlight w:val="none"/>
                <w:lang w:val="en-US"/>
              </w:rPr>
              <w:t>2、</w:t>
            </w:r>
            <w:r>
              <w:rPr>
                <w:rFonts w:hint="eastAsia"/>
                <w:b/>
                <w:bCs/>
                <w:color w:val="auto"/>
                <w:sz w:val="24"/>
                <w:highlight w:val="none"/>
                <w:u w:val="single"/>
                <w:lang w:val="en-US"/>
              </w:rPr>
              <w:t>本项目采用预拌砂浆。</w:t>
            </w:r>
          </w:p>
          <w:p w14:paraId="1D18C1A6">
            <w:pPr>
              <w:pStyle w:val="39"/>
              <w:adjustRightInd w:val="0"/>
              <w:snapToGrid w:val="0"/>
              <w:spacing w:line="560" w:lineRule="exact"/>
              <w:jc w:val="left"/>
              <w:rPr>
                <w:rFonts w:hint="eastAsia"/>
                <w:color w:val="auto"/>
                <w:sz w:val="24"/>
                <w:highlight w:val="none"/>
              </w:rPr>
            </w:pPr>
            <w:r>
              <w:rPr>
                <w:rFonts w:hint="eastAsia"/>
                <w:b/>
                <w:bCs/>
                <w:color w:val="auto"/>
                <w:sz w:val="24"/>
                <w:highlight w:val="none"/>
                <w:lang w:val="en-US"/>
              </w:rPr>
              <w:t>……</w:t>
            </w:r>
          </w:p>
        </w:tc>
      </w:tr>
      <w:tr w14:paraId="72C25BCC">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9C2318E">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D455C5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bCs/>
                <w:snapToGrid w:val="0"/>
                <w:color w:val="auto"/>
                <w:kern w:val="0"/>
                <w:sz w:val="24"/>
                <w:highlight w:val="none"/>
              </w:rPr>
              <w:t>相关要求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534180F">
            <w:pPr>
              <w:adjustRightInd w:val="0"/>
              <w:snapToGrid w:val="0"/>
              <w:spacing w:line="560" w:lineRule="exact"/>
              <w:rPr>
                <w:rFonts w:hint="eastAsia" w:ascii="宋体" w:hAnsi="宋体" w:cs="宋体"/>
                <w:b/>
                <w:bCs/>
                <w:color w:val="auto"/>
                <w:sz w:val="24"/>
                <w:highlight w:val="none"/>
              </w:rPr>
            </w:pPr>
            <w:r>
              <w:rPr>
                <w:rFonts w:hint="eastAsia" w:ascii="宋体" w:hAnsi="宋体" w:cs="宋体"/>
                <w:b/>
                <w:bCs/>
                <w:color w:val="auto"/>
                <w:sz w:val="24"/>
                <w:highlight w:val="none"/>
              </w:rPr>
              <w:t>1、本项目投标保证金、履约保证金、工程质量保证金、农民工工资保证金均支持保函使用。以现金形式提交保证金的，应当同时退还保证金本金和银行同期存款利息。</w:t>
            </w:r>
          </w:p>
          <w:p w14:paraId="3A903417">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2、承包人在工程实施过程中的用工行为，必须严格按照《保障农民工工资支付条例》（国务院令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369422A7">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7910E006">
            <w:pPr>
              <w:pStyle w:val="19"/>
              <w:spacing w:after="0" w:line="560" w:lineRule="exact"/>
              <w:ind w:left="0" w:leftChars="0" w:firstLine="0" w:firstLineChars="0"/>
              <w:rPr>
                <w:rFonts w:hint="eastAsia" w:ascii="宋体" w:hAnsi="宋体" w:cs="宋体"/>
                <w:bCs/>
                <w:color w:val="auto"/>
                <w:sz w:val="24"/>
                <w:highlight w:val="none"/>
              </w:rPr>
            </w:pPr>
            <w:r>
              <w:rPr>
                <w:rFonts w:hint="eastAsia" w:ascii="宋体" w:hAnsi="宋体" w:cs="宋体"/>
                <w:bCs/>
                <w:color w:val="auto"/>
                <w:sz w:val="24"/>
                <w:highlight w:val="none"/>
              </w:rPr>
              <w:t>《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549D7B27">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 xml:space="preserve">3、省外建设工程企业按照《关于优化进皖建设工程企业信息登记服务和管理有关工作的通知》（建市函〔2022〕580号）进行相关信息登记。 </w:t>
            </w:r>
          </w:p>
          <w:p w14:paraId="66FF1DCF">
            <w:pPr>
              <w:adjustRightInd w:val="0"/>
              <w:snapToGrid w:val="0"/>
              <w:spacing w:line="560" w:lineRule="exact"/>
              <w:rPr>
                <w:rFonts w:hint="eastAsia" w:ascii="宋体" w:hAnsi="宋体" w:cs="宋体"/>
                <w:bCs/>
                <w:color w:val="auto"/>
                <w:sz w:val="24"/>
                <w:highlight w:val="none"/>
              </w:rPr>
            </w:pPr>
            <w:r>
              <w:rPr>
                <w:rFonts w:hint="eastAsia" w:ascii="宋体" w:hAnsi="宋体" w:cs="宋体"/>
                <w:bCs/>
                <w:color w:val="auto"/>
                <w:sz w:val="24"/>
                <w:highlight w:val="none"/>
              </w:rPr>
              <w:t>4、保证保险产品应按《中国银保监会办公厅关于进一步加强和改进财产保险公司产品监管有关问题的通知》执行。</w:t>
            </w:r>
          </w:p>
          <w:p w14:paraId="4B7FA777">
            <w:pPr>
              <w:adjustRightInd w:val="0"/>
              <w:snapToGrid w:val="0"/>
              <w:spacing w:line="560" w:lineRule="exact"/>
              <w:rPr>
                <w:rFonts w:hint="eastAsia"/>
                <w:color w:val="auto"/>
                <w:highlight w:val="none"/>
              </w:rPr>
            </w:pPr>
            <w:r>
              <w:rPr>
                <w:rFonts w:hint="eastAsia" w:ascii="宋体" w:hAnsi="宋体" w:cs="宋体"/>
                <w:bCs/>
                <w:color w:val="auto"/>
                <w:sz w:val="24"/>
                <w:highlight w:val="none"/>
              </w:rPr>
              <w:t>5、我省行政区域内按照规定应办理建筑工程施工许可证的房屋建筑和市政工程建设项目，均应办理工程款支付担保。具体金额、担保方式等按《安徽省住房和城乡建设厅关于加强房屋建筑和市政基础设施工程建设领域工程款支付担保管理工作的通知》（建市〔2022〕54号）执行。</w:t>
            </w:r>
          </w:p>
        </w:tc>
      </w:tr>
      <w:tr w14:paraId="1D377BC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2E10709">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7D29C8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评标过程中的澄清、说明或补正</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BA34121">
            <w:pPr>
              <w:pStyle w:val="39"/>
              <w:tabs>
                <w:tab w:val="left" w:pos="636"/>
              </w:tabs>
              <w:adjustRightInd w:val="0"/>
              <w:snapToGrid w:val="0"/>
              <w:spacing w:line="560" w:lineRule="exact"/>
              <w:jc w:val="left"/>
              <w:rPr>
                <w:color w:val="auto"/>
                <w:sz w:val="24"/>
                <w:highlight w:val="none"/>
              </w:rPr>
            </w:pPr>
            <w:r>
              <w:rPr>
                <w:rFonts w:hint="eastAsia"/>
                <w:color w:val="auto"/>
                <w:sz w:val="24"/>
                <w:highlight w:val="none"/>
              </w:rPr>
              <w:t>1、</w:t>
            </w:r>
            <w:r>
              <w:rPr>
                <w:color w:val="auto"/>
                <w:sz w:val="24"/>
                <w:highlight w:val="none"/>
              </w:rPr>
              <w:t>评标委员会通过</w:t>
            </w:r>
            <w:r>
              <w:rPr>
                <w:rFonts w:hint="eastAsia"/>
                <w:color w:val="auto"/>
                <w:sz w:val="24"/>
                <w:highlight w:val="none"/>
                <w:lang w:val="en-US"/>
              </w:rPr>
              <w:t>网上开评标系统</w:t>
            </w:r>
            <w:r>
              <w:rPr>
                <w:color w:val="auto"/>
                <w:sz w:val="24"/>
                <w:highlight w:val="none"/>
              </w:rPr>
              <w:t>将需要澄清、说明或补正</w:t>
            </w:r>
            <w:r>
              <w:rPr>
                <w:color w:val="auto"/>
                <w:spacing w:val="-7"/>
                <w:sz w:val="24"/>
                <w:highlight w:val="none"/>
              </w:rPr>
              <w:t>的内容以询标函的形式发送给投标人，投标人应安排专人登录</w:t>
            </w:r>
            <w:r>
              <w:rPr>
                <w:rFonts w:hint="eastAsia"/>
                <w:color w:val="auto"/>
                <w:spacing w:val="-9"/>
                <w:sz w:val="24"/>
                <w:highlight w:val="none"/>
                <w:lang w:val="en-US"/>
              </w:rPr>
              <w:t>网上开评标系统</w:t>
            </w:r>
            <w:r>
              <w:rPr>
                <w:color w:val="auto"/>
                <w:spacing w:val="-9"/>
                <w:sz w:val="24"/>
                <w:highlight w:val="none"/>
              </w:rPr>
              <w:t>并保持在线状态</w:t>
            </w:r>
            <w:r>
              <w:rPr>
                <w:rFonts w:hint="eastAsia"/>
                <w:color w:val="auto"/>
                <w:spacing w:val="-9"/>
                <w:sz w:val="24"/>
                <w:highlight w:val="none"/>
              </w:rPr>
              <w:t>，并确保联系方式有效</w:t>
            </w:r>
            <w:r>
              <w:rPr>
                <w:color w:val="auto"/>
                <w:spacing w:val="-9"/>
                <w:sz w:val="24"/>
                <w:highlight w:val="none"/>
              </w:rPr>
              <w:t>，以便及时接收评标委员会可能</w:t>
            </w:r>
            <w:r>
              <w:rPr>
                <w:color w:val="auto"/>
                <w:spacing w:val="-5"/>
                <w:sz w:val="24"/>
                <w:highlight w:val="none"/>
              </w:rPr>
              <w:t>发出的询标函。</w:t>
            </w:r>
          </w:p>
          <w:p w14:paraId="08D0E2FC">
            <w:pPr>
              <w:pStyle w:val="39"/>
              <w:tabs>
                <w:tab w:val="left" w:pos="636"/>
              </w:tabs>
              <w:adjustRightInd w:val="0"/>
              <w:snapToGrid w:val="0"/>
              <w:spacing w:line="560" w:lineRule="exact"/>
              <w:jc w:val="left"/>
              <w:rPr>
                <w:color w:val="auto"/>
                <w:spacing w:val="-3"/>
                <w:sz w:val="24"/>
                <w:highlight w:val="none"/>
              </w:rPr>
            </w:pPr>
            <w:r>
              <w:rPr>
                <w:rFonts w:hint="eastAsia"/>
                <w:color w:val="auto"/>
                <w:sz w:val="24"/>
                <w:highlight w:val="none"/>
              </w:rPr>
              <w:t>2、</w:t>
            </w:r>
            <w:r>
              <w:rPr>
                <w:color w:val="auto"/>
                <w:sz w:val="24"/>
                <w:highlight w:val="none"/>
              </w:rPr>
              <w:t>因投标人未登录</w:t>
            </w:r>
            <w:r>
              <w:rPr>
                <w:rFonts w:hint="eastAsia"/>
                <w:color w:val="auto"/>
                <w:sz w:val="24"/>
                <w:highlight w:val="none"/>
                <w:lang w:val="en-US"/>
              </w:rPr>
              <w:t>网上开评标系统</w:t>
            </w:r>
            <w:r>
              <w:rPr>
                <w:color w:val="auto"/>
                <w:sz w:val="24"/>
                <w:highlight w:val="none"/>
              </w:rPr>
              <w:t>导致无法及时接收询标函（</w:t>
            </w:r>
            <w:r>
              <w:rPr>
                <w:color w:val="auto"/>
                <w:spacing w:val="-3"/>
                <w:sz w:val="24"/>
                <w:highlight w:val="none"/>
              </w:rPr>
              <w:t>远程网上询标</w:t>
            </w:r>
            <w:r>
              <w:rPr>
                <w:color w:val="auto"/>
                <w:spacing w:val="-56"/>
                <w:sz w:val="24"/>
                <w:highlight w:val="none"/>
              </w:rPr>
              <w:t>）</w:t>
            </w:r>
            <w:r>
              <w:rPr>
                <w:color w:val="auto"/>
                <w:spacing w:val="-3"/>
                <w:sz w:val="24"/>
                <w:highlight w:val="none"/>
              </w:rPr>
              <w:t>或未在规定时间内按评标委员会要求进行澄</w:t>
            </w:r>
            <w:r>
              <w:rPr>
                <w:color w:val="auto"/>
                <w:spacing w:val="-8"/>
                <w:sz w:val="24"/>
                <w:highlight w:val="none"/>
              </w:rPr>
              <w:t>清、说明或补正内容的视同投标人放弃澄清、说明或补正内容</w:t>
            </w:r>
            <w:r>
              <w:rPr>
                <w:color w:val="auto"/>
                <w:spacing w:val="-5"/>
                <w:sz w:val="24"/>
                <w:highlight w:val="none"/>
              </w:rPr>
              <w:t>的权利，评标委员会可按对投标人不利的解释进行判定。</w:t>
            </w:r>
          </w:p>
        </w:tc>
      </w:tr>
      <w:tr w14:paraId="71AB7CCA">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789246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F1A648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解释权</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9A09459">
            <w:pPr>
              <w:pStyle w:val="39"/>
              <w:adjustRightInd w:val="0"/>
              <w:snapToGrid w:val="0"/>
              <w:spacing w:line="560" w:lineRule="exact"/>
              <w:rPr>
                <w:color w:val="auto"/>
                <w:spacing w:val="-3"/>
                <w:sz w:val="24"/>
                <w:highlight w:val="none"/>
              </w:rPr>
            </w:pPr>
            <w:r>
              <w:rPr>
                <w:rFonts w:hint="eastAsia"/>
                <w:color w:val="auto"/>
                <w:spacing w:val="-3"/>
                <w:sz w:val="24"/>
                <w:highlight w:val="none"/>
              </w:rPr>
              <w:t>1、</w:t>
            </w:r>
            <w:r>
              <w:rPr>
                <w:color w:val="auto"/>
                <w:spacing w:val="-3"/>
                <w:sz w:val="24"/>
                <w:highlight w:val="none"/>
              </w:rPr>
              <w:t>构成本招标文件的各个组成文件应互为解释，互为说明；</w:t>
            </w:r>
          </w:p>
          <w:p w14:paraId="08FF9BCC">
            <w:pPr>
              <w:pStyle w:val="39"/>
              <w:adjustRightInd w:val="0"/>
              <w:snapToGrid w:val="0"/>
              <w:spacing w:line="560" w:lineRule="exact"/>
              <w:rPr>
                <w:color w:val="auto"/>
                <w:sz w:val="24"/>
                <w:highlight w:val="none"/>
              </w:rPr>
            </w:pPr>
            <w:r>
              <w:rPr>
                <w:rFonts w:hint="eastAsia"/>
                <w:color w:val="auto"/>
                <w:spacing w:val="-3"/>
                <w:sz w:val="24"/>
                <w:highlight w:val="none"/>
              </w:rPr>
              <w:t>2、</w:t>
            </w:r>
            <w:r>
              <w:rPr>
                <w:color w:val="auto"/>
                <w:spacing w:val="-7"/>
                <w:sz w:val="24"/>
                <w:highlight w:val="none"/>
              </w:rPr>
              <w:t>同一组成文件中就同一事项的规定或约定不一致的，以编排</w:t>
            </w:r>
            <w:r>
              <w:rPr>
                <w:color w:val="auto"/>
                <w:spacing w:val="-5"/>
                <w:sz w:val="24"/>
                <w:highlight w:val="none"/>
              </w:rPr>
              <w:t>顺序在后者为准；</w:t>
            </w:r>
          </w:p>
          <w:p w14:paraId="01C11590">
            <w:pPr>
              <w:pStyle w:val="39"/>
              <w:tabs>
                <w:tab w:val="left" w:pos="351"/>
              </w:tabs>
              <w:adjustRightInd w:val="0"/>
              <w:snapToGrid w:val="0"/>
              <w:spacing w:line="560" w:lineRule="exact"/>
              <w:rPr>
                <w:color w:val="auto"/>
                <w:sz w:val="24"/>
                <w:highlight w:val="none"/>
              </w:rPr>
            </w:pPr>
            <w:r>
              <w:rPr>
                <w:rFonts w:hint="eastAsia"/>
                <w:color w:val="auto"/>
                <w:spacing w:val="-10"/>
                <w:sz w:val="24"/>
                <w:highlight w:val="none"/>
              </w:rPr>
              <w:t>3、</w:t>
            </w:r>
            <w:r>
              <w:rPr>
                <w:color w:val="auto"/>
                <w:spacing w:val="-10"/>
                <w:sz w:val="24"/>
                <w:highlight w:val="none"/>
              </w:rPr>
              <w:t>如有不明确或不一致，构成合同文件组成内容的，以合同文件约定内容为准，且以专用合同条款约定的合同文件优先顺序解释；</w:t>
            </w:r>
          </w:p>
          <w:p w14:paraId="4309CE45">
            <w:pPr>
              <w:pStyle w:val="39"/>
              <w:tabs>
                <w:tab w:val="left" w:pos="354"/>
              </w:tabs>
              <w:adjustRightInd w:val="0"/>
              <w:snapToGrid w:val="0"/>
              <w:spacing w:line="560" w:lineRule="exact"/>
              <w:rPr>
                <w:rFonts w:hint="eastAsia"/>
                <w:color w:val="auto"/>
                <w:spacing w:val="-2"/>
                <w:sz w:val="24"/>
                <w:highlight w:val="none"/>
              </w:rPr>
            </w:pPr>
            <w:r>
              <w:rPr>
                <w:rFonts w:hint="eastAsia"/>
                <w:color w:val="auto"/>
                <w:spacing w:val="-2"/>
                <w:sz w:val="24"/>
                <w:highlight w:val="none"/>
              </w:rPr>
              <w:t>4、</w:t>
            </w:r>
            <w:r>
              <w:rPr>
                <w:rFonts w:hint="eastAsia"/>
                <w:color w:val="auto"/>
                <w:sz w:val="24"/>
                <w:highlight w:val="none"/>
              </w:rPr>
              <w:t>系统中提供的表格（或格式文件）与招标文件中不一致时，以招标文件中提供的为准；</w:t>
            </w:r>
          </w:p>
          <w:p w14:paraId="384A3B37">
            <w:pPr>
              <w:pStyle w:val="39"/>
              <w:tabs>
                <w:tab w:val="left" w:pos="636"/>
              </w:tabs>
              <w:adjustRightInd w:val="0"/>
              <w:snapToGrid w:val="0"/>
              <w:spacing w:line="560" w:lineRule="exact"/>
              <w:jc w:val="left"/>
              <w:rPr>
                <w:rFonts w:hint="eastAsia"/>
                <w:color w:val="auto"/>
                <w:sz w:val="24"/>
                <w:highlight w:val="none"/>
              </w:rPr>
            </w:pPr>
            <w:r>
              <w:rPr>
                <w:rFonts w:hint="eastAsia"/>
                <w:color w:val="auto"/>
                <w:spacing w:val="-3"/>
                <w:sz w:val="24"/>
                <w:highlight w:val="none"/>
              </w:rPr>
              <w:t>5、</w:t>
            </w:r>
            <w:r>
              <w:rPr>
                <w:color w:val="auto"/>
                <w:spacing w:val="-3"/>
                <w:sz w:val="24"/>
                <w:highlight w:val="none"/>
              </w:rPr>
              <w:t>按本款前述规定仍不能形成结论的，由招标人负责解释。</w:t>
            </w:r>
          </w:p>
        </w:tc>
      </w:tr>
      <w:tr w14:paraId="59621AA5">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8F8591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9B58B2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同义词语</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134449C">
            <w:pPr>
              <w:pStyle w:val="39"/>
              <w:adjustRightInd w:val="0"/>
              <w:snapToGrid w:val="0"/>
              <w:spacing w:line="560" w:lineRule="exact"/>
              <w:rPr>
                <w:rFonts w:hint="eastAsia"/>
                <w:color w:val="auto"/>
                <w:spacing w:val="-3"/>
                <w:sz w:val="24"/>
                <w:highlight w:val="none"/>
              </w:rPr>
            </w:pPr>
            <w:r>
              <w:rPr>
                <w:rFonts w:hint="eastAsia"/>
                <w:color w:val="auto"/>
                <w:sz w:val="24"/>
                <w:highlight w:val="none"/>
              </w:rPr>
              <w:t>构成招标文件组成部分的“通用合同条款”、“专用合同条款”、“技术标准和要求”和“工程量清单”等章节中 “发包人”和“承包人”，等同于招标投标阶段的“招标人”和“投标人/中标人”。</w:t>
            </w:r>
          </w:p>
        </w:tc>
      </w:tr>
      <w:tr w14:paraId="526D389A">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6CBE82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9D53AC3">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关于招标工程量清单、最高投标限价及投标报价编制特别说明</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0CFD8D1">
            <w:pPr>
              <w:pStyle w:val="39"/>
              <w:adjustRightInd w:val="0"/>
              <w:snapToGrid w:val="0"/>
              <w:spacing w:line="560" w:lineRule="exact"/>
              <w:rPr>
                <w:rFonts w:hint="eastAsia"/>
                <w:color w:val="auto"/>
                <w:sz w:val="24"/>
                <w:highlight w:val="none"/>
              </w:rPr>
            </w:pPr>
            <w:r>
              <w:rPr>
                <w:rFonts w:hint="eastAsia"/>
                <w:color w:val="auto"/>
                <w:sz w:val="24"/>
                <w:highlight w:val="none"/>
              </w:rPr>
              <w:t>本项目最高投标限价材料、设备价格依据造价管理部门发布的市场价格信息并结合市场实际价格综合考虑编制，投标人应根据</w:t>
            </w:r>
            <w:r>
              <w:rPr>
                <w:rFonts w:hint="eastAsia"/>
                <w:color w:val="auto"/>
                <w:sz w:val="24"/>
                <w:highlight w:val="none"/>
                <w:lang w:val="en-US"/>
              </w:rPr>
              <w:t>施工</w:t>
            </w:r>
            <w:r>
              <w:rPr>
                <w:rFonts w:hint="eastAsia"/>
                <w:color w:val="auto"/>
                <w:sz w:val="24"/>
                <w:highlight w:val="none"/>
              </w:rPr>
              <w:t>图纸、招标工程量清单、补遗，并结合企业自身实力理性报价。</w:t>
            </w:r>
          </w:p>
        </w:tc>
      </w:tr>
      <w:tr w14:paraId="32546236">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FF00DF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59779B6">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其他</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05FDAB9">
            <w:pPr>
              <w:pStyle w:val="39"/>
              <w:adjustRightInd w:val="0"/>
              <w:snapToGrid w:val="0"/>
              <w:spacing w:line="560" w:lineRule="exact"/>
              <w:jc w:val="left"/>
              <w:rPr>
                <w:rFonts w:hint="eastAsia"/>
                <w:color w:val="auto"/>
                <w:sz w:val="24"/>
                <w:highlight w:val="none"/>
                <w:lang w:val="en-US"/>
              </w:rPr>
            </w:pPr>
            <w:r>
              <w:rPr>
                <w:rFonts w:hint="eastAsia"/>
                <w:color w:val="auto"/>
                <w:sz w:val="24"/>
                <w:highlight w:val="none"/>
                <w:lang w:val="en-US"/>
              </w:rPr>
              <w:t>1、</w:t>
            </w:r>
            <w:r>
              <w:rPr>
                <w:rFonts w:hint="eastAsia"/>
                <w:bCs/>
                <w:snapToGrid w:val="0"/>
                <w:color w:val="auto"/>
                <w:kern w:val="0"/>
                <w:sz w:val="24"/>
                <w:highlight w:val="none"/>
              </w:rPr>
              <w:t>如本项目招标文件中出现特定性、唯一性品牌的表述，该品牌仅作为参考，施工过程中不具有限定性。</w:t>
            </w:r>
          </w:p>
          <w:p w14:paraId="1819EFA6">
            <w:pPr>
              <w:pStyle w:val="39"/>
              <w:adjustRightInd w:val="0"/>
              <w:snapToGrid w:val="0"/>
              <w:spacing w:line="560" w:lineRule="exact"/>
              <w:jc w:val="left"/>
              <w:rPr>
                <w:color w:val="auto"/>
                <w:sz w:val="24"/>
                <w:highlight w:val="none"/>
              </w:rPr>
            </w:pPr>
            <w:r>
              <w:rPr>
                <w:rFonts w:hint="eastAsia"/>
                <w:color w:val="auto"/>
                <w:sz w:val="24"/>
                <w:highlight w:val="none"/>
                <w:lang w:val="en-US"/>
              </w:rPr>
              <w:t>2、项目经理必须是投标人本单位工作人员，提供虚假资料谋取中标将被依法处罚。</w:t>
            </w:r>
            <w:r>
              <w:rPr>
                <w:color w:val="auto"/>
                <w:sz w:val="24"/>
                <w:highlight w:val="none"/>
              </w:rPr>
              <w:t>投标人对所提交的投标人或拟派项目经理业绩、投标人</w:t>
            </w:r>
            <w:r>
              <w:rPr>
                <w:color w:val="auto"/>
                <w:spacing w:val="-6"/>
                <w:sz w:val="24"/>
                <w:highlight w:val="none"/>
              </w:rPr>
              <w:t>资质等证明资料承担缔约过失责任和法律责任。若投诉人或举</w:t>
            </w:r>
            <w:r>
              <w:rPr>
                <w:color w:val="auto"/>
                <w:spacing w:val="-5"/>
                <w:sz w:val="24"/>
                <w:highlight w:val="none"/>
              </w:rPr>
              <w:t xml:space="preserve">报人对前述资料或证明资料存在争议，进行有效投诉或举报， </w:t>
            </w:r>
            <w:r>
              <w:rPr>
                <w:color w:val="auto"/>
                <w:spacing w:val="-8"/>
                <w:sz w:val="24"/>
                <w:highlight w:val="none"/>
              </w:rPr>
              <w:t>被投诉人、被举报人应当主动配合执法机关调查，并在规定的</w:t>
            </w:r>
            <w:r>
              <w:rPr>
                <w:color w:val="auto"/>
                <w:spacing w:val="-10"/>
                <w:sz w:val="24"/>
                <w:highlight w:val="none"/>
              </w:rPr>
              <w:t>期限内举证，提供有关证明资料的原件；拒不配合执法机构调</w:t>
            </w:r>
            <w:r>
              <w:rPr>
                <w:color w:val="auto"/>
                <w:spacing w:val="-9"/>
                <w:sz w:val="24"/>
                <w:highlight w:val="none"/>
              </w:rPr>
              <w:t>查，且未在规定期限内举证、提供证明资料原件的，执法机构</w:t>
            </w:r>
            <w:r>
              <w:rPr>
                <w:rFonts w:hint="eastAsia"/>
                <w:color w:val="auto"/>
                <w:sz w:val="24"/>
                <w:highlight w:val="none"/>
                <w:lang w:val="en-US" w:eastAsia="zh-CN"/>
              </w:rPr>
              <w:t>全椒县</w:t>
            </w:r>
            <w:r>
              <w:rPr>
                <w:color w:val="auto"/>
                <w:sz w:val="24"/>
                <w:highlight w:val="none"/>
              </w:rPr>
              <w:t>公共资源交易监督管理局</w:t>
            </w:r>
            <w:r>
              <w:rPr>
                <w:rFonts w:hint="eastAsia"/>
                <w:color w:val="auto"/>
                <w:sz w:val="24"/>
                <w:highlight w:val="none"/>
                <w:lang w:val="en-US" w:eastAsia="zh-CN"/>
              </w:rPr>
              <w:t xml:space="preserve"> </w:t>
            </w:r>
            <w:r>
              <w:rPr>
                <w:color w:val="auto"/>
                <w:sz w:val="24"/>
                <w:highlight w:val="none"/>
              </w:rPr>
              <w:t>依法处理。</w:t>
            </w:r>
          </w:p>
          <w:p w14:paraId="4F9BB011">
            <w:pPr>
              <w:pStyle w:val="39"/>
              <w:tabs>
                <w:tab w:val="left" w:pos="636"/>
              </w:tabs>
              <w:adjustRightInd w:val="0"/>
              <w:snapToGrid w:val="0"/>
              <w:spacing w:line="560" w:lineRule="exact"/>
              <w:jc w:val="left"/>
              <w:rPr>
                <w:color w:val="auto"/>
                <w:sz w:val="24"/>
                <w:highlight w:val="none"/>
              </w:rPr>
            </w:pPr>
            <w:r>
              <w:rPr>
                <w:rFonts w:hint="eastAsia"/>
                <w:color w:val="auto"/>
                <w:sz w:val="24"/>
                <w:highlight w:val="none"/>
                <w:lang w:val="en-US"/>
              </w:rPr>
              <w:t>3、</w:t>
            </w:r>
            <w:r>
              <w:rPr>
                <w:color w:val="auto"/>
                <w:sz w:val="24"/>
                <w:highlight w:val="none"/>
              </w:rPr>
              <w:t>中标人未履行下述义务的，</w:t>
            </w:r>
            <w:r>
              <w:rPr>
                <w:rFonts w:hint="eastAsia"/>
                <w:color w:val="auto"/>
                <w:sz w:val="24"/>
                <w:highlight w:val="none"/>
                <w:lang w:val="en-US" w:eastAsia="zh-CN"/>
              </w:rPr>
              <w:t>全椒县</w:t>
            </w:r>
            <w:r>
              <w:rPr>
                <w:color w:val="auto"/>
                <w:sz w:val="24"/>
                <w:highlight w:val="none"/>
              </w:rPr>
              <w:t>公共资源交易监督管理局</w:t>
            </w:r>
            <w:r>
              <w:rPr>
                <w:color w:val="auto"/>
                <w:spacing w:val="-7"/>
                <w:sz w:val="24"/>
                <w:highlight w:val="none"/>
              </w:rPr>
              <w:t>将依法对中标人进行处理，追究相关责</w:t>
            </w:r>
            <w:r>
              <w:rPr>
                <w:color w:val="auto"/>
                <w:sz w:val="24"/>
                <w:highlight w:val="none"/>
              </w:rPr>
              <w:t>任：</w:t>
            </w:r>
          </w:p>
          <w:p w14:paraId="51A4A17A">
            <w:pPr>
              <w:pStyle w:val="39"/>
              <w:adjustRightInd w:val="0"/>
              <w:snapToGrid w:val="0"/>
              <w:spacing w:line="560" w:lineRule="exact"/>
              <w:jc w:val="left"/>
              <w:rPr>
                <w:color w:val="auto"/>
                <w:sz w:val="24"/>
                <w:highlight w:val="none"/>
              </w:rPr>
            </w:pPr>
            <w:r>
              <w:rPr>
                <w:rFonts w:hint="eastAsia"/>
                <w:color w:val="auto"/>
                <w:sz w:val="24"/>
                <w:highlight w:val="none"/>
              </w:rPr>
              <w:t>①中标人无正当理由不与招标人订立合同，在签订合同时向招标人提出附加条件，或者不按照招标文件要求提交履约保证金的</w:t>
            </w:r>
            <w:r>
              <w:rPr>
                <w:color w:val="auto"/>
                <w:spacing w:val="-7"/>
                <w:sz w:val="24"/>
                <w:highlight w:val="none"/>
              </w:rPr>
              <w:t>，招标人有权取</w:t>
            </w:r>
            <w:r>
              <w:rPr>
                <w:color w:val="auto"/>
                <w:spacing w:val="-9"/>
                <w:sz w:val="24"/>
                <w:highlight w:val="none"/>
              </w:rPr>
              <w:t>消中标人中标资格，并将相关违约行为报送监管部门</w:t>
            </w:r>
            <w:r>
              <w:rPr>
                <w:rFonts w:hint="eastAsia"/>
                <w:color w:val="auto"/>
                <w:spacing w:val="-9"/>
                <w:sz w:val="24"/>
                <w:highlight w:val="none"/>
              </w:rPr>
              <w:t>处理</w:t>
            </w:r>
            <w:r>
              <w:rPr>
                <w:color w:val="auto"/>
                <w:spacing w:val="-6"/>
                <w:sz w:val="24"/>
                <w:highlight w:val="none"/>
              </w:rPr>
              <w:t>；</w:t>
            </w:r>
          </w:p>
          <w:p w14:paraId="5BE439F5">
            <w:pPr>
              <w:pStyle w:val="39"/>
              <w:adjustRightInd w:val="0"/>
              <w:snapToGrid w:val="0"/>
              <w:spacing w:line="560" w:lineRule="exact"/>
              <w:jc w:val="left"/>
              <w:rPr>
                <w:rFonts w:hint="eastAsia"/>
                <w:color w:val="auto"/>
                <w:spacing w:val="-5"/>
                <w:sz w:val="24"/>
                <w:highlight w:val="none"/>
              </w:rPr>
            </w:pPr>
            <w:r>
              <w:rPr>
                <w:color w:val="auto"/>
                <w:spacing w:val="-4"/>
                <w:sz w:val="24"/>
                <w:highlight w:val="none"/>
              </w:rPr>
              <w:t>②</w:t>
            </w:r>
            <w:r>
              <w:rPr>
                <w:color w:val="auto"/>
                <w:spacing w:val="-3"/>
                <w:sz w:val="24"/>
                <w:highlight w:val="none"/>
              </w:rPr>
              <w:t>合同签订后，中标人存在规定时间内不组织人员进场开工、</w:t>
            </w:r>
            <w:r>
              <w:rPr>
                <w:color w:val="auto"/>
                <w:spacing w:val="-6"/>
                <w:sz w:val="24"/>
                <w:highlight w:val="none"/>
              </w:rPr>
              <w:t>不履行供货安装义务等情况，招标人有权解除合同，并追究违</w:t>
            </w:r>
            <w:r>
              <w:rPr>
                <w:color w:val="auto"/>
                <w:spacing w:val="-16"/>
                <w:sz w:val="24"/>
                <w:highlight w:val="none"/>
              </w:rPr>
              <w:t xml:space="preserve">约责任，同时将相关违约行为报送监管部门，记不良行为记录， </w:t>
            </w:r>
            <w:r>
              <w:rPr>
                <w:color w:val="auto"/>
                <w:spacing w:val="-6"/>
                <w:sz w:val="24"/>
                <w:highlight w:val="none"/>
              </w:rPr>
              <w:t>实施信用惩戒</w:t>
            </w:r>
            <w:r>
              <w:rPr>
                <w:rFonts w:hint="eastAsia"/>
                <w:color w:val="auto"/>
                <w:spacing w:val="-5"/>
                <w:sz w:val="24"/>
                <w:highlight w:val="none"/>
              </w:rPr>
              <w:t>。</w:t>
            </w:r>
          </w:p>
          <w:p w14:paraId="121C0B6F">
            <w:pPr>
              <w:pStyle w:val="39"/>
              <w:adjustRightInd w:val="0"/>
              <w:snapToGrid w:val="0"/>
              <w:spacing w:line="560" w:lineRule="exact"/>
              <w:jc w:val="left"/>
              <w:rPr>
                <w:rFonts w:hint="eastAsia"/>
                <w:color w:val="auto"/>
                <w:sz w:val="24"/>
                <w:highlight w:val="none"/>
                <w:lang w:val="en-US"/>
              </w:rPr>
            </w:pPr>
            <w:r>
              <w:rPr>
                <w:rFonts w:hint="eastAsia"/>
                <w:color w:val="auto"/>
                <w:sz w:val="24"/>
                <w:highlight w:val="none"/>
                <w:lang w:val="en-US"/>
              </w:rPr>
              <w:t>4、项目经理（建造师）变更按照《关于进一步加强建筑施工现场项目经理（建造师）变更行为管理的通知》（滁公管〔2020〕1号）规定，需经发包人以及公管、住建部门同意。技术负责人变更需经发包人同意。</w:t>
            </w:r>
          </w:p>
          <w:p w14:paraId="0F2C38DE">
            <w:pPr>
              <w:pStyle w:val="39"/>
              <w:adjustRightInd w:val="0"/>
              <w:snapToGrid w:val="0"/>
              <w:spacing w:line="560" w:lineRule="exact"/>
              <w:jc w:val="left"/>
              <w:rPr>
                <w:color w:val="auto"/>
                <w:sz w:val="24"/>
                <w:highlight w:val="none"/>
                <w:lang w:val="en-US"/>
              </w:rPr>
            </w:pPr>
            <w:r>
              <w:rPr>
                <w:rFonts w:hint="eastAsia"/>
                <w:color w:val="auto"/>
                <w:sz w:val="24"/>
                <w:highlight w:val="none"/>
                <w:lang w:val="en-US"/>
              </w:rPr>
              <w:t>中标人因下列原因变更项目经理（建造师），须缴纳违约金</w:t>
            </w:r>
            <w:r>
              <w:rPr>
                <w:color w:val="auto"/>
                <w:sz w:val="24"/>
                <w:highlight w:val="none"/>
                <w:u w:val="single"/>
                <w:lang w:val="en-US"/>
              </w:rPr>
              <w:t xml:space="preserve"> </w:t>
            </w:r>
            <w:r>
              <w:rPr>
                <w:rFonts w:hint="eastAsia"/>
                <w:color w:val="auto"/>
                <w:sz w:val="24"/>
                <w:highlight w:val="none"/>
                <w:u w:val="single"/>
                <w:lang w:val="en-US" w:eastAsia="zh-CN"/>
              </w:rPr>
              <w:t>5万</w:t>
            </w:r>
            <w:r>
              <w:rPr>
                <w:color w:val="auto"/>
                <w:sz w:val="24"/>
                <w:highlight w:val="none"/>
                <w:u w:val="single"/>
                <w:lang w:val="en-US"/>
              </w:rPr>
              <w:t xml:space="preserve"> </w:t>
            </w:r>
            <w:r>
              <w:rPr>
                <w:rFonts w:hint="eastAsia"/>
                <w:color w:val="auto"/>
                <w:sz w:val="24"/>
                <w:highlight w:val="none"/>
                <w:lang w:val="en-US"/>
              </w:rPr>
              <w:t>元</w:t>
            </w:r>
            <w:r>
              <w:rPr>
                <w:color w:val="auto"/>
                <w:sz w:val="24"/>
                <w:highlight w:val="none"/>
                <w:lang w:val="en-US"/>
              </w:rPr>
              <w:t xml:space="preserve">: </w:t>
            </w:r>
            <w:r>
              <w:rPr>
                <w:rFonts w:hint="eastAsia"/>
                <w:color w:val="auto"/>
                <w:sz w:val="24"/>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6601203">
            <w:pPr>
              <w:pStyle w:val="39"/>
              <w:adjustRightInd w:val="0"/>
              <w:snapToGrid w:val="0"/>
              <w:spacing w:line="560" w:lineRule="exact"/>
              <w:jc w:val="left"/>
              <w:rPr>
                <w:rFonts w:ascii="MS Mincho" w:hAnsi="MS Mincho" w:cs="MS Mincho"/>
                <w:color w:val="auto"/>
                <w:sz w:val="24"/>
                <w:highlight w:val="none"/>
                <w:lang w:val="en-US"/>
              </w:rPr>
            </w:pPr>
            <w:r>
              <w:rPr>
                <w:rFonts w:hint="eastAsia"/>
                <w:color w:val="auto"/>
                <w:sz w:val="24"/>
                <w:highlight w:val="none"/>
                <w:lang w:val="en-US"/>
              </w:rPr>
              <w:t>中标人因下列原因变更技术负责人，须缴纳违约金</w:t>
            </w:r>
            <w:r>
              <w:rPr>
                <w:color w:val="auto"/>
                <w:sz w:val="24"/>
                <w:highlight w:val="none"/>
                <w:u w:val="single"/>
                <w:lang w:val="en-US"/>
              </w:rPr>
              <w:t xml:space="preserve"> </w:t>
            </w:r>
            <w:r>
              <w:rPr>
                <w:rFonts w:hint="eastAsia"/>
                <w:color w:val="auto"/>
                <w:sz w:val="24"/>
                <w:highlight w:val="none"/>
                <w:u w:val="single"/>
                <w:lang w:val="en-US" w:eastAsia="zh-CN"/>
              </w:rPr>
              <w:t>3万</w:t>
            </w:r>
            <w:r>
              <w:rPr>
                <w:color w:val="auto"/>
                <w:sz w:val="24"/>
                <w:highlight w:val="none"/>
                <w:u w:val="single"/>
                <w:lang w:val="en-US"/>
              </w:rPr>
              <w:t xml:space="preserve"> </w:t>
            </w:r>
            <w:r>
              <w:rPr>
                <w:rFonts w:hint="eastAsia"/>
                <w:color w:val="auto"/>
                <w:sz w:val="24"/>
                <w:highlight w:val="none"/>
                <w:lang w:val="en-US"/>
              </w:rPr>
              <w:t>元</w:t>
            </w:r>
            <w:r>
              <w:rPr>
                <w:color w:val="auto"/>
                <w:sz w:val="24"/>
                <w:highlight w:val="none"/>
                <w:lang w:val="en-US"/>
              </w:rPr>
              <w:t xml:space="preserve">: </w:t>
            </w:r>
            <w:r>
              <w:rPr>
                <w:rFonts w:hint="eastAsia"/>
                <w:color w:val="auto"/>
                <w:sz w:val="24"/>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tc>
      </w:tr>
      <w:tr w14:paraId="08D4258F">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F6ABA2B">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.10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C4B7C7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重点项目约谈</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5720982">
            <w:pPr>
              <w:adjustRightInd w:val="0"/>
              <w:snapToGrid w:val="0"/>
              <w:spacing w:line="520" w:lineRule="exact"/>
              <w:rPr>
                <w:rFonts w:hint="eastAsia" w:ascii="宋体" w:hAnsi="宋体" w:cs="宋体"/>
                <w:b/>
                <w:bCs/>
                <w:color w:val="auto"/>
                <w:sz w:val="24"/>
                <w:highlight w:val="none"/>
              </w:rPr>
            </w:pPr>
            <w:r>
              <w:rPr>
                <w:rFonts w:hint="eastAsia" w:ascii="宋体" w:hAnsi="宋体" w:cs="宋体"/>
                <w:color w:val="auto"/>
                <w:sz w:val="24"/>
                <w:highlight w:val="none"/>
                <w:lang w:bidi="zh-CN"/>
              </w:rPr>
              <w:t>实行重点工程项目考察约谈机制。项目单位牵头负责，公管等部门参与对预中标单位进行考察约谈、警醒提示，防止非法转包、违法分包、挂靠及出借资质的情况发生。</w:t>
            </w:r>
          </w:p>
        </w:tc>
      </w:tr>
      <w:tr w14:paraId="6968649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F27BD0D">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928D70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变更招标方式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F2EE0A8">
            <w:pPr>
              <w:pStyle w:val="9"/>
              <w:adjustRightInd w:val="0"/>
              <w:snapToGrid w:val="0"/>
              <w:spacing w:after="0" w:line="560" w:lineRule="exact"/>
              <w:rPr>
                <w:rFonts w:hint="eastAsia"/>
                <w:color w:val="auto"/>
                <w:sz w:val="22"/>
                <w:highlight w:val="none"/>
              </w:rPr>
            </w:pPr>
            <w:r>
              <w:rPr>
                <w:rFonts w:hint="eastAsia" w:ascii="宋体" w:hAnsi="宋体" w:cs="宋体"/>
                <w:color w:val="auto"/>
                <w:sz w:val="24"/>
                <w:highlight w:val="none"/>
                <w:lang w:bidi="zh-CN"/>
              </w:rPr>
              <w:t>按照滁州市公共资源交易监督管理局现行规定执行。</w:t>
            </w:r>
          </w:p>
        </w:tc>
      </w:tr>
      <w:tr w14:paraId="75EAAA8D">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8804985">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62F62D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招标人补充的其他内容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B10FA2F">
            <w:pPr>
              <w:adjustRightInd w:val="0"/>
              <w:snapToGrid w:val="0"/>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（1）创建优质工程（如有）</w:t>
            </w:r>
          </w:p>
          <w:p w14:paraId="6F99ECC7">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①创建优质工程奖励要求：</w:t>
            </w:r>
          </w:p>
          <w:p w14:paraId="713B3B91">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获得市级优质工程奖项，给予工程结算金额的</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u w:val="single"/>
                <w:lang w:val="en-US" w:eastAsia="zh-CN"/>
              </w:rPr>
              <w:t>/</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rPr>
              <w:t>奖励；</w:t>
            </w:r>
          </w:p>
          <w:p w14:paraId="0C113F26">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获得省级优质工程奖项，给予工程结算金额的</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u w:val="single"/>
                <w:lang w:val="en-US" w:eastAsia="zh-CN"/>
              </w:rPr>
              <w:t>/</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rPr>
              <w:t>奖励；</w:t>
            </w:r>
          </w:p>
          <w:p w14:paraId="3E497A30">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获得国家级优质工程奖项，给予工程结算金额的</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u w:val="single"/>
                <w:lang w:val="en-US" w:eastAsia="zh-CN"/>
              </w:rPr>
              <w:t>/</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rPr>
              <w:t>奖励；</w:t>
            </w:r>
          </w:p>
          <w:p w14:paraId="0167B87B">
            <w:pPr>
              <w:spacing w:line="520" w:lineRule="exact"/>
              <w:ind w:firstLine="480" w:firstLineChars="200"/>
              <w:rPr>
                <w:rFonts w:hint="eastAsia" w:ascii="Calibri" w:hAnsi="Calibri" w:cs="Calibri"/>
                <w:color w:val="auto"/>
                <w:sz w:val="24"/>
                <w:highlight w:val="none"/>
              </w:rPr>
            </w:pPr>
            <w:r>
              <w:rPr>
                <w:rFonts w:hint="eastAsia" w:ascii="Calibri" w:hAnsi="Calibri" w:cs="Calibri"/>
                <w:color w:val="auto"/>
                <w:sz w:val="24"/>
                <w:highlight w:val="none"/>
              </w:rPr>
              <w:t>②创建优质工程其他要求：</w:t>
            </w:r>
            <w:r>
              <w:rPr>
                <w:rFonts w:hint="eastAsia" w:ascii="Calibri" w:hAnsi="Calibri" w:cs="Calibri"/>
                <w:color w:val="auto"/>
                <w:sz w:val="24"/>
                <w:highlight w:val="none"/>
                <w:u w:val="single"/>
                <w:lang w:val="en-US" w:eastAsia="zh-CN"/>
              </w:rPr>
              <w:t>/</w:t>
            </w:r>
            <w:r>
              <w:rPr>
                <w:rFonts w:hint="eastAsia" w:ascii="Calibri" w:hAnsi="Calibri" w:cs="Calibri"/>
                <w:color w:val="auto"/>
                <w:sz w:val="24"/>
                <w:highlight w:val="none"/>
                <w:u w:val="single"/>
              </w:rPr>
              <w:t xml:space="preserve">      </w:t>
            </w:r>
            <w:r>
              <w:rPr>
                <w:rFonts w:hint="eastAsia" w:ascii="Calibri" w:hAnsi="Calibri" w:cs="Calibri"/>
                <w:color w:val="auto"/>
                <w:sz w:val="24"/>
                <w:highlight w:val="none"/>
              </w:rPr>
              <w:t>。</w:t>
            </w:r>
          </w:p>
          <w:p w14:paraId="4C519052">
            <w:pPr>
              <w:keepNext/>
              <w:keepLines/>
              <w:adjustRightInd w:val="0"/>
              <w:snapToGrid w:val="0"/>
              <w:spacing w:line="520" w:lineRule="exact"/>
              <w:outlineLvl w:val="3"/>
              <w:rPr>
                <w:rFonts w:hint="eastAsia" w:ascii="宋体" w:hAnsi="宋体" w:cs="宋体"/>
                <w:b/>
                <w:color w:val="auto"/>
                <w:sz w:val="24"/>
                <w:highlight w:val="none"/>
              </w:rPr>
            </w:pPr>
            <w:r>
              <w:rPr>
                <w:rFonts w:hint="eastAsia" w:ascii="宋体" w:hAnsi="宋体" w:cs="宋体"/>
                <w:b/>
                <w:color w:val="auto"/>
                <w:sz w:val="24"/>
                <w:highlight w:val="none"/>
              </w:rPr>
              <w:t>（2）暂估价</w:t>
            </w:r>
          </w:p>
          <w:p w14:paraId="17274371">
            <w:pPr>
              <w:adjustRightInd w:val="0"/>
              <w:snapToGrid w:val="0"/>
              <w:spacing w:line="520" w:lineRule="exact"/>
              <w:ind w:firstLine="720" w:firstLineChars="300"/>
              <w:rPr>
                <w:rFonts w:hint="eastAsia" w:ascii="宋体" w:hAnsi="宋体" w:cs="宋体"/>
                <w:color w:val="auto"/>
                <w:sz w:val="24"/>
                <w:highlight w:val="none"/>
                <w:u w:val="single"/>
              </w:rPr>
            </w:pPr>
            <w:r>
              <w:rPr>
                <w:rFonts w:hint="eastAsia" w:ascii="宋体" w:hAnsi="宋体" w:cs="宋体"/>
                <w:color w:val="auto"/>
                <w:kern w:val="0"/>
                <w:sz w:val="24"/>
                <w:highlight w:val="none"/>
              </w:rPr>
              <w:t xml:space="preserve">暂估价材料、工程设备及专业工程约定：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54F1C0CF">
            <w:pPr>
              <w:spacing w:line="520" w:lineRule="exact"/>
              <w:rPr>
                <w:rFonts w:ascii="宋体" w:hAnsi="宋体" w:cs="宋体"/>
                <w:b/>
                <w:bCs/>
                <w:color w:val="auto"/>
                <w:sz w:val="24"/>
                <w:highlight w:val="none"/>
              </w:rPr>
            </w:pPr>
            <w:r>
              <w:rPr>
                <w:rFonts w:hint="eastAsia" w:ascii="宋体" w:hAnsi="宋体" w:cs="宋体"/>
                <w:b/>
                <w:bCs/>
                <w:color w:val="auto"/>
                <w:sz w:val="24"/>
                <w:highlight w:val="none"/>
              </w:rPr>
              <w:t>（3）安全生产</w:t>
            </w:r>
          </w:p>
          <w:p w14:paraId="04CB7D27">
            <w:pPr>
              <w:spacing w:line="520" w:lineRule="exact"/>
              <w:ind w:firstLine="480" w:firstLineChars="200"/>
              <w:rPr>
                <w:rFonts w:hint="eastAsia" w:ascii="宋体" w:hAnsi="宋体" w:cs="宋体"/>
                <w:color w:val="auto"/>
                <w:sz w:val="24"/>
                <w:highlight w:val="none"/>
              </w:rPr>
            </w:pPr>
            <w:r>
              <w:rPr>
                <w:rFonts w:ascii="Calibri" w:hAnsi="Calibri" w:cs="Calibri"/>
                <w:color w:val="auto"/>
                <w:sz w:val="24"/>
                <w:highlight w:val="none"/>
              </w:rPr>
              <w:t>①</w:t>
            </w:r>
            <w:r>
              <w:rPr>
                <w:rFonts w:hint="eastAsia" w:ascii="宋体" w:hAnsi="宋体" w:cs="宋体"/>
                <w:color w:val="auto"/>
                <w:sz w:val="24"/>
                <w:highlight w:val="none"/>
              </w:rPr>
              <w:t>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4E2E396">
            <w:pPr>
              <w:spacing w:line="520" w:lineRule="exact"/>
              <w:ind w:firstLine="480" w:firstLineChars="200"/>
              <w:rPr>
                <w:rFonts w:hint="eastAsia" w:ascii="宋体" w:hAnsi="宋体" w:cs="宋体"/>
                <w:color w:val="auto"/>
                <w:sz w:val="24"/>
                <w:highlight w:val="none"/>
              </w:rPr>
            </w:pPr>
            <w:r>
              <w:rPr>
                <w:rFonts w:ascii="Calibri" w:hAnsi="Calibri" w:cs="Calibri"/>
                <w:color w:val="auto"/>
                <w:sz w:val="24"/>
                <w:highlight w:val="none"/>
              </w:rPr>
              <w:t>②</w:t>
            </w:r>
            <w:r>
              <w:rPr>
                <w:rFonts w:hint="eastAsia" w:ascii="宋体" w:hAnsi="宋体" w:cs="宋体"/>
                <w:color w:val="auto"/>
                <w:sz w:val="24"/>
                <w:highlight w:val="none"/>
              </w:rPr>
              <w:t>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tc>
      </w:tr>
      <w:tr w14:paraId="209262C4">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ACE723A">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10.13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F91FA41">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采用“实名认证”投标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B238119">
            <w:pPr>
              <w:adjustRightInd w:val="0"/>
              <w:snapToGrid w:val="0"/>
              <w:spacing w:line="520" w:lineRule="exact"/>
              <w:rPr>
                <w:rFonts w:hint="eastAsia" w:ascii="宋体" w:hAnsi="宋体" w:cs="宋体"/>
                <w:color w:val="auto"/>
                <w:sz w:val="24"/>
                <w:highlight w:val="none"/>
              </w:rPr>
            </w:pPr>
            <w:r>
              <w:rPr>
                <w:rFonts w:hint="eastAsia" w:ascii="宋体" w:hAnsi="宋体" w:cs="宋体"/>
                <w:color w:val="auto"/>
                <w:sz w:val="24"/>
                <w:highlight w:val="none"/>
              </w:rPr>
              <w:t>是，本项目采用“实名认证”投标，相关要求如下：</w:t>
            </w:r>
          </w:p>
          <w:p w14:paraId="786BC324">
            <w:pPr>
              <w:adjustRightInd w:val="0"/>
              <w:snapToGrid w:val="0"/>
              <w:spacing w:line="520" w:lineRule="exact"/>
              <w:rPr>
                <w:rFonts w:hint="eastAsia" w:ascii="宋体" w:hAnsi="宋体" w:cs="宋体"/>
                <w:color w:val="auto"/>
                <w:sz w:val="24"/>
                <w:highlight w:val="none"/>
              </w:rPr>
            </w:pPr>
            <w:r>
              <w:rPr>
                <w:rFonts w:hint="eastAsia" w:ascii="宋体" w:hAnsi="宋体" w:cs="宋体"/>
                <w:color w:val="auto"/>
                <w:sz w:val="24"/>
                <w:highlight w:val="none"/>
              </w:rPr>
              <w:t>1、“实名认证”投标是指应用“人脸识别”技术，对法定代表人或对投标联系人身份进行实名验证的投标活动。投标联系人或法定代表人在下载招标文件、上传投标文件前，在电子交易系统中完成实名认证比对。</w:t>
            </w:r>
          </w:p>
          <w:p w14:paraId="03EC5C4C">
            <w:pPr>
              <w:adjustRightInd w:val="0"/>
              <w:snapToGrid w:val="0"/>
              <w:spacing w:line="520" w:lineRule="exact"/>
              <w:rPr>
                <w:rFonts w:hint="eastAsia" w:ascii="宋体" w:hAnsi="宋体" w:cs="宋体"/>
                <w:color w:val="auto"/>
                <w:sz w:val="24"/>
                <w:highlight w:val="none"/>
              </w:rPr>
            </w:pPr>
            <w:r>
              <w:rPr>
                <w:rFonts w:hint="eastAsia" w:ascii="宋体" w:hAnsi="宋体" w:cs="宋体"/>
                <w:color w:val="auto"/>
                <w:sz w:val="24"/>
                <w:highlight w:val="none"/>
              </w:rPr>
              <w:t>2、“实名认证”投标基于“皖企通”APP完成，各投标人提前在手机上下载、安装、调试好“皖企通”APP（具体操作详见滁州市公共资源交易中心网/网上课堂/全部课程/《滁州市公共资源交易系统操作手册（投标人）》）。</w:t>
            </w:r>
          </w:p>
          <w:p w14:paraId="6455A4B9">
            <w:pPr>
              <w:adjustRightInd w:val="0"/>
              <w:snapToGrid w:val="0"/>
              <w:spacing w:line="520" w:lineRule="exact"/>
              <w:rPr>
                <w:rFonts w:hint="eastAsia" w:ascii="宋体" w:hAnsi="宋体" w:cs="宋体"/>
                <w:color w:val="auto"/>
                <w:sz w:val="24"/>
                <w:highlight w:val="none"/>
              </w:rPr>
            </w:pPr>
            <w:r>
              <w:rPr>
                <w:rFonts w:hint="eastAsia" w:ascii="宋体" w:hAnsi="宋体" w:cs="宋体"/>
                <w:color w:val="auto"/>
                <w:sz w:val="24"/>
                <w:highlight w:val="none"/>
              </w:rPr>
              <w:t>3、“人脸识别”身份认证出现异常情况的，作如下处理：</w:t>
            </w:r>
          </w:p>
          <w:p w14:paraId="57186B82">
            <w:pPr>
              <w:adjustRightInd w:val="0"/>
              <w:snapToGrid w:val="0"/>
              <w:spacing w:line="520" w:lineRule="exact"/>
              <w:rPr>
                <w:rFonts w:hint="eastAsia" w:ascii="宋体" w:hAnsi="宋体" w:cs="宋体"/>
                <w:color w:val="auto"/>
                <w:sz w:val="24"/>
                <w:highlight w:val="none"/>
              </w:rPr>
            </w:pPr>
            <w:r>
              <w:rPr>
                <w:rFonts w:hint="eastAsia" w:ascii="宋体" w:hAnsi="宋体" w:cs="宋体"/>
                <w:color w:val="auto"/>
                <w:sz w:val="24"/>
                <w:highlight w:val="none"/>
              </w:rPr>
              <w:t>（1）下载招标文件人脸比对：未参与“人脸识别”身份认证或“人脸识别”身份认证失败的，将无法下载招标文件。</w:t>
            </w:r>
          </w:p>
          <w:p w14:paraId="0EDA718A">
            <w:pPr>
              <w:adjustRightInd w:val="0"/>
              <w:snapToGrid w:val="0"/>
              <w:spacing w:line="520" w:lineRule="exact"/>
              <w:rPr>
                <w:rFonts w:hint="eastAsia" w:ascii="宋体" w:hAnsi="宋体" w:cs="宋体"/>
                <w:color w:val="auto"/>
                <w:sz w:val="24"/>
                <w:highlight w:val="none"/>
              </w:rPr>
            </w:pPr>
            <w:r>
              <w:rPr>
                <w:rFonts w:hint="eastAsia" w:ascii="宋体" w:hAnsi="宋体" w:cs="宋体"/>
                <w:color w:val="auto"/>
                <w:sz w:val="24"/>
                <w:highlight w:val="none"/>
              </w:rPr>
              <w:t>（2）上传投标文件人脸比对：未参与“人脸识别”身份认证或“人脸识别”身份认证失败的，将无法上传投标文件。</w:t>
            </w:r>
          </w:p>
          <w:p w14:paraId="4A8F32C6">
            <w:pPr>
              <w:adjustRightInd w:val="0"/>
              <w:snapToGrid w:val="0"/>
              <w:spacing w:line="520" w:lineRule="exact"/>
              <w:rPr>
                <w:rFonts w:hint="eastAsia" w:ascii="宋体" w:hAnsi="宋体" w:cs="宋体"/>
                <w:color w:val="auto"/>
                <w:sz w:val="24"/>
                <w:szCs w:val="22"/>
                <w:highlight w:val="none"/>
              </w:rPr>
            </w:pPr>
            <w:r>
              <w:rPr>
                <w:rFonts w:hint="eastAsia" w:ascii="宋体" w:hAnsi="宋体" w:cs="宋体"/>
                <w:color w:val="auto"/>
                <w:sz w:val="24"/>
                <w:highlight w:val="none"/>
              </w:rPr>
              <w:t>注：投标联系人是指下载招标文件、上传投标文件等参与投标活动的经办人。在投标活动中，投标联系人可以不为同一人。</w:t>
            </w:r>
          </w:p>
          <w:p w14:paraId="530652EF">
            <w:pPr>
              <w:adjustRightInd w:val="0"/>
              <w:snapToGrid w:val="0"/>
              <w:spacing w:line="520" w:lineRule="exact"/>
              <w:rPr>
                <w:rFonts w:hint="eastAsia" w:ascii="宋体" w:hAnsi="宋体" w:cs="宋体"/>
                <w:b/>
                <w:bCs/>
                <w:color w:val="auto"/>
                <w:sz w:val="24"/>
                <w:highlight w:val="none"/>
              </w:rPr>
            </w:pPr>
          </w:p>
        </w:tc>
      </w:tr>
      <w:tr w14:paraId="14BD6640">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0A7D8D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10.14</w:t>
            </w:r>
            <w:r>
              <w:rPr>
                <w:rFonts w:hint="eastAsia" w:ascii="宋体" w:hAnsi="宋体" w:cs="宋体"/>
                <w:color w:val="auto"/>
                <w:sz w:val="24"/>
                <w:highlight w:val="none"/>
              </w:rPr>
              <w:t xml:space="preserve">  </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7649920">
            <w:pPr>
              <w:adjustRightInd w:val="0"/>
              <w:snapToGrid w:val="0"/>
              <w:spacing w:line="56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现场要求</w:t>
            </w:r>
            <w:r>
              <w:rPr>
                <w:rFonts w:hint="eastAsia" w:ascii="宋体" w:hAnsi="宋体" w:cs="宋体"/>
                <w:color w:val="auto"/>
                <w:sz w:val="24"/>
                <w:highlight w:val="none"/>
              </w:rPr>
              <w:t xml:space="preserve"> </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924578E">
            <w:pPr>
              <w:numPr>
                <w:ilvl w:val="0"/>
                <w:numId w:val="5"/>
              </w:numPr>
              <w:adjustRightInd w:val="0"/>
              <w:snapToGrid w:val="0"/>
              <w:spacing w:line="520" w:lineRule="exact"/>
              <w:ind w:left="120" w:leftChars="0" w:firstLine="0" w:firstLineChars="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投标单位施工环境为兴全矿业骨料加工区厂内，需服从现场业主人员管理，配合厂区的生产运营、内倒运输和骨料销售，投标报价中需考虑由此原因造成的人员窝工和机械闲置等其他情形；</w:t>
            </w:r>
          </w:p>
          <w:p w14:paraId="24B35DD1">
            <w:pPr>
              <w:numPr>
                <w:ilvl w:val="0"/>
                <w:numId w:val="5"/>
              </w:numPr>
              <w:adjustRightInd w:val="0"/>
              <w:snapToGrid w:val="0"/>
              <w:spacing w:line="520" w:lineRule="exact"/>
              <w:ind w:left="120" w:leftChars="0" w:firstLine="0" w:firstLineChars="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施工场景有货运车辆运行，投标单位需综合考虑现场情况，加强安全管理，负安全第一责任；</w:t>
            </w:r>
          </w:p>
          <w:p w14:paraId="5CABFCF0">
            <w:pPr>
              <w:adjustRightInd w:val="0"/>
              <w:snapToGrid w:val="0"/>
              <w:spacing w:line="520" w:lineRule="exact"/>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3.投标人自报的承诺工期为考核标准，因施工单位原因导致的工期延误，按 5000 元/天处以违约金。</w:t>
            </w:r>
          </w:p>
          <w:p w14:paraId="0B535F8E">
            <w:pPr>
              <w:pStyle w:val="3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bCs/>
                <w:snapToGrid w:val="0"/>
                <w:color w:val="auto"/>
                <w:kern w:val="0"/>
                <w:sz w:val="24"/>
                <w:szCs w:val="24"/>
                <w:highlight w:val="none"/>
                <w:shd w:val="clear" w:color="auto" w:fill="FFFFFF"/>
                <w:lang w:val="en-US" w:eastAsia="zh-CN" w:bidi="ar-SA"/>
              </w:rPr>
            </w:pPr>
            <w:r>
              <w:rPr>
                <w:rFonts w:hint="eastAsia" w:ascii="宋体" w:hAnsi="宋体" w:cs="宋体"/>
                <w:b/>
                <w:bCs/>
                <w:color w:val="auto"/>
                <w:sz w:val="24"/>
                <w:highlight w:val="none"/>
                <w:lang w:val="en-US" w:eastAsia="zh-CN"/>
              </w:rPr>
              <w:t>4.</w:t>
            </w:r>
            <w:r>
              <w:rPr>
                <w:rFonts w:hint="eastAsia" w:ascii="宋体" w:hAnsi="宋体" w:eastAsia="宋体" w:cs="宋体"/>
                <w:b/>
                <w:bCs/>
                <w:snapToGrid w:val="0"/>
                <w:color w:val="auto"/>
                <w:kern w:val="0"/>
                <w:sz w:val="24"/>
                <w:szCs w:val="24"/>
                <w:highlight w:val="none"/>
                <w:shd w:val="clear" w:color="auto" w:fill="FFFFFF"/>
                <w:lang w:val="en-US" w:eastAsia="zh-CN" w:bidi="ar-SA"/>
              </w:rPr>
              <w:t>中标人需按月报送设备、材料的采购计划，便于招标人了解工程建设进度。</w:t>
            </w:r>
          </w:p>
          <w:p w14:paraId="6EAA6200">
            <w:pPr>
              <w:adjustRightInd w:val="0"/>
              <w:snapToGrid w:val="0"/>
              <w:spacing w:line="520" w:lineRule="exact"/>
              <w:rPr>
                <w:rFonts w:hint="eastAsia" w:ascii="宋体" w:hAnsi="宋体" w:eastAsia="宋体" w:cs="宋体"/>
                <w:b/>
                <w:bCs/>
                <w:snapToGrid w:val="0"/>
                <w:color w:val="auto"/>
                <w:kern w:val="0"/>
                <w:sz w:val="24"/>
                <w:szCs w:val="24"/>
                <w:highlight w:val="none"/>
                <w:shd w:val="clear" w:color="auto" w:fill="FFFFFF"/>
                <w:lang w:val="en-US" w:eastAsia="zh-CN" w:bidi="ar-SA"/>
              </w:rPr>
            </w:pPr>
            <w:r>
              <w:rPr>
                <w:rFonts w:hint="eastAsia" w:ascii="宋体" w:hAnsi="宋体" w:eastAsia="宋体" w:cs="宋体"/>
                <w:b/>
                <w:bCs/>
                <w:snapToGrid w:val="0"/>
                <w:color w:val="auto"/>
                <w:kern w:val="0"/>
                <w:sz w:val="24"/>
                <w:szCs w:val="24"/>
                <w:highlight w:val="none"/>
                <w:shd w:val="clear" w:color="auto" w:fill="FFFFFF"/>
                <w:lang w:val="en-US" w:eastAsia="zh-CN" w:bidi="ar-SA"/>
              </w:rPr>
              <w:t>5.招标人有权根据实际使用或建设需要，合理增加或减少施工图纸内容，中标人必须无条件执行。</w:t>
            </w:r>
          </w:p>
          <w:p w14:paraId="4C07814C">
            <w:pPr>
              <w:adjustRightInd w:val="0"/>
              <w:snapToGrid w:val="0"/>
              <w:spacing w:line="520" w:lineRule="exact"/>
              <w:rPr>
                <w:rFonts w:hint="eastAsia" w:ascii="宋体" w:hAnsi="宋体" w:eastAsia="宋体" w:cs="宋体"/>
                <w:b/>
                <w:bCs/>
                <w:snapToGrid w:val="0"/>
                <w:color w:val="auto"/>
                <w:kern w:val="0"/>
                <w:sz w:val="24"/>
                <w:szCs w:val="24"/>
                <w:highlight w:val="none"/>
                <w:shd w:val="clear" w:color="auto" w:fill="FFFFFF"/>
                <w:lang w:val="en-US" w:eastAsia="zh-CN" w:bidi="ar-SA"/>
              </w:rPr>
            </w:pPr>
            <w:r>
              <w:rPr>
                <w:rFonts w:hint="eastAsia" w:ascii="宋体" w:hAnsi="宋体" w:eastAsia="宋体" w:cs="宋体"/>
                <w:b/>
                <w:bCs/>
                <w:snapToGrid w:val="0"/>
                <w:color w:val="auto"/>
                <w:kern w:val="0"/>
                <w:sz w:val="24"/>
                <w:szCs w:val="24"/>
                <w:highlight w:val="none"/>
                <w:shd w:val="clear" w:color="auto" w:fill="FFFFFF"/>
                <w:lang w:val="en-US" w:eastAsia="zh-CN" w:bidi="ar-SA"/>
              </w:rPr>
              <w:t>6.中标人需优先保障35KV及卸料平台处的充电桩施工。</w:t>
            </w:r>
          </w:p>
          <w:p w14:paraId="07F84332">
            <w:pPr>
              <w:adjustRightInd w:val="0"/>
              <w:snapToGrid w:val="0"/>
              <w:spacing w:line="520" w:lineRule="exact"/>
              <w:rPr>
                <w:rFonts w:hint="eastAsia" w:ascii="宋体" w:hAnsi="宋体" w:eastAsia="宋体" w:cs="宋体"/>
                <w:b/>
                <w:bCs/>
                <w:snapToGrid w:val="0"/>
                <w:color w:val="auto"/>
                <w:kern w:val="0"/>
                <w:sz w:val="24"/>
                <w:szCs w:val="24"/>
                <w:highlight w:val="none"/>
                <w:shd w:val="clear" w:color="auto" w:fill="FFFFFF"/>
                <w:lang w:val="en-US" w:eastAsia="zh-CN" w:bidi="ar-SA"/>
              </w:rPr>
            </w:pPr>
            <w:r>
              <w:rPr>
                <w:rFonts w:hint="eastAsia" w:ascii="宋体" w:hAnsi="宋体" w:eastAsia="宋体" w:cs="宋体"/>
                <w:b/>
                <w:bCs/>
                <w:snapToGrid w:val="0"/>
                <w:color w:val="auto"/>
                <w:kern w:val="0"/>
                <w:sz w:val="24"/>
                <w:szCs w:val="24"/>
                <w:highlight w:val="none"/>
                <w:shd w:val="clear" w:color="auto" w:fill="FFFFFF"/>
                <w:lang w:val="en-US" w:eastAsia="zh-CN" w:bidi="ar-SA"/>
              </w:rPr>
              <w:t>7.总体工期包含调试周期，中标人需合理安排施工进度计划。初始运营期内需安排人员驻场指导，费用包含在投标报价内。</w:t>
            </w:r>
          </w:p>
          <w:p w14:paraId="55FAE62C">
            <w:pPr>
              <w:adjustRightInd w:val="0"/>
              <w:snapToGrid w:val="0"/>
              <w:spacing w:line="520" w:lineRule="exact"/>
              <w:rPr>
                <w:rFonts w:hint="eastAsia" w:ascii="宋体" w:hAnsi="宋体" w:eastAsia="宋体" w:cs="宋体"/>
                <w:b/>
                <w:bCs/>
                <w:snapToGrid w:val="0"/>
                <w:color w:val="auto"/>
                <w:kern w:val="0"/>
                <w:sz w:val="24"/>
                <w:szCs w:val="24"/>
                <w:highlight w:val="none"/>
                <w:shd w:val="clear" w:color="auto" w:fill="FFFFFF"/>
                <w:lang w:val="en-US" w:eastAsia="zh-CN" w:bidi="ar-SA"/>
              </w:rPr>
            </w:pPr>
            <w:r>
              <w:rPr>
                <w:rFonts w:hint="eastAsia" w:ascii="宋体" w:hAnsi="宋体" w:eastAsia="宋体" w:cs="宋体"/>
                <w:b/>
                <w:bCs/>
                <w:snapToGrid w:val="0"/>
                <w:color w:val="auto"/>
                <w:kern w:val="0"/>
                <w:sz w:val="24"/>
                <w:szCs w:val="24"/>
                <w:highlight w:val="none"/>
                <w:shd w:val="clear" w:color="auto" w:fill="FFFFFF"/>
                <w:lang w:val="en-US" w:eastAsia="zh-CN" w:bidi="ar-SA"/>
              </w:rPr>
              <w:t>8.承包人需包验收包送电，自行和供电主管部门协调报停、送电、验收、移交等事宜，并确保工程完工后通过供电主管部门验收、送电及完成工程移交工作。上述工作所发生的一切费用由中标单位自理，招标人不再另行支付任何费用。项目送电所需国网验收不通过的，由中标人无条件进行整改。送电验收所需的费用由中标人自行承担。</w:t>
            </w:r>
          </w:p>
          <w:p w14:paraId="5D4EFFB5">
            <w:pPr>
              <w:adjustRightInd w:val="0"/>
              <w:snapToGrid w:val="0"/>
              <w:spacing w:line="520" w:lineRule="exact"/>
              <w:rPr>
                <w:rFonts w:hint="eastAsia" w:ascii="宋体" w:hAnsi="宋体" w:eastAsia="宋体" w:cs="宋体"/>
                <w:b/>
                <w:bCs/>
                <w:snapToGrid w:val="0"/>
                <w:color w:val="auto"/>
                <w:kern w:val="0"/>
                <w:sz w:val="24"/>
                <w:szCs w:val="24"/>
                <w:highlight w:val="none"/>
                <w:shd w:val="clear" w:color="auto" w:fill="FFFFFF"/>
                <w:lang w:val="en-US" w:eastAsia="zh-CN" w:bidi="ar-SA"/>
              </w:rPr>
            </w:pPr>
            <w:r>
              <w:rPr>
                <w:rFonts w:hint="eastAsia" w:ascii="宋体" w:hAnsi="宋体" w:eastAsia="宋体" w:cs="宋体"/>
                <w:b/>
                <w:bCs/>
                <w:snapToGrid w:val="0"/>
                <w:color w:val="auto"/>
                <w:kern w:val="0"/>
                <w:sz w:val="24"/>
                <w:szCs w:val="24"/>
                <w:highlight w:val="none"/>
                <w:shd w:val="clear" w:color="auto" w:fill="FFFFFF"/>
                <w:lang w:val="en-US" w:eastAsia="zh-CN" w:bidi="ar-SA"/>
              </w:rPr>
              <w:t>9.投标人必须响应设计文件中设备技术参数要求，设备进场前需经现场监理、建设单位验收后方可进场。</w:t>
            </w:r>
          </w:p>
          <w:p w14:paraId="2361D3A5">
            <w:pPr>
              <w:adjustRightInd w:val="0"/>
              <w:snapToGrid w:val="0"/>
              <w:spacing w:line="520" w:lineRule="exact"/>
              <w:rPr>
                <w:rFonts w:hint="eastAsia" w:ascii="宋体" w:hAnsi="宋体" w:eastAsia="宋体" w:cs="宋体"/>
                <w:b/>
                <w:bCs/>
                <w:snapToGrid w:val="0"/>
                <w:color w:val="auto"/>
                <w:kern w:val="0"/>
                <w:sz w:val="24"/>
                <w:szCs w:val="24"/>
                <w:highlight w:val="none"/>
                <w:shd w:val="clear" w:color="auto" w:fill="FFFFFF"/>
                <w:lang w:val="en-US" w:eastAsia="zh-CN" w:bidi="ar-SA"/>
              </w:rPr>
            </w:pPr>
            <w:r>
              <w:rPr>
                <w:rFonts w:hint="eastAsia" w:ascii="宋体" w:hAnsi="宋体" w:eastAsia="宋体" w:cs="宋体"/>
                <w:b/>
                <w:bCs/>
                <w:snapToGrid w:val="0"/>
                <w:color w:val="auto"/>
                <w:kern w:val="0"/>
                <w:sz w:val="24"/>
                <w:szCs w:val="24"/>
                <w:highlight w:val="none"/>
                <w:shd w:val="clear" w:color="auto" w:fill="FFFFFF"/>
                <w:lang w:val="en-US" w:eastAsia="zh-CN" w:bidi="ar-SA"/>
              </w:rPr>
              <w:t>10.监控设备、充电桩设备等需免费提供接入端口，满足与场内可视化平台及监控平台等智能管控平台的兼容。</w:t>
            </w:r>
          </w:p>
          <w:p w14:paraId="1A148EFB">
            <w:pPr>
              <w:adjustRightInd w:val="0"/>
              <w:snapToGrid w:val="0"/>
              <w:spacing w:line="520" w:lineRule="exact"/>
              <w:rPr>
                <w:rFonts w:hint="eastAsia" w:ascii="宋体" w:hAnsi="宋体" w:cs="宋体"/>
                <w:b/>
                <w:bCs/>
                <w:color w:val="auto"/>
                <w:sz w:val="24"/>
                <w:highlight w:val="none"/>
              </w:rPr>
            </w:pPr>
            <w:r>
              <w:rPr>
                <w:rFonts w:hint="eastAsia" w:ascii="宋体" w:hAnsi="宋体" w:eastAsia="宋体" w:cs="宋体"/>
                <w:b/>
                <w:bCs/>
                <w:snapToGrid w:val="0"/>
                <w:color w:val="auto"/>
                <w:kern w:val="0"/>
                <w:sz w:val="24"/>
                <w:szCs w:val="24"/>
                <w:highlight w:val="none"/>
                <w:shd w:val="clear" w:color="auto" w:fill="FFFFFF"/>
                <w:lang w:val="en-US" w:eastAsia="zh-CN" w:bidi="ar-SA"/>
              </w:rPr>
              <w:t xml:space="preserve">11.相关土建及电力设备的根据法律法规标准要求必须进行检验试验的，承包人必须按要求进行检验试验，做好检验试验记录，监理人员做好验收记录，检验或试验费用由承包人承担，不合格的不得使用。 </w:t>
            </w:r>
          </w:p>
        </w:tc>
      </w:tr>
    </w:tbl>
    <w:p w14:paraId="60E7887C">
      <w:pPr>
        <w:rPr>
          <w:rFonts w:hint="eastAsia"/>
          <w:color w:val="auto"/>
          <w:highlight w:val="none"/>
        </w:rPr>
      </w:pPr>
      <w:bookmarkStart w:id="75" w:name="_Toc283798422"/>
      <w:bookmarkStart w:id="76" w:name="_Toc38879323"/>
      <w:bookmarkStart w:id="77" w:name="_Toc95223335"/>
      <w:bookmarkStart w:id="78" w:name="_Toc25869"/>
    </w:p>
    <w:p w14:paraId="48DC2698">
      <w:pPr>
        <w:keepNext/>
        <w:keepLines/>
        <w:spacing w:before="260" w:after="260" w:line="500" w:lineRule="exact"/>
        <w:jc w:val="center"/>
        <w:outlineLvl w:val="2"/>
        <w:rPr>
          <w:rFonts w:hint="eastAsia" w:ascii="宋体" w:hAnsi="宋体" w:cs="宋体"/>
          <w:smallCaps/>
          <w:snapToGrid w:val="0"/>
          <w:color w:val="auto"/>
          <w:kern w:val="0"/>
          <w:sz w:val="30"/>
          <w:szCs w:val="30"/>
          <w:highlight w:val="none"/>
        </w:rPr>
      </w:pPr>
      <w:r>
        <w:rPr>
          <w:rFonts w:hint="eastAsia" w:ascii="宋体" w:hAnsi="宋体" w:cs="宋体"/>
          <w:bCs/>
          <w:smallCaps/>
          <w:snapToGrid w:val="0"/>
          <w:color w:val="auto"/>
          <w:kern w:val="0"/>
          <w:sz w:val="30"/>
          <w:szCs w:val="30"/>
          <w:highlight w:val="none"/>
        </w:rPr>
        <w:t>投标人须知</w:t>
      </w:r>
      <w:bookmarkEnd w:id="75"/>
      <w:r>
        <w:rPr>
          <w:rFonts w:hint="eastAsia" w:ascii="宋体" w:hAnsi="宋体" w:cs="宋体"/>
          <w:bCs/>
          <w:smallCaps/>
          <w:snapToGrid w:val="0"/>
          <w:color w:val="auto"/>
          <w:kern w:val="0"/>
          <w:sz w:val="30"/>
          <w:szCs w:val="30"/>
          <w:highlight w:val="none"/>
        </w:rPr>
        <w:t>正文修改一览表</w:t>
      </w:r>
      <w:bookmarkEnd w:id="76"/>
      <w:bookmarkEnd w:id="77"/>
      <w:bookmarkEnd w:id="78"/>
    </w:p>
    <w:p w14:paraId="27125D39">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投标人须知正文条款内容修改如下：</w:t>
      </w:r>
    </w:p>
    <w:p w14:paraId="75D92881">
      <w:pPr>
        <w:autoSpaceDE w:val="0"/>
        <w:autoSpaceDN w:val="0"/>
        <w:adjustRightInd w:val="0"/>
        <w:snapToGrid w:val="0"/>
        <w:spacing w:line="240" w:lineRule="atLeast"/>
        <w:ind w:firstLine="190" w:firstLineChars="100"/>
        <w:rPr>
          <w:rFonts w:hint="eastAsia" w:ascii="宋体" w:hAnsi="宋体" w:cs="宋体"/>
          <w:color w:val="auto"/>
          <w:spacing w:val="-10"/>
          <w:kern w:val="0"/>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2501"/>
        <w:gridCol w:w="4406"/>
      </w:tblGrid>
      <w:tr w14:paraId="2E50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0465B04D">
            <w:pPr>
              <w:jc w:val="center"/>
              <w:rPr>
                <w:rFonts w:hint="eastAsia" w:ascii="宋体" w:hAnsi="宋体" w:cs="宋体"/>
                <w:b/>
                <w:color w:val="auto"/>
                <w:highlight w:val="none"/>
              </w:rPr>
            </w:pPr>
            <w:r>
              <w:rPr>
                <w:rFonts w:hint="eastAsia" w:ascii="宋体" w:hAnsi="宋体" w:cs="宋体"/>
                <w:b/>
                <w:color w:val="auto"/>
                <w:highlight w:val="none"/>
              </w:rPr>
              <w:t>条款编号</w:t>
            </w:r>
          </w:p>
        </w:tc>
        <w:tc>
          <w:tcPr>
            <w:tcW w:w="2501" w:type="dxa"/>
            <w:tcBorders>
              <w:top w:val="single" w:color="auto" w:sz="4" w:space="0"/>
              <w:left w:val="single" w:color="auto" w:sz="4" w:space="0"/>
              <w:bottom w:val="single" w:color="auto" w:sz="4" w:space="0"/>
              <w:right w:val="single" w:color="auto" w:sz="4" w:space="0"/>
            </w:tcBorders>
            <w:noWrap w:val="0"/>
            <w:vAlign w:val="center"/>
          </w:tcPr>
          <w:p w14:paraId="70EC0615">
            <w:pPr>
              <w:jc w:val="center"/>
              <w:rPr>
                <w:rFonts w:hint="eastAsia" w:ascii="宋体" w:hAnsi="宋体" w:cs="宋体"/>
                <w:b/>
                <w:color w:val="auto"/>
                <w:highlight w:val="none"/>
              </w:rPr>
            </w:pPr>
            <w:r>
              <w:rPr>
                <w:rFonts w:hint="eastAsia" w:ascii="宋体" w:hAnsi="宋体" w:cs="宋体"/>
                <w:b/>
                <w:color w:val="auto"/>
                <w:highlight w:val="none"/>
              </w:rPr>
              <w:t>示范文本中条款内容</w:t>
            </w:r>
          </w:p>
        </w:tc>
        <w:tc>
          <w:tcPr>
            <w:tcW w:w="4406" w:type="dxa"/>
            <w:tcBorders>
              <w:top w:val="single" w:color="auto" w:sz="4" w:space="0"/>
              <w:left w:val="single" w:color="auto" w:sz="4" w:space="0"/>
              <w:bottom w:val="single" w:color="auto" w:sz="4" w:space="0"/>
              <w:right w:val="single" w:color="auto" w:sz="4" w:space="0"/>
            </w:tcBorders>
            <w:noWrap w:val="0"/>
            <w:vAlign w:val="center"/>
          </w:tcPr>
          <w:p w14:paraId="6EFF77ED">
            <w:pPr>
              <w:jc w:val="center"/>
              <w:rPr>
                <w:rFonts w:hint="eastAsia" w:ascii="宋体" w:hAnsi="宋体" w:cs="宋体"/>
                <w:b/>
                <w:color w:val="auto"/>
                <w:highlight w:val="none"/>
              </w:rPr>
            </w:pPr>
            <w:r>
              <w:rPr>
                <w:rFonts w:hint="eastAsia" w:ascii="宋体" w:hAnsi="宋体" w:cs="宋体"/>
                <w:b/>
                <w:color w:val="auto"/>
                <w:highlight w:val="none"/>
              </w:rPr>
              <w:t>修改后条款内容</w:t>
            </w:r>
          </w:p>
        </w:tc>
      </w:tr>
      <w:tr w14:paraId="36C4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5827CF24">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282C774A">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4BAA8493">
            <w:pPr>
              <w:jc w:val="center"/>
              <w:rPr>
                <w:rFonts w:hint="eastAsia" w:ascii="宋体" w:hAnsi="宋体" w:cs="宋体"/>
                <w:color w:val="auto"/>
                <w:highlight w:val="none"/>
              </w:rPr>
            </w:pPr>
          </w:p>
        </w:tc>
      </w:tr>
      <w:tr w14:paraId="7B04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625C6330">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68F37527">
            <w:pPr>
              <w:snapToGrid w:val="0"/>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1B4F9E8E">
            <w:pPr>
              <w:jc w:val="center"/>
              <w:rPr>
                <w:rFonts w:hint="eastAsia" w:ascii="宋体" w:hAnsi="宋体" w:cs="宋体"/>
                <w:b/>
                <w:color w:val="auto"/>
                <w:highlight w:val="none"/>
              </w:rPr>
            </w:pPr>
          </w:p>
        </w:tc>
      </w:tr>
      <w:tr w14:paraId="6527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20E74E25">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5CA12D71">
            <w:pPr>
              <w:snapToGrid w:val="0"/>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0CC8EB70">
            <w:pPr>
              <w:jc w:val="center"/>
              <w:rPr>
                <w:rFonts w:hint="eastAsia" w:ascii="宋体" w:hAnsi="宋体" w:cs="宋体"/>
                <w:b/>
                <w:color w:val="auto"/>
                <w:highlight w:val="none"/>
              </w:rPr>
            </w:pPr>
          </w:p>
        </w:tc>
      </w:tr>
      <w:tr w14:paraId="6089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466EFE2C">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1C4E1EC1">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707ADF1D">
            <w:pPr>
              <w:snapToGrid w:val="0"/>
              <w:jc w:val="center"/>
              <w:rPr>
                <w:rFonts w:hint="eastAsia" w:ascii="宋体" w:hAnsi="宋体" w:cs="宋体"/>
                <w:color w:val="auto"/>
                <w:highlight w:val="none"/>
              </w:rPr>
            </w:pPr>
          </w:p>
        </w:tc>
      </w:tr>
      <w:tr w14:paraId="76B3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50B024EB">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34F47968">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42D7877E">
            <w:pPr>
              <w:jc w:val="center"/>
              <w:rPr>
                <w:rFonts w:hint="eastAsia" w:ascii="宋体" w:hAnsi="宋体" w:cs="宋体"/>
                <w:color w:val="auto"/>
                <w:highlight w:val="none"/>
              </w:rPr>
            </w:pPr>
          </w:p>
        </w:tc>
      </w:tr>
      <w:tr w14:paraId="14AC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41803CDA">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5FD38480">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6BAAF879">
            <w:pPr>
              <w:jc w:val="center"/>
              <w:rPr>
                <w:rFonts w:hint="eastAsia" w:ascii="宋体" w:hAnsi="宋体" w:cs="宋体"/>
                <w:color w:val="auto"/>
                <w:highlight w:val="none"/>
              </w:rPr>
            </w:pPr>
          </w:p>
        </w:tc>
      </w:tr>
      <w:tr w14:paraId="5202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6FA7E2B9">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7A2FDEFE">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3F2492E4">
            <w:pPr>
              <w:jc w:val="center"/>
              <w:rPr>
                <w:rFonts w:hint="eastAsia" w:ascii="宋体" w:hAnsi="宋体" w:cs="宋体"/>
                <w:color w:val="auto"/>
                <w:highlight w:val="none"/>
              </w:rPr>
            </w:pPr>
          </w:p>
        </w:tc>
      </w:tr>
      <w:tr w14:paraId="6CD5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5D77DC6E">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60E2D870">
            <w:pPr>
              <w:jc w:val="center"/>
              <w:rPr>
                <w:rFonts w:hint="eastAsia" w:ascii="宋体" w:hAnsi="宋体" w:cs="宋体"/>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35517EA2">
            <w:pPr>
              <w:jc w:val="center"/>
              <w:rPr>
                <w:rFonts w:hint="eastAsia" w:ascii="宋体" w:hAnsi="宋体" w:cs="宋体"/>
                <w:color w:val="auto"/>
                <w:highlight w:val="none"/>
              </w:rPr>
            </w:pPr>
          </w:p>
        </w:tc>
      </w:tr>
      <w:tr w14:paraId="6BBB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14:paraId="7336C54D">
            <w:pPr>
              <w:jc w:val="center"/>
              <w:rPr>
                <w:rFonts w:hint="eastAsia" w:ascii="宋体" w:hAnsi="宋体" w:cs="宋体"/>
                <w:color w:val="auto"/>
                <w:highlight w:val="none"/>
              </w:rPr>
            </w:pPr>
          </w:p>
        </w:tc>
        <w:tc>
          <w:tcPr>
            <w:tcW w:w="2501" w:type="dxa"/>
            <w:tcBorders>
              <w:top w:val="single" w:color="auto" w:sz="4" w:space="0"/>
              <w:left w:val="single" w:color="auto" w:sz="4" w:space="0"/>
              <w:bottom w:val="single" w:color="auto" w:sz="4" w:space="0"/>
              <w:right w:val="single" w:color="auto" w:sz="4" w:space="0"/>
            </w:tcBorders>
            <w:noWrap w:val="0"/>
            <w:vAlign w:val="center"/>
          </w:tcPr>
          <w:p w14:paraId="7D855FE9">
            <w:pPr>
              <w:jc w:val="center"/>
              <w:rPr>
                <w:rFonts w:hint="eastAsia" w:ascii="宋体" w:hAnsi="宋体" w:cs="宋体"/>
                <w:b/>
                <w:color w:val="auto"/>
                <w:highlight w:val="none"/>
              </w:rPr>
            </w:pPr>
          </w:p>
        </w:tc>
        <w:tc>
          <w:tcPr>
            <w:tcW w:w="4406" w:type="dxa"/>
            <w:tcBorders>
              <w:top w:val="single" w:color="auto" w:sz="4" w:space="0"/>
              <w:left w:val="single" w:color="auto" w:sz="4" w:space="0"/>
              <w:bottom w:val="single" w:color="auto" w:sz="4" w:space="0"/>
              <w:right w:val="single" w:color="auto" w:sz="4" w:space="0"/>
            </w:tcBorders>
            <w:noWrap w:val="0"/>
            <w:vAlign w:val="center"/>
          </w:tcPr>
          <w:p w14:paraId="05C5D20E">
            <w:pPr>
              <w:jc w:val="center"/>
              <w:rPr>
                <w:rFonts w:hint="eastAsia" w:ascii="宋体" w:hAnsi="宋体" w:cs="宋体"/>
                <w:b/>
                <w:color w:val="auto"/>
                <w:highlight w:val="none"/>
              </w:rPr>
            </w:pPr>
          </w:p>
        </w:tc>
      </w:tr>
    </w:tbl>
    <w:p w14:paraId="2162643C">
      <w:pPr>
        <w:pStyle w:val="9"/>
        <w:adjustRightInd w:val="0"/>
        <w:snapToGrid w:val="0"/>
        <w:spacing w:after="0" w:line="560" w:lineRule="exact"/>
        <w:rPr>
          <w:color w:val="auto"/>
          <w:sz w:val="22"/>
          <w:highlight w:val="none"/>
        </w:rPr>
        <w:sectPr>
          <w:footerReference r:id="rId5" w:type="default"/>
          <w:pgSz w:w="11910" w:h="16850"/>
          <w:pgMar w:top="1600" w:right="660" w:bottom="1100" w:left="1120" w:header="0" w:footer="746" w:gutter="0"/>
          <w:pgNumType w:start="1"/>
          <w:cols w:space="720" w:num="1"/>
        </w:sectPr>
      </w:pPr>
    </w:p>
    <w:p w14:paraId="44FBC1B0">
      <w:pPr>
        <w:pStyle w:val="3"/>
        <w:pageBreakBefore/>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9" w:name="_Toc95223336"/>
      <w:bookmarkStart w:id="80" w:name="_Toc83301688"/>
      <w:bookmarkStart w:id="81" w:name="_Toc60061433"/>
      <w:r>
        <w:rPr>
          <w:rFonts w:hint="eastAsia" w:ascii="黑体" w:hAnsi="黑体" w:cs="黑体"/>
          <w:color w:val="auto"/>
          <w:sz w:val="21"/>
          <w:szCs w:val="21"/>
          <w:highlight w:val="none"/>
        </w:rPr>
        <w:t>1. 总则</w:t>
      </w:r>
      <w:bookmarkEnd w:id="65"/>
      <w:bookmarkEnd w:id="66"/>
      <w:bookmarkEnd w:id="67"/>
      <w:bookmarkEnd w:id="68"/>
      <w:bookmarkEnd w:id="69"/>
      <w:bookmarkEnd w:id="70"/>
      <w:bookmarkEnd w:id="71"/>
      <w:bookmarkEnd w:id="72"/>
      <w:bookmarkEnd w:id="73"/>
      <w:bookmarkEnd w:id="74"/>
      <w:bookmarkEnd w:id="79"/>
      <w:bookmarkEnd w:id="80"/>
      <w:bookmarkEnd w:id="81"/>
    </w:p>
    <w:p w14:paraId="34332A8B">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82" w:name="_Toc152042306"/>
      <w:bookmarkStart w:id="83" w:name="_Toc506107270"/>
      <w:bookmarkStart w:id="84" w:name="_Toc60061434"/>
      <w:bookmarkStart w:id="85" w:name="_Toc324404816"/>
      <w:bookmarkStart w:id="86" w:name="_Toc15058847"/>
      <w:bookmarkStart w:id="87" w:name="_Toc95223337"/>
      <w:bookmarkStart w:id="88" w:name="_Toc247085690"/>
      <w:bookmarkStart w:id="89" w:name="_Toc152045530"/>
      <w:bookmarkStart w:id="90" w:name="_Toc83301689"/>
      <w:bookmarkStart w:id="91" w:name="_Toc246996919"/>
      <w:bookmarkStart w:id="92" w:name="_Toc246996176"/>
      <w:bookmarkStart w:id="93" w:name="_Toc296602421"/>
      <w:bookmarkStart w:id="94" w:name="_Toc179632547"/>
      <w:bookmarkStart w:id="95" w:name="_Toc144974498"/>
      <w:r>
        <w:rPr>
          <w:rFonts w:hint="eastAsia" w:ascii="黑体" w:hAnsi="黑体" w:eastAsia="黑体" w:cs="黑体"/>
          <w:color w:val="auto"/>
          <w:sz w:val="21"/>
          <w:szCs w:val="21"/>
          <w:highlight w:val="none"/>
        </w:rPr>
        <w:t>1.1 项目概况</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F3FA8C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0499597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17694B9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82742A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365926E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2664A123">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96" w:name="_Toc60061435"/>
      <w:bookmarkStart w:id="97" w:name="_Toc506107271"/>
      <w:bookmarkStart w:id="98" w:name="_Toc95223338"/>
      <w:bookmarkStart w:id="99" w:name="_Toc247085691"/>
      <w:bookmarkStart w:id="100" w:name="_Toc152042307"/>
      <w:bookmarkStart w:id="101" w:name="_Toc15058848"/>
      <w:bookmarkStart w:id="102" w:name="_Toc246996920"/>
      <w:bookmarkStart w:id="103" w:name="_Toc152045531"/>
      <w:bookmarkStart w:id="104" w:name="_Toc296602422"/>
      <w:bookmarkStart w:id="105" w:name="_Toc83301690"/>
      <w:bookmarkStart w:id="106" w:name="_Toc144974499"/>
      <w:bookmarkStart w:id="107" w:name="_Toc179632548"/>
      <w:bookmarkStart w:id="108" w:name="_Toc324404817"/>
      <w:bookmarkStart w:id="109" w:name="_Toc246996177"/>
      <w:r>
        <w:rPr>
          <w:rFonts w:hint="eastAsia" w:ascii="黑体" w:hAnsi="黑体" w:eastAsia="黑体" w:cs="黑体"/>
          <w:color w:val="auto"/>
          <w:sz w:val="21"/>
          <w:szCs w:val="21"/>
          <w:highlight w:val="none"/>
        </w:rPr>
        <w:t>1.2 资金来源和落实情况</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F684E8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37EF26C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1C9DD6C8">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10" w:name="_Toc246996178"/>
      <w:bookmarkStart w:id="111" w:name="_Toc83301691"/>
      <w:bookmarkStart w:id="112" w:name="_Toc15058849"/>
      <w:bookmarkStart w:id="113" w:name="_Toc324404818"/>
      <w:bookmarkStart w:id="114" w:name="_Toc152045532"/>
      <w:bookmarkStart w:id="115" w:name="_Toc60061436"/>
      <w:bookmarkStart w:id="116" w:name="_Toc247085692"/>
      <w:bookmarkStart w:id="117" w:name="_Toc506107272"/>
      <w:bookmarkStart w:id="118" w:name="_Toc95223339"/>
      <w:bookmarkStart w:id="119" w:name="_Toc296602423"/>
      <w:bookmarkStart w:id="120" w:name="_Toc246996921"/>
      <w:bookmarkStart w:id="121" w:name="_Toc179632549"/>
      <w:bookmarkStart w:id="122" w:name="_Toc144974500"/>
      <w:bookmarkStart w:id="123" w:name="_Toc152042308"/>
      <w:r>
        <w:rPr>
          <w:rFonts w:hint="eastAsia" w:ascii="黑体" w:hAnsi="黑体" w:eastAsia="黑体" w:cs="黑体"/>
          <w:color w:val="auto"/>
          <w:sz w:val="21"/>
          <w:szCs w:val="21"/>
          <w:highlight w:val="none"/>
        </w:rPr>
        <w:t>1.3 招标范围、计划工期、质量要求</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4868C4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30CDDDF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本招标项目的计划工期：见投标人须知前附表。</w:t>
      </w:r>
    </w:p>
    <w:p w14:paraId="71D8FAF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1CC6D417">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24" w:name="_Toc60061437"/>
      <w:bookmarkStart w:id="125" w:name="_Toc296602424"/>
      <w:bookmarkStart w:id="126" w:name="_Toc506107273"/>
      <w:bookmarkStart w:id="127" w:name="_Toc95223340"/>
      <w:bookmarkStart w:id="128" w:name="_Toc179632551"/>
      <w:bookmarkStart w:id="129" w:name="_Toc144974502"/>
      <w:bookmarkStart w:id="130" w:name="_Toc83301692"/>
      <w:bookmarkStart w:id="131" w:name="_Toc152042310"/>
      <w:bookmarkStart w:id="132" w:name="_Toc15058850"/>
      <w:bookmarkStart w:id="133" w:name="_Toc246996179"/>
      <w:bookmarkStart w:id="134" w:name="_Toc152045534"/>
      <w:bookmarkStart w:id="135" w:name="_Toc247085693"/>
      <w:bookmarkStart w:id="136" w:name="_Toc246996922"/>
      <w:bookmarkStart w:id="137" w:name="_Toc324404819"/>
      <w:r>
        <w:rPr>
          <w:rFonts w:hint="eastAsia" w:ascii="黑体" w:hAnsi="黑体" w:eastAsia="黑体" w:cs="黑体"/>
          <w:color w:val="auto"/>
          <w:sz w:val="21"/>
          <w:szCs w:val="21"/>
          <w:highlight w:val="none"/>
        </w:rPr>
        <w:t>1.4 投标人资格要求</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5611B52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213E659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（1）资质条件：见投标人须知前附表；</w:t>
      </w:r>
    </w:p>
    <w:p w14:paraId="721A615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（2）信誉要求：见投标人须知前附表；</w:t>
      </w:r>
    </w:p>
    <w:p w14:paraId="2F298B1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（3）项目经理（建造师）资格：见投标人须知前附表；</w:t>
      </w:r>
    </w:p>
    <w:p w14:paraId="03E0CAA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（4）其他要求：见投标人须知前附表。</w:t>
      </w:r>
    </w:p>
    <w:p w14:paraId="4787365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0B3EF2C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w:t>
      </w:r>
      <w:r>
        <w:rPr>
          <w:color w:val="auto"/>
          <w:spacing w:val="-3"/>
          <w:highlight w:val="none"/>
        </w:rPr>
        <w:t>，并承诺就中标项目向招标人承担连带责任</w:t>
      </w:r>
      <w:r>
        <w:rPr>
          <w:rFonts w:hint="eastAsia" w:ascii="宋体" w:hAnsi="宋体" w:cs="宋体"/>
          <w:color w:val="auto"/>
          <w:szCs w:val="21"/>
          <w:highlight w:val="none"/>
        </w:rPr>
        <w:t>；</w:t>
      </w:r>
    </w:p>
    <w:p w14:paraId="295BDF4E">
      <w:pPr>
        <w:adjustRightInd w:val="0"/>
        <w:snapToGrid w:val="0"/>
        <w:spacing w:line="560" w:lineRule="exact"/>
        <w:ind w:firstLine="420" w:firstLineChars="200"/>
        <w:rPr>
          <w:rFonts w:hint="eastAsia"/>
          <w:color w:val="auto"/>
          <w:highlight w:val="none"/>
        </w:rPr>
      </w:pPr>
      <w:r>
        <w:rPr>
          <w:rFonts w:hint="eastAsia" w:ascii="宋体" w:hAnsi="宋体" w:cs="宋体"/>
          <w:color w:val="auto"/>
          <w:szCs w:val="21"/>
          <w:highlight w:val="none"/>
        </w:rPr>
        <w:t>（2）联合体各方不得再以自己名义单独或参加其他联合体在同一标段中投标。</w:t>
      </w:r>
    </w:p>
    <w:p w14:paraId="472DD1F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w:t>
      </w:r>
      <w:bookmarkStart w:id="138" w:name="_Toc83301693"/>
      <w:bookmarkStart w:id="139" w:name="_Toc247085694"/>
      <w:bookmarkStart w:id="140" w:name="_Toc246996180"/>
      <w:bookmarkStart w:id="141" w:name="_Toc60061438"/>
      <w:bookmarkStart w:id="142" w:name="_Toc152042311"/>
      <w:bookmarkStart w:id="143" w:name="_Toc179632552"/>
      <w:bookmarkStart w:id="144" w:name="_Toc324404820"/>
      <w:bookmarkStart w:id="145" w:name="_Toc246996923"/>
      <w:bookmarkStart w:id="146" w:name="_Toc296602425"/>
      <w:bookmarkStart w:id="147" w:name="_Toc144974503"/>
      <w:bookmarkStart w:id="148" w:name="_Toc15058851"/>
      <w:bookmarkStart w:id="149" w:name="_Toc506107274"/>
      <w:bookmarkStart w:id="150" w:name="_Toc152045535"/>
      <w:bookmarkStart w:id="151" w:name="_Toc95223341"/>
      <w:r>
        <w:rPr>
          <w:rFonts w:hint="eastAsia" w:ascii="宋体" w:hAnsi="宋体" w:cs="宋体"/>
          <w:color w:val="auto"/>
          <w:szCs w:val="21"/>
          <w:highlight w:val="none"/>
        </w:rPr>
        <w:t>投标人（包括联合体各成员）不得与本标段相关单位存在下列关联关系：</w:t>
      </w:r>
    </w:p>
    <w:p w14:paraId="16EDBBF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25D8149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2BE9F6B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66BB70E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38EAF56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r>
        <w:rPr>
          <w:rFonts w:hint="eastAsia" w:ascii="宋体" w:hAnsi="宋体" w:cs="宋体"/>
          <w:b/>
          <w:color w:val="auto"/>
          <w:szCs w:val="21"/>
          <w:highlight w:val="none"/>
        </w:rPr>
        <w:t>(工程总承包项目本目不采用)</w:t>
      </w:r>
      <w:r>
        <w:rPr>
          <w:rFonts w:hint="eastAsia" w:ascii="宋体" w:hAnsi="宋体" w:cs="宋体"/>
          <w:color w:val="auto"/>
          <w:szCs w:val="21"/>
          <w:highlight w:val="none"/>
        </w:rPr>
        <w:t>；</w:t>
      </w:r>
    </w:p>
    <w:p w14:paraId="32CEBB2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（6）为本标段的监理人；</w:t>
      </w:r>
    </w:p>
    <w:p w14:paraId="467F0B8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14:paraId="4BE6FC0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14:paraId="607AA58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（9）与本标段的监理人或代建人或招标代理机构同为一个法定代表人；</w:t>
      </w:r>
    </w:p>
    <w:p w14:paraId="445CD8A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（10）与本标段的监理人或代建人或招标代理机构存在控股或参股关系；</w:t>
      </w:r>
    </w:p>
    <w:p w14:paraId="2D36189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14:paraId="5844ABEE">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1.5 费用承担</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74B0B27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753A1230">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52" w:name="_Toc152042312"/>
      <w:bookmarkStart w:id="153" w:name="_Toc246996924"/>
      <w:bookmarkStart w:id="154" w:name="_Toc95223342"/>
      <w:bookmarkStart w:id="155" w:name="_Toc247085695"/>
      <w:bookmarkStart w:id="156" w:name="_Toc152045536"/>
      <w:bookmarkStart w:id="157" w:name="_Toc60061439"/>
      <w:bookmarkStart w:id="158" w:name="_Toc246996181"/>
      <w:bookmarkStart w:id="159" w:name="_Toc179632553"/>
      <w:bookmarkStart w:id="160" w:name="_Toc83301694"/>
      <w:bookmarkStart w:id="161" w:name="_Toc506107275"/>
      <w:bookmarkStart w:id="162" w:name="_Toc324404821"/>
      <w:bookmarkStart w:id="163" w:name="_Toc296602426"/>
      <w:bookmarkStart w:id="164" w:name="_Toc15058852"/>
      <w:bookmarkStart w:id="165" w:name="_Toc144974504"/>
      <w:r>
        <w:rPr>
          <w:rFonts w:hint="eastAsia" w:ascii="黑体" w:hAnsi="黑体" w:eastAsia="黑体" w:cs="黑体"/>
          <w:color w:val="auto"/>
          <w:sz w:val="21"/>
          <w:szCs w:val="21"/>
          <w:highlight w:val="none"/>
        </w:rPr>
        <w:t>1.6 保密</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532ED29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157856EB">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66" w:name="_Toc144974505"/>
      <w:bookmarkStart w:id="167" w:name="_Toc179632554"/>
      <w:bookmarkStart w:id="168" w:name="_Toc506107276"/>
      <w:bookmarkStart w:id="169" w:name="_Toc95223343"/>
      <w:bookmarkStart w:id="170" w:name="_Toc246996182"/>
      <w:bookmarkStart w:id="171" w:name="_Toc246996925"/>
      <w:bookmarkStart w:id="172" w:name="_Toc15058853"/>
      <w:bookmarkStart w:id="173" w:name="_Toc247085696"/>
      <w:bookmarkStart w:id="174" w:name="_Toc152042313"/>
      <w:bookmarkStart w:id="175" w:name="_Toc152045537"/>
      <w:bookmarkStart w:id="176" w:name="_Toc60061440"/>
      <w:bookmarkStart w:id="177" w:name="_Toc296602427"/>
      <w:bookmarkStart w:id="178" w:name="_Toc324404822"/>
      <w:bookmarkStart w:id="179" w:name="_Toc83301695"/>
      <w:r>
        <w:rPr>
          <w:rFonts w:hint="eastAsia" w:ascii="黑体" w:hAnsi="黑体" w:eastAsia="黑体" w:cs="黑体"/>
          <w:color w:val="auto"/>
          <w:sz w:val="21"/>
          <w:szCs w:val="21"/>
          <w:highlight w:val="none"/>
        </w:rPr>
        <w:t>1.7 语言</w:t>
      </w:r>
      <w:bookmarkEnd w:id="166"/>
      <w:r>
        <w:rPr>
          <w:rFonts w:hint="eastAsia" w:ascii="黑体" w:hAnsi="黑体" w:eastAsia="黑体" w:cs="黑体"/>
          <w:color w:val="auto"/>
          <w:sz w:val="21"/>
          <w:szCs w:val="21"/>
          <w:highlight w:val="none"/>
        </w:rPr>
        <w:t>文字</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16763286">
      <w:pPr>
        <w:adjustRightInd w:val="0"/>
        <w:snapToGrid w:val="0"/>
        <w:spacing w:line="560" w:lineRule="exact"/>
        <w:ind w:firstLine="420" w:firstLineChars="200"/>
        <w:rPr>
          <w:rFonts w:hint="eastAsia" w:ascii="宋体" w:hAnsi="宋体" w:cs="宋体"/>
          <w:color w:val="auto"/>
          <w:szCs w:val="21"/>
          <w:highlight w:val="none"/>
        </w:rPr>
      </w:pPr>
      <w:bookmarkStart w:id="180" w:name="_Toc246996926"/>
      <w:bookmarkStart w:id="181" w:name="_Toc179632555"/>
      <w:bookmarkStart w:id="182" w:name="_Toc152042314"/>
      <w:bookmarkStart w:id="183" w:name="_Toc152045538"/>
      <w:bookmarkStart w:id="184" w:name="_Toc247085697"/>
      <w:bookmarkStart w:id="185" w:name="_Toc144974506"/>
      <w:bookmarkStart w:id="186" w:name="_Toc246996183"/>
      <w:r>
        <w:rPr>
          <w:rFonts w:hint="eastAsia" w:ascii="宋体" w:hAnsi="宋体" w:cs="宋体"/>
          <w:color w:val="auto"/>
          <w:szCs w:val="21"/>
          <w:highlight w:val="none"/>
        </w:rPr>
        <w:t>招标投标文件使用的语言文字为中文。专用术语使用外文的，应附有中文注释。</w:t>
      </w:r>
    </w:p>
    <w:p w14:paraId="26F6C677">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87" w:name="_Toc324404823"/>
      <w:bookmarkStart w:id="188" w:name="_Toc506107277"/>
      <w:bookmarkStart w:id="189" w:name="_Toc60061441"/>
      <w:bookmarkStart w:id="190" w:name="_Toc83301696"/>
      <w:bookmarkStart w:id="191" w:name="_Toc15058854"/>
      <w:bookmarkStart w:id="192" w:name="_Toc95223344"/>
      <w:bookmarkStart w:id="193" w:name="_Toc296602428"/>
      <w:r>
        <w:rPr>
          <w:rFonts w:hint="eastAsia" w:ascii="黑体" w:hAnsi="黑体" w:eastAsia="黑体" w:cs="黑体"/>
          <w:color w:val="auto"/>
          <w:sz w:val="21"/>
          <w:szCs w:val="21"/>
          <w:highlight w:val="none"/>
        </w:rPr>
        <w:t>1.8 计量单位</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9C1F62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32885850">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194" w:name="_Toc247513962"/>
      <w:bookmarkStart w:id="195" w:name="_Toc506107278"/>
      <w:bookmarkStart w:id="196" w:name="_Toc152045539"/>
      <w:bookmarkStart w:id="197" w:name="_Toc60061442"/>
      <w:bookmarkStart w:id="198" w:name="_Toc324404824"/>
      <w:bookmarkStart w:id="199" w:name="_Toc152042315"/>
      <w:bookmarkStart w:id="200" w:name="_Toc296602429"/>
      <w:bookmarkStart w:id="201" w:name="_Toc95223345"/>
      <w:bookmarkStart w:id="202" w:name="_Toc15058855"/>
      <w:bookmarkStart w:id="203" w:name="_Toc83301697"/>
      <w:bookmarkStart w:id="204" w:name="_Toc144974507"/>
      <w:bookmarkStart w:id="205" w:name="_Toc247592876"/>
      <w:bookmarkStart w:id="206" w:name="_Toc247527563"/>
      <w:r>
        <w:rPr>
          <w:rFonts w:hint="eastAsia" w:ascii="黑体" w:hAnsi="黑体" w:eastAsia="黑体" w:cs="黑体"/>
          <w:color w:val="auto"/>
          <w:sz w:val="21"/>
          <w:szCs w:val="21"/>
          <w:highlight w:val="none"/>
        </w:rPr>
        <w:t>1.9 踏勘现场</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3AFE475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1.9.1前附表规定组织踏勘现场的，招标人按投标人须知前附表规定的时间、地点组织投标人踏勘项目现场。</w:t>
      </w:r>
      <w:r>
        <w:rPr>
          <w:color w:val="auto"/>
          <w:spacing w:val="-7"/>
          <w:highlight w:val="none"/>
        </w:rPr>
        <w:t>部分投标人未按时参加踏勘现场的，不影响踏勘现场的正常进行。招标</w:t>
      </w:r>
      <w:r>
        <w:rPr>
          <w:color w:val="auto"/>
          <w:spacing w:val="-5"/>
          <w:highlight w:val="none"/>
        </w:rPr>
        <w:t>人不得组织单个或部分投标人踏勘项目现场。</w:t>
      </w:r>
      <w:r>
        <w:rPr>
          <w:rFonts w:hint="eastAsia" w:ascii="宋体" w:hAnsi="宋体" w:cs="宋体"/>
          <w:color w:val="auto"/>
          <w:szCs w:val="21"/>
          <w:highlight w:val="none"/>
        </w:rPr>
        <w:t xml:space="preserve"> </w:t>
      </w:r>
    </w:p>
    <w:p w14:paraId="3137451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4C4DB51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427C670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bookmarkStart w:id="207" w:name="_Toc296602430"/>
      <w:bookmarkStart w:id="208" w:name="_Toc324404825"/>
      <w:bookmarkStart w:id="209" w:name="_Toc152042316"/>
      <w:bookmarkStart w:id="210" w:name="_Toc247513963"/>
      <w:bookmarkStart w:id="211" w:name="_Toc152045540"/>
      <w:bookmarkStart w:id="212" w:name="_Toc506107279"/>
      <w:bookmarkStart w:id="213" w:name="_Toc144974508"/>
      <w:bookmarkStart w:id="214" w:name="_Toc247592877"/>
      <w:bookmarkStart w:id="215" w:name="_Toc15058856"/>
      <w:bookmarkStart w:id="216" w:name="_Toc60061443"/>
      <w:bookmarkStart w:id="217" w:name="_Toc247527564"/>
    </w:p>
    <w:p w14:paraId="0467006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70BFC4E5">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18" w:name="_Toc95223346"/>
      <w:bookmarkStart w:id="219" w:name="_Toc83301698"/>
      <w:r>
        <w:rPr>
          <w:rFonts w:hint="eastAsia" w:ascii="黑体" w:hAnsi="黑体" w:eastAsia="黑体" w:cs="黑体"/>
          <w:color w:val="auto"/>
          <w:sz w:val="21"/>
          <w:szCs w:val="21"/>
          <w:highlight w:val="none"/>
        </w:rPr>
        <w:t>1.10 投标预备会</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024F10B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43E927D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7E25A309">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20" w:name="_Toc506107280"/>
      <w:bookmarkStart w:id="221" w:name="_Toc15058857"/>
      <w:bookmarkStart w:id="222" w:name="_Toc296602431"/>
      <w:bookmarkStart w:id="223" w:name="_Toc324404826"/>
      <w:bookmarkStart w:id="224" w:name="_Toc83301699"/>
      <w:bookmarkStart w:id="225" w:name="_Toc95223347"/>
      <w:bookmarkStart w:id="226" w:name="_Toc60061444"/>
      <w:r>
        <w:rPr>
          <w:rFonts w:hint="eastAsia" w:ascii="黑体" w:hAnsi="黑体" w:eastAsia="黑体" w:cs="黑体"/>
          <w:color w:val="auto"/>
          <w:sz w:val="21"/>
          <w:szCs w:val="21"/>
          <w:highlight w:val="none"/>
        </w:rPr>
        <w:t xml:space="preserve">1.11 </w:t>
      </w:r>
      <w:bookmarkEnd w:id="220"/>
      <w:bookmarkEnd w:id="221"/>
      <w:bookmarkEnd w:id="222"/>
      <w:bookmarkEnd w:id="223"/>
      <w:r>
        <w:rPr>
          <w:rFonts w:hint="eastAsia" w:ascii="黑体" w:hAnsi="黑体" w:eastAsia="黑体" w:cs="黑体"/>
          <w:color w:val="auto"/>
          <w:sz w:val="21"/>
          <w:szCs w:val="21"/>
          <w:highlight w:val="none"/>
        </w:rPr>
        <w:t>分包</w:t>
      </w:r>
      <w:bookmarkEnd w:id="224"/>
      <w:bookmarkEnd w:id="225"/>
      <w:bookmarkEnd w:id="226"/>
    </w:p>
    <w:p w14:paraId="2541E3C4">
      <w:pPr>
        <w:adjustRightInd w:val="0"/>
        <w:snapToGrid w:val="0"/>
        <w:spacing w:line="600" w:lineRule="exact"/>
        <w:ind w:firstLine="54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1.11.1 投标人拟在中标后将中标项目的部分非主体、非关键性工作进行分包的，应符合以下规定：</w:t>
      </w:r>
    </w:p>
    <w:p w14:paraId="2AF88281">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（1）分包内容要求：招标人允许分包或不允许分包的专业工程（如有）应在投标人须知前附表中载明；</w:t>
      </w:r>
    </w:p>
    <w:p w14:paraId="4512B7B5">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（2）接受分包的第三人资格要求：分包人的资格能力应与其分包工程的标准和规模相适应，且具备投标人须知前附表中规定的资格条件；</w:t>
      </w:r>
    </w:p>
    <w:p w14:paraId="3D826A55">
      <w:pPr>
        <w:tabs>
          <w:tab w:val="left" w:pos="1030"/>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（3）其他要求：投标人如有分包计划，应按第九章“投标文件格式”的要求填写“拟分包项目情况表”，明确拟分包的工程及规模，且投标人中标后的分包应满足合同条款的相关要求。</w:t>
      </w:r>
    </w:p>
    <w:p w14:paraId="1DE46CD7">
      <w:pPr>
        <w:pStyle w:val="19"/>
        <w:adjustRightInd w:val="0"/>
        <w:snapToGrid w:val="0"/>
        <w:spacing w:after="0" w:line="560" w:lineRule="exact"/>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 xml:space="preserve">   1.11.2中标人不得向他人转让中标项目，接受分包的人不得再次分包。中标人应就分包项目</w:t>
      </w:r>
    </w:p>
    <w:p w14:paraId="29958E9D">
      <w:pPr>
        <w:pStyle w:val="19"/>
        <w:adjustRightInd w:val="0"/>
        <w:snapToGrid w:val="0"/>
        <w:spacing w:after="0" w:line="560" w:lineRule="exact"/>
        <w:ind w:left="0" w:leftChars="0" w:firstLine="0" w:firstLineChars="0"/>
        <w:rPr>
          <w:rFonts w:hint="eastAsia"/>
          <w:color w:val="auto"/>
          <w:highlight w:val="none"/>
        </w:rPr>
      </w:pPr>
      <w:r>
        <w:rPr>
          <w:rFonts w:hint="eastAsia" w:ascii="宋体" w:hAnsi="宋体" w:cs="宋体"/>
          <w:color w:val="auto"/>
          <w:szCs w:val="21"/>
          <w:highlight w:val="none"/>
        </w:rPr>
        <w:t>向招标人负责，接受分包的人就分包项目承担连带责任。</w:t>
      </w:r>
    </w:p>
    <w:p w14:paraId="10B9B10C">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27" w:name="_Toc95223348"/>
      <w:bookmarkStart w:id="228" w:name="_Toc60061445"/>
      <w:bookmarkStart w:id="229" w:name="_Toc83301700"/>
      <w:r>
        <w:rPr>
          <w:rFonts w:hint="eastAsia" w:ascii="黑体" w:hAnsi="黑体" w:eastAsia="黑体" w:cs="黑体"/>
          <w:color w:val="auto"/>
          <w:sz w:val="21"/>
          <w:szCs w:val="21"/>
          <w:highlight w:val="none"/>
        </w:rPr>
        <w:t>1.12 偏离</w:t>
      </w:r>
      <w:bookmarkEnd w:id="227"/>
      <w:bookmarkEnd w:id="228"/>
      <w:bookmarkEnd w:id="229"/>
    </w:p>
    <w:p w14:paraId="1EF8B48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724A32D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7A85206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投标文件存在第四章“评标办法”中所列任一无效投标情形的，均属于存在重大偏差。</w:t>
      </w:r>
    </w:p>
    <w:p w14:paraId="5AC7A00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19917114">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2217881D">
      <w:pPr>
        <w:tabs>
          <w:tab w:val="left" w:pos="1014"/>
        </w:tabs>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7C93DCE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2108484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项（1）目所述的细微偏差，按照第四章“评标办法”的规定予以修正并要求投标人进行澄清；</w:t>
      </w:r>
    </w:p>
    <w:p w14:paraId="6D23FCF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3EFA9B69">
      <w:pPr>
        <w:adjustRightInd w:val="0"/>
        <w:snapToGrid w:val="0"/>
        <w:spacing w:line="560" w:lineRule="exact"/>
        <w:jc w:val="left"/>
        <w:rPr>
          <w:color w:val="auto"/>
          <w:highlight w:val="none"/>
        </w:rPr>
        <w:sectPr>
          <w:pgSz w:w="11910" w:h="16850"/>
          <w:pgMar w:top="1520" w:right="660" w:bottom="1100" w:left="1120" w:header="0" w:footer="746" w:gutter="0"/>
          <w:cols w:space="720" w:num="1"/>
        </w:sectPr>
      </w:pPr>
    </w:p>
    <w:p w14:paraId="497EB388">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230" w:name="_Toc152045542"/>
      <w:bookmarkStart w:id="231" w:name="_Toc246996930"/>
      <w:bookmarkStart w:id="232" w:name="_Toc179632560"/>
      <w:bookmarkStart w:id="233" w:name="_Toc324404827"/>
      <w:bookmarkStart w:id="234" w:name="_Toc83301701"/>
      <w:bookmarkStart w:id="235" w:name="_Toc95223349"/>
      <w:bookmarkStart w:id="236" w:name="_Toc144974510"/>
      <w:bookmarkStart w:id="237" w:name="_Toc247085701"/>
      <w:bookmarkStart w:id="238" w:name="_Toc152042318"/>
      <w:bookmarkStart w:id="239" w:name="_Toc246996187"/>
      <w:bookmarkStart w:id="240" w:name="_Toc506107281"/>
      <w:bookmarkStart w:id="241" w:name="_Toc60061446"/>
      <w:bookmarkStart w:id="242" w:name="_Toc15058858"/>
      <w:r>
        <w:rPr>
          <w:rFonts w:hint="eastAsia" w:ascii="黑体" w:hAnsi="黑体" w:cs="黑体"/>
          <w:color w:val="auto"/>
          <w:sz w:val="21"/>
          <w:szCs w:val="21"/>
          <w:highlight w:val="none"/>
        </w:rPr>
        <w:t>2. 招标文件</w:t>
      </w:r>
      <w:bookmarkEnd w:id="230"/>
      <w:bookmarkEnd w:id="231"/>
      <w:bookmarkEnd w:id="232"/>
      <w:bookmarkEnd w:id="233"/>
      <w:bookmarkEnd w:id="234"/>
      <w:bookmarkEnd w:id="235"/>
      <w:bookmarkEnd w:id="236"/>
      <w:bookmarkEnd w:id="237"/>
      <w:bookmarkEnd w:id="238"/>
      <w:bookmarkEnd w:id="239"/>
      <w:bookmarkEnd w:id="240"/>
      <w:bookmarkEnd w:id="241"/>
      <w:bookmarkEnd w:id="242"/>
    </w:p>
    <w:p w14:paraId="2C2B5ACB">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43" w:name="_Toc60061447"/>
      <w:bookmarkStart w:id="244" w:name="_Toc296602433"/>
      <w:bookmarkStart w:id="245" w:name="_Toc152045543"/>
      <w:bookmarkStart w:id="246" w:name="_Toc144974511"/>
      <w:bookmarkStart w:id="247" w:name="_Toc246996931"/>
      <w:bookmarkStart w:id="248" w:name="_Toc324404828"/>
      <w:bookmarkStart w:id="249" w:name="_Toc83301702"/>
      <w:bookmarkStart w:id="250" w:name="_Toc95223350"/>
      <w:bookmarkStart w:id="251" w:name="_Toc15058859"/>
      <w:bookmarkStart w:id="252" w:name="_Toc247085702"/>
      <w:bookmarkStart w:id="253" w:name="_Toc179632561"/>
      <w:bookmarkStart w:id="254" w:name="_Toc246996188"/>
      <w:bookmarkStart w:id="255" w:name="_Toc152042319"/>
      <w:bookmarkStart w:id="256" w:name="_Toc506107282"/>
      <w:r>
        <w:rPr>
          <w:rFonts w:hint="eastAsia" w:ascii="黑体" w:hAnsi="黑体" w:eastAsia="黑体" w:cs="黑体"/>
          <w:color w:val="auto"/>
          <w:sz w:val="21"/>
          <w:szCs w:val="21"/>
          <w:highlight w:val="none"/>
        </w:rPr>
        <w:t>2.1 招标文件的组成</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001D25D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本招标文件包括：</w:t>
      </w:r>
    </w:p>
    <w:p w14:paraId="130A416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（1）招标公告；</w:t>
      </w:r>
    </w:p>
    <w:p w14:paraId="7D2AF1E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（2）投标人须知；</w:t>
      </w:r>
    </w:p>
    <w:p w14:paraId="3013A02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（3）资格审查办法</w:t>
      </w:r>
    </w:p>
    <w:p w14:paraId="1DE4DDD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（4）评标办法；</w:t>
      </w:r>
    </w:p>
    <w:p w14:paraId="59E77E9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（5）合同条款及格式；</w:t>
      </w:r>
    </w:p>
    <w:p w14:paraId="312ABAB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（6）工程量清单； </w:t>
      </w:r>
    </w:p>
    <w:p w14:paraId="6D42A6E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（7）图纸；</w:t>
      </w:r>
    </w:p>
    <w:p w14:paraId="462B13B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（8）技术标准和要求； </w:t>
      </w:r>
    </w:p>
    <w:p w14:paraId="449C48A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（9）投标文件格式；</w:t>
      </w:r>
    </w:p>
    <w:p w14:paraId="24C4E39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（10）投标人须知前附表规定的其他材料。</w:t>
      </w:r>
    </w:p>
    <w:p w14:paraId="4D31BF6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31DEB721">
      <w:pPr>
        <w:pStyle w:val="9"/>
        <w:adjustRightInd w:val="0"/>
        <w:snapToGrid w:val="0"/>
        <w:spacing w:after="0"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4CD7E07F">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57" w:name="_Toc246996189"/>
      <w:bookmarkStart w:id="258" w:name="_Toc296602434"/>
      <w:bookmarkStart w:id="259" w:name="_Toc83301703"/>
      <w:bookmarkStart w:id="260" w:name="_Toc247085703"/>
      <w:bookmarkStart w:id="261" w:name="_Toc144974512"/>
      <w:bookmarkStart w:id="262" w:name="_Toc246996932"/>
      <w:bookmarkStart w:id="263" w:name="_Toc60061448"/>
      <w:bookmarkStart w:id="264" w:name="_Toc179632562"/>
      <w:bookmarkStart w:id="265" w:name="_Toc506107283"/>
      <w:bookmarkStart w:id="266" w:name="_Toc95223351"/>
      <w:bookmarkStart w:id="267" w:name="_Toc324404829"/>
      <w:bookmarkStart w:id="268" w:name="_Toc15058860"/>
      <w:bookmarkStart w:id="269" w:name="_Toc152045544"/>
      <w:bookmarkStart w:id="270" w:name="_Toc152042320"/>
      <w:bookmarkStart w:id="271" w:name="_Toc144974514"/>
      <w:bookmarkStart w:id="272" w:name="_Toc152045546"/>
      <w:bookmarkStart w:id="273" w:name="_Toc83301706"/>
      <w:bookmarkStart w:id="274" w:name="_Toc247085705"/>
      <w:bookmarkStart w:id="275" w:name="_Toc60061451"/>
      <w:bookmarkStart w:id="276" w:name="_Toc506107285"/>
      <w:bookmarkStart w:id="277" w:name="_Toc324404832"/>
      <w:bookmarkStart w:id="278" w:name="_Toc179632564"/>
      <w:bookmarkStart w:id="279" w:name="_Toc152042322"/>
      <w:bookmarkStart w:id="280" w:name="_Toc246996934"/>
      <w:bookmarkStart w:id="281" w:name="_Toc246996191"/>
      <w:bookmarkStart w:id="282" w:name="_Toc95223354"/>
      <w:bookmarkStart w:id="283" w:name="_Toc15058863"/>
      <w:r>
        <w:rPr>
          <w:rFonts w:hint="eastAsia" w:ascii="黑体" w:hAnsi="黑体" w:eastAsia="黑体" w:cs="黑体"/>
          <w:color w:val="auto"/>
          <w:sz w:val="21"/>
          <w:szCs w:val="21"/>
          <w:highlight w:val="none"/>
        </w:rPr>
        <w:t>2.2招标文件的异议</w:t>
      </w:r>
    </w:p>
    <w:p w14:paraId="1BBEE47B">
      <w:pPr>
        <w:pStyle w:val="19"/>
        <w:adjustRightInd w:val="0"/>
        <w:snapToGrid w:val="0"/>
        <w:spacing w:after="0" w:line="560" w:lineRule="exact"/>
        <w:ind w:left="0" w:leftChars="0" w:firstLine="0" w:firstLineChars="0"/>
        <w:rPr>
          <w:rFonts w:hint="eastAsia"/>
          <w:color w:val="auto"/>
          <w:highlight w:val="none"/>
        </w:rPr>
      </w:pPr>
      <w:r>
        <w:rPr>
          <w:rFonts w:hint="eastAsia"/>
          <w:color w:val="auto"/>
          <w:highlight w:val="none"/>
        </w:rPr>
        <w:t xml:space="preserve"> </w:t>
      </w:r>
      <w:r>
        <w:rPr>
          <w:rFonts w:hint="eastAsia" w:ascii="宋体" w:hAnsi="宋体" w:cs="宋体"/>
          <w:color w:val="auto"/>
          <w:szCs w:val="21"/>
          <w:highlight w:val="none"/>
        </w:rPr>
        <w:t xml:space="preserve">  </w:t>
      </w:r>
      <w:r>
        <w:rPr>
          <w:rFonts w:hint="eastAsia"/>
          <w:color w:val="auto"/>
          <w:highlight w:val="none"/>
        </w:rPr>
        <w:t>投标人或其他利害关系人投标人应仔细阅读和检查招标文件的全部内容，对招标文件有异议的，应在投标截止时间 10 日前</w:t>
      </w:r>
      <w:r>
        <w:rPr>
          <w:rFonts w:hint="eastAsia" w:ascii="宋体" w:hAnsi="宋体" w:cs="宋体"/>
          <w:color w:val="auto"/>
          <w:szCs w:val="21"/>
          <w:highlight w:val="none"/>
        </w:rPr>
        <w:t>以投标人须知前附表规定的网上留言或书面形式</w:t>
      </w:r>
      <w:r>
        <w:rPr>
          <w:rFonts w:hint="eastAsia"/>
          <w:color w:val="auto"/>
          <w:highlight w:val="none"/>
        </w:rPr>
        <w:t>提出。招标人将在收到异议之日起 3 日内作出答复；作出答复前，将暂停招标投标活动。</w:t>
      </w:r>
    </w:p>
    <w:p w14:paraId="60BA5069">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ascii="黑体" w:hAnsi="黑体" w:eastAsia="黑体" w:cs="黑体"/>
          <w:color w:val="auto"/>
          <w:sz w:val="21"/>
          <w:szCs w:val="21"/>
          <w:highlight w:val="none"/>
        </w:rPr>
        <w:t>2.3</w:t>
      </w:r>
      <w:r>
        <w:rPr>
          <w:rFonts w:hint="eastAsia" w:ascii="黑体" w:hAnsi="黑体" w:eastAsia="黑体" w:cs="黑体"/>
          <w:color w:val="auto"/>
          <w:sz w:val="21"/>
          <w:szCs w:val="21"/>
          <w:highlight w:val="none"/>
        </w:rPr>
        <w:t>招标文件的澄清</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hint="eastAsia" w:ascii="黑体" w:hAnsi="黑体" w:eastAsia="黑体" w:cs="黑体"/>
          <w:color w:val="auto"/>
          <w:sz w:val="21"/>
          <w:szCs w:val="21"/>
          <w:highlight w:val="none"/>
        </w:rPr>
        <w:t xml:space="preserve"> </w:t>
      </w:r>
    </w:p>
    <w:p w14:paraId="7149A1FB">
      <w:pPr>
        <w:adjustRightInd w:val="0"/>
        <w:snapToGrid w:val="0"/>
        <w:spacing w:line="560" w:lineRule="exact"/>
        <w:ind w:firstLine="420" w:firstLineChars="200"/>
        <w:rPr>
          <w:rFonts w:hint="eastAsia"/>
          <w:color w:val="auto"/>
          <w:highlight w:val="none"/>
        </w:rPr>
      </w:pPr>
      <w:r>
        <w:rPr>
          <w:rFonts w:hint="eastAsia" w:ascii="宋体" w:hAnsi="宋体" w:cs="宋体"/>
          <w:color w:val="auto"/>
          <w:szCs w:val="21"/>
          <w:highlight w:val="none"/>
        </w:rPr>
        <w:t>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7E25CFE7">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 投标文件</w:t>
      </w:r>
      <w:bookmarkEnd w:id="271"/>
      <w:bookmarkEnd w:id="272"/>
      <w:bookmarkEnd w:id="273"/>
      <w:bookmarkEnd w:id="274"/>
      <w:bookmarkEnd w:id="275"/>
      <w:bookmarkEnd w:id="276"/>
      <w:bookmarkEnd w:id="277"/>
      <w:bookmarkEnd w:id="278"/>
      <w:bookmarkEnd w:id="279"/>
      <w:bookmarkEnd w:id="280"/>
      <w:bookmarkEnd w:id="281"/>
      <w:bookmarkEnd w:id="282"/>
      <w:bookmarkEnd w:id="283"/>
    </w:p>
    <w:p w14:paraId="5A484AA0">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284" w:name="_Toc15058864"/>
      <w:bookmarkStart w:id="285" w:name="_Toc506107286"/>
      <w:bookmarkStart w:id="286" w:name="_Toc144974515"/>
      <w:bookmarkStart w:id="287" w:name="_Toc179632565"/>
      <w:bookmarkStart w:id="288" w:name="_Toc296602437"/>
      <w:bookmarkStart w:id="289" w:name="_Toc83301707"/>
      <w:bookmarkStart w:id="290" w:name="_Toc152045547"/>
      <w:bookmarkStart w:id="291" w:name="_Toc60061452"/>
      <w:bookmarkStart w:id="292" w:name="_Toc246996192"/>
      <w:bookmarkStart w:id="293" w:name="_Toc95223355"/>
      <w:bookmarkStart w:id="294" w:name="_Toc152042323"/>
      <w:bookmarkStart w:id="295" w:name="_Toc246996935"/>
      <w:bookmarkStart w:id="296" w:name="_Toc324404833"/>
      <w:bookmarkStart w:id="297" w:name="_Toc247085706"/>
      <w:r>
        <w:rPr>
          <w:rFonts w:hint="eastAsia" w:ascii="黑体" w:hAnsi="黑体" w:eastAsia="黑体" w:cs="黑体"/>
          <w:color w:val="auto"/>
          <w:sz w:val="21"/>
          <w:szCs w:val="21"/>
          <w:highlight w:val="none"/>
        </w:rPr>
        <w:t>3.1 投标文件的组成</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2F887A2">
      <w:pPr>
        <w:adjustRightInd w:val="0"/>
        <w:snapToGrid w:val="0"/>
        <w:spacing w:line="560" w:lineRule="exact"/>
        <w:ind w:firstLine="420" w:firstLineChars="200"/>
        <w:rPr>
          <w:rFonts w:hint="eastAsia" w:ascii="宋体" w:hAnsi="宋体" w:cs="宋体"/>
          <w:color w:val="auto"/>
          <w:szCs w:val="21"/>
          <w:highlight w:val="none"/>
        </w:rPr>
      </w:pPr>
      <w:bookmarkStart w:id="298" w:name="_Toc152042324"/>
      <w:bookmarkStart w:id="299" w:name="_Toc95223356"/>
      <w:bookmarkStart w:id="300" w:name="_Toc15058865"/>
      <w:bookmarkStart w:id="301" w:name="_Toc83301708"/>
      <w:bookmarkStart w:id="302" w:name="_Toc296602438"/>
      <w:bookmarkStart w:id="303" w:name="_Toc506107287"/>
      <w:bookmarkStart w:id="304" w:name="_Toc60061453"/>
      <w:bookmarkStart w:id="305" w:name="_Toc246996193"/>
      <w:bookmarkStart w:id="306" w:name="_Toc144974516"/>
      <w:bookmarkStart w:id="307" w:name="_Toc324404834"/>
      <w:bookmarkStart w:id="308" w:name="_Toc152045548"/>
      <w:bookmarkStart w:id="309" w:name="_Toc246996936"/>
      <w:bookmarkStart w:id="310" w:name="_Toc179632566"/>
      <w:bookmarkStart w:id="311" w:name="_Toc247085707"/>
      <w:r>
        <w:rPr>
          <w:rFonts w:hint="eastAsia" w:ascii="宋体" w:hAnsi="宋体" w:cs="宋体"/>
          <w:color w:val="auto"/>
          <w:szCs w:val="21"/>
          <w:highlight w:val="none"/>
        </w:rPr>
        <w:t>3.1.1 投标文件应包括下列内容：</w:t>
      </w:r>
    </w:p>
    <w:p w14:paraId="0842F02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资信证明文件：</w:t>
      </w:r>
    </w:p>
    <w:p w14:paraId="40FFC20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（1）投标人基本情况表；</w:t>
      </w:r>
    </w:p>
    <w:p w14:paraId="07B9EA1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（2）近年财务状况表；</w:t>
      </w:r>
    </w:p>
    <w:p w14:paraId="3045D5C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（3）近年完成的类似项目情况表；</w:t>
      </w:r>
    </w:p>
    <w:p w14:paraId="3966963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（4）正在实施的和新承接的项目情况表；</w:t>
      </w:r>
    </w:p>
    <w:p w14:paraId="3FAF90F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（5）联合体协议书 （如有）；</w:t>
      </w:r>
    </w:p>
    <w:p w14:paraId="4B8F2E4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（6）项目管理机构；</w:t>
      </w:r>
    </w:p>
    <w:p w14:paraId="7CEEDE4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（7）其他资格审查资料。</w:t>
      </w:r>
    </w:p>
    <w:p w14:paraId="34B296B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技术标文件：</w:t>
      </w:r>
    </w:p>
    <w:p w14:paraId="0D019D3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（1）施工组织设计；</w:t>
      </w:r>
    </w:p>
    <w:p w14:paraId="247C7F7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（2）技术标评审所需其他材料。</w:t>
      </w:r>
    </w:p>
    <w:p w14:paraId="0C01383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商务标文件：</w:t>
      </w:r>
    </w:p>
    <w:p w14:paraId="20B6BFF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w:t>
      </w:r>
    </w:p>
    <w:p w14:paraId="5906628D">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（2）工程量清单报价书；</w:t>
      </w:r>
    </w:p>
    <w:p w14:paraId="0243801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（3）招标人推荐的材料品牌响应表（如有）；</w:t>
      </w:r>
    </w:p>
    <w:p w14:paraId="2046D87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（4）全国建筑市场监管公共服务平台(四库一平台)企业注册人员网页截图；</w:t>
      </w:r>
    </w:p>
    <w:p w14:paraId="5600D86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（5）商务标评审所需其他材料。</w:t>
      </w:r>
    </w:p>
    <w:p w14:paraId="4D2977EA">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3.1.2 投标人须知前附表规定不接受联合体投标的，或投标人没有组成联合体的，投标文件不包括本章第3.1.1（5）目所指的联合体协议书。</w:t>
      </w:r>
    </w:p>
    <w:p w14:paraId="37509EF8">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3.2 投标报价</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0DD12C2">
      <w:pPr>
        <w:adjustRightInd w:val="0"/>
        <w:snapToGrid w:val="0"/>
        <w:spacing w:line="560" w:lineRule="exact"/>
        <w:ind w:firstLine="420" w:firstLineChars="200"/>
        <w:rPr>
          <w:rFonts w:hint="eastAsia" w:ascii="宋体" w:hAnsi="宋体" w:cs="宋体"/>
          <w:color w:val="auto"/>
          <w:szCs w:val="21"/>
          <w:highlight w:val="none"/>
        </w:rPr>
      </w:pPr>
      <w:bookmarkStart w:id="312" w:name="_Toc296602439"/>
      <w:bookmarkStart w:id="313" w:name="_Toc324404835"/>
      <w:bookmarkStart w:id="314" w:name="_Toc246996937"/>
      <w:bookmarkStart w:id="315" w:name="_Toc144974517"/>
      <w:bookmarkStart w:id="316" w:name="_Toc152042325"/>
      <w:bookmarkStart w:id="317" w:name="_Toc179632567"/>
      <w:bookmarkStart w:id="318" w:name="_Toc152045549"/>
      <w:bookmarkStart w:id="319" w:name="_Toc247085708"/>
      <w:bookmarkStart w:id="320" w:name="_Toc246996194"/>
      <w:r>
        <w:rPr>
          <w:rFonts w:hint="eastAsia" w:ascii="宋体" w:hAnsi="宋体" w:cs="宋体"/>
          <w:color w:val="auto"/>
          <w:szCs w:val="21"/>
          <w:highlight w:val="none"/>
        </w:rPr>
        <w:t>3.2.1投标报价应包括国家规定的增值税税金，除投标人须知前附表另有规定外，增值税税金按一般计税方法计算。投标人应按第九章“投标文件格式”的要求在投标函中进行报价并填写工程量清单相应表格。</w:t>
      </w:r>
    </w:p>
    <w:p w14:paraId="5367B24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6E98E387">
      <w:pPr>
        <w:pStyle w:val="19"/>
        <w:adjustRightInd w:val="0"/>
        <w:snapToGrid w:val="0"/>
        <w:spacing w:after="0" w:line="560" w:lineRule="exact"/>
        <w:ind w:left="0" w:leftChars="0" w:firstLineChars="0"/>
        <w:rPr>
          <w:rFonts w:hint="eastAsia"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01469DE6">
      <w:pPr>
        <w:adjustRightInd w:val="0"/>
        <w:snapToGrid w:val="0"/>
        <w:spacing w:line="560" w:lineRule="exact"/>
        <w:ind w:firstLine="420"/>
        <w:rPr>
          <w:rFonts w:hint="eastAsia"/>
          <w:color w:val="auto"/>
          <w:highlight w:val="none"/>
        </w:rPr>
      </w:pPr>
      <w:r>
        <w:rPr>
          <w:rFonts w:hint="eastAsia" w:ascii="宋体" w:hAnsi="宋体" w:cs="宋体"/>
          <w:color w:val="auto"/>
          <w:szCs w:val="21"/>
          <w:highlight w:val="none"/>
        </w:rPr>
        <w:t>3.2.4招</w:t>
      </w:r>
      <w:r>
        <w:rPr>
          <w:rFonts w:hint="eastAsia"/>
          <w:color w:val="auto"/>
          <w:highlight w:val="none"/>
        </w:rPr>
        <w:t>标人设有最高投标限价的，投标人的投标报价不得超过最高投标限价，最高投标限价在投标人须知前附表中载明。</w:t>
      </w:r>
    </w:p>
    <w:p w14:paraId="779C83FE">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3.2.5 </w:t>
      </w:r>
      <w:r>
        <w:rPr>
          <w:rFonts w:hint="eastAsia" w:ascii="宋体" w:hAnsi="宋体" w:cs="宋体"/>
          <w:bCs/>
          <w:snapToGrid w:val="0"/>
          <w:color w:val="auto"/>
          <w:kern w:val="0"/>
          <w:szCs w:val="21"/>
          <w:highlight w:val="none"/>
        </w:rPr>
        <w:t>投标报价的其他要求见投标人须知前附表。</w:t>
      </w:r>
    </w:p>
    <w:p w14:paraId="4FE70F34">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21" w:name="_Toc506107288"/>
      <w:bookmarkStart w:id="322" w:name="_Toc15058866"/>
      <w:bookmarkStart w:id="323" w:name="_Toc83301709"/>
      <w:bookmarkStart w:id="324" w:name="_Toc95223357"/>
      <w:bookmarkStart w:id="325" w:name="_Toc60061454"/>
      <w:r>
        <w:rPr>
          <w:rFonts w:hint="eastAsia" w:ascii="黑体" w:hAnsi="黑体" w:eastAsia="黑体" w:cs="黑体"/>
          <w:color w:val="auto"/>
          <w:sz w:val="21"/>
          <w:szCs w:val="21"/>
          <w:highlight w:val="none"/>
        </w:rPr>
        <w:t>3.3 投标有效期</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0AE016B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 90天。</w:t>
      </w:r>
    </w:p>
    <w:p w14:paraId="6D6B726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49D7258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E03C3AF">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26" w:name="_Toc144974518"/>
      <w:bookmarkStart w:id="327" w:name="_Toc296602440"/>
      <w:bookmarkStart w:id="328" w:name="_Toc246996195"/>
      <w:bookmarkStart w:id="329" w:name="_Toc95223358"/>
      <w:bookmarkStart w:id="330" w:name="_Toc83301710"/>
      <w:bookmarkStart w:id="331" w:name="_Toc152045550"/>
      <w:bookmarkStart w:id="332" w:name="_Toc506107289"/>
      <w:bookmarkStart w:id="333" w:name="_Toc324404836"/>
      <w:bookmarkStart w:id="334" w:name="_Toc247085709"/>
      <w:bookmarkStart w:id="335" w:name="_Toc179632568"/>
      <w:bookmarkStart w:id="336" w:name="_Toc15058867"/>
      <w:bookmarkStart w:id="337" w:name="_Toc152042326"/>
      <w:bookmarkStart w:id="338" w:name="_Toc246996938"/>
      <w:bookmarkStart w:id="339" w:name="_Toc60061455"/>
      <w:r>
        <w:rPr>
          <w:rFonts w:hint="eastAsia" w:ascii="黑体" w:hAnsi="黑体" w:eastAsia="黑体" w:cs="黑体"/>
          <w:color w:val="auto"/>
          <w:sz w:val="21"/>
          <w:szCs w:val="21"/>
          <w:highlight w:val="none"/>
        </w:rPr>
        <w:t>3.4 投标保证金</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0BFD76D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和第九章“投标文件格式”规定的或者事先经过招标人认可的保证金格式递交保证金，并作为其投标文件的组成部分。联合体投标的，其投标保证金由牵头人递交，并应符合投标人须知前附表的规定。</w:t>
      </w:r>
    </w:p>
    <w:p w14:paraId="38E86C77">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w:t>
      </w:r>
      <w:r>
        <w:rPr>
          <w:rFonts w:hint="eastAsia"/>
          <w:color w:val="auto"/>
          <w:highlight w:val="none"/>
        </w:rPr>
        <w:t>采用投标电子保函的保证期截止时间不得早于该项目投标有效期的截止时间</w:t>
      </w:r>
      <w:r>
        <w:rPr>
          <w:rFonts w:hint="eastAsia" w:ascii="宋体" w:hAnsi="宋体" w:cs="宋体"/>
          <w:color w:val="auto"/>
          <w:szCs w:val="21"/>
          <w:highlight w:val="none"/>
        </w:rPr>
        <w:t>）。招标人如果按本章第 3.3.3 项的规定延长了投标有效期，则投标保证金的有效期也相应延长。</w:t>
      </w:r>
    </w:p>
    <w:p w14:paraId="2669FAC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06E81EB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3.4.3 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2581F23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5DE219E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31041A5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1A3DF9A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3.4.5 投标保证金按《</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"https://www.chuzhou.gov.cn/group1/M00/12/83/CpYI8mGDiKqAD_IkAAEIAMLVghw186.doc" \t "_blank" </w:instrText>
      </w:r>
      <w:r>
        <w:rPr>
          <w:rFonts w:ascii="宋体" w:hAnsi="宋体" w:cs="宋体"/>
          <w:color w:val="auto"/>
          <w:szCs w:val="21"/>
          <w:highlight w:val="none"/>
        </w:rPr>
        <w:fldChar w:fldCharType="separate"/>
      </w:r>
      <w:r>
        <w:rPr>
          <w:rFonts w:hint="eastAsia" w:ascii="宋体" w:hAnsi="宋体" w:cs="宋体"/>
          <w:color w:val="auto"/>
          <w:szCs w:val="21"/>
          <w:highlight w:val="none"/>
        </w:rPr>
        <w:t>滁州市公共资源交易投标保证金管理规定</w:t>
      </w:r>
      <w:r>
        <w:rPr>
          <w:rFonts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0116FB98">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40" w:name="_Toc95223359"/>
      <w:bookmarkStart w:id="341" w:name="_Toc324404837"/>
      <w:bookmarkStart w:id="342" w:name="_Toc506107290"/>
      <w:bookmarkStart w:id="343" w:name="_Toc15058868"/>
      <w:bookmarkStart w:id="344" w:name="_Toc83301711"/>
      <w:bookmarkStart w:id="345" w:name="_Toc60061456"/>
      <w:bookmarkStart w:id="346" w:name="_Toc296602442"/>
      <w:bookmarkStart w:id="347" w:name="_Toc246996197"/>
      <w:bookmarkStart w:id="348" w:name="_Toc152042329"/>
      <w:bookmarkStart w:id="349" w:name="_Toc179632571"/>
      <w:bookmarkStart w:id="350" w:name="_Toc152045553"/>
      <w:bookmarkStart w:id="351" w:name="_Toc144974521"/>
      <w:bookmarkStart w:id="352" w:name="_Toc247085711"/>
      <w:bookmarkStart w:id="353" w:name="_Toc246996940"/>
      <w:r>
        <w:rPr>
          <w:rFonts w:hint="eastAsia" w:ascii="黑体" w:hAnsi="黑体" w:eastAsia="黑体" w:cs="黑体"/>
          <w:color w:val="auto"/>
          <w:sz w:val="21"/>
          <w:szCs w:val="21"/>
          <w:highlight w:val="none"/>
        </w:rPr>
        <w:t>3.5投标文件的编制</w:t>
      </w:r>
      <w:bookmarkEnd w:id="340"/>
      <w:bookmarkEnd w:id="341"/>
      <w:bookmarkEnd w:id="342"/>
      <w:bookmarkEnd w:id="343"/>
      <w:bookmarkEnd w:id="344"/>
      <w:bookmarkEnd w:id="345"/>
      <w:bookmarkEnd w:id="346"/>
    </w:p>
    <w:p w14:paraId="4BB43E5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投标文件应按第九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4D707A2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3.5.2本次投标不需要提供纸质投标文件，投标人应按照电子招标投标的要求，在投标人的电子系统中制作、签章、上传加密的电子投标文件。</w:t>
      </w:r>
    </w:p>
    <w:p w14:paraId="6DD5B9E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 投标文件应当对招标文件有关工期、投标有效期、质量要求、技术标准和要求、招标范围等实质性内容作出响应。</w:t>
      </w:r>
    </w:p>
    <w:bookmarkEnd w:id="347"/>
    <w:bookmarkEnd w:id="348"/>
    <w:bookmarkEnd w:id="349"/>
    <w:bookmarkEnd w:id="350"/>
    <w:bookmarkEnd w:id="351"/>
    <w:bookmarkEnd w:id="352"/>
    <w:bookmarkEnd w:id="353"/>
    <w:p w14:paraId="404B5066">
      <w:pPr>
        <w:adjustRightInd w:val="0"/>
        <w:snapToGrid w:val="0"/>
        <w:spacing w:line="600" w:lineRule="exact"/>
        <w:ind w:firstLine="420" w:firstLineChars="200"/>
        <w:rPr>
          <w:rFonts w:hint="eastAsia" w:ascii="宋体" w:hAnsi="宋体" w:cs="宋体"/>
          <w:bCs/>
          <w:snapToGrid w:val="0"/>
          <w:color w:val="auto"/>
          <w:kern w:val="0"/>
          <w:szCs w:val="21"/>
          <w:highlight w:val="none"/>
        </w:rPr>
      </w:pPr>
      <w:bookmarkStart w:id="354" w:name="_Toc247085713"/>
      <w:bookmarkStart w:id="355" w:name="_Toc246996199"/>
      <w:bookmarkStart w:id="356" w:name="_Toc246996942"/>
      <w:bookmarkStart w:id="357" w:name="_Toc324404838"/>
      <w:bookmarkStart w:id="358" w:name="_Toc152042331"/>
      <w:bookmarkStart w:id="359" w:name="_Toc179632573"/>
      <w:bookmarkStart w:id="360" w:name="_Toc144974523"/>
      <w:bookmarkStart w:id="361" w:name="_Toc152045555"/>
      <w:r>
        <w:rPr>
          <w:rFonts w:hint="eastAsia" w:ascii="宋体" w:hAnsi="宋体" w:cs="宋体"/>
          <w:bCs/>
          <w:snapToGrid w:val="0"/>
          <w:color w:val="auto"/>
          <w:kern w:val="0"/>
          <w:szCs w:val="21"/>
          <w:highlight w:val="none"/>
        </w:rPr>
        <w:t>3.5.4 投标人须知前附表规定接受联合体投标的，资格审查资料应包括联合体各方相关情况 。</w:t>
      </w:r>
    </w:p>
    <w:p w14:paraId="33A15536">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3.5.5招标人有权核查投标人在投标文件中提供的资料，若发现投标人以他人名义投标或者以其他方式弄虚作假骗取中标的，中标无效；</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。同时招标人将投标人上述弄虚作假行为上报公共资源交易监督管理部门处理。</w:t>
      </w:r>
    </w:p>
    <w:p w14:paraId="7333798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3.5.6投标文件的制作应满足以下规定：</w:t>
      </w:r>
    </w:p>
    <w:p w14:paraId="109A7ED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（1）投标文件由投标人使用电子交易系统提供的“投标文件制作工具”制作生成。“投标文件制作工具”可以通过电子交易系统下载。</w:t>
      </w:r>
    </w:p>
    <w:p w14:paraId="5FB6FAF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2368F10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95DDFC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（4）投标文件制作的具体方法详见“投标文件制作工具”中的帮助文档。</w:t>
      </w:r>
    </w:p>
    <w:p w14:paraId="6481B979">
      <w:pPr>
        <w:adjustRightInd w:val="0"/>
        <w:snapToGrid w:val="0"/>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3.5.7 因投标人自身原因而导致投标文件无法导入电子交易系统电子开标、评标系统，该投标视为无效投标，投标人自行承担由此导致的全部责任。</w:t>
      </w:r>
    </w:p>
    <w:p w14:paraId="39601239">
      <w:pPr>
        <w:adjustRightInd w:val="0"/>
        <w:snapToGrid w:val="0"/>
        <w:spacing w:line="5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3.5.8 投标人中标后须递交与网上电子投标文件完全一致的纸质版投标文件，在领取中标通知书时，一并递交给招标代理机构。</w:t>
      </w:r>
    </w:p>
    <w:p w14:paraId="7690A413">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3.6 备选投标方案</w:t>
      </w:r>
    </w:p>
    <w:p w14:paraId="7CCFB5CA">
      <w:pPr>
        <w:adjustRightInd w:val="0"/>
        <w:snapToGrid w:val="0"/>
        <w:spacing w:line="6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3.6.1 </w:t>
      </w:r>
      <w:r>
        <w:rPr>
          <w:rFonts w:hint="eastAsia" w:ascii="宋体" w:hAnsi="宋体" w:cs="宋体"/>
          <w:bCs/>
          <w:snapToGrid w:val="0"/>
          <w:color w:val="auto"/>
          <w:kern w:val="0"/>
          <w:szCs w:val="21"/>
          <w:highlight w:val="none"/>
        </w:rPr>
        <w:t>除投标人须知前附表规定允许外，投标人不得递交备选投标方案，否则其投标将被否决。</w:t>
      </w:r>
    </w:p>
    <w:p w14:paraId="3D2B5D3B">
      <w:pPr>
        <w:adjustRightInd w:val="0"/>
        <w:snapToGrid w:val="0"/>
        <w:spacing w:line="60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3.6.2 </w:t>
      </w:r>
      <w:r>
        <w:rPr>
          <w:rFonts w:hint="eastAsia" w:ascii="宋体" w:hAnsi="宋体" w:cs="宋体"/>
          <w:bCs/>
          <w:snapToGrid w:val="0"/>
          <w:color w:val="auto"/>
          <w:kern w:val="0"/>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6EE38F53">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3.6.3 </w:t>
      </w:r>
      <w:r>
        <w:rPr>
          <w:rFonts w:hint="eastAsia" w:ascii="宋体" w:hAnsi="宋体" w:cs="宋体"/>
          <w:bCs/>
          <w:snapToGrid w:val="0"/>
          <w:color w:val="auto"/>
          <w:kern w:val="0"/>
          <w:szCs w:val="21"/>
          <w:highlight w:val="none"/>
        </w:rPr>
        <w:t>投标人提供两个或两个以上投标报价，或在投标文件中提供一个报价，但同时提供两个或两个以上施工组织设计的，视为提供备选方案。</w:t>
      </w:r>
    </w:p>
    <w:p w14:paraId="605F338E">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362" w:name="_Toc15058869"/>
      <w:bookmarkStart w:id="363" w:name="_Toc506107291"/>
      <w:bookmarkStart w:id="364" w:name="_Toc60061457"/>
      <w:bookmarkStart w:id="365" w:name="_Toc83301712"/>
      <w:bookmarkStart w:id="366" w:name="_Toc95223360"/>
      <w:r>
        <w:rPr>
          <w:rFonts w:hint="eastAsia" w:ascii="黑体" w:hAnsi="黑体" w:cs="黑体"/>
          <w:color w:val="auto"/>
          <w:sz w:val="21"/>
          <w:szCs w:val="21"/>
          <w:highlight w:val="none"/>
        </w:rPr>
        <w:t>4.投标</w:t>
      </w:r>
      <w:bookmarkEnd w:id="362"/>
      <w:bookmarkEnd w:id="363"/>
      <w:bookmarkEnd w:id="364"/>
      <w:bookmarkEnd w:id="365"/>
      <w:bookmarkEnd w:id="366"/>
    </w:p>
    <w:p w14:paraId="680C3146">
      <w:pPr>
        <w:pStyle w:val="5"/>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367" w:name="_Toc15058870"/>
      <w:bookmarkStart w:id="368" w:name="_Toc95223361"/>
      <w:bookmarkStart w:id="369" w:name="_Toc60061458"/>
      <w:bookmarkStart w:id="370" w:name="_Toc83301713"/>
      <w:r>
        <w:rPr>
          <w:rFonts w:hint="eastAsia" w:ascii="黑体" w:hAnsi="黑体" w:eastAsia="黑体" w:cs="黑体"/>
          <w:color w:val="auto"/>
          <w:sz w:val="21"/>
          <w:szCs w:val="21"/>
          <w:highlight w:val="none"/>
        </w:rPr>
        <w:t>4.1投标文件上传</w:t>
      </w:r>
      <w:bookmarkEnd w:id="367"/>
      <w:bookmarkEnd w:id="368"/>
      <w:bookmarkEnd w:id="369"/>
      <w:bookmarkEnd w:id="370"/>
    </w:p>
    <w:p w14:paraId="7A20BCC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4.1.1请投标人通过系统下载投标工具制作投标文件，并利用CA数字证书进行上传投标文件，上传已加密的投标文件，务必通过此方式上传投标文件。</w:t>
      </w:r>
    </w:p>
    <w:p w14:paraId="1D5508A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4.1.2投标人在投标文件编制、签章、上传过程中如有任何操作的疑问请及时联系技术支持，电话：0550-3801701。</w:t>
      </w:r>
    </w:p>
    <w:p w14:paraId="6BE83A5E">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71" w:name="_Toc506107292"/>
      <w:bookmarkStart w:id="372" w:name="_Toc246996943"/>
      <w:bookmarkStart w:id="373" w:name="_Toc144974524"/>
      <w:bookmarkStart w:id="374" w:name="_Toc324404839"/>
      <w:bookmarkStart w:id="375" w:name="_Toc60061459"/>
      <w:bookmarkStart w:id="376" w:name="_Toc15058871"/>
      <w:bookmarkStart w:id="377" w:name="_Toc296602444"/>
      <w:bookmarkStart w:id="378" w:name="_Toc83301714"/>
      <w:bookmarkStart w:id="379" w:name="_Toc95223362"/>
      <w:bookmarkStart w:id="380" w:name="_Toc247085714"/>
      <w:bookmarkStart w:id="381" w:name="_Toc152042332"/>
      <w:bookmarkStart w:id="382" w:name="_Toc152045556"/>
      <w:bookmarkStart w:id="383" w:name="_Toc179632574"/>
      <w:bookmarkStart w:id="384" w:name="_Toc246996200"/>
      <w:r>
        <w:rPr>
          <w:rFonts w:hint="eastAsia" w:ascii="黑体" w:hAnsi="黑体" w:eastAsia="黑体" w:cs="黑体"/>
          <w:color w:val="auto"/>
          <w:sz w:val="21"/>
          <w:szCs w:val="21"/>
          <w:highlight w:val="none"/>
        </w:rPr>
        <w:t>4.2投标文件的密封和标记</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4613E300">
      <w:pPr>
        <w:adjustRightInd w:val="0"/>
        <w:snapToGrid w:val="0"/>
        <w:spacing w:line="560" w:lineRule="exact"/>
        <w:ind w:firstLine="420" w:firstLineChars="200"/>
        <w:rPr>
          <w:rFonts w:hint="eastAsia" w:ascii="宋体" w:hAnsi="宋体" w:cs="宋体"/>
          <w:color w:val="auto"/>
          <w:szCs w:val="21"/>
          <w:highlight w:val="none"/>
        </w:rPr>
      </w:pPr>
      <w:bookmarkStart w:id="385" w:name="_Toc247085715"/>
      <w:bookmarkStart w:id="386" w:name="_Toc246996201"/>
      <w:bookmarkStart w:id="387" w:name="_Toc144974525"/>
      <w:bookmarkStart w:id="388" w:name="_Toc152042333"/>
      <w:bookmarkStart w:id="389" w:name="_Toc246996944"/>
      <w:bookmarkStart w:id="390" w:name="_Toc296602445"/>
      <w:bookmarkStart w:id="391" w:name="_Toc152045557"/>
      <w:bookmarkStart w:id="392" w:name="_Toc179632575"/>
      <w:bookmarkStart w:id="393" w:name="_Toc324404840"/>
      <w:r>
        <w:rPr>
          <w:rFonts w:hint="eastAsia" w:ascii="宋体" w:hAnsi="宋体" w:cs="宋体"/>
          <w:color w:val="auto"/>
          <w:szCs w:val="21"/>
          <w:highlight w:val="none"/>
        </w:rPr>
        <w:t>4.2.1投标文件应按照本章第3.5.6项要求制作并加密，未按要求加密的投标文件将被拒绝接收。以投标人在投标截止时间前网上递交的电子投标文件为准。</w:t>
      </w:r>
    </w:p>
    <w:p w14:paraId="70BA6AA0">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94" w:name="_Toc15058872"/>
      <w:bookmarkStart w:id="395" w:name="_Toc95223363"/>
      <w:bookmarkStart w:id="396" w:name="_Toc83301715"/>
      <w:bookmarkStart w:id="397" w:name="_Toc60061460"/>
      <w:bookmarkStart w:id="398" w:name="_Toc506107293"/>
      <w:r>
        <w:rPr>
          <w:rFonts w:hint="eastAsia" w:ascii="黑体" w:hAnsi="黑体" w:eastAsia="黑体" w:cs="黑体"/>
          <w:color w:val="auto"/>
          <w:sz w:val="21"/>
          <w:szCs w:val="21"/>
          <w:highlight w:val="none"/>
        </w:rPr>
        <w:t>4.3 投标文件的递交</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0BCC027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 投标人应当在第一章“招标公告”规定的投标截止时间前，将加密投标文件上传至电子交易系统。</w:t>
      </w:r>
    </w:p>
    <w:p w14:paraId="0AC6AC9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4.3.2 除投标人须知前附表另有规定外，投标人所递交的投标文件不予退还。</w:t>
      </w:r>
    </w:p>
    <w:p w14:paraId="4B71C39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4.3.3 </w:t>
      </w:r>
      <w:r>
        <w:rPr>
          <w:rFonts w:ascii="宋体" w:hAnsi="宋体" w:cs="宋体"/>
          <w:color w:val="auto"/>
          <w:szCs w:val="21"/>
          <w:highlight w:val="none"/>
        </w:rPr>
        <w:t>投标人应当在投标截止时间前完成投标文件的</w:t>
      </w:r>
      <w:r>
        <w:rPr>
          <w:rFonts w:hint="eastAsia" w:ascii="宋体" w:hAnsi="宋体" w:cs="宋体"/>
          <w:color w:val="auto"/>
          <w:szCs w:val="21"/>
          <w:highlight w:val="none"/>
        </w:rPr>
        <w:t>网上递交，</w:t>
      </w:r>
      <w:r>
        <w:rPr>
          <w:rFonts w:ascii="宋体" w:hAnsi="宋体" w:cs="宋体"/>
          <w:color w:val="auto"/>
          <w:szCs w:val="21"/>
          <w:highlight w:val="none"/>
        </w:rPr>
        <w:t xml:space="preserve"> 并可以补充、修改或者撤回投标文件。投标截止时间前未完成投标文件</w:t>
      </w:r>
      <w:r>
        <w:rPr>
          <w:rFonts w:hint="eastAsia" w:ascii="宋体" w:hAnsi="宋体" w:cs="宋体"/>
          <w:color w:val="auto"/>
          <w:szCs w:val="21"/>
          <w:highlight w:val="none"/>
        </w:rPr>
        <w:t>网上递交</w:t>
      </w:r>
      <w:r>
        <w:rPr>
          <w:rFonts w:ascii="宋体" w:hAnsi="宋体" w:cs="宋体"/>
          <w:color w:val="auto"/>
          <w:szCs w:val="21"/>
          <w:highlight w:val="none"/>
        </w:rPr>
        <w:t>的，视为撤回投标文件。未按规定加密或投标截止时间后</w:t>
      </w:r>
      <w:r>
        <w:rPr>
          <w:rFonts w:hint="eastAsia" w:ascii="宋体" w:hAnsi="宋体" w:cs="宋体"/>
          <w:color w:val="auto"/>
          <w:szCs w:val="21"/>
          <w:highlight w:val="none"/>
        </w:rPr>
        <w:t>通过网上招标投标系统递交电子投标文件的</w:t>
      </w:r>
      <w:r>
        <w:rPr>
          <w:rFonts w:ascii="宋体" w:hAnsi="宋体" w:cs="宋体"/>
          <w:color w:val="auto"/>
          <w:szCs w:val="21"/>
          <w:highlight w:val="none"/>
        </w:rPr>
        <w:t>，电子交易系统应当拒收</w:t>
      </w:r>
      <w:r>
        <w:rPr>
          <w:rFonts w:hint="eastAsia" w:ascii="宋体" w:hAnsi="宋体" w:cs="宋体"/>
          <w:color w:val="auto"/>
          <w:szCs w:val="21"/>
          <w:highlight w:val="none"/>
        </w:rPr>
        <w:t>，投标无效。</w:t>
      </w:r>
    </w:p>
    <w:p w14:paraId="62567539">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399" w:name="_Toc296602446"/>
      <w:bookmarkStart w:id="400" w:name="_Toc60061461"/>
      <w:bookmarkStart w:id="401" w:name="_Toc506107294"/>
      <w:bookmarkStart w:id="402" w:name="_Toc95223364"/>
      <w:bookmarkStart w:id="403" w:name="_Toc246996945"/>
      <w:bookmarkStart w:id="404" w:name="_Toc152045558"/>
      <w:bookmarkStart w:id="405" w:name="_Toc152042334"/>
      <w:bookmarkStart w:id="406" w:name="_Toc144974526"/>
      <w:bookmarkStart w:id="407" w:name="_Toc83301716"/>
      <w:bookmarkStart w:id="408" w:name="_Toc15058873"/>
      <w:bookmarkStart w:id="409" w:name="_Toc247085716"/>
      <w:bookmarkStart w:id="410" w:name="_Toc324404841"/>
      <w:bookmarkStart w:id="411" w:name="_Toc179632576"/>
      <w:bookmarkStart w:id="412" w:name="_Toc246996202"/>
      <w:r>
        <w:rPr>
          <w:rFonts w:hint="eastAsia" w:ascii="黑体" w:hAnsi="黑体" w:eastAsia="黑体" w:cs="黑体"/>
          <w:color w:val="auto"/>
          <w:sz w:val="21"/>
          <w:szCs w:val="21"/>
          <w:highlight w:val="none"/>
        </w:rPr>
        <w:t>4.4 投标文件的修改与撤回</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D64A64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7CC62FB1">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413" w:name="_Toc83301717"/>
      <w:bookmarkStart w:id="414" w:name="_Toc506107295"/>
      <w:bookmarkStart w:id="415" w:name="_Toc247085717"/>
      <w:bookmarkStart w:id="416" w:name="_Toc179632577"/>
      <w:bookmarkStart w:id="417" w:name="_Toc95223365"/>
      <w:bookmarkStart w:id="418" w:name="_Toc144974527"/>
      <w:bookmarkStart w:id="419" w:name="_Toc246996203"/>
      <w:bookmarkStart w:id="420" w:name="_Toc246996946"/>
      <w:bookmarkStart w:id="421" w:name="_Toc60061462"/>
      <w:bookmarkStart w:id="422" w:name="_Toc15058874"/>
      <w:bookmarkStart w:id="423" w:name="_Toc324404842"/>
      <w:bookmarkStart w:id="424" w:name="_Toc152042335"/>
      <w:bookmarkStart w:id="425" w:name="_Toc152045559"/>
      <w:r>
        <w:rPr>
          <w:rFonts w:hint="eastAsia" w:ascii="黑体" w:hAnsi="黑体" w:cs="黑体"/>
          <w:color w:val="auto"/>
          <w:sz w:val="21"/>
          <w:szCs w:val="21"/>
          <w:highlight w:val="none"/>
        </w:rPr>
        <w:t>5. 开标</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16AB30C6">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26" w:name="_Toc506107296"/>
      <w:bookmarkStart w:id="427" w:name="_Toc83301718"/>
      <w:bookmarkStart w:id="428" w:name="_Toc95223366"/>
      <w:bookmarkStart w:id="429" w:name="_Toc246996947"/>
      <w:bookmarkStart w:id="430" w:name="_Toc152045560"/>
      <w:bookmarkStart w:id="431" w:name="_Toc144974528"/>
      <w:bookmarkStart w:id="432" w:name="_Toc247085718"/>
      <w:bookmarkStart w:id="433" w:name="_Toc60061463"/>
      <w:bookmarkStart w:id="434" w:name="_Toc324404843"/>
      <w:bookmarkStart w:id="435" w:name="_Toc246996204"/>
      <w:bookmarkStart w:id="436" w:name="_Toc152042336"/>
      <w:bookmarkStart w:id="437" w:name="_Toc179632578"/>
      <w:bookmarkStart w:id="438" w:name="_Toc296602448"/>
      <w:bookmarkStart w:id="439" w:name="_Toc15058875"/>
      <w:r>
        <w:rPr>
          <w:rFonts w:hint="eastAsia" w:ascii="黑体" w:hAnsi="黑体" w:eastAsia="黑体" w:cs="黑体"/>
          <w:color w:val="auto"/>
          <w:sz w:val="21"/>
          <w:szCs w:val="21"/>
          <w:highlight w:val="none"/>
        </w:rPr>
        <w:t>5.1 开标时间和地点</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54F348A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招标人在第一章“招标公告”规定的投标截止时间前（开标时间）和地点</w:t>
      </w:r>
      <w:r>
        <w:rPr>
          <w:color w:val="auto"/>
          <w:highlight w:val="none"/>
        </w:rPr>
        <w:t>通过电子交易系统公开开标</w:t>
      </w:r>
      <w:r>
        <w:rPr>
          <w:rFonts w:hint="eastAsia" w:ascii="宋体" w:hAnsi="宋体" w:cs="宋体"/>
          <w:color w:val="auto"/>
          <w:szCs w:val="21"/>
          <w:highlight w:val="none"/>
        </w:rPr>
        <w:t>。</w:t>
      </w:r>
    </w:p>
    <w:p w14:paraId="07A4AB30">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40" w:name="_Toc296602449"/>
      <w:bookmarkStart w:id="441" w:name="_Toc247085719"/>
      <w:bookmarkStart w:id="442" w:name="_Toc246996205"/>
      <w:bookmarkStart w:id="443" w:name="_Toc506107297"/>
      <w:bookmarkStart w:id="444" w:name="_Toc179632579"/>
      <w:bookmarkStart w:id="445" w:name="_Toc60061464"/>
      <w:bookmarkStart w:id="446" w:name="_Toc95223367"/>
      <w:bookmarkStart w:id="447" w:name="_Toc324404844"/>
      <w:bookmarkStart w:id="448" w:name="_Toc83301719"/>
      <w:bookmarkStart w:id="449" w:name="_Toc152042337"/>
      <w:bookmarkStart w:id="450" w:name="_Toc15058876"/>
      <w:bookmarkStart w:id="451" w:name="_Toc152045561"/>
      <w:bookmarkStart w:id="452" w:name="_Toc144974529"/>
      <w:bookmarkStart w:id="453" w:name="_Toc246996948"/>
      <w:r>
        <w:rPr>
          <w:rFonts w:hint="eastAsia" w:ascii="黑体" w:hAnsi="黑体" w:eastAsia="黑体" w:cs="黑体"/>
          <w:color w:val="auto"/>
          <w:sz w:val="21"/>
          <w:szCs w:val="21"/>
          <w:highlight w:val="none"/>
        </w:rPr>
        <w:t>5.2 开标程序</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C55C08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主持人按下列程序进行开标：</w:t>
      </w:r>
    </w:p>
    <w:p w14:paraId="0BD00EB0">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（1）公布在投标截止时间前通过电子交易系统完成投标文件递交的投标人名称；</w:t>
      </w:r>
    </w:p>
    <w:p w14:paraId="77CC0112">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50227633">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1999CE07">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（4）按投标人须知前附表规定公布投标人名称、标段名称、投标报价、质量目标、工期及其他内容；</w:t>
      </w:r>
    </w:p>
    <w:p w14:paraId="29D1F15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（5）开标结束。</w:t>
      </w:r>
    </w:p>
    <w:bookmarkEnd w:id="354"/>
    <w:bookmarkEnd w:id="355"/>
    <w:bookmarkEnd w:id="356"/>
    <w:bookmarkEnd w:id="357"/>
    <w:bookmarkEnd w:id="358"/>
    <w:bookmarkEnd w:id="359"/>
    <w:bookmarkEnd w:id="360"/>
    <w:bookmarkEnd w:id="361"/>
    <w:p w14:paraId="76A05660">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54" w:name="_Toc506107298"/>
      <w:bookmarkStart w:id="455" w:name="_Toc60061465"/>
      <w:bookmarkStart w:id="456" w:name="_Toc296602450"/>
      <w:bookmarkStart w:id="457" w:name="_Toc95223368"/>
      <w:bookmarkStart w:id="458" w:name="_Toc324404845"/>
      <w:bookmarkStart w:id="459" w:name="_Toc15058883"/>
      <w:bookmarkStart w:id="460" w:name="_Toc83301720"/>
      <w:r>
        <w:rPr>
          <w:rFonts w:hint="eastAsia" w:ascii="黑体" w:hAnsi="黑体" w:eastAsia="黑体" w:cs="黑体"/>
          <w:color w:val="auto"/>
          <w:sz w:val="21"/>
          <w:szCs w:val="21"/>
          <w:highlight w:val="none"/>
        </w:rPr>
        <w:t>5.3 开标异议</w:t>
      </w:r>
      <w:bookmarkEnd w:id="454"/>
      <w:bookmarkEnd w:id="455"/>
      <w:bookmarkEnd w:id="456"/>
      <w:bookmarkEnd w:id="457"/>
      <w:bookmarkEnd w:id="458"/>
      <w:bookmarkEnd w:id="459"/>
      <w:bookmarkEnd w:id="460"/>
    </w:p>
    <w:p w14:paraId="670AF34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投标人对开标有异议的，应当在开标过程中提出，招标人在开标过程中作出答复，并制作记录。</w:t>
      </w:r>
      <w:r>
        <w:rPr>
          <w:color w:val="auto"/>
          <w:spacing w:val="-5"/>
          <w:highlight w:val="none"/>
        </w:rPr>
        <w:t>异议与答复应通过电子交易系统进行。</w:t>
      </w:r>
    </w:p>
    <w:p w14:paraId="1B1D6301">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461" w:name="_Toc506107299"/>
      <w:bookmarkStart w:id="462" w:name="_Toc152045562"/>
      <w:bookmarkStart w:id="463" w:name="_Toc179632580"/>
      <w:bookmarkStart w:id="464" w:name="_Toc95223369"/>
      <w:bookmarkStart w:id="465" w:name="_Toc246996206"/>
      <w:bookmarkStart w:id="466" w:name="_Toc15058884"/>
      <w:bookmarkStart w:id="467" w:name="_Toc83301721"/>
      <w:bookmarkStart w:id="468" w:name="_Toc144974530"/>
      <w:bookmarkStart w:id="469" w:name="_Toc60061466"/>
      <w:bookmarkStart w:id="470" w:name="_Toc152042338"/>
      <w:bookmarkStart w:id="471" w:name="_Toc324404846"/>
      <w:bookmarkStart w:id="472" w:name="_Toc247085720"/>
      <w:bookmarkStart w:id="473" w:name="_Toc246996949"/>
      <w:r>
        <w:rPr>
          <w:rFonts w:hint="eastAsia" w:ascii="黑体" w:hAnsi="黑体" w:cs="黑体"/>
          <w:color w:val="auto"/>
          <w:sz w:val="21"/>
          <w:szCs w:val="21"/>
          <w:highlight w:val="none"/>
        </w:rPr>
        <w:t>6. 评标</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37D225EA">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74" w:name="_Toc15058885"/>
      <w:bookmarkStart w:id="475" w:name="_Toc179632581"/>
      <w:bookmarkStart w:id="476" w:name="_Toc506107300"/>
      <w:bookmarkStart w:id="477" w:name="_Toc95223370"/>
      <w:bookmarkStart w:id="478" w:name="_Toc60061467"/>
      <w:bookmarkStart w:id="479" w:name="_Toc247085721"/>
      <w:bookmarkStart w:id="480" w:name="_Toc152045563"/>
      <w:bookmarkStart w:id="481" w:name="_Toc152042339"/>
      <w:bookmarkStart w:id="482" w:name="_Toc324404847"/>
      <w:bookmarkStart w:id="483" w:name="_Toc246996207"/>
      <w:bookmarkStart w:id="484" w:name="_Toc296602452"/>
      <w:bookmarkStart w:id="485" w:name="_Toc83301722"/>
      <w:bookmarkStart w:id="486" w:name="_Toc246996950"/>
      <w:bookmarkStart w:id="487" w:name="_Toc144974531"/>
      <w:r>
        <w:rPr>
          <w:rFonts w:hint="eastAsia" w:ascii="黑体" w:hAnsi="黑体" w:eastAsia="黑体" w:cs="黑体"/>
          <w:color w:val="auto"/>
          <w:sz w:val="21"/>
          <w:szCs w:val="21"/>
          <w:highlight w:val="none"/>
        </w:rPr>
        <w:t>6.1 评标委员会</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14:paraId="0ECD4AE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37970E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208B8C1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（1）项目主管部门或行政监督管理部门，项目属地的公共资源交易综合管理部门、交易中心的工作人员；</w:t>
      </w:r>
      <w:r>
        <w:rPr>
          <w:rFonts w:ascii="宋体" w:hAnsi="宋体" w:cs="宋体"/>
          <w:color w:val="auto"/>
          <w:szCs w:val="21"/>
          <w:highlight w:val="none"/>
        </w:rPr>
        <w:t xml:space="preserve"> </w:t>
      </w:r>
    </w:p>
    <w:p w14:paraId="483D690D">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（2）与竞争主体主要负责人或者授权参与交易的代理人有近亲属关系的人员；</w:t>
      </w:r>
      <w:r>
        <w:rPr>
          <w:rFonts w:ascii="宋体" w:hAnsi="宋体" w:cs="宋体"/>
          <w:color w:val="auto"/>
          <w:szCs w:val="21"/>
          <w:highlight w:val="none"/>
        </w:rPr>
        <w:t xml:space="preserve"> </w:t>
      </w:r>
    </w:p>
    <w:p w14:paraId="2F68554D">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（3）竞争主体的工作人员或者退休人员；</w:t>
      </w:r>
      <w:r>
        <w:rPr>
          <w:rFonts w:ascii="宋体" w:hAnsi="宋体" w:cs="宋体"/>
          <w:color w:val="auto"/>
          <w:szCs w:val="21"/>
          <w:highlight w:val="none"/>
        </w:rPr>
        <w:t xml:space="preserve"> </w:t>
      </w:r>
    </w:p>
    <w:p w14:paraId="2E9F545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（4）竞争主体的上级主管、控股或者被控股单位等相关利害关系的人员，或任职单位与竞争主体单位为同一法定代表人的；</w:t>
      </w:r>
      <w:r>
        <w:rPr>
          <w:rFonts w:ascii="宋体" w:hAnsi="宋体" w:cs="宋体"/>
          <w:color w:val="auto"/>
          <w:szCs w:val="21"/>
          <w:highlight w:val="none"/>
        </w:rPr>
        <w:t xml:space="preserve"> </w:t>
      </w:r>
    </w:p>
    <w:p w14:paraId="7EB8EF96">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0018FE2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项目实施主体及其子公司、下属单位、上级主管部门或者控股公司的工作人员或者退休人员不得以专家身份参与本单位或者代理项目的评标评审。</w:t>
      </w:r>
      <w:r>
        <w:rPr>
          <w:rFonts w:ascii="宋体" w:hAnsi="宋体" w:cs="宋体"/>
          <w:color w:val="auto"/>
          <w:szCs w:val="21"/>
          <w:highlight w:val="none"/>
        </w:rPr>
        <w:t xml:space="preserve"> </w:t>
      </w:r>
    </w:p>
    <w:p w14:paraId="4B95B76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评标委员会或评审机构成员有前两款规定情形的，应当主动提出回避；已经进入的应当更换，被更换的成员评标评审意见无效。</w:t>
      </w:r>
      <w:r>
        <w:rPr>
          <w:rFonts w:ascii="宋体" w:hAnsi="宋体" w:cs="宋体"/>
          <w:color w:val="auto"/>
          <w:szCs w:val="21"/>
          <w:highlight w:val="none"/>
        </w:rPr>
        <w:t xml:space="preserve"> </w:t>
      </w:r>
    </w:p>
    <w:p w14:paraId="137494CA">
      <w:pPr>
        <w:pStyle w:val="19"/>
        <w:adjustRightInd w:val="0"/>
        <w:snapToGrid w:val="0"/>
        <w:spacing w:after="0" w:line="560" w:lineRule="exact"/>
        <w:ind w:left="0" w:leftChars="0"/>
        <w:rPr>
          <w:rFonts w:hint="eastAsia"/>
          <w:color w:val="auto"/>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70A6B8EA">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488" w:name="_Toc246996208"/>
      <w:bookmarkStart w:id="489" w:name="_Toc179632582"/>
      <w:bookmarkStart w:id="490" w:name="_Toc144974532"/>
      <w:bookmarkStart w:id="491" w:name="_Toc152045564"/>
      <w:bookmarkStart w:id="492" w:name="_Toc95223371"/>
      <w:bookmarkStart w:id="493" w:name="_Toc83301723"/>
      <w:bookmarkStart w:id="494" w:name="_Toc15058886"/>
      <w:bookmarkStart w:id="495" w:name="_Toc324404848"/>
      <w:bookmarkStart w:id="496" w:name="_Toc152042340"/>
      <w:bookmarkStart w:id="497" w:name="_Toc296602453"/>
      <w:bookmarkStart w:id="498" w:name="_Toc246996951"/>
      <w:bookmarkStart w:id="499" w:name="_Toc60061468"/>
      <w:bookmarkStart w:id="500" w:name="_Toc506107301"/>
      <w:bookmarkStart w:id="501" w:name="_Toc247085722"/>
      <w:r>
        <w:rPr>
          <w:rFonts w:hint="eastAsia" w:ascii="黑体" w:hAnsi="黑体" w:eastAsia="黑体" w:cs="黑体"/>
          <w:color w:val="auto"/>
          <w:sz w:val="21"/>
          <w:szCs w:val="21"/>
          <w:highlight w:val="none"/>
        </w:rPr>
        <w:t>6.2 评标原则</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100C678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53C1DBB4">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02" w:name="_Toc506107302"/>
      <w:bookmarkStart w:id="503" w:name="_Toc152045565"/>
      <w:bookmarkStart w:id="504" w:name="_Toc95223372"/>
      <w:bookmarkStart w:id="505" w:name="_Toc15058887"/>
      <w:bookmarkStart w:id="506" w:name="_Toc296602454"/>
      <w:bookmarkStart w:id="507" w:name="_Toc179632583"/>
      <w:bookmarkStart w:id="508" w:name="_Toc83301724"/>
      <w:bookmarkStart w:id="509" w:name="_Toc60061469"/>
      <w:bookmarkStart w:id="510" w:name="_Toc152042341"/>
      <w:bookmarkStart w:id="511" w:name="_Toc247085723"/>
      <w:bookmarkStart w:id="512" w:name="_Toc144974533"/>
      <w:bookmarkStart w:id="513" w:name="_Toc324404849"/>
      <w:bookmarkStart w:id="514" w:name="_Toc246996952"/>
      <w:bookmarkStart w:id="515" w:name="_Toc246996209"/>
      <w:r>
        <w:rPr>
          <w:rFonts w:hint="eastAsia" w:ascii="黑体" w:hAnsi="黑体" w:eastAsia="黑体" w:cs="黑体"/>
          <w:color w:val="auto"/>
          <w:sz w:val="21"/>
          <w:szCs w:val="21"/>
          <w:highlight w:val="none"/>
        </w:rPr>
        <w:t>6.3 评标</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Start w:id="516" w:name="_Toc506107303"/>
      <w:bookmarkStart w:id="517" w:name="_Toc246996210"/>
      <w:bookmarkStart w:id="518" w:name="_Toc324404850"/>
      <w:bookmarkStart w:id="519" w:name="_Toc152045566"/>
      <w:bookmarkStart w:id="520" w:name="_Toc15058888"/>
      <w:bookmarkStart w:id="521" w:name="_Toc144974534"/>
      <w:bookmarkStart w:id="522" w:name="_Toc246996953"/>
      <w:bookmarkStart w:id="523" w:name="_Toc60061470"/>
      <w:bookmarkStart w:id="524" w:name="_Toc179632584"/>
      <w:bookmarkStart w:id="525" w:name="_Toc152042342"/>
      <w:bookmarkStart w:id="526" w:name="_Toc247085724"/>
      <w:r>
        <w:rPr>
          <w:rFonts w:hint="eastAsia" w:ascii="黑体" w:hAnsi="黑体" w:eastAsia="黑体" w:cs="黑体"/>
          <w:color w:val="auto"/>
          <w:sz w:val="21"/>
          <w:szCs w:val="21"/>
          <w:highlight w:val="none"/>
        </w:rPr>
        <w:t xml:space="preserve">    </w:t>
      </w:r>
    </w:p>
    <w:p w14:paraId="2AABF8A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44C4793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03C3AE39">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527" w:name="_Toc83301725"/>
      <w:bookmarkStart w:id="528" w:name="_Toc95223373"/>
      <w:r>
        <w:rPr>
          <w:rFonts w:hint="eastAsia" w:ascii="黑体" w:hAnsi="黑体" w:cs="黑体"/>
          <w:color w:val="auto"/>
          <w:sz w:val="21"/>
          <w:szCs w:val="21"/>
          <w:highlight w:val="none"/>
        </w:rPr>
        <w:t>7. 合同授予</w:t>
      </w:r>
      <w:bookmarkEnd w:id="516"/>
      <w:bookmarkEnd w:id="517"/>
      <w:bookmarkEnd w:id="518"/>
      <w:bookmarkEnd w:id="519"/>
      <w:bookmarkEnd w:id="520"/>
      <w:bookmarkEnd w:id="521"/>
      <w:bookmarkEnd w:id="522"/>
      <w:bookmarkEnd w:id="523"/>
      <w:bookmarkEnd w:id="524"/>
      <w:bookmarkEnd w:id="525"/>
      <w:bookmarkEnd w:id="526"/>
      <w:bookmarkEnd w:id="527"/>
      <w:bookmarkEnd w:id="528"/>
    </w:p>
    <w:p w14:paraId="06E4B8F5">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29" w:name="_Toc15058890"/>
      <w:bookmarkStart w:id="530" w:name="_Toc506107305"/>
      <w:bookmarkStart w:id="531" w:name="_Toc83301726"/>
      <w:bookmarkStart w:id="532" w:name="_Toc60061472"/>
      <w:bookmarkStart w:id="533" w:name="_Toc296602457"/>
      <w:bookmarkStart w:id="534" w:name="_Toc324404852"/>
      <w:bookmarkStart w:id="535" w:name="_Toc95223374"/>
      <w:r>
        <w:rPr>
          <w:rFonts w:hint="eastAsia" w:ascii="黑体" w:hAnsi="黑体" w:eastAsia="黑体" w:cs="黑体"/>
          <w:color w:val="auto"/>
          <w:sz w:val="21"/>
          <w:szCs w:val="21"/>
          <w:highlight w:val="none"/>
        </w:rPr>
        <w:t>7.1 中标候选人公示</w:t>
      </w:r>
      <w:bookmarkEnd w:id="529"/>
      <w:bookmarkEnd w:id="530"/>
      <w:bookmarkEnd w:id="531"/>
      <w:bookmarkEnd w:id="532"/>
      <w:bookmarkEnd w:id="533"/>
      <w:bookmarkEnd w:id="534"/>
      <w:bookmarkEnd w:id="535"/>
    </w:p>
    <w:p w14:paraId="1B5B6CAA">
      <w:pPr>
        <w:adjustRightInd w:val="0"/>
        <w:snapToGrid w:val="0"/>
        <w:spacing w:line="560" w:lineRule="exact"/>
        <w:ind w:firstLine="420" w:firstLineChars="200"/>
        <w:rPr>
          <w:rFonts w:hint="eastAsia" w:ascii="宋体" w:hAnsi="宋体" w:cs="宋体"/>
          <w:color w:val="auto"/>
          <w:szCs w:val="21"/>
          <w:highlight w:val="none"/>
        </w:rPr>
      </w:pPr>
      <w:bookmarkStart w:id="536" w:name="_Toc60061473"/>
      <w:bookmarkStart w:id="537" w:name="_Toc152045568"/>
      <w:bookmarkStart w:id="538" w:name="_Toc324404853"/>
      <w:bookmarkStart w:id="539" w:name="_Toc247085726"/>
      <w:bookmarkStart w:id="540" w:name="_Toc246996212"/>
      <w:bookmarkStart w:id="541" w:name="_Toc179632586"/>
      <w:bookmarkStart w:id="542" w:name="_Toc246996955"/>
      <w:bookmarkStart w:id="543" w:name="_Toc152042344"/>
      <w:bookmarkStart w:id="544" w:name="_Toc296602458"/>
      <w:bookmarkStart w:id="545" w:name="_Toc144974536"/>
      <w:r>
        <w:rPr>
          <w:rFonts w:hint="eastAsia" w:ascii="宋体" w:hAnsi="宋体" w:cs="宋体"/>
          <w:color w:val="auto"/>
          <w:szCs w:val="21"/>
          <w:highlight w:val="none"/>
        </w:rPr>
        <w:t>招标人在收到评标报告之日起 3 日内，按照投标人须知前附表规定的公示媒介和期限依法公示。中标候选人公示期不得少于 3 日。</w:t>
      </w:r>
    </w:p>
    <w:p w14:paraId="5887D437">
      <w:pPr>
        <w:adjustRightInd w:val="0"/>
        <w:snapToGrid w:val="0"/>
        <w:spacing w:line="560" w:lineRule="exact"/>
        <w:ind w:firstLine="422" w:firstLineChars="200"/>
        <w:rPr>
          <w:rFonts w:hint="eastAsia" w:ascii="黑体" w:hAnsi="黑体" w:eastAsia="黑体" w:cs="黑体"/>
          <w:bCs/>
          <w:color w:val="auto"/>
          <w:kern w:val="0"/>
          <w:szCs w:val="21"/>
          <w:highlight w:val="none"/>
        </w:rPr>
      </w:pPr>
      <w:r>
        <w:rPr>
          <w:rFonts w:hint="eastAsia" w:ascii="黑体" w:hAnsi="黑体" w:eastAsia="黑体" w:cs="黑体"/>
          <w:b/>
          <w:bCs/>
          <w:color w:val="auto"/>
          <w:kern w:val="0"/>
          <w:szCs w:val="21"/>
          <w:highlight w:val="none"/>
        </w:rPr>
        <w:t>7.2 评标结果异议</w:t>
      </w:r>
    </w:p>
    <w:p w14:paraId="312FF18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 3 日内作出答复；作出答复前，将暂停招标投标活动。</w:t>
      </w:r>
    </w:p>
    <w:p w14:paraId="4C6A5C8F">
      <w:pPr>
        <w:adjustRightInd w:val="0"/>
        <w:snapToGrid w:val="0"/>
        <w:spacing w:line="56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7.3 中标候选人履约能力审查</w:t>
      </w:r>
    </w:p>
    <w:p w14:paraId="476CBAC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6F905F90">
      <w:pPr>
        <w:adjustRightInd w:val="0"/>
        <w:snapToGrid w:val="0"/>
        <w:spacing w:line="560" w:lineRule="exact"/>
        <w:ind w:firstLine="422" w:firstLineChars="200"/>
        <w:rPr>
          <w:rFonts w:hint="eastAsia" w:ascii="黑体" w:hAnsi="黑体" w:eastAsia="黑体" w:cs="黑体"/>
          <w:b/>
          <w:bCs/>
          <w:color w:val="auto"/>
          <w:kern w:val="0"/>
          <w:szCs w:val="21"/>
          <w:highlight w:val="none"/>
        </w:rPr>
      </w:pPr>
      <w:r>
        <w:rPr>
          <w:rFonts w:hint="eastAsia" w:ascii="黑体" w:hAnsi="黑体" w:eastAsia="黑体" w:cs="黑体"/>
          <w:b/>
          <w:bCs/>
          <w:color w:val="auto"/>
          <w:kern w:val="0"/>
          <w:szCs w:val="21"/>
          <w:highlight w:val="none"/>
        </w:rPr>
        <w:t>7.4 业绩奖项公示</w:t>
      </w:r>
      <w:bookmarkEnd w:id="536"/>
    </w:p>
    <w:p w14:paraId="5AA123C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招标人对中标候选人的得分业绩和奖项进行公示</w:t>
      </w:r>
      <w:r>
        <w:rPr>
          <w:rStyle w:val="33"/>
          <w:rFonts w:ascii="宋体" w:hAnsi="宋体" w:cs="宋体"/>
          <w:color w:val="auto"/>
          <w:szCs w:val="21"/>
          <w:highlight w:val="none"/>
        </w:rPr>
        <w:footnoteReference w:id="2"/>
      </w:r>
      <w:r>
        <w:rPr>
          <w:rFonts w:hint="eastAsia" w:ascii="宋体" w:hAnsi="宋体" w:cs="宋体"/>
          <w:color w:val="auto"/>
          <w:szCs w:val="21"/>
          <w:highlight w:val="none"/>
        </w:rPr>
        <w:t>。</w:t>
      </w:r>
    </w:p>
    <w:p w14:paraId="2B9EAC45">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46" w:name="_Toc95223375"/>
      <w:bookmarkStart w:id="547" w:name="_Toc83301727"/>
      <w:bookmarkStart w:id="548" w:name="_Toc506107306"/>
      <w:bookmarkStart w:id="549" w:name="_Toc60061474"/>
      <w:bookmarkStart w:id="550" w:name="_Toc15058891"/>
      <w:r>
        <w:rPr>
          <w:rFonts w:hint="eastAsia" w:ascii="黑体" w:hAnsi="黑体" w:eastAsia="黑体" w:cs="黑体"/>
          <w:color w:val="auto"/>
          <w:sz w:val="21"/>
          <w:szCs w:val="21"/>
          <w:highlight w:val="none"/>
        </w:rPr>
        <w:t>7.5 定标</w:t>
      </w:r>
      <w:bookmarkEnd w:id="546"/>
      <w:bookmarkEnd w:id="547"/>
    </w:p>
    <w:p w14:paraId="23FC01F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CBF69D3">
      <w:pPr>
        <w:adjustRightInd w:val="0"/>
        <w:snapToGrid w:val="0"/>
        <w:spacing w:line="560" w:lineRule="exact"/>
        <w:ind w:firstLine="420" w:firstLineChars="200"/>
        <w:rPr>
          <w:rFonts w:hint="eastAsia" w:ascii="黑体" w:hAnsi="黑体" w:eastAsia="黑体" w:cs="黑体"/>
          <w:color w:val="auto"/>
          <w:szCs w:val="21"/>
          <w:highlight w:val="none"/>
        </w:rPr>
      </w:pPr>
      <w:r>
        <w:rPr>
          <w:rFonts w:hint="eastAsia" w:ascii="宋体" w:hAnsi="宋体" w:cs="宋体"/>
          <w:color w:val="auto"/>
          <w:szCs w:val="21"/>
          <w:highlight w:val="none"/>
        </w:rPr>
        <w:t xml:space="preserve"> </w:t>
      </w:r>
      <w:bookmarkStart w:id="551" w:name="_Toc95223376"/>
      <w:bookmarkStart w:id="552" w:name="_Toc83301728"/>
      <w:r>
        <w:rPr>
          <w:rFonts w:hint="eastAsia" w:ascii="黑体" w:hAnsi="黑体" w:eastAsia="黑体" w:cs="黑体"/>
          <w:color w:val="auto"/>
          <w:szCs w:val="21"/>
          <w:highlight w:val="none"/>
        </w:rPr>
        <w:t>7.6 中标通知</w:t>
      </w:r>
      <w:bookmarkEnd w:id="537"/>
      <w:bookmarkEnd w:id="538"/>
      <w:bookmarkEnd w:id="539"/>
      <w:bookmarkEnd w:id="540"/>
      <w:bookmarkEnd w:id="541"/>
      <w:bookmarkEnd w:id="542"/>
      <w:bookmarkEnd w:id="543"/>
      <w:bookmarkEnd w:id="544"/>
      <w:bookmarkEnd w:id="545"/>
      <w:bookmarkEnd w:id="548"/>
      <w:bookmarkEnd w:id="549"/>
      <w:bookmarkEnd w:id="550"/>
      <w:bookmarkEnd w:id="551"/>
      <w:bookmarkEnd w:id="552"/>
    </w:p>
    <w:p w14:paraId="70E3941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在本招标文件规定的投标有效期内，招标人以数据电文向中标人发出中标通知书，同时将中标结果通知未中标的投标人。</w:t>
      </w:r>
    </w:p>
    <w:p w14:paraId="6A662A16">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53" w:name="_Toc95223377"/>
      <w:r>
        <w:rPr>
          <w:rFonts w:hint="eastAsia" w:ascii="黑体" w:hAnsi="黑体" w:eastAsia="黑体" w:cs="黑体"/>
          <w:color w:val="auto"/>
          <w:sz w:val="21"/>
          <w:szCs w:val="21"/>
          <w:highlight w:val="none"/>
        </w:rPr>
        <w:t>7.7 中标结果公示</w:t>
      </w:r>
      <w:bookmarkEnd w:id="553"/>
    </w:p>
    <w:p w14:paraId="46EE3481">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招标人在确定中标人之日起3日内，按照投标人须知前附表规定的公示媒介和期限依法公示中标结果。</w:t>
      </w:r>
    </w:p>
    <w:p w14:paraId="3A661031">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54" w:name="_Toc95223378"/>
      <w:bookmarkStart w:id="555" w:name="_Toc152042345"/>
      <w:bookmarkStart w:id="556" w:name="_Toc246996956"/>
      <w:bookmarkStart w:id="557" w:name="_Toc247085727"/>
      <w:bookmarkStart w:id="558" w:name="_Toc179632587"/>
      <w:bookmarkStart w:id="559" w:name="_Toc506107307"/>
      <w:bookmarkStart w:id="560" w:name="_Toc152045569"/>
      <w:bookmarkStart w:id="561" w:name="_Toc15058892"/>
      <w:bookmarkStart w:id="562" w:name="_Toc296602459"/>
      <w:bookmarkStart w:id="563" w:name="_Toc324404854"/>
      <w:bookmarkStart w:id="564" w:name="_Toc60061476"/>
      <w:bookmarkStart w:id="565" w:name="_Toc246996213"/>
      <w:bookmarkStart w:id="566" w:name="_Toc83301730"/>
      <w:bookmarkStart w:id="567" w:name="_Toc144974537"/>
      <w:r>
        <w:rPr>
          <w:rFonts w:hint="eastAsia" w:ascii="黑体" w:hAnsi="黑体" w:eastAsia="黑体" w:cs="黑体"/>
          <w:color w:val="auto"/>
          <w:sz w:val="21"/>
          <w:szCs w:val="21"/>
          <w:highlight w:val="none"/>
        </w:rPr>
        <w:t>7.8 履约担保</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3116E0D6">
      <w:pPr>
        <w:adjustRightInd w:val="0"/>
        <w:snapToGrid w:val="0"/>
        <w:spacing w:line="56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7.8.1在签订合同前，中标人应按投标人须知前附表规定的担保形式和招标文件第五章“合同条款及格式”规定的或者事先经过招标人书面认可的履约担保格式向招标人提交履约担保。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联合体中标的，其履约担保应符合投标人须知前附表规定的金额、担保形式和招标文件第五章“合同条款及格式”规定的履约担保格式要求。</w:t>
      </w:r>
    </w:p>
    <w:p w14:paraId="18C57D8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7AE7BDC4">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68" w:name="_Toc152042346"/>
      <w:bookmarkStart w:id="569" w:name="_Toc95223379"/>
      <w:bookmarkStart w:id="570" w:name="_Toc247085728"/>
      <w:bookmarkStart w:id="571" w:name="_Toc324404855"/>
      <w:bookmarkStart w:id="572" w:name="_Toc296602460"/>
      <w:bookmarkStart w:id="573" w:name="_Toc144974538"/>
      <w:bookmarkStart w:id="574" w:name="_Toc506107308"/>
      <w:bookmarkStart w:id="575" w:name="_Toc83301731"/>
      <w:bookmarkStart w:id="576" w:name="_Toc15058893"/>
      <w:bookmarkStart w:id="577" w:name="_Toc246996214"/>
      <w:bookmarkStart w:id="578" w:name="_Toc179632588"/>
      <w:bookmarkStart w:id="579" w:name="_Toc246996957"/>
      <w:bookmarkStart w:id="580" w:name="_Toc152045570"/>
      <w:bookmarkStart w:id="581" w:name="_Toc60061477"/>
      <w:r>
        <w:rPr>
          <w:rFonts w:hint="eastAsia" w:ascii="黑体" w:hAnsi="黑体" w:eastAsia="黑体" w:cs="黑体"/>
          <w:color w:val="auto"/>
          <w:sz w:val="21"/>
          <w:szCs w:val="21"/>
          <w:highlight w:val="none"/>
        </w:rPr>
        <w:t>7.9 签订合同</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8C66C75">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7.9.1本招标工程的施工合同将授予按本须知第7.6款规定所确定的中标人。</w:t>
      </w:r>
    </w:p>
    <w:p w14:paraId="5FEAF41B">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投标人所派出项目经理（建造师）须不得有在其他尚未完工（以竣工、交工、完工验收报告等手续为准）项目或已中标项目（以发放中标通知书为准）中担任项目经理（建造师）情形。如有，项目在滁州市区域内的，中标无效，记入不良行为记录；项目在滁州市区域外的，须在中标候选人公示期第一日起开始计算7日内，提供经行政主管部门备案的变更证明材料，否则视为弄虚作假材料骗取中标，中标无效，按有关规定进行处理</w:t>
      </w:r>
      <w:r>
        <w:rPr>
          <w:rFonts w:hint="eastAsia" w:ascii="宋体" w:hAnsi="宋体" w:cs="宋体"/>
          <w:bCs/>
          <w:color w:val="auto"/>
          <w:szCs w:val="21"/>
          <w:highlight w:val="none"/>
        </w:rPr>
        <w:t>。</w:t>
      </w:r>
    </w:p>
    <w:p w14:paraId="286AEBD0">
      <w:pPr>
        <w:adjustRightInd w:val="0"/>
        <w:snapToGrid w:val="0"/>
        <w:spacing w:line="560" w:lineRule="exact"/>
        <w:ind w:firstLine="420" w:firstLineChars="200"/>
        <w:rPr>
          <w:rFonts w:hint="eastAsia" w:ascii="宋体" w:hAnsi="宋体" w:cs="宋体"/>
          <w:bCs/>
          <w:color w:val="auto"/>
          <w:szCs w:val="21"/>
          <w:highlight w:val="none"/>
        </w:rPr>
      </w:pPr>
      <w:bookmarkStart w:id="582" w:name="_Toc324404856"/>
      <w:r>
        <w:rPr>
          <w:rFonts w:hint="eastAsia" w:ascii="宋体" w:hAnsi="宋体" w:cs="宋体"/>
          <w:bCs/>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40B361F9">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7.9.3 发出中标通知书后，招标人无正当理由拒签合同的，招标人向中标人退还投标保证金；给中标人造成损失的，还应当赔偿损失。</w:t>
      </w:r>
    </w:p>
    <w:p w14:paraId="373315D8">
      <w:pPr>
        <w:adjustRightInd w:val="0"/>
        <w:snapToGrid w:val="0"/>
        <w:spacing w:line="5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08B52BA3">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7.9.5 </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5710B971">
      <w:pPr>
        <w:pStyle w:val="3"/>
        <w:adjustRightInd w:val="0"/>
        <w:snapToGrid w:val="0"/>
        <w:spacing w:before="0" w:after="0" w:line="560" w:lineRule="exact"/>
        <w:ind w:firstLine="422" w:firstLineChars="200"/>
        <w:rPr>
          <w:rFonts w:hint="eastAsia"/>
          <w:color w:val="auto"/>
          <w:highlight w:val="none"/>
        </w:rPr>
      </w:pPr>
      <w:bookmarkStart w:id="583" w:name="_Toc144974539"/>
      <w:bookmarkStart w:id="584" w:name="_Toc152045571"/>
      <w:bookmarkStart w:id="585" w:name="_Toc95223381"/>
      <w:bookmarkStart w:id="586" w:name="_Toc83301732"/>
      <w:bookmarkStart w:id="587" w:name="_Toc152042347"/>
      <w:bookmarkStart w:id="588" w:name="_Toc179632589"/>
      <w:bookmarkStart w:id="589" w:name="_Toc60061478"/>
      <w:r>
        <w:rPr>
          <w:rFonts w:hint="eastAsia" w:ascii="黑体" w:hAnsi="黑体" w:cs="黑体"/>
          <w:color w:val="auto"/>
          <w:sz w:val="21"/>
          <w:szCs w:val="21"/>
          <w:highlight w:val="none"/>
        </w:rPr>
        <w:t>8. 重新招标和不再招标</w:t>
      </w:r>
      <w:bookmarkEnd w:id="583"/>
      <w:bookmarkEnd w:id="584"/>
      <w:bookmarkEnd w:id="585"/>
      <w:bookmarkEnd w:id="586"/>
      <w:bookmarkEnd w:id="587"/>
      <w:bookmarkEnd w:id="588"/>
      <w:bookmarkEnd w:id="589"/>
    </w:p>
    <w:p w14:paraId="2DCC8E5C">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590" w:name="_Toc144974540"/>
      <w:bookmarkStart w:id="591" w:name="_Toc179632590"/>
      <w:bookmarkStart w:id="592" w:name="_Toc60061479"/>
      <w:bookmarkStart w:id="593" w:name="_Toc152042348"/>
      <w:bookmarkStart w:id="594" w:name="_Toc95223382"/>
      <w:bookmarkStart w:id="595" w:name="_Toc152045572"/>
      <w:bookmarkStart w:id="596" w:name="_Toc83301733"/>
      <w:r>
        <w:rPr>
          <w:rFonts w:hint="eastAsia" w:ascii="黑体" w:hAnsi="黑体" w:eastAsia="黑体" w:cs="黑体"/>
          <w:color w:val="auto"/>
          <w:sz w:val="21"/>
          <w:szCs w:val="21"/>
          <w:highlight w:val="none"/>
        </w:rPr>
        <w:t>8.1 重新招标</w:t>
      </w:r>
      <w:bookmarkEnd w:id="590"/>
      <w:bookmarkEnd w:id="591"/>
      <w:bookmarkEnd w:id="592"/>
      <w:bookmarkEnd w:id="593"/>
      <w:bookmarkEnd w:id="594"/>
      <w:bookmarkEnd w:id="595"/>
      <w:bookmarkEnd w:id="596"/>
    </w:p>
    <w:p w14:paraId="463718B5">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依法必须招标的项目有下列情形之一的，招标人将重新招标：</w:t>
      </w:r>
    </w:p>
    <w:p w14:paraId="7C3D9BA2">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（1）投标截止时间止，投标人少于3个的；</w:t>
      </w:r>
    </w:p>
    <w:p w14:paraId="141CBB66">
      <w:pPr>
        <w:adjustRightInd w:val="0"/>
        <w:snapToGrid w:val="0"/>
        <w:spacing w:line="600" w:lineRule="exact"/>
        <w:ind w:firstLine="359" w:firstLineChars="171"/>
        <w:rPr>
          <w:rFonts w:hint="eastAsia" w:ascii="宋体" w:hAnsi="宋体" w:cs="宋体"/>
          <w:color w:val="auto"/>
          <w:highlight w:val="none"/>
        </w:rPr>
      </w:pPr>
      <w:r>
        <w:rPr>
          <w:rFonts w:hint="eastAsia" w:ascii="宋体" w:hAnsi="宋体" w:cs="宋体"/>
          <w:color w:val="auto"/>
          <w:highlight w:val="none"/>
        </w:rPr>
        <w:t>（2）经评标委员会评审后否决所有投标的；</w:t>
      </w:r>
    </w:p>
    <w:p w14:paraId="499025ED">
      <w:pPr>
        <w:adjustRightInd w:val="0"/>
        <w:snapToGrid w:val="0"/>
        <w:spacing w:line="60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（3）中标候选人均未与招标人签订合同的；</w:t>
      </w:r>
    </w:p>
    <w:p w14:paraId="6568FC23">
      <w:pPr>
        <w:adjustRightInd w:val="0"/>
        <w:snapToGrid w:val="0"/>
        <w:spacing w:line="600" w:lineRule="exact"/>
        <w:ind w:firstLine="359" w:firstLineChars="171"/>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（4）法律、法规规定的其他情形。</w:t>
      </w:r>
    </w:p>
    <w:p w14:paraId="7BE1414A">
      <w:pPr>
        <w:pStyle w:val="5"/>
        <w:adjustRightInd w:val="0"/>
        <w:snapToGrid w:val="0"/>
        <w:spacing w:before="0" w:after="0" w:line="560" w:lineRule="exact"/>
        <w:ind w:firstLine="422" w:firstLineChars="200"/>
        <w:rPr>
          <w:rFonts w:hint="eastAsia"/>
          <w:color w:val="auto"/>
          <w:highlight w:val="none"/>
        </w:rPr>
      </w:pPr>
      <w:bookmarkStart w:id="597" w:name="_Toc152042349"/>
      <w:bookmarkStart w:id="598" w:name="_Toc179632591"/>
      <w:bookmarkStart w:id="599" w:name="_Toc95223383"/>
      <w:bookmarkStart w:id="600" w:name="_Toc144974541"/>
      <w:bookmarkStart w:id="601" w:name="_Toc83301734"/>
      <w:bookmarkStart w:id="602" w:name="_Toc152045573"/>
      <w:bookmarkStart w:id="603" w:name="_Toc60061480"/>
      <w:r>
        <w:rPr>
          <w:rFonts w:hint="eastAsia" w:ascii="黑体" w:hAnsi="黑体" w:eastAsia="黑体" w:cs="黑体"/>
          <w:color w:val="auto"/>
          <w:sz w:val="21"/>
          <w:szCs w:val="21"/>
          <w:highlight w:val="none"/>
        </w:rPr>
        <w:t>8.2 不再招标</w:t>
      </w:r>
      <w:bookmarkEnd w:id="597"/>
      <w:bookmarkEnd w:id="598"/>
      <w:bookmarkEnd w:id="599"/>
      <w:bookmarkEnd w:id="600"/>
      <w:bookmarkEnd w:id="601"/>
      <w:bookmarkEnd w:id="602"/>
      <w:bookmarkEnd w:id="603"/>
    </w:p>
    <w:p w14:paraId="3071955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2CDFF3B8">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04" w:name="_Toc83301735"/>
      <w:bookmarkStart w:id="605" w:name="_Toc60061481"/>
      <w:bookmarkStart w:id="606" w:name="_Toc15058894"/>
      <w:bookmarkStart w:id="607" w:name="_Toc506107309"/>
      <w:bookmarkStart w:id="608" w:name="_Toc95223384"/>
      <w:r>
        <w:rPr>
          <w:rFonts w:hint="eastAsia" w:ascii="黑体" w:hAnsi="黑体" w:cs="黑体"/>
          <w:color w:val="auto"/>
          <w:sz w:val="21"/>
          <w:szCs w:val="21"/>
          <w:highlight w:val="none"/>
        </w:rPr>
        <w:t>9. 纪律和监督</w:t>
      </w:r>
      <w:bookmarkEnd w:id="582"/>
      <w:bookmarkEnd w:id="604"/>
      <w:bookmarkEnd w:id="605"/>
      <w:bookmarkEnd w:id="606"/>
      <w:bookmarkEnd w:id="607"/>
      <w:bookmarkEnd w:id="608"/>
    </w:p>
    <w:p w14:paraId="406C8819">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09" w:name="_Toc15058895"/>
      <w:bookmarkStart w:id="610" w:name="_Toc95223385"/>
      <w:bookmarkStart w:id="611" w:name="_Toc296602462"/>
      <w:bookmarkStart w:id="612" w:name="_Toc246996962"/>
      <w:bookmarkStart w:id="613" w:name="_Toc152042351"/>
      <w:bookmarkStart w:id="614" w:name="_Toc296590983"/>
      <w:bookmarkStart w:id="615" w:name="_Toc179632593"/>
      <w:bookmarkStart w:id="616" w:name="_Toc144974543"/>
      <w:bookmarkStart w:id="617" w:name="_Toc506107310"/>
      <w:bookmarkStart w:id="618" w:name="_Toc247085733"/>
      <w:bookmarkStart w:id="619" w:name="_Toc60061482"/>
      <w:bookmarkStart w:id="620" w:name="_Toc246996219"/>
      <w:bookmarkStart w:id="621" w:name="_Toc83301736"/>
      <w:bookmarkStart w:id="622" w:name="_Toc152045575"/>
      <w:bookmarkStart w:id="623" w:name="_Toc324404857"/>
      <w:r>
        <w:rPr>
          <w:rFonts w:hint="eastAsia" w:ascii="黑体" w:hAnsi="黑体" w:eastAsia="黑体" w:cs="黑体"/>
          <w:color w:val="auto"/>
          <w:sz w:val="21"/>
          <w:szCs w:val="21"/>
          <w:highlight w:val="none"/>
        </w:rPr>
        <w:t>9.1 对招标人的纪律要求</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51285C5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19D841C0">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24" w:name="_Toc324404858"/>
      <w:bookmarkStart w:id="625" w:name="_Toc60061483"/>
      <w:bookmarkStart w:id="626" w:name="_Toc247085734"/>
      <w:bookmarkStart w:id="627" w:name="_Toc296602463"/>
      <w:bookmarkStart w:id="628" w:name="_Toc15058896"/>
      <w:bookmarkStart w:id="629" w:name="_Toc246996963"/>
      <w:bookmarkStart w:id="630" w:name="_Toc152045576"/>
      <w:bookmarkStart w:id="631" w:name="_Toc179632594"/>
      <w:bookmarkStart w:id="632" w:name="_Toc95223386"/>
      <w:bookmarkStart w:id="633" w:name="_Toc144974544"/>
      <w:bookmarkStart w:id="634" w:name="_Toc83301737"/>
      <w:bookmarkStart w:id="635" w:name="_Toc506107311"/>
      <w:bookmarkStart w:id="636" w:name="_Toc152042352"/>
      <w:bookmarkStart w:id="637" w:name="_Toc246996220"/>
      <w:r>
        <w:rPr>
          <w:rFonts w:hint="eastAsia" w:ascii="黑体" w:hAnsi="黑体" w:eastAsia="黑体" w:cs="黑体"/>
          <w:color w:val="auto"/>
          <w:sz w:val="21"/>
          <w:szCs w:val="21"/>
          <w:highlight w:val="none"/>
        </w:rPr>
        <w:t>9.2 对投标人的纪律要求</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7BF9633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D676466">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38" w:name="_Toc506107312"/>
      <w:bookmarkStart w:id="639" w:name="_Toc83301738"/>
      <w:bookmarkStart w:id="640" w:name="_Toc60061484"/>
      <w:bookmarkStart w:id="641" w:name="_Toc247085735"/>
      <w:bookmarkStart w:id="642" w:name="_Toc152045577"/>
      <w:bookmarkStart w:id="643" w:name="_Toc296602464"/>
      <w:bookmarkStart w:id="644" w:name="_Toc95223387"/>
      <w:bookmarkStart w:id="645" w:name="_Toc15058897"/>
      <w:bookmarkStart w:id="646" w:name="_Toc324404859"/>
      <w:bookmarkStart w:id="647" w:name="_Toc152042353"/>
      <w:bookmarkStart w:id="648" w:name="_Toc144974545"/>
      <w:bookmarkStart w:id="649" w:name="_Toc246996964"/>
      <w:bookmarkStart w:id="650" w:name="_Toc246996221"/>
      <w:bookmarkStart w:id="651" w:name="_Toc179632595"/>
      <w:r>
        <w:rPr>
          <w:rFonts w:hint="eastAsia" w:ascii="黑体" w:hAnsi="黑体" w:eastAsia="黑体" w:cs="黑体"/>
          <w:color w:val="auto"/>
          <w:sz w:val="21"/>
          <w:szCs w:val="21"/>
          <w:highlight w:val="none"/>
        </w:rPr>
        <w:t>9.3 对评标委员会成员的纪律要求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32A8865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76F65300">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52" w:name="_Toc95223388"/>
      <w:bookmarkStart w:id="653" w:name="_Toc152042354"/>
      <w:bookmarkStart w:id="654" w:name="_Toc246996965"/>
      <w:bookmarkStart w:id="655" w:name="_Toc246996222"/>
      <w:bookmarkStart w:id="656" w:name="_Toc152045578"/>
      <w:bookmarkStart w:id="657" w:name="_Toc247085736"/>
      <w:bookmarkStart w:id="658" w:name="_Toc15058898"/>
      <w:bookmarkStart w:id="659" w:name="_Toc506107313"/>
      <w:bookmarkStart w:id="660" w:name="_Toc296602465"/>
      <w:bookmarkStart w:id="661" w:name="_Toc60061485"/>
      <w:bookmarkStart w:id="662" w:name="_Toc179632596"/>
      <w:bookmarkStart w:id="663" w:name="_Toc324404860"/>
      <w:bookmarkStart w:id="664" w:name="_Toc83301739"/>
      <w:bookmarkStart w:id="665" w:name="_Toc144974546"/>
      <w:r>
        <w:rPr>
          <w:rFonts w:hint="eastAsia" w:ascii="黑体" w:hAnsi="黑体" w:eastAsia="黑体" w:cs="黑体"/>
          <w:color w:val="auto"/>
          <w:sz w:val="21"/>
          <w:szCs w:val="21"/>
          <w:highlight w:val="none"/>
        </w:rPr>
        <w:t>9.4 对与评标活动有关的工作人员的纪律要求</w:t>
      </w:r>
      <w:bookmarkEnd w:id="652"/>
      <w:bookmarkEnd w:id="653"/>
      <w:bookmarkEnd w:id="654"/>
      <w:bookmarkEnd w:id="655"/>
      <w:bookmarkEnd w:id="656"/>
      <w:bookmarkEnd w:id="657"/>
      <w:bookmarkEnd w:id="658"/>
      <w:bookmarkEnd w:id="659"/>
      <w:bookmarkEnd w:id="660"/>
      <w:bookmarkEnd w:id="661"/>
      <w:bookmarkEnd w:id="662"/>
      <w:bookmarkEnd w:id="663"/>
      <w:bookmarkEnd w:id="664"/>
    </w:p>
    <w:p w14:paraId="087F483F">
      <w:pPr>
        <w:adjustRightInd w:val="0"/>
        <w:snapToGrid w:val="0"/>
        <w:spacing w:line="560" w:lineRule="exact"/>
        <w:ind w:firstLine="420" w:firstLineChars="200"/>
        <w:rPr>
          <w:rFonts w:hint="eastAsia" w:ascii="宋体" w:hAnsi="宋体" w:cs="宋体"/>
          <w:color w:val="auto"/>
          <w:szCs w:val="21"/>
          <w:highlight w:val="none"/>
        </w:rPr>
      </w:pPr>
      <w:bookmarkStart w:id="666"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66"/>
    </w:p>
    <w:p w14:paraId="2ADC1C60">
      <w:pPr>
        <w:pStyle w:val="5"/>
        <w:adjustRightInd w:val="0"/>
        <w:snapToGrid w:val="0"/>
        <w:spacing w:before="0" w:after="0" w:line="560" w:lineRule="exact"/>
        <w:ind w:firstLine="422" w:firstLineChars="200"/>
        <w:rPr>
          <w:rFonts w:hint="eastAsia" w:ascii="黑体" w:hAnsi="黑体" w:eastAsia="黑体" w:cs="黑体"/>
          <w:color w:val="auto"/>
          <w:sz w:val="21"/>
          <w:szCs w:val="21"/>
          <w:highlight w:val="none"/>
        </w:rPr>
      </w:pPr>
      <w:bookmarkStart w:id="667" w:name="_Toc179632597"/>
      <w:bookmarkStart w:id="668" w:name="_Toc60061486"/>
      <w:bookmarkStart w:id="669" w:name="_Toc246996966"/>
      <w:bookmarkStart w:id="670" w:name="_Toc15058899"/>
      <w:bookmarkStart w:id="671" w:name="_Toc152045579"/>
      <w:bookmarkStart w:id="672" w:name="_Toc506107314"/>
      <w:bookmarkStart w:id="673" w:name="_Toc247085737"/>
      <w:bookmarkStart w:id="674" w:name="_Toc152042356"/>
      <w:bookmarkStart w:id="675" w:name="_Toc246996223"/>
      <w:bookmarkStart w:id="676" w:name="_Toc83301740"/>
      <w:bookmarkStart w:id="677" w:name="_Toc95223389"/>
      <w:bookmarkStart w:id="678" w:name="_Toc296602466"/>
      <w:bookmarkStart w:id="679" w:name="_Toc324404861"/>
      <w:r>
        <w:rPr>
          <w:rFonts w:hint="eastAsia" w:ascii="黑体" w:hAnsi="黑体" w:eastAsia="黑体" w:cs="黑体"/>
          <w:color w:val="auto"/>
          <w:sz w:val="21"/>
          <w:szCs w:val="21"/>
          <w:highlight w:val="none"/>
        </w:rPr>
        <w:t>9.5 投诉</w:t>
      </w:r>
      <w:bookmarkEnd w:id="665"/>
      <w:bookmarkEnd w:id="667"/>
      <w:bookmarkEnd w:id="668"/>
      <w:bookmarkEnd w:id="669"/>
      <w:bookmarkEnd w:id="670"/>
      <w:bookmarkEnd w:id="671"/>
      <w:bookmarkEnd w:id="672"/>
      <w:bookmarkEnd w:id="673"/>
      <w:bookmarkEnd w:id="674"/>
      <w:bookmarkEnd w:id="675"/>
      <w:bookmarkEnd w:id="676"/>
      <w:bookmarkEnd w:id="677"/>
      <w:bookmarkEnd w:id="678"/>
      <w:bookmarkEnd w:id="679"/>
    </w:p>
    <w:p w14:paraId="602A5F3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17E4BD6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37E60A1B">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680" w:name="_Toc246996224"/>
      <w:bookmarkStart w:id="681" w:name="_Toc247085738"/>
      <w:bookmarkStart w:id="682" w:name="_Toc83301741"/>
      <w:bookmarkStart w:id="683" w:name="_Toc324404862"/>
      <w:bookmarkStart w:id="684" w:name="_Toc246996967"/>
      <w:bookmarkStart w:id="685" w:name="_Toc144974547"/>
      <w:bookmarkStart w:id="686" w:name="_Toc506107315"/>
      <w:bookmarkStart w:id="687" w:name="_Toc152045580"/>
      <w:bookmarkStart w:id="688" w:name="_Toc60061487"/>
      <w:bookmarkStart w:id="689" w:name="_Toc15058900"/>
      <w:bookmarkStart w:id="690" w:name="_Toc179632598"/>
      <w:bookmarkStart w:id="691" w:name="_Toc95223390"/>
      <w:bookmarkStart w:id="692" w:name="_Toc152042357"/>
      <w:r>
        <w:rPr>
          <w:rFonts w:hint="eastAsia" w:ascii="黑体" w:hAnsi="黑体" w:cs="黑体"/>
          <w:color w:val="auto"/>
          <w:sz w:val="21"/>
          <w:szCs w:val="21"/>
          <w:highlight w:val="none"/>
        </w:rPr>
        <w:t>10.需要补充的其他内容</w:t>
      </w:r>
      <w:bookmarkEnd w:id="680"/>
      <w:bookmarkEnd w:id="681"/>
      <w:bookmarkEnd w:id="682"/>
      <w:bookmarkEnd w:id="683"/>
      <w:bookmarkEnd w:id="684"/>
      <w:bookmarkEnd w:id="685"/>
      <w:bookmarkEnd w:id="686"/>
      <w:bookmarkEnd w:id="687"/>
      <w:bookmarkEnd w:id="688"/>
      <w:bookmarkEnd w:id="689"/>
      <w:bookmarkEnd w:id="690"/>
      <w:bookmarkEnd w:id="691"/>
      <w:bookmarkEnd w:id="692"/>
      <w:bookmarkStart w:id="693" w:name="_Toc15058901"/>
      <w:bookmarkStart w:id="694" w:name="_Toc60061488"/>
    </w:p>
    <w:p w14:paraId="4FBC784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693"/>
      <w:bookmarkEnd w:id="694"/>
    </w:p>
    <w:p w14:paraId="2BF0EF51">
      <w:pPr>
        <w:pStyle w:val="19"/>
        <w:rPr>
          <w:rFonts w:hint="eastAsia"/>
          <w:color w:val="auto"/>
          <w:highlight w:val="none"/>
        </w:rPr>
      </w:pPr>
    </w:p>
    <w:p w14:paraId="62EB5E70">
      <w:pPr>
        <w:rPr>
          <w:rFonts w:hint="eastAsia"/>
          <w:color w:val="auto"/>
          <w:highlight w:val="none"/>
        </w:rPr>
      </w:pPr>
    </w:p>
    <w:p w14:paraId="1CACA667">
      <w:pPr>
        <w:pStyle w:val="19"/>
        <w:rPr>
          <w:rFonts w:hint="eastAsia"/>
          <w:color w:val="auto"/>
          <w:highlight w:val="none"/>
        </w:rPr>
      </w:pPr>
    </w:p>
    <w:p w14:paraId="43A3FF69">
      <w:pPr>
        <w:rPr>
          <w:rFonts w:hint="eastAsia"/>
          <w:color w:val="auto"/>
          <w:highlight w:val="none"/>
        </w:rPr>
      </w:pPr>
    </w:p>
    <w:p w14:paraId="7749B846">
      <w:pPr>
        <w:pStyle w:val="19"/>
        <w:rPr>
          <w:rFonts w:hint="eastAsia"/>
          <w:color w:val="auto"/>
          <w:highlight w:val="none"/>
        </w:rPr>
      </w:pPr>
    </w:p>
    <w:p w14:paraId="250C7664">
      <w:pPr>
        <w:rPr>
          <w:rFonts w:hint="eastAsia"/>
          <w:color w:val="auto"/>
          <w:highlight w:val="none"/>
        </w:rPr>
      </w:pPr>
    </w:p>
    <w:p w14:paraId="1B35CE0C">
      <w:pPr>
        <w:pStyle w:val="19"/>
        <w:rPr>
          <w:rFonts w:hint="eastAsia"/>
          <w:color w:val="auto"/>
          <w:highlight w:val="none"/>
        </w:rPr>
      </w:pPr>
    </w:p>
    <w:p w14:paraId="0F19E0A7">
      <w:pPr>
        <w:rPr>
          <w:rFonts w:hint="eastAsia"/>
          <w:color w:val="auto"/>
          <w:highlight w:val="none"/>
        </w:rPr>
      </w:pPr>
    </w:p>
    <w:p w14:paraId="63D550E5">
      <w:pPr>
        <w:pStyle w:val="19"/>
        <w:rPr>
          <w:rFonts w:hint="eastAsia"/>
          <w:color w:val="auto"/>
          <w:highlight w:val="none"/>
        </w:rPr>
      </w:pPr>
    </w:p>
    <w:p w14:paraId="3A204959">
      <w:pPr>
        <w:rPr>
          <w:rFonts w:hint="eastAsia"/>
          <w:color w:val="auto"/>
          <w:highlight w:val="none"/>
        </w:rPr>
      </w:pPr>
    </w:p>
    <w:p w14:paraId="6540D867">
      <w:pPr>
        <w:pStyle w:val="19"/>
        <w:rPr>
          <w:rFonts w:hint="eastAsia"/>
          <w:color w:val="auto"/>
          <w:highlight w:val="none"/>
        </w:rPr>
      </w:pPr>
    </w:p>
    <w:p w14:paraId="2EA547D6">
      <w:pPr>
        <w:rPr>
          <w:rFonts w:hint="eastAsia"/>
          <w:color w:val="auto"/>
          <w:highlight w:val="none"/>
        </w:rPr>
      </w:pPr>
    </w:p>
    <w:p w14:paraId="69D5543D">
      <w:pPr>
        <w:pStyle w:val="19"/>
        <w:rPr>
          <w:rFonts w:hint="eastAsia"/>
          <w:color w:val="auto"/>
          <w:highlight w:val="none"/>
        </w:rPr>
      </w:pPr>
    </w:p>
    <w:p w14:paraId="7963FEEA">
      <w:pPr>
        <w:rPr>
          <w:rFonts w:hint="eastAsia"/>
          <w:color w:val="auto"/>
          <w:highlight w:val="none"/>
        </w:rPr>
      </w:pPr>
    </w:p>
    <w:p w14:paraId="0926640D">
      <w:pPr>
        <w:pStyle w:val="19"/>
        <w:rPr>
          <w:rFonts w:hint="eastAsia"/>
          <w:color w:val="auto"/>
          <w:highlight w:val="none"/>
        </w:rPr>
      </w:pPr>
    </w:p>
    <w:p w14:paraId="57759D38">
      <w:pPr>
        <w:rPr>
          <w:rFonts w:hint="eastAsia"/>
          <w:color w:val="auto"/>
          <w:highlight w:val="none"/>
        </w:rPr>
      </w:pPr>
    </w:p>
    <w:p w14:paraId="57CB7366">
      <w:pPr>
        <w:pStyle w:val="19"/>
        <w:rPr>
          <w:rFonts w:hint="eastAsia"/>
          <w:color w:val="auto"/>
          <w:highlight w:val="none"/>
        </w:rPr>
      </w:pPr>
    </w:p>
    <w:p w14:paraId="389E2957">
      <w:pPr>
        <w:rPr>
          <w:rFonts w:hint="eastAsia"/>
          <w:color w:val="auto"/>
          <w:highlight w:val="none"/>
        </w:rPr>
      </w:pPr>
    </w:p>
    <w:p w14:paraId="4C60E1AB">
      <w:pPr>
        <w:pStyle w:val="19"/>
        <w:rPr>
          <w:rFonts w:hint="eastAsia"/>
          <w:color w:val="auto"/>
          <w:highlight w:val="none"/>
        </w:rPr>
      </w:pPr>
    </w:p>
    <w:p w14:paraId="464B8AD6">
      <w:pPr>
        <w:rPr>
          <w:rFonts w:hint="eastAsia"/>
          <w:color w:val="auto"/>
          <w:highlight w:val="none"/>
        </w:rPr>
      </w:pPr>
    </w:p>
    <w:p w14:paraId="293CF153">
      <w:pPr>
        <w:pStyle w:val="19"/>
        <w:rPr>
          <w:rFonts w:hint="eastAsia"/>
          <w:color w:val="auto"/>
          <w:highlight w:val="none"/>
        </w:rPr>
      </w:pPr>
    </w:p>
    <w:p w14:paraId="3C219DB4">
      <w:pPr>
        <w:rPr>
          <w:rFonts w:hint="eastAsia"/>
          <w:color w:val="auto"/>
          <w:highlight w:val="none"/>
        </w:rPr>
      </w:pPr>
    </w:p>
    <w:p w14:paraId="6089856B">
      <w:pPr>
        <w:pStyle w:val="19"/>
        <w:rPr>
          <w:rFonts w:hint="eastAsia"/>
          <w:color w:val="auto"/>
          <w:highlight w:val="none"/>
        </w:rPr>
      </w:pPr>
    </w:p>
    <w:p w14:paraId="6F3BEF06">
      <w:pPr>
        <w:rPr>
          <w:rFonts w:hint="eastAsia"/>
          <w:color w:val="auto"/>
          <w:highlight w:val="none"/>
        </w:rPr>
      </w:pPr>
    </w:p>
    <w:p w14:paraId="45250F5E">
      <w:pPr>
        <w:pStyle w:val="19"/>
        <w:rPr>
          <w:rFonts w:hint="eastAsia"/>
          <w:color w:val="auto"/>
          <w:highlight w:val="none"/>
        </w:rPr>
      </w:pPr>
    </w:p>
    <w:p w14:paraId="38B2CD0D">
      <w:pPr>
        <w:rPr>
          <w:rFonts w:hint="eastAsia"/>
          <w:color w:val="auto"/>
          <w:highlight w:val="none"/>
        </w:rPr>
      </w:pPr>
    </w:p>
    <w:p w14:paraId="40337CBC">
      <w:pPr>
        <w:pStyle w:val="19"/>
        <w:rPr>
          <w:rFonts w:hint="eastAsia"/>
          <w:color w:val="auto"/>
          <w:highlight w:val="none"/>
        </w:rPr>
      </w:pPr>
    </w:p>
    <w:p w14:paraId="1F01E86F">
      <w:pPr>
        <w:rPr>
          <w:rFonts w:hint="eastAsia"/>
          <w:color w:val="auto"/>
          <w:highlight w:val="none"/>
        </w:rPr>
      </w:pPr>
    </w:p>
    <w:p w14:paraId="24FE4B76">
      <w:pPr>
        <w:pStyle w:val="19"/>
        <w:rPr>
          <w:rFonts w:hint="eastAsia"/>
          <w:color w:val="auto"/>
          <w:highlight w:val="none"/>
        </w:rPr>
      </w:pPr>
    </w:p>
    <w:p w14:paraId="321EF104">
      <w:pPr>
        <w:rPr>
          <w:rFonts w:hint="eastAsia"/>
          <w:color w:val="auto"/>
          <w:highlight w:val="none"/>
        </w:rPr>
      </w:pPr>
    </w:p>
    <w:p w14:paraId="6F6C5CE8">
      <w:pPr>
        <w:pStyle w:val="19"/>
        <w:rPr>
          <w:rFonts w:hint="eastAsia"/>
          <w:color w:val="auto"/>
          <w:highlight w:val="none"/>
        </w:rPr>
      </w:pPr>
    </w:p>
    <w:p w14:paraId="2945F3B7">
      <w:pPr>
        <w:rPr>
          <w:rFonts w:hint="eastAsia"/>
          <w:color w:val="auto"/>
          <w:highlight w:val="none"/>
        </w:rPr>
      </w:pPr>
    </w:p>
    <w:p w14:paraId="68E289CC">
      <w:pPr>
        <w:pStyle w:val="19"/>
        <w:rPr>
          <w:rFonts w:hint="eastAsia"/>
          <w:color w:val="auto"/>
          <w:highlight w:val="none"/>
        </w:rPr>
      </w:pPr>
    </w:p>
    <w:p w14:paraId="5B671ADC">
      <w:pPr>
        <w:rPr>
          <w:rFonts w:hint="eastAsia"/>
          <w:color w:val="auto"/>
          <w:highlight w:val="none"/>
        </w:rPr>
      </w:pPr>
    </w:p>
    <w:p w14:paraId="4781BFBC">
      <w:pPr>
        <w:pStyle w:val="19"/>
        <w:rPr>
          <w:rFonts w:hint="eastAsia"/>
          <w:color w:val="auto"/>
          <w:highlight w:val="none"/>
        </w:rPr>
      </w:pPr>
    </w:p>
    <w:p w14:paraId="51BF63E7">
      <w:pPr>
        <w:rPr>
          <w:rFonts w:hint="eastAsia"/>
          <w:color w:val="auto"/>
          <w:highlight w:val="none"/>
        </w:rPr>
      </w:pPr>
    </w:p>
    <w:p w14:paraId="2D6E2E8A">
      <w:pPr>
        <w:pStyle w:val="19"/>
        <w:rPr>
          <w:rFonts w:hint="eastAsia"/>
          <w:color w:val="auto"/>
          <w:highlight w:val="none"/>
        </w:rPr>
      </w:pPr>
    </w:p>
    <w:p w14:paraId="280A8742">
      <w:pPr>
        <w:rPr>
          <w:rFonts w:hint="eastAsia"/>
          <w:color w:val="auto"/>
          <w:highlight w:val="none"/>
        </w:rPr>
      </w:pPr>
    </w:p>
    <w:p w14:paraId="5388B1CB">
      <w:pPr>
        <w:pStyle w:val="19"/>
        <w:rPr>
          <w:rFonts w:hint="eastAsia"/>
          <w:color w:val="auto"/>
          <w:highlight w:val="none"/>
        </w:rPr>
      </w:pPr>
    </w:p>
    <w:p w14:paraId="6BE1EB57">
      <w:pPr>
        <w:pStyle w:val="19"/>
        <w:rPr>
          <w:rFonts w:hint="eastAsia"/>
          <w:color w:val="auto"/>
          <w:highlight w:val="none"/>
        </w:rPr>
      </w:pPr>
    </w:p>
    <w:p w14:paraId="10AD249A">
      <w:pPr>
        <w:pStyle w:val="2"/>
        <w:spacing w:before="0" w:after="0" w:line="240" w:lineRule="auto"/>
        <w:jc w:val="center"/>
        <w:rPr>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695" w:name="_Toc95223393"/>
      <w:bookmarkStart w:id="696" w:name="_Toc324404865"/>
      <w:bookmarkStart w:id="697" w:name="_Toc506107318"/>
      <w:bookmarkStart w:id="698" w:name="_Toc15058903"/>
      <w:bookmarkStart w:id="699" w:name="_Toc60061490"/>
      <w:bookmarkStart w:id="700" w:name="_Toc296602475"/>
    </w:p>
    <w:p w14:paraId="2E1F4125">
      <w:pPr>
        <w:pStyle w:val="2"/>
        <w:spacing w:before="0" w:after="0" w:line="240" w:lineRule="auto"/>
        <w:jc w:val="center"/>
        <w:rPr>
          <w:rFonts w:hint="eastAsia"/>
          <w:color w:val="auto"/>
          <w:highlight w:val="none"/>
        </w:rPr>
      </w:pPr>
      <w:r>
        <w:rPr>
          <w:rFonts w:hint="eastAsia"/>
          <w:color w:val="auto"/>
          <w:highlight w:val="none"/>
        </w:rPr>
        <w:t>第三章 资格审查办法（综合评估法）</w:t>
      </w:r>
    </w:p>
    <w:p w14:paraId="60FC7A94">
      <w:pPr>
        <w:pStyle w:val="3"/>
        <w:tabs>
          <w:tab w:val="left" w:pos="2796"/>
          <w:tab w:val="center" w:pos="4479"/>
        </w:tabs>
        <w:adjustRightInd w:val="0"/>
        <w:snapToGrid w:val="0"/>
        <w:spacing w:before="0" w:after="0" w:line="560" w:lineRule="exact"/>
        <w:jc w:val="center"/>
        <w:rPr>
          <w:rFonts w:hint="eastAsia"/>
          <w:color w:val="auto"/>
          <w:sz w:val="28"/>
          <w:szCs w:val="28"/>
          <w:highlight w:val="none"/>
        </w:rPr>
      </w:pPr>
      <w:r>
        <w:rPr>
          <w:rFonts w:hint="eastAsia"/>
          <w:color w:val="auto"/>
          <w:sz w:val="28"/>
          <w:szCs w:val="28"/>
          <w:highlight w:val="none"/>
        </w:rPr>
        <w:t>资格审查办法前附表</w:t>
      </w:r>
    </w:p>
    <w:tbl>
      <w:tblPr>
        <w:tblStyle w:val="20"/>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14:paraId="5B48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080B99C1">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noWrap w:val="0"/>
            <w:vAlign w:val="center"/>
          </w:tcPr>
          <w:p w14:paraId="48F08510">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noWrap w:val="0"/>
            <w:vAlign w:val="center"/>
          </w:tcPr>
          <w:p w14:paraId="628585AC">
            <w:pPr>
              <w:adjustRightInd w:val="0"/>
              <w:snapToGrid w:val="0"/>
              <w:spacing w:line="560" w:lineRule="exact"/>
              <w:jc w:val="center"/>
              <w:rPr>
                <w:rFonts w:hint="eastAsia"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4A23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5627C1A7">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0"/>
            <w:vAlign w:val="center"/>
          </w:tcPr>
          <w:p w14:paraId="06E4FDFC">
            <w:pPr>
              <w:adjustRightInd w:val="0"/>
              <w:snapToGrid w:val="0"/>
              <w:spacing w:line="56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noWrap w:val="0"/>
            <w:vAlign w:val="top"/>
          </w:tcPr>
          <w:p w14:paraId="0EB4C15C">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noWrap w:val="0"/>
            <w:vAlign w:val="center"/>
          </w:tcPr>
          <w:p w14:paraId="4BCAEE49">
            <w:pPr>
              <w:adjustRightInd w:val="0"/>
              <w:snapToGrid w:val="0"/>
              <w:spacing w:line="5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检验电子标书</w:t>
            </w:r>
          </w:p>
        </w:tc>
      </w:tr>
      <w:tr w14:paraId="19F7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32C560D1">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78B47FA7">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615F0E52">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诚信投标承诺书（或《</w:t>
            </w:r>
            <w:r>
              <w:rPr>
                <w:rFonts w:hint="eastAsia" w:ascii="宋体" w:hAnsi="宋体" w:cs="宋体"/>
                <w:color w:val="auto"/>
                <w:kern w:val="0"/>
                <w:szCs w:val="21"/>
                <w:highlight w:val="none"/>
              </w:rPr>
              <w:t>公共信用信息报告（无违法违规证明版或核查版）</w:t>
            </w:r>
            <w:r>
              <w:rPr>
                <w:rFonts w:hint="eastAsia" w:ascii="宋体" w:hAnsi="宋体" w:cs="宋体"/>
                <w:color w:val="auto"/>
                <w:szCs w:val="21"/>
                <w:highlight w:val="none"/>
              </w:rPr>
              <w:t>》）</w:t>
            </w:r>
          </w:p>
        </w:tc>
        <w:tc>
          <w:tcPr>
            <w:tcW w:w="1999" w:type="dxa"/>
            <w:vMerge w:val="continue"/>
            <w:noWrap w:val="0"/>
            <w:vAlign w:val="center"/>
          </w:tcPr>
          <w:p w14:paraId="3EA0550C">
            <w:pPr>
              <w:adjustRightInd w:val="0"/>
              <w:snapToGrid w:val="0"/>
              <w:spacing w:line="560" w:lineRule="exact"/>
              <w:jc w:val="center"/>
              <w:rPr>
                <w:rFonts w:hint="eastAsia" w:ascii="宋体" w:hAnsi="宋体" w:cs="宋体"/>
                <w:b/>
                <w:color w:val="auto"/>
                <w:szCs w:val="21"/>
                <w:highlight w:val="none"/>
              </w:rPr>
            </w:pPr>
          </w:p>
        </w:tc>
      </w:tr>
      <w:tr w14:paraId="4F4C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11ABE4F3">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7492E207">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761E7001">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企业法人营业执照</w:t>
            </w:r>
          </w:p>
        </w:tc>
        <w:tc>
          <w:tcPr>
            <w:tcW w:w="1999" w:type="dxa"/>
            <w:vMerge w:val="continue"/>
            <w:noWrap w:val="0"/>
            <w:vAlign w:val="center"/>
          </w:tcPr>
          <w:p w14:paraId="3E8D75D1">
            <w:pPr>
              <w:adjustRightInd w:val="0"/>
              <w:snapToGrid w:val="0"/>
              <w:spacing w:line="560" w:lineRule="exact"/>
              <w:jc w:val="center"/>
              <w:rPr>
                <w:rFonts w:hint="eastAsia" w:ascii="宋体" w:hAnsi="宋体" w:cs="宋体"/>
                <w:b/>
                <w:color w:val="auto"/>
                <w:szCs w:val="21"/>
                <w:highlight w:val="none"/>
              </w:rPr>
            </w:pPr>
          </w:p>
        </w:tc>
      </w:tr>
      <w:tr w14:paraId="743D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0"/>
            <w:vAlign w:val="center"/>
          </w:tcPr>
          <w:p w14:paraId="345E2244">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4B7EF4F5">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593EC85D">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企业资质证书</w:t>
            </w:r>
          </w:p>
        </w:tc>
        <w:tc>
          <w:tcPr>
            <w:tcW w:w="1999" w:type="dxa"/>
            <w:vMerge w:val="continue"/>
            <w:noWrap w:val="0"/>
            <w:vAlign w:val="center"/>
          </w:tcPr>
          <w:p w14:paraId="67886A61">
            <w:pPr>
              <w:adjustRightInd w:val="0"/>
              <w:snapToGrid w:val="0"/>
              <w:spacing w:line="560" w:lineRule="exact"/>
              <w:jc w:val="center"/>
              <w:rPr>
                <w:rFonts w:hint="eastAsia" w:ascii="宋体" w:hAnsi="宋体" w:cs="宋体"/>
                <w:color w:val="auto"/>
                <w:szCs w:val="21"/>
                <w:highlight w:val="none"/>
              </w:rPr>
            </w:pPr>
          </w:p>
        </w:tc>
      </w:tr>
      <w:tr w14:paraId="5CB2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0"/>
            <w:vAlign w:val="center"/>
          </w:tcPr>
          <w:p w14:paraId="311FF02E">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5E9403BB">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7DA47939">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999" w:type="dxa"/>
            <w:vMerge w:val="continue"/>
            <w:noWrap w:val="0"/>
            <w:vAlign w:val="center"/>
          </w:tcPr>
          <w:p w14:paraId="41064D4A">
            <w:pPr>
              <w:adjustRightInd w:val="0"/>
              <w:snapToGrid w:val="0"/>
              <w:spacing w:line="560" w:lineRule="exact"/>
              <w:jc w:val="center"/>
              <w:rPr>
                <w:rFonts w:hint="eastAsia" w:ascii="宋体" w:hAnsi="宋体" w:cs="宋体"/>
                <w:color w:val="auto"/>
                <w:szCs w:val="21"/>
                <w:highlight w:val="none"/>
              </w:rPr>
            </w:pPr>
          </w:p>
        </w:tc>
      </w:tr>
      <w:tr w14:paraId="320A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2F2F58BE">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42BDF2F1">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5CD1D720">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999" w:type="dxa"/>
            <w:vMerge w:val="continue"/>
            <w:noWrap w:val="0"/>
            <w:vAlign w:val="center"/>
          </w:tcPr>
          <w:p w14:paraId="2378A29E">
            <w:pPr>
              <w:adjustRightInd w:val="0"/>
              <w:snapToGrid w:val="0"/>
              <w:spacing w:line="560" w:lineRule="exact"/>
              <w:jc w:val="center"/>
              <w:rPr>
                <w:rFonts w:hint="eastAsia" w:ascii="宋体" w:hAnsi="宋体" w:cs="宋体"/>
                <w:color w:val="auto"/>
                <w:szCs w:val="21"/>
                <w:highlight w:val="none"/>
              </w:rPr>
            </w:pPr>
          </w:p>
        </w:tc>
      </w:tr>
      <w:tr w14:paraId="493F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170FE3C7">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5E4C0441">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033E017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999" w:type="dxa"/>
            <w:vMerge w:val="continue"/>
            <w:noWrap w:val="0"/>
            <w:vAlign w:val="center"/>
          </w:tcPr>
          <w:p w14:paraId="1212FC83">
            <w:pPr>
              <w:adjustRightInd w:val="0"/>
              <w:snapToGrid w:val="0"/>
              <w:spacing w:line="560" w:lineRule="exact"/>
              <w:jc w:val="center"/>
              <w:rPr>
                <w:rFonts w:hint="eastAsia" w:ascii="宋体" w:hAnsi="宋体" w:cs="宋体"/>
                <w:color w:val="auto"/>
                <w:szCs w:val="21"/>
                <w:highlight w:val="none"/>
              </w:rPr>
            </w:pPr>
          </w:p>
        </w:tc>
      </w:tr>
      <w:tr w14:paraId="22CB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672E3D66">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4E4F26BA">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7090D40C">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项目管理机构。查看项目管理机构主要人员组成表</w:t>
            </w:r>
          </w:p>
        </w:tc>
        <w:tc>
          <w:tcPr>
            <w:tcW w:w="1999" w:type="dxa"/>
            <w:vMerge w:val="continue"/>
            <w:noWrap w:val="0"/>
            <w:vAlign w:val="center"/>
          </w:tcPr>
          <w:p w14:paraId="33ECA9E0">
            <w:pPr>
              <w:adjustRightInd w:val="0"/>
              <w:snapToGrid w:val="0"/>
              <w:spacing w:line="560" w:lineRule="exact"/>
              <w:jc w:val="center"/>
              <w:rPr>
                <w:rFonts w:hint="eastAsia" w:ascii="宋体" w:hAnsi="宋体" w:cs="宋体"/>
                <w:b/>
                <w:color w:val="auto"/>
                <w:szCs w:val="21"/>
                <w:highlight w:val="none"/>
              </w:rPr>
            </w:pPr>
          </w:p>
        </w:tc>
      </w:tr>
      <w:tr w14:paraId="47C1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3A59EDB0">
            <w:pPr>
              <w:adjustRightInd w:val="0"/>
              <w:snapToGrid w:val="0"/>
              <w:spacing w:line="560" w:lineRule="exact"/>
              <w:jc w:val="center"/>
              <w:rPr>
                <w:rFonts w:hint="eastAsia" w:ascii="宋体" w:hAnsi="宋体" w:cs="宋体"/>
                <w:color w:val="auto"/>
                <w:szCs w:val="21"/>
                <w:highlight w:val="none"/>
              </w:rPr>
            </w:pPr>
          </w:p>
        </w:tc>
        <w:tc>
          <w:tcPr>
            <w:tcW w:w="1258" w:type="dxa"/>
            <w:vMerge w:val="continue"/>
            <w:noWrap w:val="0"/>
            <w:vAlign w:val="center"/>
          </w:tcPr>
          <w:p w14:paraId="56FA537B">
            <w:pPr>
              <w:adjustRightInd w:val="0"/>
              <w:snapToGrid w:val="0"/>
              <w:spacing w:line="560" w:lineRule="exact"/>
              <w:jc w:val="center"/>
              <w:rPr>
                <w:rFonts w:hint="eastAsia" w:ascii="宋体" w:hAnsi="宋体" w:cs="宋体"/>
                <w:b/>
                <w:bCs/>
                <w:color w:val="auto"/>
                <w:szCs w:val="21"/>
                <w:highlight w:val="none"/>
              </w:rPr>
            </w:pPr>
          </w:p>
        </w:tc>
        <w:tc>
          <w:tcPr>
            <w:tcW w:w="6044" w:type="dxa"/>
            <w:noWrap w:val="0"/>
            <w:vAlign w:val="top"/>
          </w:tcPr>
          <w:p w14:paraId="7B1F0962">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联合体协议书（如有）</w:t>
            </w:r>
          </w:p>
        </w:tc>
        <w:tc>
          <w:tcPr>
            <w:tcW w:w="1999" w:type="dxa"/>
            <w:vMerge w:val="continue"/>
            <w:noWrap w:val="0"/>
            <w:vAlign w:val="center"/>
          </w:tcPr>
          <w:p w14:paraId="14B5FDF0">
            <w:pPr>
              <w:adjustRightInd w:val="0"/>
              <w:snapToGrid w:val="0"/>
              <w:spacing w:line="560" w:lineRule="exact"/>
              <w:jc w:val="center"/>
              <w:rPr>
                <w:rFonts w:hint="eastAsia" w:ascii="宋体" w:hAnsi="宋体" w:cs="宋体"/>
                <w:b/>
                <w:color w:val="auto"/>
                <w:szCs w:val="21"/>
                <w:highlight w:val="none"/>
              </w:rPr>
            </w:pPr>
          </w:p>
        </w:tc>
      </w:tr>
    </w:tbl>
    <w:p w14:paraId="605CA706">
      <w:pPr>
        <w:adjustRightInd w:val="0"/>
        <w:snapToGrid w:val="0"/>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66D240E7">
      <w:pPr>
        <w:adjustRightInd w:val="0"/>
        <w:snapToGrid w:val="0"/>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411B35F5">
      <w:pPr>
        <w:adjustRightInd w:val="0"/>
        <w:snapToGrid w:val="0"/>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01470D3E">
      <w:pPr>
        <w:spacing w:line="560" w:lineRule="exact"/>
        <w:ind w:firstLine="422" w:firstLineChars="20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（3）投标人拟委任项目经理为注册建造师（含一级、二级）的，须提供在电子证书使用有效期内的纸质版电子证书。</w:t>
      </w:r>
      <w:r>
        <w:rPr>
          <w:rFonts w:ascii="黑体" w:hAnsi="黑体" w:eastAsia="黑体" w:cs="黑体"/>
          <w:b/>
          <w:bCs/>
          <w:color w:val="auto"/>
          <w:szCs w:val="21"/>
          <w:highlight w:val="none"/>
        </w:rPr>
        <w:t>一级建造师打印电子证书后，应在个人签名处手写本人签名，未手写签名或与签名图像笔迹不一致的，该电子证书无效。</w:t>
      </w:r>
    </w:p>
    <w:p w14:paraId="59ED5D82">
      <w:pPr>
        <w:spacing w:line="560" w:lineRule="exact"/>
        <w:ind w:firstLine="422" w:firstLineChars="200"/>
        <w:jc w:val="left"/>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32391F4B">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1.审查资料</w:t>
      </w:r>
    </w:p>
    <w:p w14:paraId="1572EE7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05037C7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（2）诚信投标承诺书（或《</w:t>
      </w:r>
      <w:r>
        <w:rPr>
          <w:rFonts w:hint="eastAsia" w:ascii="宋体" w:hAnsi="宋体" w:cs="宋体"/>
          <w:color w:val="auto"/>
          <w:kern w:val="0"/>
          <w:szCs w:val="21"/>
          <w:highlight w:val="none"/>
        </w:rPr>
        <w:t>公共信用信息报告（无违法违规证明版或核查版）</w:t>
      </w:r>
      <w:r>
        <w:rPr>
          <w:rFonts w:hint="eastAsia" w:ascii="宋体" w:hAnsi="宋体" w:cs="宋体"/>
          <w:color w:val="auto"/>
          <w:szCs w:val="21"/>
          <w:highlight w:val="none"/>
        </w:rPr>
        <w:t>》）；</w:t>
      </w:r>
    </w:p>
    <w:p w14:paraId="0E8AB96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276D1D36">
      <w:pPr>
        <w:adjustRightInd w:val="0"/>
        <w:snapToGrid w:val="0"/>
        <w:spacing w:line="560" w:lineRule="exact"/>
        <w:ind w:firstLine="420" w:firstLineChars="200"/>
        <w:rPr>
          <w:rFonts w:hint="eastAsia"/>
          <w:color w:val="auto"/>
          <w:highlight w:val="none"/>
        </w:rPr>
      </w:pPr>
      <w:r>
        <w:rPr>
          <w:rFonts w:hint="eastAsia" w:ascii="宋体" w:hAnsi="宋体" w:cs="宋体"/>
          <w:color w:val="auto"/>
          <w:szCs w:val="21"/>
          <w:highlight w:val="none"/>
        </w:rPr>
        <w:t>（4）企业资质证书；</w:t>
      </w:r>
    </w:p>
    <w:p w14:paraId="0B7C7FC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（5）企业安全生产许可证；</w:t>
      </w:r>
    </w:p>
    <w:p w14:paraId="79A0F0C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（6）项目经理（建造师）有效身份证、注册证书以及安全生产考核合格证书（B证）；</w:t>
      </w:r>
    </w:p>
    <w:p w14:paraId="33222D72">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投标人的法定代表人(或委托代理人)和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3BC50ACF">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（8）项目管理机构。查看项目管理机构主要人员组成表；</w:t>
      </w:r>
    </w:p>
    <w:p w14:paraId="22307C35">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（9）联合体协议书（如有）。</w:t>
      </w:r>
    </w:p>
    <w:p w14:paraId="0A372482">
      <w:pPr>
        <w:adjustRightInd w:val="0"/>
        <w:snapToGrid w:val="0"/>
        <w:spacing w:line="56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温馨提示：</w:t>
      </w:r>
    </w:p>
    <w:p w14:paraId="3174A5FC">
      <w:pPr>
        <w:adjustRightInd w:val="0"/>
        <w:snapToGrid w:val="0"/>
        <w:spacing w:line="56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（1）请各投标人自行完善安徽省公共资源交易市场主体库中的单位基本信息，保证信息最新且有效。</w:t>
      </w:r>
    </w:p>
    <w:p w14:paraId="74518A42">
      <w:pPr>
        <w:adjustRightInd w:val="0"/>
        <w:snapToGrid w:val="0"/>
        <w:spacing w:line="560" w:lineRule="exact"/>
        <w:ind w:firstLine="422" w:firstLineChars="200"/>
        <w:jc w:val="left"/>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2）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729C471E">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2.审查办法</w:t>
      </w:r>
    </w:p>
    <w:p w14:paraId="4AA4DB4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2048A131">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3.资格审查委员会和审查标准</w:t>
      </w:r>
    </w:p>
    <w:p w14:paraId="27031A0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330794B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308C5AC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79D93FE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330AA75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（3）保证金不按第二章“投标人须知”及其前附表要求提交投标保证金的； </w:t>
      </w:r>
    </w:p>
    <w:p w14:paraId="0E989FE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（4）投标人未办理省主体库登记入库手续的；</w:t>
      </w:r>
    </w:p>
    <w:p w14:paraId="2962BD2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（5）投标人投标 MAC 地址一致的；</w:t>
      </w:r>
    </w:p>
    <w:p w14:paraId="6C21DA3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（6）投标人申请开具电子保函 MAC 地址一致的；</w:t>
      </w:r>
    </w:p>
    <w:p w14:paraId="24E3675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（7）投标人投标文件制作机器码、文件创建标识码及造价软件加密锁号信息雷同的；</w:t>
      </w:r>
    </w:p>
    <w:p w14:paraId="5CF74C7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（8）法律、法规规定的其他情形。</w:t>
      </w:r>
    </w:p>
    <w:p w14:paraId="66ACFE63">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4.审查结果</w:t>
      </w:r>
    </w:p>
    <w:p w14:paraId="465E49B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bookmarkEnd w:id="695"/>
    <w:bookmarkEnd w:id="696"/>
    <w:bookmarkEnd w:id="697"/>
    <w:bookmarkEnd w:id="698"/>
    <w:bookmarkEnd w:id="699"/>
    <w:p w14:paraId="4EC11E8E">
      <w:pPr>
        <w:rPr>
          <w:rFonts w:hint="eastAsia"/>
          <w:color w:val="auto"/>
          <w:highlight w:val="none"/>
        </w:rPr>
      </w:pPr>
      <w:bookmarkStart w:id="701" w:name="_Toc15058912"/>
      <w:bookmarkStart w:id="702" w:name="_Toc506107323"/>
      <w:bookmarkStart w:id="703" w:name="_Toc95223398"/>
      <w:bookmarkStart w:id="704" w:name="_Toc60061495"/>
    </w:p>
    <w:p w14:paraId="5ACF704B">
      <w:pPr>
        <w:pStyle w:val="19"/>
        <w:rPr>
          <w:rFonts w:hint="eastAsia"/>
          <w:color w:val="auto"/>
          <w:highlight w:val="none"/>
        </w:rPr>
      </w:pPr>
    </w:p>
    <w:p w14:paraId="32AB0EDA">
      <w:pPr>
        <w:rPr>
          <w:rFonts w:hint="eastAsia"/>
          <w:color w:val="auto"/>
          <w:highlight w:val="none"/>
        </w:rPr>
      </w:pPr>
    </w:p>
    <w:p w14:paraId="165B24AB">
      <w:pPr>
        <w:pStyle w:val="19"/>
        <w:rPr>
          <w:rFonts w:hint="eastAsia"/>
          <w:color w:val="auto"/>
          <w:highlight w:val="none"/>
        </w:rPr>
      </w:pPr>
    </w:p>
    <w:p w14:paraId="02BE3945">
      <w:pPr>
        <w:rPr>
          <w:rFonts w:hint="eastAsia"/>
          <w:color w:val="auto"/>
          <w:highlight w:val="none"/>
        </w:rPr>
      </w:pPr>
    </w:p>
    <w:p w14:paraId="715D2758">
      <w:pPr>
        <w:pStyle w:val="19"/>
        <w:rPr>
          <w:rFonts w:hint="eastAsia"/>
          <w:color w:val="auto"/>
          <w:highlight w:val="none"/>
        </w:rPr>
      </w:pPr>
    </w:p>
    <w:p w14:paraId="28172CE6">
      <w:pPr>
        <w:rPr>
          <w:rFonts w:hint="eastAsia"/>
          <w:color w:val="auto"/>
          <w:highlight w:val="none"/>
        </w:rPr>
      </w:pPr>
    </w:p>
    <w:p w14:paraId="4B475CD5">
      <w:pPr>
        <w:pStyle w:val="19"/>
        <w:rPr>
          <w:rFonts w:hint="eastAsia"/>
          <w:color w:val="auto"/>
          <w:highlight w:val="none"/>
        </w:rPr>
      </w:pPr>
    </w:p>
    <w:p w14:paraId="1E9D5319">
      <w:pPr>
        <w:rPr>
          <w:rFonts w:hint="eastAsia"/>
          <w:color w:val="auto"/>
          <w:highlight w:val="none"/>
        </w:rPr>
      </w:pPr>
    </w:p>
    <w:p w14:paraId="59DAC2F6">
      <w:pPr>
        <w:pStyle w:val="19"/>
        <w:rPr>
          <w:rFonts w:hint="eastAsia"/>
          <w:color w:val="auto"/>
          <w:highlight w:val="none"/>
        </w:rPr>
      </w:pPr>
    </w:p>
    <w:p w14:paraId="1AA18E5E">
      <w:pPr>
        <w:rPr>
          <w:rFonts w:hint="eastAsia"/>
          <w:color w:val="auto"/>
          <w:highlight w:val="none"/>
        </w:rPr>
      </w:pPr>
    </w:p>
    <w:p w14:paraId="68090240">
      <w:pPr>
        <w:pStyle w:val="19"/>
        <w:rPr>
          <w:rFonts w:hint="eastAsia"/>
          <w:color w:val="auto"/>
          <w:highlight w:val="none"/>
        </w:rPr>
      </w:pPr>
    </w:p>
    <w:p w14:paraId="03F3C7BA">
      <w:pPr>
        <w:rPr>
          <w:rFonts w:hint="eastAsia"/>
          <w:color w:val="auto"/>
          <w:highlight w:val="none"/>
        </w:rPr>
      </w:pPr>
    </w:p>
    <w:p w14:paraId="6B4C60B1">
      <w:pPr>
        <w:pStyle w:val="19"/>
        <w:rPr>
          <w:rFonts w:hint="eastAsia"/>
          <w:color w:val="auto"/>
          <w:highlight w:val="none"/>
        </w:rPr>
      </w:pPr>
    </w:p>
    <w:p w14:paraId="71B23CF2">
      <w:pPr>
        <w:rPr>
          <w:rFonts w:hint="eastAsia"/>
          <w:color w:val="auto"/>
          <w:highlight w:val="none"/>
        </w:rPr>
      </w:pPr>
    </w:p>
    <w:p w14:paraId="73944D3B">
      <w:pPr>
        <w:pStyle w:val="19"/>
        <w:rPr>
          <w:rFonts w:hint="eastAsia"/>
          <w:color w:val="auto"/>
          <w:highlight w:val="none"/>
        </w:rPr>
      </w:pPr>
    </w:p>
    <w:p w14:paraId="63A3E3D4">
      <w:pPr>
        <w:rPr>
          <w:rFonts w:hint="eastAsia"/>
          <w:color w:val="auto"/>
          <w:highlight w:val="none"/>
        </w:rPr>
      </w:pPr>
    </w:p>
    <w:p w14:paraId="237E7BD0">
      <w:pPr>
        <w:pStyle w:val="19"/>
        <w:rPr>
          <w:rFonts w:hint="eastAsia"/>
          <w:color w:val="auto"/>
          <w:highlight w:val="none"/>
        </w:rPr>
      </w:pPr>
    </w:p>
    <w:p w14:paraId="6F619E94">
      <w:pPr>
        <w:rPr>
          <w:rFonts w:hint="eastAsia"/>
          <w:color w:val="auto"/>
          <w:highlight w:val="none"/>
        </w:rPr>
      </w:pPr>
    </w:p>
    <w:p w14:paraId="037EDE61">
      <w:pPr>
        <w:pStyle w:val="19"/>
        <w:rPr>
          <w:rFonts w:hint="eastAsia"/>
          <w:color w:val="auto"/>
          <w:highlight w:val="none"/>
        </w:rPr>
      </w:pPr>
    </w:p>
    <w:p w14:paraId="1FE8D4B3">
      <w:pPr>
        <w:rPr>
          <w:rFonts w:hint="eastAsia"/>
          <w:color w:val="auto"/>
          <w:highlight w:val="none"/>
        </w:rPr>
      </w:pPr>
    </w:p>
    <w:p w14:paraId="4059BC91">
      <w:pPr>
        <w:pStyle w:val="19"/>
        <w:rPr>
          <w:rFonts w:hint="eastAsia"/>
          <w:color w:val="auto"/>
          <w:highlight w:val="none"/>
        </w:rPr>
      </w:pPr>
    </w:p>
    <w:p w14:paraId="57B61E7C">
      <w:pPr>
        <w:rPr>
          <w:rFonts w:hint="eastAsia"/>
          <w:color w:val="auto"/>
          <w:highlight w:val="none"/>
        </w:rPr>
      </w:pPr>
    </w:p>
    <w:p w14:paraId="23C51778">
      <w:pPr>
        <w:pStyle w:val="19"/>
        <w:rPr>
          <w:rFonts w:hint="eastAsia"/>
          <w:color w:val="auto"/>
          <w:highlight w:val="none"/>
        </w:rPr>
      </w:pPr>
    </w:p>
    <w:p w14:paraId="4F13536C">
      <w:pPr>
        <w:pStyle w:val="19"/>
        <w:rPr>
          <w:rFonts w:hint="eastAsia"/>
          <w:color w:val="auto"/>
          <w:highlight w:val="none"/>
        </w:rPr>
      </w:pPr>
    </w:p>
    <w:p w14:paraId="0CC5EC77">
      <w:pPr>
        <w:rPr>
          <w:rFonts w:hint="eastAsia"/>
          <w:color w:val="auto"/>
          <w:highlight w:val="none"/>
        </w:rPr>
      </w:pPr>
    </w:p>
    <w:p w14:paraId="5D7A8F88">
      <w:pPr>
        <w:pStyle w:val="19"/>
        <w:rPr>
          <w:rFonts w:hint="eastAsia"/>
          <w:color w:val="auto"/>
          <w:highlight w:val="none"/>
        </w:rPr>
      </w:pPr>
    </w:p>
    <w:p w14:paraId="46B7B564">
      <w:pPr>
        <w:pStyle w:val="19"/>
        <w:rPr>
          <w:rFonts w:hint="eastAsia"/>
          <w:color w:val="auto"/>
          <w:highlight w:val="none"/>
        </w:rPr>
      </w:pPr>
    </w:p>
    <w:p w14:paraId="0298A596">
      <w:pPr>
        <w:pStyle w:val="19"/>
        <w:ind w:left="0" w:leftChars="0" w:firstLine="0" w:firstLineChars="0"/>
        <w:rPr>
          <w:rFonts w:hint="eastAsia"/>
          <w:color w:val="auto"/>
          <w:highlight w:val="none"/>
        </w:rPr>
      </w:pPr>
    </w:p>
    <w:bookmarkEnd w:id="700"/>
    <w:bookmarkEnd w:id="701"/>
    <w:bookmarkEnd w:id="702"/>
    <w:bookmarkEnd w:id="703"/>
    <w:bookmarkEnd w:id="704"/>
    <w:p w14:paraId="49E89287">
      <w:pPr>
        <w:adjustRightInd w:val="0"/>
        <w:snapToGrid w:val="0"/>
        <w:spacing w:line="560" w:lineRule="exact"/>
        <w:ind w:firstLine="525" w:firstLineChars="250"/>
        <w:rPr>
          <w:rFonts w:hint="eastAsia"/>
          <w:color w:val="auto"/>
          <w:highlight w:val="none"/>
        </w:rPr>
      </w:pPr>
      <w:bookmarkStart w:id="705" w:name="_Toc296602478"/>
      <w:bookmarkStart w:id="706" w:name="_Toc247085748"/>
      <w:bookmarkStart w:id="707" w:name="_Toc246996976"/>
      <w:bookmarkStart w:id="708" w:name="_Toc246996233"/>
      <w:bookmarkStart w:id="709" w:name="_Toc179632608"/>
      <w:bookmarkStart w:id="710" w:name="_Toc152045590"/>
      <w:bookmarkStart w:id="711" w:name="_Toc144974557"/>
      <w:bookmarkStart w:id="712" w:name="_Toc152042367"/>
    </w:p>
    <w:bookmarkEnd w:id="705"/>
    <w:bookmarkEnd w:id="706"/>
    <w:bookmarkEnd w:id="707"/>
    <w:bookmarkEnd w:id="708"/>
    <w:bookmarkEnd w:id="709"/>
    <w:bookmarkEnd w:id="710"/>
    <w:bookmarkEnd w:id="711"/>
    <w:bookmarkEnd w:id="712"/>
    <w:p w14:paraId="6DD47DC2">
      <w:pPr>
        <w:pStyle w:val="2"/>
        <w:adjustRightInd w:val="0"/>
        <w:snapToGrid w:val="0"/>
        <w:spacing w:before="0" w:after="0" w:line="560" w:lineRule="exact"/>
        <w:jc w:val="center"/>
        <w:rPr>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713" w:name="_Toc95223428"/>
    </w:p>
    <w:p w14:paraId="659F66C9">
      <w:pPr>
        <w:pStyle w:val="2"/>
        <w:adjustRightInd w:val="0"/>
        <w:snapToGrid w:val="0"/>
        <w:spacing w:before="0" w:after="0" w:line="560" w:lineRule="exact"/>
        <w:jc w:val="center"/>
        <w:rPr>
          <w:rFonts w:hint="eastAsia"/>
          <w:color w:val="auto"/>
          <w:highlight w:val="none"/>
        </w:rPr>
      </w:pPr>
      <w:r>
        <w:rPr>
          <w:rFonts w:hint="eastAsia"/>
          <w:color w:val="auto"/>
          <w:highlight w:val="none"/>
        </w:rPr>
        <w:t>第四章 评标办法（综合评估法）</w:t>
      </w:r>
      <w:bookmarkEnd w:id="713"/>
    </w:p>
    <w:p w14:paraId="59E2CFCD">
      <w:pPr>
        <w:numPr>
          <w:ilvl w:val="0"/>
          <w:numId w:val="6"/>
        </w:numPr>
        <w:spacing w:line="560" w:lineRule="exact"/>
        <w:ind w:left="0"/>
        <w:jc w:val="center"/>
        <w:rPr>
          <w:rFonts w:hint="eastAsia"/>
          <w:b/>
          <w:color w:val="auto"/>
          <w:sz w:val="28"/>
          <w:szCs w:val="21"/>
          <w:highlight w:val="none"/>
        </w:rPr>
      </w:pPr>
      <w:r>
        <w:rPr>
          <w:rFonts w:hint="eastAsia"/>
          <w:b/>
          <w:color w:val="auto"/>
          <w:sz w:val="28"/>
          <w:szCs w:val="21"/>
          <w:highlight w:val="none"/>
        </w:rPr>
        <w:t>中标候选人的确定</w:t>
      </w:r>
    </w:p>
    <w:p w14:paraId="477557B6">
      <w:pPr>
        <w:pStyle w:val="19"/>
        <w:spacing w:after="0" w:line="560" w:lineRule="exact"/>
        <w:ind w:left="0" w:leftChars="0"/>
        <w:rPr>
          <w:rFonts w:hint="eastAsia"/>
          <w:color w:val="auto"/>
          <w:highlight w:val="none"/>
        </w:rPr>
      </w:pPr>
      <w:r>
        <w:rPr>
          <w:rFonts w:hint="eastAsia"/>
          <w:color w:val="auto"/>
          <w:highlight w:val="none"/>
        </w:rPr>
        <w:t>评标委员会对投标人依次进行资信、技术、商务文件审查，对均满足要求的投标人进行各项评审因素打分，合计的总得分按照从高到低进行排序，总得分第一的投标人为第一中标候选人。如总得分相等，以投标报价低的优先，投标报价仍相等，由评标委员会主任委员或招标人随机抽取确定排名。</w:t>
      </w:r>
    </w:p>
    <w:p w14:paraId="357A1383">
      <w:pPr>
        <w:pStyle w:val="19"/>
        <w:adjustRightInd w:val="0"/>
        <w:snapToGrid w:val="0"/>
        <w:spacing w:after="0" w:line="560" w:lineRule="exact"/>
        <w:ind w:left="0" w:leftChars="0" w:firstLine="0" w:firstLineChars="0"/>
        <w:jc w:val="center"/>
        <w:rPr>
          <w:b/>
          <w:color w:val="auto"/>
          <w:sz w:val="36"/>
          <w:highlight w:val="none"/>
        </w:rPr>
      </w:pPr>
      <w:r>
        <w:rPr>
          <w:rFonts w:hint="eastAsia"/>
          <w:b/>
          <w:color w:val="auto"/>
          <w:sz w:val="28"/>
          <w:szCs w:val="21"/>
          <w:highlight w:val="none"/>
        </w:rPr>
        <w:t>（二）资信标评审</w:t>
      </w:r>
    </w:p>
    <w:tbl>
      <w:tblPr>
        <w:tblStyle w:val="20"/>
        <w:tblW w:w="10199" w:type="dxa"/>
        <w:tblInd w:w="-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1804"/>
        <w:gridCol w:w="1595"/>
        <w:gridCol w:w="5711"/>
      </w:tblGrid>
      <w:tr w14:paraId="37CD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89" w:type="dxa"/>
            <w:noWrap w:val="0"/>
            <w:vAlign w:val="top"/>
          </w:tcPr>
          <w:p w14:paraId="73C5A97C">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04" w:type="dxa"/>
            <w:noWrap w:val="0"/>
            <w:vAlign w:val="top"/>
          </w:tcPr>
          <w:p w14:paraId="2BBAFC5A">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1595" w:type="dxa"/>
            <w:noWrap w:val="0"/>
            <w:vAlign w:val="top"/>
          </w:tcPr>
          <w:p w14:paraId="47E21124">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分值设置</w:t>
            </w:r>
          </w:p>
        </w:tc>
        <w:tc>
          <w:tcPr>
            <w:tcW w:w="5711" w:type="dxa"/>
            <w:noWrap w:val="0"/>
            <w:vAlign w:val="top"/>
          </w:tcPr>
          <w:p w14:paraId="11F2D5D9">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5270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089" w:type="dxa"/>
            <w:noWrap w:val="0"/>
            <w:vAlign w:val="center"/>
          </w:tcPr>
          <w:p w14:paraId="2CFF693E">
            <w:pPr>
              <w:adjustRightInd w:val="0"/>
              <w:snapToGrid w:val="0"/>
              <w:spacing w:line="5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w:t>
            </w:r>
          </w:p>
        </w:tc>
        <w:tc>
          <w:tcPr>
            <w:tcW w:w="1804" w:type="dxa"/>
            <w:noWrap w:val="0"/>
            <w:vAlign w:val="center"/>
          </w:tcPr>
          <w:p w14:paraId="3DFE3EC7">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人员实力</w:t>
            </w:r>
            <w:r>
              <w:rPr>
                <w:rFonts w:hint="eastAsia" w:ascii="宋体" w:hAnsi="宋体"/>
                <w:color w:val="auto"/>
                <w:szCs w:val="21"/>
                <w:highlight w:val="none"/>
              </w:rPr>
              <w:t xml:space="preserve"> </w:t>
            </w:r>
          </w:p>
        </w:tc>
        <w:tc>
          <w:tcPr>
            <w:tcW w:w="1595" w:type="dxa"/>
            <w:noWrap w:val="0"/>
            <w:vAlign w:val="center"/>
          </w:tcPr>
          <w:p w14:paraId="19A4444E">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10分</w:t>
            </w:r>
          </w:p>
        </w:tc>
        <w:tc>
          <w:tcPr>
            <w:tcW w:w="5711" w:type="dxa"/>
            <w:noWrap w:val="0"/>
            <w:vAlign w:val="center"/>
          </w:tcPr>
          <w:p w14:paraId="5EA28956">
            <w:pPr>
              <w:numPr>
                <w:ilvl w:val="0"/>
                <w:numId w:val="7"/>
              </w:numPr>
              <w:adjustRightInd w:val="0"/>
              <w:snapToGrid w:val="0"/>
              <w:spacing w:line="560" w:lineRule="exact"/>
              <w:ind w:left="105" w:leftChars="0" w:firstLine="0" w:firstLineChars="0"/>
              <w:rPr>
                <w:rFonts w:hint="eastAsia" w:ascii="Times New Roman" w:hAnsi="Times New Roman" w:eastAsia="宋体" w:cs="Times New Roman"/>
                <w:color w:val="auto"/>
                <w:highlight w:val="none"/>
                <w:lang w:val="en-US" w:eastAsia="zh-CN"/>
              </w:rPr>
            </w:pPr>
            <w:r>
              <w:rPr>
                <w:rFonts w:hint="eastAsia" w:ascii="宋体" w:hAnsi="宋体"/>
                <w:color w:val="auto"/>
                <w:szCs w:val="21"/>
                <w:highlight w:val="none"/>
                <w:lang w:val="en-US" w:eastAsia="zh-CN"/>
              </w:rPr>
              <w:t>项目负责人具</w:t>
            </w:r>
            <w:r>
              <w:rPr>
                <w:rFonts w:hint="eastAsia" w:ascii="宋体" w:hAnsi="宋体" w:eastAsia="宋体" w:cs="Times New Roman"/>
                <w:color w:val="auto"/>
                <w:szCs w:val="21"/>
                <w:highlight w:val="none"/>
                <w:lang w:val="en-US" w:eastAsia="zh-CN"/>
              </w:rPr>
              <w:t>有机电工程或电力工程相关专业中级</w:t>
            </w:r>
            <w:r>
              <w:rPr>
                <w:rFonts w:hint="eastAsia"/>
                <w:color w:val="auto"/>
                <w:highlight w:val="none"/>
                <w:lang w:val="en-US" w:eastAsia="zh-CN"/>
              </w:rPr>
              <w:t>及以上</w:t>
            </w:r>
            <w:r>
              <w:rPr>
                <w:rFonts w:hint="eastAsia" w:ascii="宋体" w:hAnsi="宋体" w:eastAsia="宋体" w:cs="Times New Roman"/>
                <w:color w:val="auto"/>
                <w:szCs w:val="21"/>
                <w:highlight w:val="none"/>
                <w:lang w:val="en-US" w:eastAsia="zh-CN"/>
              </w:rPr>
              <w:t>职称的得5分</w:t>
            </w:r>
            <w:r>
              <w:rPr>
                <w:rFonts w:hint="eastAsia"/>
                <w:color w:val="auto"/>
                <w:highlight w:val="none"/>
                <w:lang w:val="en-US" w:eastAsia="zh-CN"/>
              </w:rPr>
              <w:t>（提供职称证书扫描件，如</w:t>
            </w:r>
            <w:r>
              <w:rPr>
                <w:rFonts w:hint="eastAsia" w:ascii="Times New Roman" w:hAnsi="Times New Roman" w:eastAsia="宋体" w:cs="Times New Roman"/>
                <w:color w:val="auto"/>
                <w:highlight w:val="none"/>
                <w:lang w:val="en-US" w:eastAsia="zh-CN"/>
              </w:rPr>
              <w:t>职称证书无法体现专业，需提供毕业证扫描件以作证明）；</w:t>
            </w:r>
          </w:p>
          <w:p w14:paraId="728D592F">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lang w:val="en-US" w:eastAsia="zh-CN"/>
              </w:rPr>
              <w:t>2、技术负责人具</w:t>
            </w:r>
            <w:r>
              <w:rPr>
                <w:rFonts w:hint="eastAsia" w:ascii="宋体" w:hAnsi="宋体" w:eastAsia="宋体" w:cs="Times New Roman"/>
                <w:color w:val="auto"/>
                <w:szCs w:val="21"/>
                <w:highlight w:val="none"/>
                <w:lang w:val="en-US" w:eastAsia="zh-CN"/>
              </w:rPr>
              <w:t>有机电工程或电力工程相关专业</w:t>
            </w:r>
            <w:r>
              <w:rPr>
                <w:rFonts w:hint="eastAsia"/>
                <w:color w:val="auto"/>
                <w:highlight w:val="none"/>
                <w:lang w:val="en-US" w:eastAsia="zh-CN"/>
              </w:rPr>
              <w:t>中级及以上职称的得5分（提供职称证书扫描件，如</w:t>
            </w:r>
            <w:r>
              <w:rPr>
                <w:rFonts w:hint="eastAsia" w:ascii="Times New Roman" w:hAnsi="Times New Roman" w:eastAsia="宋体" w:cs="Times New Roman"/>
                <w:color w:val="auto"/>
                <w:highlight w:val="none"/>
                <w:lang w:val="en-US" w:eastAsia="zh-CN"/>
              </w:rPr>
              <w:t>职称证书无法体现专业，需提供毕业证扫描件以作证明）</w:t>
            </w:r>
            <w:r>
              <w:rPr>
                <w:rFonts w:hint="eastAsia" w:ascii="宋体" w:hAnsi="宋体"/>
                <w:color w:val="auto"/>
                <w:szCs w:val="21"/>
                <w:highlight w:val="none"/>
              </w:rPr>
              <w:t xml:space="preserve"> </w:t>
            </w:r>
          </w:p>
        </w:tc>
      </w:tr>
    </w:tbl>
    <w:p w14:paraId="6C87C20E">
      <w:pPr>
        <w:pStyle w:val="19"/>
        <w:adjustRightInd w:val="0"/>
        <w:snapToGrid w:val="0"/>
        <w:spacing w:after="0" w:line="560" w:lineRule="exact"/>
        <w:ind w:left="0" w:leftChars="0" w:firstLine="0" w:firstLineChars="0"/>
        <w:jc w:val="center"/>
        <w:rPr>
          <w:rFonts w:hint="eastAsia" w:eastAsia="宋体"/>
          <w:b/>
          <w:color w:val="auto"/>
          <w:sz w:val="28"/>
          <w:szCs w:val="21"/>
          <w:highlight w:val="none"/>
          <w:lang w:eastAsia="zh-CN"/>
        </w:rPr>
      </w:pPr>
      <w:r>
        <w:rPr>
          <w:rFonts w:hint="eastAsia"/>
          <w:b/>
          <w:color w:val="auto"/>
          <w:sz w:val="28"/>
          <w:szCs w:val="21"/>
          <w:highlight w:val="none"/>
        </w:rPr>
        <w:t>（三）技术标评审</w:t>
      </w:r>
      <w:r>
        <w:rPr>
          <w:rFonts w:hint="eastAsia"/>
          <w:b/>
          <w:color w:val="auto"/>
          <w:sz w:val="28"/>
          <w:szCs w:val="21"/>
          <w:highlight w:val="none"/>
          <w:lang w:eastAsia="zh-CN"/>
        </w:rPr>
        <w:t>（</w:t>
      </w:r>
      <w:r>
        <w:rPr>
          <w:rFonts w:hint="eastAsia"/>
          <w:b/>
          <w:color w:val="auto"/>
          <w:sz w:val="28"/>
          <w:szCs w:val="21"/>
          <w:highlight w:val="none"/>
          <w:lang w:val="en-US" w:eastAsia="zh-CN"/>
        </w:rPr>
        <w:t>符合性审查</w:t>
      </w:r>
      <w:r>
        <w:rPr>
          <w:rFonts w:hint="eastAsia"/>
          <w:b/>
          <w:color w:val="auto"/>
          <w:sz w:val="28"/>
          <w:szCs w:val="21"/>
          <w:highlight w:val="none"/>
          <w:lang w:eastAsia="zh-CN"/>
        </w:rPr>
        <w:t>）</w:t>
      </w:r>
    </w:p>
    <w:tbl>
      <w:tblPr>
        <w:tblStyle w:val="20"/>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221"/>
        <w:gridCol w:w="730"/>
        <w:gridCol w:w="545"/>
        <w:gridCol w:w="2135"/>
        <w:gridCol w:w="4475"/>
      </w:tblGrid>
      <w:tr w14:paraId="7655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29" w:type="dxa"/>
            <w:gridSpan w:val="2"/>
            <w:noWrap w:val="0"/>
            <w:vAlign w:val="center"/>
          </w:tcPr>
          <w:p w14:paraId="1050F13C">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3410" w:type="dxa"/>
            <w:gridSpan w:val="3"/>
            <w:noWrap w:val="0"/>
            <w:vAlign w:val="center"/>
          </w:tcPr>
          <w:p w14:paraId="3E20F235">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4475" w:type="dxa"/>
            <w:noWrap w:val="0"/>
            <w:vAlign w:val="center"/>
          </w:tcPr>
          <w:p w14:paraId="37069E5F">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7981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noWrap w:val="0"/>
            <w:vAlign w:val="center"/>
          </w:tcPr>
          <w:p w14:paraId="4E35EFFE">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1221" w:type="dxa"/>
            <w:vMerge w:val="restart"/>
            <w:noWrap w:val="0"/>
            <w:vAlign w:val="center"/>
          </w:tcPr>
          <w:p w14:paraId="5F30AA9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3410" w:type="dxa"/>
            <w:gridSpan w:val="3"/>
            <w:noWrap w:val="0"/>
            <w:vAlign w:val="center"/>
          </w:tcPr>
          <w:p w14:paraId="5BB02395">
            <w:pPr>
              <w:adjustRightInd w:val="0"/>
              <w:snapToGrid w:val="0"/>
              <w:spacing w:line="560" w:lineRule="exact"/>
              <w:jc w:val="center"/>
              <w:textAlignment w:val="baseline"/>
              <w:rPr>
                <w:color w:val="auto"/>
                <w:szCs w:val="21"/>
                <w:highlight w:val="none"/>
              </w:rPr>
            </w:pPr>
            <w:r>
              <w:rPr>
                <w:color w:val="auto"/>
                <w:szCs w:val="21"/>
                <w:highlight w:val="none"/>
              </w:rPr>
              <w:t>投标人名称</w:t>
            </w:r>
          </w:p>
        </w:tc>
        <w:tc>
          <w:tcPr>
            <w:tcW w:w="4475" w:type="dxa"/>
            <w:noWrap w:val="0"/>
            <w:vAlign w:val="center"/>
          </w:tcPr>
          <w:p w14:paraId="2609BC86">
            <w:pPr>
              <w:adjustRightInd w:val="0"/>
              <w:snapToGrid w:val="0"/>
              <w:spacing w:line="560" w:lineRule="exact"/>
              <w:jc w:val="center"/>
              <w:textAlignment w:val="baseline"/>
              <w:rPr>
                <w:color w:val="auto"/>
                <w:szCs w:val="21"/>
                <w:highlight w:val="none"/>
              </w:rPr>
            </w:pPr>
            <w:r>
              <w:rPr>
                <w:color w:val="auto"/>
                <w:szCs w:val="21"/>
                <w:highlight w:val="none"/>
              </w:rPr>
              <w:t>与营业执照、资质证书</w:t>
            </w:r>
            <w:r>
              <w:rPr>
                <w:rFonts w:hint="eastAsia"/>
                <w:color w:val="auto"/>
                <w:szCs w:val="21"/>
                <w:highlight w:val="none"/>
              </w:rPr>
              <w:t>、安全生产许可证</w:t>
            </w:r>
            <w:r>
              <w:rPr>
                <w:color w:val="auto"/>
                <w:szCs w:val="21"/>
                <w:highlight w:val="none"/>
              </w:rPr>
              <w:t>一致</w:t>
            </w:r>
            <w:r>
              <w:rPr>
                <w:rFonts w:hint="eastAsia"/>
                <w:color w:val="auto"/>
                <w:szCs w:val="21"/>
                <w:highlight w:val="none"/>
              </w:rPr>
              <w:t>。</w:t>
            </w:r>
          </w:p>
        </w:tc>
      </w:tr>
      <w:tr w14:paraId="44E4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noWrap w:val="0"/>
            <w:vAlign w:val="center"/>
          </w:tcPr>
          <w:p w14:paraId="70105159">
            <w:pPr>
              <w:adjustRightInd w:val="0"/>
              <w:snapToGrid w:val="0"/>
              <w:spacing w:line="560" w:lineRule="exact"/>
              <w:jc w:val="center"/>
              <w:rPr>
                <w:rFonts w:hint="eastAsia" w:ascii="宋体" w:hAnsi="宋体" w:cs="宋体"/>
                <w:color w:val="auto"/>
                <w:szCs w:val="21"/>
                <w:highlight w:val="none"/>
              </w:rPr>
            </w:pPr>
          </w:p>
        </w:tc>
        <w:tc>
          <w:tcPr>
            <w:tcW w:w="1221" w:type="dxa"/>
            <w:vMerge w:val="continue"/>
            <w:noWrap w:val="0"/>
            <w:vAlign w:val="center"/>
          </w:tcPr>
          <w:p w14:paraId="09D89792">
            <w:pPr>
              <w:adjustRightInd w:val="0"/>
              <w:snapToGrid w:val="0"/>
              <w:spacing w:line="560" w:lineRule="exact"/>
              <w:jc w:val="center"/>
              <w:rPr>
                <w:rFonts w:hint="eastAsia" w:ascii="宋体" w:hAnsi="宋体" w:cs="宋体"/>
                <w:color w:val="auto"/>
                <w:szCs w:val="21"/>
                <w:highlight w:val="none"/>
              </w:rPr>
            </w:pPr>
          </w:p>
        </w:tc>
        <w:tc>
          <w:tcPr>
            <w:tcW w:w="3410" w:type="dxa"/>
            <w:gridSpan w:val="3"/>
            <w:noWrap w:val="0"/>
            <w:vAlign w:val="center"/>
          </w:tcPr>
          <w:p w14:paraId="3D4A2443">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4475" w:type="dxa"/>
            <w:noWrap w:val="0"/>
            <w:vAlign w:val="center"/>
          </w:tcPr>
          <w:p w14:paraId="1066F96E">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符合第九章“投标文件格式”的要求，</w:t>
            </w:r>
          </w:p>
          <w:p w14:paraId="6ADDDC70">
            <w:pPr>
              <w:adjustRightInd w:val="0"/>
              <w:snapToGrid w:val="0"/>
              <w:spacing w:line="560" w:lineRule="exact"/>
              <w:rPr>
                <w:rFonts w:hint="eastAsia" w:ascii="宋体" w:hAnsi="宋体" w:cs="宋体"/>
                <w:b/>
                <w:color w:val="auto"/>
                <w:spacing w:val="-6"/>
                <w:szCs w:val="21"/>
                <w:highlight w:val="none"/>
              </w:rPr>
            </w:pPr>
            <w:r>
              <w:rPr>
                <w:rFonts w:hint="eastAsia" w:ascii="宋体" w:hAnsi="宋体" w:cs="宋体"/>
                <w:color w:val="auto"/>
                <w:szCs w:val="21"/>
                <w:highlight w:val="none"/>
              </w:rPr>
              <w:t>否则经评委会一致认定后,按照无效投标处理。</w:t>
            </w:r>
          </w:p>
        </w:tc>
      </w:tr>
      <w:tr w14:paraId="50C2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noWrap w:val="0"/>
            <w:vAlign w:val="center"/>
          </w:tcPr>
          <w:p w14:paraId="181DEED1">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1221" w:type="dxa"/>
            <w:vMerge w:val="restart"/>
            <w:noWrap w:val="0"/>
            <w:vAlign w:val="center"/>
          </w:tcPr>
          <w:p w14:paraId="7A99FE8D">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响应性评审标准（初步评审）</w:t>
            </w:r>
          </w:p>
        </w:tc>
        <w:tc>
          <w:tcPr>
            <w:tcW w:w="3410" w:type="dxa"/>
            <w:gridSpan w:val="3"/>
            <w:noWrap w:val="0"/>
            <w:vAlign w:val="center"/>
          </w:tcPr>
          <w:p w14:paraId="023D9A70">
            <w:pPr>
              <w:adjustRightInd w:val="0"/>
              <w:snapToGrid w:val="0"/>
              <w:spacing w:line="560" w:lineRule="exact"/>
              <w:jc w:val="center"/>
              <w:textAlignment w:val="baseline"/>
              <w:rPr>
                <w:color w:val="auto"/>
                <w:szCs w:val="21"/>
                <w:highlight w:val="none"/>
              </w:rPr>
            </w:pPr>
            <w:r>
              <w:rPr>
                <w:color w:val="auto"/>
                <w:szCs w:val="21"/>
                <w:highlight w:val="none"/>
              </w:rPr>
              <w:t>投标内容</w:t>
            </w:r>
          </w:p>
        </w:tc>
        <w:tc>
          <w:tcPr>
            <w:tcW w:w="4475" w:type="dxa"/>
            <w:noWrap w:val="0"/>
            <w:vAlign w:val="center"/>
          </w:tcPr>
          <w:p w14:paraId="6ABA5C27">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27C0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noWrap w:val="0"/>
            <w:vAlign w:val="center"/>
          </w:tcPr>
          <w:p w14:paraId="48B12800">
            <w:pPr>
              <w:adjustRightInd w:val="0"/>
              <w:snapToGrid w:val="0"/>
              <w:spacing w:line="560" w:lineRule="exact"/>
              <w:jc w:val="center"/>
              <w:rPr>
                <w:rFonts w:hint="eastAsia" w:ascii="宋体" w:hAnsi="宋体" w:cs="宋体"/>
                <w:color w:val="auto"/>
                <w:szCs w:val="21"/>
                <w:highlight w:val="none"/>
              </w:rPr>
            </w:pPr>
          </w:p>
        </w:tc>
        <w:tc>
          <w:tcPr>
            <w:tcW w:w="1221" w:type="dxa"/>
            <w:vMerge w:val="continue"/>
            <w:noWrap w:val="0"/>
            <w:vAlign w:val="center"/>
          </w:tcPr>
          <w:p w14:paraId="49BDDBEF">
            <w:pPr>
              <w:adjustRightInd w:val="0"/>
              <w:snapToGrid w:val="0"/>
              <w:spacing w:line="560" w:lineRule="exact"/>
              <w:jc w:val="center"/>
              <w:rPr>
                <w:rFonts w:hint="eastAsia" w:ascii="宋体" w:hAnsi="宋体" w:cs="宋体"/>
                <w:color w:val="auto"/>
                <w:szCs w:val="21"/>
                <w:highlight w:val="none"/>
              </w:rPr>
            </w:pPr>
          </w:p>
        </w:tc>
        <w:tc>
          <w:tcPr>
            <w:tcW w:w="3410" w:type="dxa"/>
            <w:gridSpan w:val="3"/>
            <w:noWrap w:val="0"/>
            <w:vAlign w:val="center"/>
          </w:tcPr>
          <w:p w14:paraId="5F1119C4">
            <w:pPr>
              <w:adjustRightInd w:val="0"/>
              <w:snapToGrid w:val="0"/>
              <w:spacing w:line="560" w:lineRule="exact"/>
              <w:jc w:val="center"/>
              <w:textAlignment w:val="baseline"/>
              <w:rPr>
                <w:color w:val="auto"/>
                <w:szCs w:val="21"/>
                <w:highlight w:val="none"/>
              </w:rPr>
            </w:pPr>
            <w:r>
              <w:rPr>
                <w:color w:val="auto"/>
                <w:szCs w:val="21"/>
                <w:highlight w:val="none"/>
              </w:rPr>
              <w:t>工期</w:t>
            </w:r>
          </w:p>
        </w:tc>
        <w:tc>
          <w:tcPr>
            <w:tcW w:w="4475" w:type="dxa"/>
            <w:noWrap w:val="0"/>
            <w:vAlign w:val="center"/>
          </w:tcPr>
          <w:p w14:paraId="6A8F6858">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5A30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noWrap w:val="0"/>
            <w:vAlign w:val="top"/>
          </w:tcPr>
          <w:p w14:paraId="3C78009A">
            <w:pPr>
              <w:adjustRightInd w:val="0"/>
              <w:snapToGrid w:val="0"/>
              <w:spacing w:line="560" w:lineRule="exact"/>
              <w:jc w:val="center"/>
              <w:rPr>
                <w:rFonts w:hint="eastAsia" w:ascii="宋体" w:hAnsi="宋体" w:cs="宋体"/>
                <w:color w:val="auto"/>
                <w:szCs w:val="21"/>
                <w:highlight w:val="none"/>
              </w:rPr>
            </w:pPr>
          </w:p>
        </w:tc>
        <w:tc>
          <w:tcPr>
            <w:tcW w:w="1221" w:type="dxa"/>
            <w:vMerge w:val="continue"/>
            <w:noWrap w:val="0"/>
            <w:vAlign w:val="center"/>
          </w:tcPr>
          <w:p w14:paraId="5DB5CF0C">
            <w:pPr>
              <w:adjustRightInd w:val="0"/>
              <w:snapToGrid w:val="0"/>
              <w:spacing w:line="560" w:lineRule="exact"/>
              <w:jc w:val="center"/>
              <w:rPr>
                <w:rFonts w:hint="eastAsia" w:ascii="宋体" w:hAnsi="宋体" w:cs="宋体"/>
                <w:color w:val="auto"/>
                <w:szCs w:val="21"/>
                <w:highlight w:val="none"/>
              </w:rPr>
            </w:pPr>
          </w:p>
        </w:tc>
        <w:tc>
          <w:tcPr>
            <w:tcW w:w="3410" w:type="dxa"/>
            <w:gridSpan w:val="3"/>
            <w:noWrap w:val="0"/>
            <w:vAlign w:val="center"/>
          </w:tcPr>
          <w:p w14:paraId="72EA1923">
            <w:pPr>
              <w:adjustRightInd w:val="0"/>
              <w:snapToGrid w:val="0"/>
              <w:spacing w:line="560" w:lineRule="exact"/>
              <w:jc w:val="center"/>
              <w:textAlignment w:val="baseline"/>
              <w:rPr>
                <w:color w:val="auto"/>
                <w:szCs w:val="21"/>
                <w:highlight w:val="none"/>
              </w:rPr>
            </w:pPr>
            <w:r>
              <w:rPr>
                <w:color w:val="auto"/>
                <w:szCs w:val="21"/>
                <w:highlight w:val="none"/>
              </w:rPr>
              <w:t>权利义务</w:t>
            </w:r>
          </w:p>
        </w:tc>
        <w:tc>
          <w:tcPr>
            <w:tcW w:w="4475" w:type="dxa"/>
            <w:noWrap w:val="0"/>
            <w:vAlign w:val="center"/>
          </w:tcPr>
          <w:p w14:paraId="3D52422C">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符合第五章“合同条款及格式”规定。</w:t>
            </w:r>
          </w:p>
        </w:tc>
      </w:tr>
      <w:tr w14:paraId="77A2A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vMerge w:val="continue"/>
            <w:noWrap w:val="0"/>
            <w:vAlign w:val="top"/>
          </w:tcPr>
          <w:p w14:paraId="08C56F23">
            <w:pPr>
              <w:adjustRightInd w:val="0"/>
              <w:snapToGrid w:val="0"/>
              <w:spacing w:line="560" w:lineRule="exact"/>
              <w:jc w:val="center"/>
              <w:rPr>
                <w:rFonts w:hint="eastAsia" w:ascii="宋体" w:hAnsi="宋体" w:cs="宋体"/>
                <w:color w:val="auto"/>
                <w:szCs w:val="21"/>
                <w:highlight w:val="none"/>
              </w:rPr>
            </w:pPr>
          </w:p>
        </w:tc>
        <w:tc>
          <w:tcPr>
            <w:tcW w:w="1221" w:type="dxa"/>
            <w:vMerge w:val="continue"/>
            <w:noWrap w:val="0"/>
            <w:vAlign w:val="center"/>
          </w:tcPr>
          <w:p w14:paraId="711BB650">
            <w:pPr>
              <w:adjustRightInd w:val="0"/>
              <w:snapToGrid w:val="0"/>
              <w:spacing w:line="560" w:lineRule="exact"/>
              <w:jc w:val="center"/>
              <w:rPr>
                <w:rFonts w:hint="eastAsia" w:ascii="宋体" w:hAnsi="宋体" w:cs="宋体"/>
                <w:color w:val="auto"/>
                <w:szCs w:val="21"/>
                <w:highlight w:val="none"/>
              </w:rPr>
            </w:pPr>
          </w:p>
        </w:tc>
        <w:tc>
          <w:tcPr>
            <w:tcW w:w="3410" w:type="dxa"/>
            <w:gridSpan w:val="3"/>
            <w:noWrap w:val="0"/>
            <w:vAlign w:val="center"/>
          </w:tcPr>
          <w:p w14:paraId="089BE68B">
            <w:pPr>
              <w:adjustRightInd w:val="0"/>
              <w:snapToGrid w:val="0"/>
              <w:spacing w:line="560" w:lineRule="exact"/>
              <w:jc w:val="center"/>
              <w:textAlignment w:val="baseline"/>
              <w:rPr>
                <w:color w:val="auto"/>
                <w:szCs w:val="21"/>
                <w:highlight w:val="none"/>
              </w:rPr>
            </w:pPr>
            <w:r>
              <w:rPr>
                <w:rFonts w:hint="eastAsia"/>
                <w:color w:val="auto"/>
                <w:szCs w:val="21"/>
                <w:highlight w:val="none"/>
              </w:rPr>
              <w:t>技术标准和要求</w:t>
            </w:r>
          </w:p>
        </w:tc>
        <w:tc>
          <w:tcPr>
            <w:tcW w:w="4475" w:type="dxa"/>
            <w:noWrap w:val="0"/>
            <w:vAlign w:val="center"/>
          </w:tcPr>
          <w:p w14:paraId="4951E497">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符合第八章“技术标准和要求”规定。</w:t>
            </w:r>
          </w:p>
        </w:tc>
      </w:tr>
      <w:tr w14:paraId="4C81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8" w:type="dxa"/>
            <w:vMerge w:val="continue"/>
            <w:noWrap w:val="0"/>
            <w:vAlign w:val="top"/>
          </w:tcPr>
          <w:p w14:paraId="60CBE5F5">
            <w:pPr>
              <w:adjustRightInd w:val="0"/>
              <w:snapToGrid w:val="0"/>
              <w:spacing w:line="560" w:lineRule="exact"/>
              <w:rPr>
                <w:rFonts w:hint="eastAsia" w:ascii="宋体" w:hAnsi="宋体" w:cs="宋体"/>
                <w:color w:val="auto"/>
                <w:szCs w:val="21"/>
                <w:highlight w:val="none"/>
              </w:rPr>
            </w:pPr>
          </w:p>
        </w:tc>
        <w:tc>
          <w:tcPr>
            <w:tcW w:w="1221" w:type="dxa"/>
            <w:vMerge w:val="restart"/>
            <w:noWrap w:val="0"/>
            <w:vAlign w:val="center"/>
          </w:tcPr>
          <w:p w14:paraId="5E837206">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响应性评审标准（符合性评审）</w:t>
            </w:r>
          </w:p>
        </w:tc>
        <w:tc>
          <w:tcPr>
            <w:tcW w:w="730" w:type="dxa"/>
            <w:vMerge w:val="restart"/>
            <w:noWrap w:val="0"/>
            <w:vAlign w:val="center"/>
          </w:tcPr>
          <w:p w14:paraId="133550C9">
            <w:pPr>
              <w:adjustRightInd w:val="0"/>
              <w:snapToGrid w:val="0"/>
              <w:spacing w:line="560" w:lineRule="exact"/>
              <w:jc w:val="center"/>
              <w:rPr>
                <w:rFonts w:hint="eastAsia" w:ascii="宋体" w:hAnsi="宋体" w:cs="宋体"/>
                <w:color w:val="auto"/>
                <w:szCs w:val="21"/>
                <w:highlight w:val="none"/>
              </w:rPr>
            </w:pPr>
          </w:p>
          <w:p w14:paraId="618E933E">
            <w:pPr>
              <w:adjustRightInd w:val="0"/>
              <w:snapToGrid w:val="0"/>
              <w:spacing w:line="560" w:lineRule="exact"/>
              <w:jc w:val="center"/>
              <w:rPr>
                <w:rFonts w:hint="eastAsia" w:ascii="宋体" w:hAnsi="宋体" w:cs="宋体"/>
                <w:color w:val="auto"/>
                <w:szCs w:val="21"/>
                <w:highlight w:val="none"/>
              </w:rPr>
            </w:pPr>
          </w:p>
          <w:p w14:paraId="1B546F86">
            <w:pPr>
              <w:adjustRightInd w:val="0"/>
              <w:snapToGrid w:val="0"/>
              <w:spacing w:line="560" w:lineRule="exact"/>
              <w:jc w:val="center"/>
              <w:rPr>
                <w:rFonts w:hint="eastAsia" w:ascii="宋体" w:hAnsi="宋体" w:cs="宋体"/>
                <w:color w:val="auto"/>
                <w:szCs w:val="21"/>
                <w:highlight w:val="none"/>
              </w:rPr>
            </w:pPr>
          </w:p>
          <w:p w14:paraId="4EE4BF5B">
            <w:pPr>
              <w:adjustRightInd w:val="0"/>
              <w:snapToGrid w:val="0"/>
              <w:spacing w:line="560" w:lineRule="exact"/>
              <w:jc w:val="center"/>
              <w:rPr>
                <w:rFonts w:hint="eastAsia" w:ascii="宋体" w:hAnsi="宋体" w:cs="宋体"/>
                <w:color w:val="auto"/>
                <w:szCs w:val="21"/>
                <w:highlight w:val="none"/>
              </w:rPr>
            </w:pPr>
          </w:p>
          <w:p w14:paraId="4252408B">
            <w:pPr>
              <w:adjustRightInd w:val="0"/>
              <w:snapToGrid w:val="0"/>
              <w:spacing w:line="560" w:lineRule="exact"/>
              <w:rPr>
                <w:rFonts w:hint="eastAsia" w:ascii="宋体" w:hAnsi="宋体" w:cs="宋体"/>
                <w:color w:val="auto"/>
                <w:szCs w:val="21"/>
                <w:highlight w:val="none"/>
              </w:rPr>
            </w:pPr>
          </w:p>
          <w:p w14:paraId="4840B630">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545" w:type="dxa"/>
            <w:noWrap w:val="0"/>
            <w:vAlign w:val="center"/>
          </w:tcPr>
          <w:p w14:paraId="1B0DC9B4">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p>
        </w:tc>
        <w:tc>
          <w:tcPr>
            <w:tcW w:w="2135" w:type="dxa"/>
            <w:noWrap w:val="0"/>
            <w:vAlign w:val="center"/>
          </w:tcPr>
          <w:p w14:paraId="772A74C7">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工程概况</w:t>
            </w:r>
          </w:p>
        </w:tc>
        <w:tc>
          <w:tcPr>
            <w:tcW w:w="4475" w:type="dxa"/>
            <w:noWrap w:val="0"/>
            <w:vAlign w:val="center"/>
          </w:tcPr>
          <w:p w14:paraId="6E96422F">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描述是否准确。</w:t>
            </w:r>
          </w:p>
        </w:tc>
      </w:tr>
      <w:tr w14:paraId="6AD9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noWrap w:val="0"/>
            <w:vAlign w:val="top"/>
          </w:tcPr>
          <w:p w14:paraId="181F53B0">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1259BA11">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02F05BFD">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1E6615F0">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p>
        </w:tc>
        <w:tc>
          <w:tcPr>
            <w:tcW w:w="2135" w:type="dxa"/>
            <w:noWrap w:val="0"/>
            <w:vAlign w:val="center"/>
          </w:tcPr>
          <w:p w14:paraId="5470D3B0">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主要施工方法</w:t>
            </w:r>
          </w:p>
        </w:tc>
        <w:tc>
          <w:tcPr>
            <w:tcW w:w="4475" w:type="dxa"/>
            <w:noWrap w:val="0"/>
            <w:vAlign w:val="center"/>
          </w:tcPr>
          <w:p w14:paraId="14B53E2F">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各主要分部施工方法符合项目实际，须有详尽的施工技术方案，工艺先进、方法科学合理、可行，能指导具体施工并确保安全。</w:t>
            </w:r>
          </w:p>
        </w:tc>
      </w:tr>
      <w:tr w14:paraId="26B3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8" w:type="dxa"/>
            <w:vMerge w:val="continue"/>
            <w:noWrap w:val="0"/>
            <w:vAlign w:val="top"/>
          </w:tcPr>
          <w:p w14:paraId="5639012C">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0ADB7129">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3AA21715">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4B1755CA">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p>
        </w:tc>
        <w:tc>
          <w:tcPr>
            <w:tcW w:w="2135" w:type="dxa"/>
            <w:noWrap w:val="0"/>
            <w:vAlign w:val="center"/>
          </w:tcPr>
          <w:p w14:paraId="37A2710D">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拟投入的主要物资计划</w:t>
            </w:r>
          </w:p>
        </w:tc>
        <w:tc>
          <w:tcPr>
            <w:tcW w:w="4475" w:type="dxa"/>
            <w:noWrap w:val="0"/>
            <w:vAlign w:val="center"/>
          </w:tcPr>
          <w:p w14:paraId="575125E3">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投入的施工材料有详细计划且计划周密，数量、选型配置、进场数量、时间安排合理，满足施工需要。</w:t>
            </w:r>
          </w:p>
        </w:tc>
      </w:tr>
      <w:tr w14:paraId="4B33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08" w:type="dxa"/>
            <w:vMerge w:val="continue"/>
            <w:noWrap w:val="0"/>
            <w:vAlign w:val="top"/>
          </w:tcPr>
          <w:p w14:paraId="268B38EC">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694746C9">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2AF753EE">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06E8DD9D">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p>
        </w:tc>
        <w:tc>
          <w:tcPr>
            <w:tcW w:w="2135" w:type="dxa"/>
            <w:noWrap w:val="0"/>
            <w:vAlign w:val="center"/>
          </w:tcPr>
          <w:p w14:paraId="44454192">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拟投入的主要施工机械、设备计划</w:t>
            </w:r>
          </w:p>
        </w:tc>
        <w:tc>
          <w:tcPr>
            <w:tcW w:w="4475" w:type="dxa"/>
            <w:noWrap w:val="0"/>
            <w:vAlign w:val="center"/>
          </w:tcPr>
          <w:p w14:paraId="21096A6B">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投入的施工机械、设备、机具有详细计划且计划周密，设备数量、选型配置、进场数量、时间 合理、满足施工需要。</w:t>
            </w:r>
          </w:p>
        </w:tc>
      </w:tr>
      <w:tr w14:paraId="1C5F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08" w:type="dxa"/>
            <w:vMerge w:val="continue"/>
            <w:noWrap w:val="0"/>
            <w:vAlign w:val="top"/>
          </w:tcPr>
          <w:p w14:paraId="71373D64">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6597A897">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6F026AA4">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7488DE45">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5</w:t>
            </w:r>
          </w:p>
        </w:tc>
        <w:tc>
          <w:tcPr>
            <w:tcW w:w="2135" w:type="dxa"/>
            <w:noWrap w:val="0"/>
            <w:vAlign w:val="center"/>
          </w:tcPr>
          <w:p w14:paraId="0562854C">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劳动力安排计划</w:t>
            </w:r>
          </w:p>
        </w:tc>
        <w:tc>
          <w:tcPr>
            <w:tcW w:w="4475" w:type="dxa"/>
            <w:noWrap w:val="0"/>
            <w:vAlign w:val="center"/>
          </w:tcPr>
          <w:p w14:paraId="1F8AD4D1">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各主要施工工序应有详细周密的劳动力安排计划明细，有各工种劳动力安排计划。劳动力投入经济合理，满足施工需要。</w:t>
            </w:r>
          </w:p>
        </w:tc>
      </w:tr>
      <w:tr w14:paraId="47B5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noWrap w:val="0"/>
            <w:vAlign w:val="top"/>
          </w:tcPr>
          <w:p w14:paraId="478CDA84">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6E1902A0">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674C8ED1">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50F4D609">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6</w:t>
            </w:r>
          </w:p>
        </w:tc>
        <w:tc>
          <w:tcPr>
            <w:tcW w:w="2135" w:type="dxa"/>
            <w:noWrap w:val="0"/>
            <w:vAlign w:val="center"/>
          </w:tcPr>
          <w:p w14:paraId="36EFAFCF">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确保工程质量的技术组织措施</w:t>
            </w:r>
          </w:p>
        </w:tc>
        <w:tc>
          <w:tcPr>
            <w:tcW w:w="4475" w:type="dxa"/>
            <w:noWrap w:val="0"/>
            <w:vAlign w:val="center"/>
          </w:tcPr>
          <w:p w14:paraId="01517467">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施工项目应有专门的质量技术管理班子和制度，且人员配备合理，制度健全，主要工序应有质量技术保证措施和手段，自控体系完整，能有效的保证技术质量，达到承诺的质量标准。</w:t>
            </w:r>
          </w:p>
        </w:tc>
      </w:tr>
      <w:tr w14:paraId="42DD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noWrap w:val="0"/>
            <w:vAlign w:val="top"/>
          </w:tcPr>
          <w:p w14:paraId="68E34BF4">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4CCD9A47">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358A5900">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541F9394">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7</w:t>
            </w:r>
          </w:p>
        </w:tc>
        <w:tc>
          <w:tcPr>
            <w:tcW w:w="2135" w:type="dxa"/>
            <w:noWrap w:val="0"/>
            <w:vAlign w:val="center"/>
          </w:tcPr>
          <w:p w14:paraId="3D0DEB53">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确保安全生产的技术组织措施</w:t>
            </w:r>
          </w:p>
        </w:tc>
        <w:tc>
          <w:tcPr>
            <w:tcW w:w="4475" w:type="dxa"/>
            <w:noWrap w:val="0"/>
            <w:vAlign w:val="center"/>
          </w:tcPr>
          <w:p w14:paraId="7AB0CB14">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施工项目应有专门的安全管理人员和制度，且人员配备合理，制度健全，各道工序安全技术措施针对性强，符合实际且满足有关安全技术标准要求。现场防火、社会治安安全措施得力。</w:t>
            </w:r>
          </w:p>
        </w:tc>
      </w:tr>
      <w:tr w14:paraId="234E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08" w:type="dxa"/>
            <w:vMerge w:val="continue"/>
            <w:noWrap w:val="0"/>
            <w:vAlign w:val="top"/>
          </w:tcPr>
          <w:p w14:paraId="6FBA3789">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16DFAC74">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40E19CC2">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2E12D71D">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8</w:t>
            </w:r>
          </w:p>
        </w:tc>
        <w:tc>
          <w:tcPr>
            <w:tcW w:w="2135" w:type="dxa"/>
            <w:noWrap w:val="0"/>
            <w:vAlign w:val="center"/>
          </w:tcPr>
          <w:p w14:paraId="2CC48361">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确保工期的技术组织措施</w:t>
            </w:r>
          </w:p>
        </w:tc>
        <w:tc>
          <w:tcPr>
            <w:tcW w:w="4475" w:type="dxa"/>
            <w:noWrap w:val="0"/>
            <w:vAlign w:val="center"/>
          </w:tcPr>
          <w:p w14:paraId="2077AA75">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3817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noWrap w:val="0"/>
            <w:vAlign w:val="top"/>
          </w:tcPr>
          <w:p w14:paraId="68282084">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0F4D708E">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52F52BEF">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6CE3BBD0">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9</w:t>
            </w:r>
          </w:p>
        </w:tc>
        <w:tc>
          <w:tcPr>
            <w:tcW w:w="2135" w:type="dxa"/>
            <w:noWrap w:val="0"/>
            <w:vAlign w:val="center"/>
          </w:tcPr>
          <w:p w14:paraId="0EE320EF">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确保文明施工的技术组织措施</w:t>
            </w:r>
          </w:p>
        </w:tc>
        <w:tc>
          <w:tcPr>
            <w:tcW w:w="4475" w:type="dxa"/>
            <w:noWrap w:val="0"/>
            <w:vAlign w:val="center"/>
          </w:tcPr>
          <w:p w14:paraId="3B78BF4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针对本工程特点，应有现场文明施工计划，环境保护措施，且计划措施内容应达到“安全文明示范工地”标准。各项措施周全、具体、有效。有具体实现现场文明施工目标的承诺。</w:t>
            </w:r>
          </w:p>
        </w:tc>
      </w:tr>
      <w:tr w14:paraId="1101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noWrap w:val="0"/>
            <w:vAlign w:val="top"/>
          </w:tcPr>
          <w:p w14:paraId="668F8833">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02002D3C">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2ABFD39E">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41892CAD">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10</w:t>
            </w:r>
          </w:p>
        </w:tc>
        <w:tc>
          <w:tcPr>
            <w:tcW w:w="2135" w:type="dxa"/>
            <w:noWrap w:val="0"/>
            <w:vAlign w:val="center"/>
          </w:tcPr>
          <w:p w14:paraId="246D5C4D">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工程施工重点和难点及保证措施</w:t>
            </w:r>
          </w:p>
        </w:tc>
        <w:tc>
          <w:tcPr>
            <w:tcW w:w="4475" w:type="dxa"/>
            <w:noWrap w:val="0"/>
            <w:vAlign w:val="center"/>
          </w:tcPr>
          <w:p w14:paraId="77E3C1DD">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是否正确（本条内容须与前附表要求对应）。</w:t>
            </w:r>
          </w:p>
        </w:tc>
      </w:tr>
      <w:tr w14:paraId="46DA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noWrap w:val="0"/>
            <w:vAlign w:val="top"/>
          </w:tcPr>
          <w:p w14:paraId="05523486">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727AC0C8">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3EAD4309">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6F7FE439">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11</w:t>
            </w:r>
          </w:p>
        </w:tc>
        <w:tc>
          <w:tcPr>
            <w:tcW w:w="2135" w:type="dxa"/>
            <w:noWrap w:val="0"/>
            <w:vAlign w:val="center"/>
          </w:tcPr>
          <w:p w14:paraId="60D8ACDF">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危大工程安全管理（如有）</w:t>
            </w:r>
          </w:p>
        </w:tc>
        <w:tc>
          <w:tcPr>
            <w:tcW w:w="4475" w:type="dxa"/>
            <w:noWrap w:val="0"/>
            <w:vAlign w:val="top"/>
          </w:tcPr>
          <w:p w14:paraId="7807CBA7">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根据招标人在招标文件中列明的危大工程清单及结合招标项目实际情况补充完善危大工程清单，编制专项施工方案并明确相应的安全管理措施。</w:t>
            </w:r>
          </w:p>
        </w:tc>
      </w:tr>
      <w:tr w14:paraId="02C9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noWrap w:val="0"/>
            <w:vAlign w:val="top"/>
          </w:tcPr>
          <w:p w14:paraId="5BD08144">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24E209AC">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60B93459">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598EC8FD">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12</w:t>
            </w:r>
          </w:p>
        </w:tc>
        <w:tc>
          <w:tcPr>
            <w:tcW w:w="2135" w:type="dxa"/>
            <w:noWrap w:val="0"/>
            <w:vAlign w:val="center"/>
          </w:tcPr>
          <w:p w14:paraId="46C88FE8">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施工总平面布置图</w:t>
            </w:r>
          </w:p>
        </w:tc>
        <w:tc>
          <w:tcPr>
            <w:tcW w:w="4475" w:type="dxa"/>
            <w:noWrap w:val="0"/>
            <w:vAlign w:val="center"/>
          </w:tcPr>
          <w:p w14:paraId="2662B16B">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应有施工总平面布置图，安排科学合理，符合本项目施工实际要求。</w:t>
            </w:r>
          </w:p>
        </w:tc>
      </w:tr>
      <w:tr w14:paraId="6FDE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noWrap w:val="0"/>
            <w:vAlign w:val="top"/>
          </w:tcPr>
          <w:p w14:paraId="3F86E3CF">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215596A5">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6DD0C02F">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2C1CB1FF">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13</w:t>
            </w:r>
          </w:p>
        </w:tc>
        <w:tc>
          <w:tcPr>
            <w:tcW w:w="2135" w:type="dxa"/>
            <w:noWrap w:val="0"/>
            <w:vAlign w:val="center"/>
          </w:tcPr>
          <w:p w14:paraId="554A546C">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施工组织设计整体</w:t>
            </w:r>
          </w:p>
        </w:tc>
        <w:tc>
          <w:tcPr>
            <w:tcW w:w="4475" w:type="dxa"/>
            <w:noWrap w:val="0"/>
            <w:vAlign w:val="center"/>
          </w:tcPr>
          <w:p w14:paraId="00CCD5F4">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针对性、完整性符合要求。</w:t>
            </w:r>
          </w:p>
        </w:tc>
      </w:tr>
      <w:tr w14:paraId="06871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08" w:type="dxa"/>
            <w:vMerge w:val="continue"/>
            <w:noWrap w:val="0"/>
            <w:vAlign w:val="top"/>
          </w:tcPr>
          <w:p w14:paraId="33EF87A7">
            <w:pPr>
              <w:adjustRightInd w:val="0"/>
              <w:snapToGrid w:val="0"/>
              <w:spacing w:line="560" w:lineRule="exact"/>
              <w:rPr>
                <w:rFonts w:hint="eastAsia" w:ascii="宋体" w:hAnsi="宋体" w:cs="宋体"/>
                <w:color w:val="auto"/>
                <w:szCs w:val="21"/>
                <w:highlight w:val="none"/>
              </w:rPr>
            </w:pPr>
          </w:p>
        </w:tc>
        <w:tc>
          <w:tcPr>
            <w:tcW w:w="1221" w:type="dxa"/>
            <w:vMerge w:val="continue"/>
            <w:noWrap w:val="0"/>
            <w:vAlign w:val="top"/>
          </w:tcPr>
          <w:p w14:paraId="402F7980">
            <w:pPr>
              <w:adjustRightInd w:val="0"/>
              <w:snapToGrid w:val="0"/>
              <w:spacing w:line="560" w:lineRule="exact"/>
              <w:rPr>
                <w:rFonts w:hint="eastAsia" w:ascii="宋体" w:hAnsi="宋体" w:cs="宋体"/>
                <w:color w:val="auto"/>
                <w:szCs w:val="21"/>
                <w:highlight w:val="none"/>
              </w:rPr>
            </w:pPr>
          </w:p>
        </w:tc>
        <w:tc>
          <w:tcPr>
            <w:tcW w:w="730" w:type="dxa"/>
            <w:vMerge w:val="continue"/>
            <w:noWrap w:val="0"/>
            <w:vAlign w:val="top"/>
          </w:tcPr>
          <w:p w14:paraId="2B0B4BF6">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0B361FD7">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14</w:t>
            </w:r>
          </w:p>
        </w:tc>
        <w:tc>
          <w:tcPr>
            <w:tcW w:w="2135" w:type="dxa"/>
            <w:noWrap w:val="0"/>
            <w:vAlign w:val="center"/>
          </w:tcPr>
          <w:p w14:paraId="637BCACE">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其他内容（如有）</w:t>
            </w:r>
          </w:p>
        </w:tc>
        <w:tc>
          <w:tcPr>
            <w:tcW w:w="4475" w:type="dxa"/>
            <w:noWrap w:val="0"/>
            <w:vAlign w:val="center"/>
          </w:tcPr>
          <w:p w14:paraId="6E577181">
            <w:pPr>
              <w:adjustRightInd w:val="0"/>
              <w:snapToGrid w:val="0"/>
              <w:spacing w:line="560" w:lineRule="exact"/>
              <w:jc w:val="center"/>
              <w:rPr>
                <w:rFonts w:hint="eastAsia" w:ascii="宋体" w:hAnsi="宋体" w:cs="宋体"/>
                <w:color w:val="auto"/>
                <w:szCs w:val="21"/>
                <w:highlight w:val="none"/>
              </w:rPr>
            </w:pPr>
          </w:p>
        </w:tc>
      </w:tr>
    </w:tbl>
    <w:p w14:paraId="0F2FA3BA">
      <w:pPr>
        <w:pStyle w:val="19"/>
        <w:adjustRightInd w:val="0"/>
        <w:snapToGrid w:val="0"/>
        <w:spacing w:after="0" w:line="560" w:lineRule="exact"/>
        <w:ind w:left="0" w:leftChars="0" w:firstLine="0" w:firstLineChars="0"/>
        <w:jc w:val="center"/>
        <w:rPr>
          <w:rFonts w:hint="eastAsia"/>
          <w:b/>
          <w:color w:val="auto"/>
          <w:sz w:val="28"/>
          <w:szCs w:val="21"/>
          <w:highlight w:val="none"/>
        </w:rPr>
      </w:pPr>
      <w:r>
        <w:rPr>
          <w:rFonts w:hint="eastAsia"/>
          <w:b/>
          <w:color w:val="auto"/>
          <w:sz w:val="28"/>
          <w:szCs w:val="21"/>
          <w:highlight w:val="none"/>
        </w:rPr>
        <w:t>（四）商务标评审</w:t>
      </w:r>
    </w:p>
    <w:tbl>
      <w:tblPr>
        <w:tblStyle w:val="20"/>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846"/>
        <w:gridCol w:w="1985"/>
        <w:gridCol w:w="5794"/>
      </w:tblGrid>
      <w:tr w14:paraId="4444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34ED6E06">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2831" w:type="dxa"/>
            <w:gridSpan w:val="2"/>
            <w:noWrap w:val="0"/>
            <w:vAlign w:val="center"/>
          </w:tcPr>
          <w:p w14:paraId="46B79056">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评审因素</w:t>
            </w:r>
          </w:p>
        </w:tc>
        <w:tc>
          <w:tcPr>
            <w:tcW w:w="5794" w:type="dxa"/>
            <w:noWrap w:val="0"/>
            <w:vAlign w:val="center"/>
          </w:tcPr>
          <w:p w14:paraId="7909DEB5">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评审标准</w:t>
            </w:r>
          </w:p>
        </w:tc>
      </w:tr>
      <w:tr w14:paraId="03A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37DF745C">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4.2.1</w:t>
            </w:r>
          </w:p>
        </w:tc>
        <w:tc>
          <w:tcPr>
            <w:tcW w:w="780" w:type="dxa"/>
            <w:vMerge w:val="restart"/>
            <w:noWrap w:val="0"/>
            <w:vAlign w:val="center"/>
          </w:tcPr>
          <w:p w14:paraId="1690CDEC">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2831" w:type="dxa"/>
            <w:gridSpan w:val="2"/>
            <w:noWrap w:val="0"/>
            <w:vAlign w:val="center"/>
          </w:tcPr>
          <w:p w14:paraId="291322EA">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投标函签字盖章</w:t>
            </w:r>
          </w:p>
        </w:tc>
        <w:tc>
          <w:tcPr>
            <w:tcW w:w="5794" w:type="dxa"/>
            <w:noWrap w:val="0"/>
            <w:vAlign w:val="center"/>
          </w:tcPr>
          <w:p w14:paraId="71A0CD21">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有投标人及其法定代表人签章。</w:t>
            </w:r>
          </w:p>
        </w:tc>
      </w:tr>
      <w:tr w14:paraId="44FB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1324A1DC">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524C3A3">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0F6A6E9F">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投标文件格式</w:t>
            </w:r>
          </w:p>
        </w:tc>
        <w:tc>
          <w:tcPr>
            <w:tcW w:w="5794" w:type="dxa"/>
            <w:noWrap w:val="0"/>
            <w:vAlign w:val="center"/>
          </w:tcPr>
          <w:p w14:paraId="28954B7B">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符合第九章“投标文件格式”的要求。</w:t>
            </w:r>
          </w:p>
        </w:tc>
      </w:tr>
      <w:tr w14:paraId="46D1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3F657DF2">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5E692277">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131A79F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商务标签字盖章</w:t>
            </w:r>
          </w:p>
        </w:tc>
        <w:tc>
          <w:tcPr>
            <w:tcW w:w="5794" w:type="dxa"/>
            <w:noWrap w:val="0"/>
            <w:vAlign w:val="center"/>
          </w:tcPr>
          <w:p w14:paraId="2C0C2789">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按投标文件格式要求签章。</w:t>
            </w:r>
          </w:p>
        </w:tc>
      </w:tr>
      <w:tr w14:paraId="5083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1C4363F4">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3346F81B">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07CE30EB">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报价唯一</w:t>
            </w:r>
          </w:p>
        </w:tc>
        <w:tc>
          <w:tcPr>
            <w:tcW w:w="5794" w:type="dxa"/>
            <w:noWrap w:val="0"/>
            <w:vAlign w:val="center"/>
          </w:tcPr>
          <w:p w14:paraId="307600FC">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只能有一个报价。</w:t>
            </w:r>
          </w:p>
        </w:tc>
      </w:tr>
      <w:tr w14:paraId="2F32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DDFFC3B">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4.2.2</w:t>
            </w:r>
          </w:p>
        </w:tc>
        <w:tc>
          <w:tcPr>
            <w:tcW w:w="780" w:type="dxa"/>
            <w:vMerge w:val="restart"/>
            <w:noWrap w:val="0"/>
            <w:vAlign w:val="center"/>
          </w:tcPr>
          <w:p w14:paraId="297EFC67">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响应性评审标准</w:t>
            </w:r>
          </w:p>
          <w:p w14:paraId="06770075">
            <w:pPr>
              <w:adjustRightInd w:val="0"/>
              <w:snapToGrid w:val="0"/>
              <w:spacing w:line="560" w:lineRule="exact"/>
              <w:jc w:val="center"/>
              <w:rPr>
                <w:rFonts w:ascii="宋体" w:hAnsi="宋体"/>
                <w:color w:val="auto"/>
                <w:szCs w:val="21"/>
                <w:highlight w:val="none"/>
              </w:rPr>
            </w:pPr>
          </w:p>
        </w:tc>
        <w:tc>
          <w:tcPr>
            <w:tcW w:w="2831" w:type="dxa"/>
            <w:gridSpan w:val="2"/>
            <w:noWrap w:val="0"/>
            <w:vAlign w:val="center"/>
          </w:tcPr>
          <w:p w14:paraId="4B838AEA">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工期</w:t>
            </w:r>
          </w:p>
        </w:tc>
        <w:tc>
          <w:tcPr>
            <w:tcW w:w="5794" w:type="dxa"/>
            <w:noWrap w:val="0"/>
            <w:vAlign w:val="center"/>
          </w:tcPr>
          <w:p w14:paraId="5F83C53E">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4602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36F59684">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75AEF3EF">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5AC76427">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工程质量</w:t>
            </w:r>
          </w:p>
        </w:tc>
        <w:tc>
          <w:tcPr>
            <w:tcW w:w="5794" w:type="dxa"/>
            <w:noWrap w:val="0"/>
            <w:vAlign w:val="center"/>
          </w:tcPr>
          <w:p w14:paraId="17F8F4CF">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3214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6986842C">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6F478514">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7CF2A879">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投标有效期</w:t>
            </w:r>
          </w:p>
        </w:tc>
        <w:tc>
          <w:tcPr>
            <w:tcW w:w="5794" w:type="dxa"/>
            <w:noWrap w:val="0"/>
            <w:vAlign w:val="center"/>
          </w:tcPr>
          <w:p w14:paraId="45E18079">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4249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81" w:type="dxa"/>
            <w:vMerge w:val="continue"/>
            <w:noWrap w:val="0"/>
            <w:vAlign w:val="center"/>
          </w:tcPr>
          <w:p w14:paraId="5829070F">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1E5E095A">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22891006">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已标价工程量清单</w:t>
            </w:r>
          </w:p>
        </w:tc>
        <w:tc>
          <w:tcPr>
            <w:tcW w:w="5794" w:type="dxa"/>
            <w:noWrap w:val="0"/>
            <w:vAlign w:val="center"/>
          </w:tcPr>
          <w:p w14:paraId="1D1F12E9">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与招标人发布的招标工程量清单（含需评审材料清单）排序一致，能有效导入计算机辅助评标系统。</w:t>
            </w:r>
          </w:p>
        </w:tc>
      </w:tr>
      <w:tr w14:paraId="1DB8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1" w:type="dxa"/>
            <w:vMerge w:val="continue"/>
            <w:noWrap w:val="0"/>
            <w:vAlign w:val="center"/>
          </w:tcPr>
          <w:p w14:paraId="057AF38B">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04528433">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1E00B669">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投标总价评审</w:t>
            </w:r>
          </w:p>
        </w:tc>
        <w:tc>
          <w:tcPr>
            <w:tcW w:w="5794" w:type="dxa"/>
            <w:noWrap w:val="0"/>
            <w:vAlign w:val="center"/>
          </w:tcPr>
          <w:p w14:paraId="21CF2063">
            <w:pPr>
              <w:adjustRightInd w:val="0"/>
              <w:snapToGrid w:val="0"/>
              <w:spacing w:line="560" w:lineRule="exact"/>
              <w:rPr>
                <w:rFonts w:ascii="宋体" w:hAnsi="宋体"/>
                <w:color w:val="auto"/>
                <w:spacing w:val="-6"/>
                <w:szCs w:val="21"/>
                <w:highlight w:val="none"/>
              </w:rPr>
            </w:pPr>
            <w:r>
              <w:rPr>
                <w:rFonts w:hint="eastAsia" w:ascii="宋体" w:hAnsi="宋体"/>
                <w:color w:val="auto"/>
                <w:spacing w:val="-6"/>
                <w:szCs w:val="21"/>
                <w:highlight w:val="none"/>
              </w:rPr>
              <w:t>不得高于最高投标限价，也不得低于工程成本价。</w:t>
            </w:r>
          </w:p>
        </w:tc>
      </w:tr>
      <w:tr w14:paraId="023F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1" w:type="dxa"/>
            <w:vMerge w:val="continue"/>
            <w:noWrap w:val="0"/>
            <w:vAlign w:val="center"/>
          </w:tcPr>
          <w:p w14:paraId="126F35D3">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776F71D2">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67C907A5">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暂列金额、专业工程暂估价、分部分项工程材料及设备暂估价</w:t>
            </w:r>
          </w:p>
        </w:tc>
        <w:tc>
          <w:tcPr>
            <w:tcW w:w="5794" w:type="dxa"/>
            <w:noWrap w:val="0"/>
            <w:vAlign w:val="center"/>
          </w:tcPr>
          <w:p w14:paraId="15472235">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与招标人发布的招标工程量清单一致。</w:t>
            </w:r>
          </w:p>
        </w:tc>
      </w:tr>
      <w:tr w14:paraId="5CAD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restart"/>
            <w:noWrap w:val="0"/>
            <w:vAlign w:val="center"/>
          </w:tcPr>
          <w:p w14:paraId="6D89B0CC">
            <w:pPr>
              <w:adjustRightInd w:val="0"/>
              <w:snapToGrid w:val="0"/>
              <w:spacing w:line="560" w:lineRule="exact"/>
              <w:rPr>
                <w:rFonts w:ascii="宋体" w:hAnsi="宋体"/>
                <w:color w:val="auto"/>
                <w:szCs w:val="21"/>
                <w:highlight w:val="none"/>
              </w:rPr>
            </w:pPr>
            <w:r>
              <w:rPr>
                <w:rFonts w:ascii="宋体" w:hAnsi="宋体"/>
                <w:color w:val="auto"/>
                <w:szCs w:val="21"/>
                <w:highlight w:val="none"/>
              </w:rPr>
              <w:t>4.2.3</w:t>
            </w:r>
          </w:p>
        </w:tc>
        <w:tc>
          <w:tcPr>
            <w:tcW w:w="780" w:type="dxa"/>
            <w:vMerge w:val="restart"/>
            <w:noWrap w:val="0"/>
            <w:vAlign w:val="center"/>
          </w:tcPr>
          <w:p w14:paraId="3954502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详细评审标准</w:t>
            </w:r>
          </w:p>
        </w:tc>
        <w:tc>
          <w:tcPr>
            <w:tcW w:w="846" w:type="dxa"/>
            <w:vMerge w:val="restart"/>
            <w:noWrap w:val="0"/>
            <w:vAlign w:val="center"/>
          </w:tcPr>
          <w:p w14:paraId="37A886A0">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工程成本评审</w:t>
            </w:r>
          </w:p>
        </w:tc>
        <w:tc>
          <w:tcPr>
            <w:tcW w:w="7779" w:type="dxa"/>
            <w:gridSpan w:val="2"/>
            <w:noWrap w:val="0"/>
            <w:vAlign w:val="center"/>
          </w:tcPr>
          <w:p w14:paraId="4A77D494">
            <w:pPr>
              <w:adjustRightInd w:val="0"/>
              <w:snapToGrid w:val="0"/>
              <w:spacing w:line="560" w:lineRule="exact"/>
              <w:rPr>
                <w:rFonts w:ascii="宋体" w:hAnsi="宋体"/>
                <w:color w:val="auto"/>
                <w:spacing w:val="-6"/>
                <w:szCs w:val="21"/>
                <w:highlight w:val="none"/>
              </w:rPr>
            </w:pPr>
            <w:r>
              <w:rPr>
                <w:rFonts w:hint="eastAsia" w:ascii="宋体" w:hAnsi="宋体"/>
                <w:color w:val="auto"/>
                <w:szCs w:val="21"/>
                <w:highlight w:val="none"/>
              </w:rPr>
              <w:t>投标报价出现下列情形之一的，由评标委员会重点评审后界定其报价是否低于工程成本：</w:t>
            </w:r>
          </w:p>
        </w:tc>
      </w:tr>
      <w:tr w14:paraId="593D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144684DA">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FB8727D">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17E68874">
            <w:pPr>
              <w:adjustRightInd w:val="0"/>
              <w:snapToGrid w:val="0"/>
              <w:spacing w:line="560" w:lineRule="exact"/>
              <w:rPr>
                <w:rFonts w:ascii="宋体" w:hAnsi="宋体"/>
                <w:color w:val="auto"/>
                <w:szCs w:val="21"/>
                <w:highlight w:val="none"/>
              </w:rPr>
            </w:pPr>
          </w:p>
        </w:tc>
        <w:tc>
          <w:tcPr>
            <w:tcW w:w="1985" w:type="dxa"/>
            <w:noWrap w:val="0"/>
            <w:vAlign w:val="center"/>
          </w:tcPr>
          <w:p w14:paraId="47819FE9">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w:t>
            </w:r>
          </w:p>
        </w:tc>
        <w:tc>
          <w:tcPr>
            <w:tcW w:w="5794" w:type="dxa"/>
            <w:noWrap w:val="0"/>
            <w:vAlign w:val="center"/>
          </w:tcPr>
          <w:p w14:paraId="7CE4059F">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投标报价低于本项目通过资信、技术评审且商务标初步评审合格的有效投标报价平均值10%以上。</w:t>
            </w:r>
          </w:p>
        </w:tc>
      </w:tr>
      <w:tr w14:paraId="312E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505D6334">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2FAAE00E">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3D9454E6">
            <w:pPr>
              <w:adjustRightInd w:val="0"/>
              <w:snapToGrid w:val="0"/>
              <w:spacing w:line="560" w:lineRule="exact"/>
              <w:rPr>
                <w:rFonts w:ascii="宋体" w:hAnsi="宋体"/>
                <w:color w:val="auto"/>
                <w:szCs w:val="21"/>
                <w:highlight w:val="none"/>
              </w:rPr>
            </w:pPr>
          </w:p>
        </w:tc>
        <w:tc>
          <w:tcPr>
            <w:tcW w:w="1985" w:type="dxa"/>
            <w:noWrap w:val="0"/>
            <w:vAlign w:val="center"/>
          </w:tcPr>
          <w:p w14:paraId="363F89B0">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报价内容完整性</w:t>
            </w:r>
          </w:p>
        </w:tc>
        <w:tc>
          <w:tcPr>
            <w:tcW w:w="5794" w:type="dxa"/>
            <w:noWrap w:val="0"/>
            <w:vAlign w:val="center"/>
          </w:tcPr>
          <w:p w14:paraId="479F0F07">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因投标人原因造成投标报价清单缺漏，缺漏项总额（多算或多报总额不得抵消缺漏项目总额）累计占本项目通过资信、技术评审且商务标初步评审合格</w:t>
            </w:r>
            <w:r>
              <w:rPr>
                <w:rFonts w:hint="eastAsia" w:ascii="宋体" w:hAnsi="宋体"/>
                <w:color w:val="auto"/>
                <w:spacing w:val="-6"/>
                <w:szCs w:val="21"/>
                <w:highlight w:val="none"/>
              </w:rPr>
              <w:t>有效投标总报价平均值</w:t>
            </w:r>
            <w:r>
              <w:rPr>
                <w:rFonts w:ascii="宋体" w:hAnsi="宋体"/>
                <w:color w:val="auto"/>
                <w:spacing w:val="-6"/>
                <w:szCs w:val="21"/>
                <w:highlight w:val="none"/>
              </w:rPr>
              <w:t>5%</w:t>
            </w:r>
            <w:r>
              <w:rPr>
                <w:rFonts w:hint="eastAsia" w:ascii="宋体" w:hAnsi="宋体"/>
                <w:color w:val="auto"/>
                <w:spacing w:val="-6"/>
                <w:szCs w:val="21"/>
                <w:highlight w:val="none"/>
              </w:rPr>
              <w:t>以上。</w:t>
            </w:r>
          </w:p>
        </w:tc>
      </w:tr>
      <w:tr w14:paraId="0718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1" w:type="dxa"/>
            <w:vMerge w:val="continue"/>
            <w:noWrap w:val="0"/>
            <w:vAlign w:val="center"/>
          </w:tcPr>
          <w:p w14:paraId="7C55FFDE">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5D72E8FC">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68E8D108">
            <w:pPr>
              <w:adjustRightInd w:val="0"/>
              <w:snapToGrid w:val="0"/>
              <w:spacing w:line="560" w:lineRule="exact"/>
              <w:rPr>
                <w:rFonts w:hint="eastAsia" w:ascii="宋体" w:hAnsi="宋体"/>
                <w:color w:val="auto"/>
                <w:szCs w:val="21"/>
                <w:highlight w:val="none"/>
              </w:rPr>
            </w:pPr>
          </w:p>
        </w:tc>
        <w:tc>
          <w:tcPr>
            <w:tcW w:w="1985" w:type="dxa"/>
            <w:noWrap w:val="0"/>
            <w:vAlign w:val="center"/>
          </w:tcPr>
          <w:p w14:paraId="46007887">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人工工日单价</w:t>
            </w:r>
          </w:p>
        </w:tc>
        <w:tc>
          <w:tcPr>
            <w:tcW w:w="5794" w:type="dxa"/>
            <w:noWrap w:val="0"/>
            <w:vAlign w:val="center"/>
          </w:tcPr>
          <w:p w14:paraId="73357785">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不得低于招标人发布的最高投标限价中的人工工日单价</w:t>
            </w:r>
          </w:p>
        </w:tc>
      </w:tr>
      <w:tr w14:paraId="09B0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81" w:type="dxa"/>
            <w:vMerge w:val="continue"/>
            <w:noWrap w:val="0"/>
            <w:vAlign w:val="center"/>
          </w:tcPr>
          <w:p w14:paraId="71358022">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11A3A752">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595B6784">
            <w:pPr>
              <w:adjustRightInd w:val="0"/>
              <w:snapToGrid w:val="0"/>
              <w:spacing w:line="560" w:lineRule="exact"/>
              <w:rPr>
                <w:rFonts w:ascii="宋体" w:hAnsi="宋体"/>
                <w:color w:val="auto"/>
                <w:szCs w:val="21"/>
                <w:highlight w:val="none"/>
              </w:rPr>
            </w:pPr>
          </w:p>
        </w:tc>
        <w:tc>
          <w:tcPr>
            <w:tcW w:w="1985" w:type="dxa"/>
            <w:noWrap w:val="0"/>
            <w:vAlign w:val="center"/>
          </w:tcPr>
          <w:p w14:paraId="104D85F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需评审材料数量</w:t>
            </w:r>
          </w:p>
        </w:tc>
        <w:tc>
          <w:tcPr>
            <w:tcW w:w="5794" w:type="dxa"/>
            <w:noWrap w:val="0"/>
            <w:vAlign w:val="center"/>
          </w:tcPr>
          <w:p w14:paraId="59FF51F0">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需评审的主要材料消耗量低于最高投标限价相应材料数量的5</w:t>
            </w:r>
            <w:r>
              <w:rPr>
                <w:rFonts w:ascii="宋体" w:hAnsi="宋体"/>
                <w:color w:val="auto"/>
                <w:szCs w:val="21"/>
                <w:highlight w:val="none"/>
              </w:rPr>
              <w:t>%</w:t>
            </w:r>
            <w:r>
              <w:rPr>
                <w:rFonts w:hint="eastAsia" w:ascii="宋体" w:hAnsi="宋体"/>
                <w:color w:val="auto"/>
                <w:szCs w:val="21"/>
                <w:highlight w:val="none"/>
              </w:rPr>
              <w:t>以上，且低于本项目通过资信、技术评审且商务标初步评审合格有效投标报价相应材料消耗量平均值的</w:t>
            </w:r>
            <w:r>
              <w:rPr>
                <w:rFonts w:ascii="宋体" w:hAnsi="宋体"/>
                <w:color w:val="auto"/>
                <w:szCs w:val="21"/>
                <w:highlight w:val="none"/>
              </w:rPr>
              <w:t>3%</w:t>
            </w:r>
            <w:r>
              <w:rPr>
                <w:rFonts w:hint="eastAsia" w:ascii="宋体" w:hAnsi="宋体"/>
                <w:color w:val="auto"/>
                <w:szCs w:val="21"/>
                <w:highlight w:val="none"/>
              </w:rPr>
              <w:t>以上。</w:t>
            </w:r>
          </w:p>
        </w:tc>
      </w:tr>
      <w:tr w14:paraId="2C93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81" w:type="dxa"/>
            <w:vMerge w:val="continue"/>
            <w:noWrap w:val="0"/>
            <w:vAlign w:val="center"/>
          </w:tcPr>
          <w:p w14:paraId="10038EA9">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7C955F69">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7EF72C84">
            <w:pPr>
              <w:adjustRightInd w:val="0"/>
              <w:snapToGrid w:val="0"/>
              <w:spacing w:line="560" w:lineRule="exact"/>
              <w:rPr>
                <w:rFonts w:ascii="宋体" w:hAnsi="宋体"/>
                <w:color w:val="auto"/>
                <w:szCs w:val="21"/>
                <w:highlight w:val="none"/>
              </w:rPr>
            </w:pPr>
          </w:p>
        </w:tc>
        <w:tc>
          <w:tcPr>
            <w:tcW w:w="1985" w:type="dxa"/>
            <w:noWrap w:val="0"/>
            <w:vAlign w:val="center"/>
          </w:tcPr>
          <w:p w14:paraId="38F174C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施工机具使用费</w:t>
            </w:r>
          </w:p>
        </w:tc>
        <w:tc>
          <w:tcPr>
            <w:tcW w:w="5794" w:type="dxa"/>
            <w:noWrap w:val="0"/>
            <w:vAlign w:val="center"/>
          </w:tcPr>
          <w:p w14:paraId="1F33EC8C">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施工机具使用费低于本项目通过资信、技术评审且商务标初步评审合格有效投标报价施工机具使用费平均值的</w:t>
            </w:r>
            <w:r>
              <w:rPr>
                <w:rFonts w:ascii="宋体" w:hAnsi="宋体"/>
                <w:color w:val="auto"/>
                <w:szCs w:val="21"/>
                <w:highlight w:val="none"/>
              </w:rPr>
              <w:t>10%</w:t>
            </w:r>
            <w:r>
              <w:rPr>
                <w:rFonts w:hint="eastAsia" w:ascii="宋体" w:hAnsi="宋体"/>
                <w:color w:val="auto"/>
                <w:szCs w:val="21"/>
                <w:highlight w:val="none"/>
              </w:rPr>
              <w:t>以上。</w:t>
            </w:r>
          </w:p>
        </w:tc>
      </w:tr>
      <w:tr w14:paraId="73BC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81" w:type="dxa"/>
            <w:vMerge w:val="continue"/>
            <w:noWrap w:val="0"/>
            <w:vAlign w:val="center"/>
          </w:tcPr>
          <w:p w14:paraId="1752458B">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F9F8AA5">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5FF7BBF7">
            <w:pPr>
              <w:adjustRightInd w:val="0"/>
              <w:snapToGrid w:val="0"/>
              <w:spacing w:line="560" w:lineRule="exact"/>
              <w:rPr>
                <w:rFonts w:ascii="宋体" w:hAnsi="宋体"/>
                <w:color w:val="auto"/>
                <w:szCs w:val="21"/>
                <w:highlight w:val="none"/>
              </w:rPr>
            </w:pPr>
          </w:p>
        </w:tc>
        <w:tc>
          <w:tcPr>
            <w:tcW w:w="1985" w:type="dxa"/>
            <w:noWrap w:val="0"/>
            <w:vAlign w:val="center"/>
          </w:tcPr>
          <w:p w14:paraId="33305C06">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管理费和利润费率</w:t>
            </w:r>
          </w:p>
        </w:tc>
        <w:tc>
          <w:tcPr>
            <w:tcW w:w="5794" w:type="dxa"/>
            <w:noWrap w:val="0"/>
            <w:vAlign w:val="center"/>
          </w:tcPr>
          <w:p w14:paraId="145CDE2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管理费、利润投标费率低于</w:t>
            </w:r>
            <w:r>
              <w:rPr>
                <w:rFonts w:ascii="宋体" w:hAnsi="宋体"/>
                <w:color w:val="auto"/>
                <w:szCs w:val="21"/>
                <w:highlight w:val="none"/>
              </w:rPr>
              <w:t>0%</w:t>
            </w:r>
            <w:r>
              <w:rPr>
                <w:rFonts w:hint="eastAsia" w:ascii="宋体" w:hAnsi="宋体"/>
                <w:color w:val="auto"/>
                <w:szCs w:val="21"/>
                <w:highlight w:val="none"/>
              </w:rPr>
              <w:t>。</w:t>
            </w:r>
          </w:p>
        </w:tc>
      </w:tr>
      <w:tr w14:paraId="7B6A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81" w:type="dxa"/>
            <w:vMerge w:val="continue"/>
            <w:noWrap w:val="0"/>
            <w:vAlign w:val="center"/>
          </w:tcPr>
          <w:p w14:paraId="576BF741">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0B45A684">
            <w:pPr>
              <w:widowControl/>
              <w:adjustRightInd w:val="0"/>
              <w:snapToGrid w:val="0"/>
              <w:spacing w:line="560" w:lineRule="exact"/>
              <w:jc w:val="left"/>
              <w:rPr>
                <w:rFonts w:ascii="宋体" w:hAnsi="宋体"/>
                <w:color w:val="auto"/>
                <w:szCs w:val="21"/>
                <w:highlight w:val="none"/>
              </w:rPr>
            </w:pPr>
          </w:p>
        </w:tc>
        <w:tc>
          <w:tcPr>
            <w:tcW w:w="846" w:type="dxa"/>
            <w:vMerge w:val="restart"/>
            <w:noWrap w:val="0"/>
            <w:vAlign w:val="center"/>
          </w:tcPr>
          <w:p w14:paraId="0586E7C6">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无效报价</w:t>
            </w:r>
          </w:p>
        </w:tc>
        <w:tc>
          <w:tcPr>
            <w:tcW w:w="1985" w:type="dxa"/>
            <w:noWrap w:val="0"/>
            <w:vAlign w:val="center"/>
          </w:tcPr>
          <w:p w14:paraId="4BE25D59">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暂估价材料、设备</w:t>
            </w:r>
          </w:p>
        </w:tc>
        <w:tc>
          <w:tcPr>
            <w:tcW w:w="5794" w:type="dxa"/>
            <w:noWrap w:val="0"/>
            <w:vAlign w:val="center"/>
          </w:tcPr>
          <w:p w14:paraId="75DB9E0A">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材料、设备暂估价未按要求计入分部分项工程费。</w:t>
            </w:r>
          </w:p>
        </w:tc>
      </w:tr>
      <w:tr w14:paraId="03F6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81" w:type="dxa"/>
            <w:vMerge w:val="continue"/>
            <w:noWrap w:val="0"/>
            <w:vAlign w:val="center"/>
          </w:tcPr>
          <w:p w14:paraId="6A23AA06">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546E9836">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51C09DC2">
            <w:pPr>
              <w:adjustRightInd w:val="0"/>
              <w:snapToGrid w:val="0"/>
              <w:spacing w:line="560" w:lineRule="exact"/>
              <w:rPr>
                <w:rFonts w:ascii="宋体" w:hAnsi="宋体"/>
                <w:color w:val="auto"/>
                <w:szCs w:val="21"/>
                <w:highlight w:val="none"/>
              </w:rPr>
            </w:pPr>
          </w:p>
        </w:tc>
        <w:tc>
          <w:tcPr>
            <w:tcW w:w="1985" w:type="dxa"/>
            <w:noWrap w:val="0"/>
            <w:vAlign w:val="center"/>
          </w:tcPr>
          <w:p w14:paraId="68A54384">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不可竞争项目费费率</w:t>
            </w:r>
          </w:p>
        </w:tc>
        <w:tc>
          <w:tcPr>
            <w:tcW w:w="5794" w:type="dxa"/>
            <w:noWrap w:val="0"/>
            <w:vAlign w:val="center"/>
          </w:tcPr>
          <w:p w14:paraId="5159A93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低于建标〔2021〕42号文规定的费率。</w:t>
            </w:r>
          </w:p>
        </w:tc>
      </w:tr>
      <w:tr w14:paraId="361E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1" w:type="dxa"/>
            <w:vMerge w:val="continue"/>
            <w:noWrap w:val="0"/>
            <w:vAlign w:val="center"/>
          </w:tcPr>
          <w:p w14:paraId="22EB38BF">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214E7BC7">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09E5F476">
            <w:pPr>
              <w:adjustRightInd w:val="0"/>
              <w:snapToGrid w:val="0"/>
              <w:spacing w:line="560" w:lineRule="exact"/>
              <w:rPr>
                <w:rFonts w:ascii="宋体" w:hAnsi="宋体"/>
                <w:color w:val="auto"/>
                <w:szCs w:val="21"/>
                <w:highlight w:val="none"/>
              </w:rPr>
            </w:pPr>
          </w:p>
        </w:tc>
        <w:tc>
          <w:tcPr>
            <w:tcW w:w="1985" w:type="dxa"/>
            <w:noWrap w:val="0"/>
            <w:vAlign w:val="center"/>
          </w:tcPr>
          <w:p w14:paraId="39272610">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税率</w:t>
            </w:r>
          </w:p>
        </w:tc>
        <w:tc>
          <w:tcPr>
            <w:tcW w:w="5794" w:type="dxa"/>
            <w:noWrap w:val="0"/>
            <w:vAlign w:val="center"/>
          </w:tcPr>
          <w:p w14:paraId="1E1A8D75">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低于《关于调整我省现行建设工程计价依据增值税税率的通知》（皖造价〔2019〕7号）规定的费率。</w:t>
            </w:r>
          </w:p>
        </w:tc>
      </w:tr>
      <w:tr w14:paraId="348F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14:paraId="196EEBE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p>
        </w:tc>
        <w:tc>
          <w:tcPr>
            <w:tcW w:w="780" w:type="dxa"/>
            <w:noWrap w:val="0"/>
            <w:vAlign w:val="center"/>
          </w:tcPr>
          <w:p w14:paraId="4357F372">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w:t>
            </w:r>
          </w:p>
          <w:p w14:paraId="2DC3DFFB">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评分</w:t>
            </w:r>
          </w:p>
          <w:p w14:paraId="53D270BA">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90</w:t>
            </w:r>
            <w:r>
              <w:rPr>
                <w:rFonts w:ascii="宋体" w:hAnsi="宋体"/>
                <w:color w:val="auto"/>
                <w:szCs w:val="21"/>
                <w:highlight w:val="none"/>
              </w:rPr>
              <w:t>分）</w:t>
            </w:r>
          </w:p>
        </w:tc>
        <w:tc>
          <w:tcPr>
            <w:tcW w:w="8625" w:type="dxa"/>
            <w:gridSpan w:val="3"/>
            <w:noWrap w:val="0"/>
            <w:vAlign w:val="center"/>
          </w:tcPr>
          <w:p w14:paraId="1CE26EA1">
            <w:pPr>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商务标评分按下列步骤计算：</w:t>
            </w:r>
          </w:p>
          <w:p w14:paraId="7B2126E9">
            <w:pPr>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第一步：计算B值。</w:t>
            </w:r>
          </w:p>
          <w:p w14:paraId="05EDE665">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p w14:paraId="495B92EB">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第二步：计算评标基准价F值。</w:t>
            </w:r>
          </w:p>
          <w:p w14:paraId="41F3EA75">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①F=B×（1-K），其中K为调整系数，K的取值为-0.5%（1号），0%（2号），0.5%（3号），1.0%（4号），1.5%（5号）。</w:t>
            </w:r>
          </w:p>
          <w:p w14:paraId="1985E9AC">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第三步：计算报价偏差率。</w:t>
            </w:r>
          </w:p>
          <w:p w14:paraId="39943AD4">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4502AC57">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第四步：计算报价得分</w:t>
            </w:r>
          </w:p>
          <w:p w14:paraId="682A493A">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3BFE5474">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②投标报价高于评标基准价的，投标报价得分=报价满分值-偏差率×100×1</w:t>
            </w:r>
          </w:p>
          <w:p w14:paraId="0BACDAD3">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③投标报价低于评标基准价的，投标报价得分=报价满分值-偏差率×100×0.5</w:t>
            </w:r>
          </w:p>
          <w:p w14:paraId="65DDB08A">
            <w:pPr>
              <w:pStyle w:val="19"/>
              <w:adjustRightInd w:val="0"/>
              <w:snapToGrid w:val="0"/>
              <w:spacing w:after="0" w:line="560" w:lineRule="exact"/>
              <w:ind w:left="0" w:leftChars="0" w:firstLine="422" w:firstLineChars="0"/>
              <w:jc w:val="left"/>
              <w:rPr>
                <w:rFonts w:ascii="宋体" w:hAnsi="宋体" w:cs="宋体"/>
                <w:color w:val="auto"/>
                <w:szCs w:val="21"/>
                <w:highlight w:val="none"/>
              </w:rPr>
            </w:pPr>
            <w:r>
              <w:rPr>
                <w:rFonts w:hint="eastAsia" w:ascii="宋体" w:hAnsi="宋体" w:cs="宋体"/>
                <w:b/>
                <w:color w:val="auto"/>
                <w:szCs w:val="21"/>
                <w:highlight w:val="none"/>
              </w:rPr>
              <w:t>注：计算过程中，B值、评标基准价F值、偏差率、报价得分均保留两位小数，小数点后第三位四舍五入。</w:t>
            </w:r>
          </w:p>
        </w:tc>
      </w:tr>
    </w:tbl>
    <w:p w14:paraId="70A1D8D1">
      <w:pPr>
        <w:adjustRightInd w:val="0"/>
        <w:snapToGrid w:val="0"/>
        <w:spacing w:line="560" w:lineRule="exact"/>
        <w:ind w:firstLine="316" w:firstLineChars="150"/>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25A47566">
      <w:pPr>
        <w:adjustRightInd w:val="0"/>
        <w:snapToGrid w:val="0"/>
        <w:spacing w:line="560" w:lineRule="exact"/>
        <w:ind w:firstLine="422" w:firstLineChars="200"/>
        <w:rPr>
          <w:rFonts w:hint="eastAsia" w:ascii="黑体" w:hAnsi="黑体" w:eastAsia="黑体" w:cs="黑体"/>
          <w:b/>
          <w:bCs/>
          <w:color w:val="auto"/>
          <w:szCs w:val="21"/>
          <w:highlight w:val="none"/>
          <w:u w:val="single"/>
        </w:rPr>
      </w:pPr>
      <w:r>
        <w:rPr>
          <w:rFonts w:hint="eastAsia" w:ascii="黑体" w:hAnsi="黑体" w:eastAsia="黑体" w:cs="黑体"/>
          <w:b/>
          <w:color w:val="auto"/>
          <w:szCs w:val="21"/>
          <w:highlight w:val="none"/>
        </w:rPr>
        <w:t>1、</w:t>
      </w:r>
      <w:r>
        <w:rPr>
          <w:rFonts w:hint="eastAsia" w:ascii="黑体" w:hAnsi="黑体" w:eastAsia="黑体" w:cs="黑体"/>
          <w:b/>
          <w:bCs/>
          <w:color w:val="auto"/>
          <w:szCs w:val="21"/>
          <w:highlight w:val="none"/>
        </w:rPr>
        <w:t>投标人总报价如超过A值，A值=</w:t>
      </w:r>
      <w:r>
        <w:rPr>
          <w:rFonts w:hint="eastAsia" w:ascii="黑体" w:hAnsi="黑体" w:eastAsia="黑体" w:cs="黑体"/>
          <w:b/>
          <w:bCs/>
          <w:color w:val="auto"/>
          <w:szCs w:val="21"/>
          <w:highlight w:val="none"/>
          <w:u w:val="single"/>
        </w:rPr>
        <w:t xml:space="preserve">最高投标限价×（1-J） +（暂列金额+暂估价）×1.09×J（其中J= </w:t>
      </w:r>
      <w:r>
        <w:rPr>
          <w:rFonts w:hint="eastAsia" w:ascii="黑体" w:hAnsi="黑体" w:eastAsia="黑体" w:cs="黑体"/>
          <w:b/>
          <w:bCs/>
          <w:color w:val="auto"/>
          <w:szCs w:val="21"/>
          <w:highlight w:val="none"/>
          <w:u w:val="single"/>
          <w:lang w:val="en-US" w:eastAsia="zh-CN"/>
        </w:rPr>
        <w:t>6</w:t>
      </w:r>
      <w:r>
        <w:rPr>
          <w:rFonts w:hint="eastAsia" w:ascii="黑体" w:hAnsi="黑体" w:eastAsia="黑体" w:cs="黑体"/>
          <w:b/>
          <w:bCs/>
          <w:color w:val="auto"/>
          <w:szCs w:val="21"/>
          <w:highlight w:val="none"/>
          <w:u w:val="single"/>
        </w:rPr>
        <w:t xml:space="preserve">%，该值由招标人根据具体项目情况自行设定），则商务标不得分，且该投标报价不参与B值计算。 </w:t>
      </w:r>
    </w:p>
    <w:p w14:paraId="5F2EA754">
      <w:pPr>
        <w:adjustRightInd w:val="0"/>
        <w:snapToGrid w:val="0"/>
        <w:spacing w:line="5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、只有通过详细评审的投标人才能参加评分。</w:t>
      </w:r>
    </w:p>
    <w:p w14:paraId="1A2CD93A">
      <w:pPr>
        <w:adjustRightInd w:val="0"/>
        <w:snapToGrid w:val="0"/>
        <w:spacing w:line="5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、本表所称投标报价是指按招标文件规定修正后的投标总报价（多算投标报价、多报费用不扣减），报价以元为单位，保留两位小数，小数点后第三位四舍五入。</w:t>
      </w:r>
    </w:p>
    <w:p w14:paraId="57F3820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4、B 值计算方法：</w:t>
      </w:r>
    </w:p>
    <w:p w14:paraId="328C30B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（1）本项目 T 取值为  </w:t>
      </w:r>
      <w:r>
        <w:rPr>
          <w:rFonts w:hint="eastAsia" w:ascii="宋体" w:hAnsi="宋体" w:eastAsia="宋体" w:cs="宋体"/>
          <w:color w:val="auto"/>
          <w:szCs w:val="21"/>
          <w:highlight w:val="none"/>
          <w:lang w:val="en-US" w:eastAsia="zh-CN"/>
        </w:rPr>
        <w:t>10</w:t>
      </w:r>
      <w:r>
        <w:rPr>
          <w:rFonts w:hint="eastAsia" w:ascii="宋体" w:hAnsi="宋体" w:cs="宋体"/>
          <w:color w:val="auto"/>
          <w:szCs w:val="21"/>
          <w:highlight w:val="none"/>
        </w:rPr>
        <w:t>。</w:t>
      </w:r>
    </w:p>
    <w:p w14:paraId="2ECDCD8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（2）投标报价不超过A值且资信技术合计分值大于等于所有通过（资信、技术、商务）详细评审有效投标人资信技术平均分值的投标人数量为M。</w:t>
      </w:r>
    </w:p>
    <w:p w14:paraId="77FCBEA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（3）若M 未超过 T 时，B 值为符合上述条件的 M 个投标人投标报价的算术平均值。</w:t>
      </w:r>
    </w:p>
    <w:p w14:paraId="1953A3D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39DAF76E">
      <w:pPr>
        <w:adjustRightInd w:val="0"/>
        <w:snapToGrid w:val="0"/>
        <w:spacing w:line="56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5</w:t>
      </w:r>
      <w:r>
        <w:rPr>
          <w:rFonts w:ascii="宋体" w:hAnsi="宋体" w:cs="宋体"/>
          <w:color w:val="auto"/>
          <w:szCs w:val="21"/>
          <w:highlight w:val="none"/>
        </w:rPr>
        <w:t>、K值（评标基准价系数）的抽取：资信标、技术标、商务标详细评审完成后，招标人在线抽取K值，并根据抽取的K值计算F值，</w:t>
      </w:r>
      <w:r>
        <w:rPr>
          <w:rFonts w:ascii="宋体" w:hAnsi="宋体" w:cs="宋体"/>
          <w:b/>
          <w:color w:val="auto"/>
          <w:szCs w:val="21"/>
          <w:highlight w:val="none"/>
          <w:u w:val="single"/>
        </w:rPr>
        <w:t>评标办法中的评标基准价计算出来后，除数字计算错误外，其他情况均不再调整。</w:t>
      </w:r>
    </w:p>
    <w:p w14:paraId="1C657FF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6、其他</w:t>
      </w:r>
    </w:p>
    <w:p w14:paraId="04C2C17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 缺漏项金额是指投标人漏计招标人发布的清单项目，按最高投标限价对应清单综合单价计算缺漏金额。</w:t>
      </w:r>
    </w:p>
    <w:p w14:paraId="4ABE649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本表所述累计投标报价缺漏错总额占原投标报价格 5%以下者，视为投标人主动让利或包含在其他项目中，不修正总价，工程结算时亦不予调整。</w:t>
      </w:r>
    </w:p>
    <w:p w14:paraId="09E1EC90">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color w:val="auto"/>
          <w:highlight w:val="none"/>
        </w:rPr>
        <w:t>7、</w:t>
      </w:r>
      <w:r>
        <w:rPr>
          <w:rFonts w:hint="eastAsia" w:ascii="宋体" w:hAnsi="宋体" w:cs="宋体"/>
          <w:color w:val="auto"/>
          <w:szCs w:val="21"/>
          <w:highlight w:val="none"/>
        </w:rPr>
        <w:t>投标人（如投标人为联合体，联合体中施工企业需提供）的注册建造师必须满足相应建筑业企业资质标准要求，评标委员会在评审时，将对此进行评审。投标单位（如投标人为联合体，联合体中施工企业需提供）应在商务标文件中提供全国建筑市场监管公共服务平台(四库一平台)企业注册人员网页截图，未提供相关截图，按无效标处理。</w:t>
      </w:r>
    </w:p>
    <w:p w14:paraId="72C40D22">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4" w:name="_Toc95223429"/>
      <w:r>
        <w:rPr>
          <w:rFonts w:hint="eastAsia" w:ascii="黑体" w:hAnsi="黑体" w:cs="黑体"/>
          <w:color w:val="auto"/>
          <w:sz w:val="21"/>
          <w:szCs w:val="21"/>
          <w:highlight w:val="none"/>
        </w:rPr>
        <w:t>1. 评标方法</w:t>
      </w:r>
      <w:bookmarkEnd w:id="714"/>
    </w:p>
    <w:p w14:paraId="47AEFA67">
      <w:pPr>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550535EA">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6E73E5B">
      <w:pPr>
        <w:wordWrap w:val="0"/>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（2）评标委员会登录全国建筑市场监管公共服务平台(四库-平台)https://jzsc.mohurd.gov.cn/home 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号），对中标候选人的关系企业履约能力的建造师数量进行评审：</w:t>
      </w:r>
    </w:p>
    <w:p w14:paraId="32AE72F0">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仿宋_GB2312" w:hAnsi="宋体" w:eastAsia="仿宋_GB2312" w:cs="宋体"/>
          <w:color w:val="auto"/>
          <w:szCs w:val="21"/>
          <w:highlight w:val="none"/>
        </w:rPr>
        <w:t>①</w:t>
      </w:r>
      <w:r>
        <w:rPr>
          <w:rFonts w:hint="eastAsia" w:ascii="宋体" w:hAnsi="宋体" w:eastAsia="宋体" w:cs="宋体"/>
          <w:color w:val="auto"/>
          <w:szCs w:val="21"/>
          <w:highlight w:val="none"/>
        </w:rPr>
        <w:t>电力工程施工总承包</w:t>
      </w:r>
      <w:r>
        <w:rPr>
          <w:rFonts w:hint="eastAsia" w:ascii="宋体" w:hAnsi="宋体" w:cs="宋体"/>
          <w:color w:val="auto"/>
          <w:szCs w:val="21"/>
          <w:highlight w:val="none"/>
        </w:rPr>
        <w:t>特级资质企业：注册一级建造师 50人以上。</w:t>
      </w:r>
    </w:p>
    <w:p w14:paraId="16573416">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仿宋_GB2312" w:hAnsi="宋体" w:eastAsia="仿宋_GB2312" w:cs="宋体"/>
          <w:color w:val="auto"/>
          <w:szCs w:val="21"/>
          <w:highlight w:val="none"/>
        </w:rPr>
        <w:t>②</w:t>
      </w:r>
      <w:r>
        <w:rPr>
          <w:rFonts w:hint="eastAsia" w:ascii="宋体" w:hAnsi="宋体" w:eastAsia="宋体" w:cs="宋体"/>
          <w:color w:val="auto"/>
          <w:szCs w:val="21"/>
          <w:highlight w:val="none"/>
        </w:rPr>
        <w:t>电力工程施工总承包</w:t>
      </w:r>
      <w:r>
        <w:rPr>
          <w:rFonts w:hint="eastAsia" w:ascii="宋体" w:hAnsi="宋体" w:cs="宋体"/>
          <w:color w:val="auto"/>
          <w:szCs w:val="21"/>
          <w:highlight w:val="none"/>
        </w:rPr>
        <w:t>壹级资质企业：</w:t>
      </w:r>
      <w:r>
        <w:rPr>
          <w:rFonts w:hint="eastAsia" w:ascii="宋体" w:hAnsi="宋体" w:eastAsia="宋体" w:cs="宋体"/>
          <w:color w:val="auto"/>
          <w:szCs w:val="21"/>
          <w:highlight w:val="none"/>
          <w:lang w:val="en-US" w:eastAsia="zh-CN"/>
        </w:rPr>
        <w:t>机电工程专业一级注册建造师不少于1</w:t>
      </w:r>
      <w:r>
        <w:rPr>
          <w:rFonts w:hint="eastAsia" w:ascii="宋体" w:hAnsi="宋体" w:eastAsia="宋体" w:cs="宋体"/>
          <w:color w:val="auto"/>
          <w:szCs w:val="21"/>
          <w:highlight w:val="none"/>
        </w:rPr>
        <w:t>5人</w:t>
      </w:r>
      <w:r>
        <w:rPr>
          <w:rFonts w:hint="eastAsia" w:ascii="宋体" w:hAnsi="宋体" w:cs="宋体"/>
          <w:color w:val="auto"/>
          <w:szCs w:val="21"/>
          <w:highlight w:val="none"/>
        </w:rPr>
        <w:t>。</w:t>
      </w:r>
    </w:p>
    <w:p w14:paraId="3A3FD3B8">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仿宋_GB2312" w:hAnsi="宋体" w:eastAsia="仿宋_GB2312" w:cs="宋体"/>
          <w:color w:val="auto"/>
          <w:szCs w:val="21"/>
          <w:highlight w:val="none"/>
        </w:rPr>
        <w:t>③</w:t>
      </w:r>
      <w:r>
        <w:rPr>
          <w:rFonts w:hint="eastAsia" w:ascii="宋体" w:hAnsi="宋体" w:eastAsia="宋体" w:cs="宋体"/>
          <w:color w:val="auto"/>
          <w:szCs w:val="21"/>
          <w:highlight w:val="none"/>
        </w:rPr>
        <w:t>电力工程施工总承包</w:t>
      </w:r>
      <w:r>
        <w:rPr>
          <w:rFonts w:hint="eastAsia" w:ascii="宋体" w:hAnsi="宋体" w:cs="宋体"/>
          <w:color w:val="auto"/>
          <w:szCs w:val="21"/>
          <w:highlight w:val="none"/>
        </w:rPr>
        <w:t>贰级、叁级资质企业：</w:t>
      </w:r>
      <w:r>
        <w:rPr>
          <w:rFonts w:hint="eastAsia" w:ascii="宋体" w:hAnsi="宋体" w:eastAsia="宋体" w:cs="宋体"/>
          <w:color w:val="auto"/>
          <w:szCs w:val="21"/>
          <w:highlight w:val="none"/>
          <w:lang w:val="en-US" w:eastAsia="zh-CN"/>
        </w:rPr>
        <w:t>机电工程专业注册建造师不少于</w:t>
      </w:r>
      <w:r>
        <w:rPr>
          <w:rFonts w:hint="eastAsia" w:ascii="宋体" w:hAnsi="宋体" w:eastAsia="宋体" w:cs="宋体"/>
          <w:color w:val="auto"/>
          <w:szCs w:val="21"/>
          <w:highlight w:val="none"/>
        </w:rPr>
        <w:t>5人</w:t>
      </w:r>
      <w:r>
        <w:rPr>
          <w:rFonts w:hint="eastAsia" w:ascii="宋体" w:hAnsi="宋体" w:cs="宋体"/>
          <w:color w:val="auto"/>
          <w:szCs w:val="21"/>
          <w:highlight w:val="none"/>
        </w:rPr>
        <w:t>。</w:t>
      </w:r>
    </w:p>
    <w:p w14:paraId="00248804">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中标候选人的注册建造师不满足上述要求的，评标委员会对该投标不予认可，并将该情形报送相关行政主管部门。中标候选人依次替补，评标委员会再次对替补单位进行核查。</w:t>
      </w:r>
    </w:p>
    <w:p w14:paraId="5064C965">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5" w:name="_Toc95223430"/>
      <w:r>
        <w:rPr>
          <w:rFonts w:hint="eastAsia" w:ascii="黑体" w:hAnsi="黑体" w:cs="黑体"/>
          <w:color w:val="auto"/>
          <w:sz w:val="21"/>
          <w:szCs w:val="21"/>
          <w:highlight w:val="none"/>
        </w:rPr>
        <w:t>2.评标委员会的职责</w:t>
      </w:r>
      <w:bookmarkEnd w:id="715"/>
    </w:p>
    <w:p w14:paraId="33E8043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6ADAB8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716" w:name="_Toc95223431"/>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63C0BAAB">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3.评标程序</w:t>
      </w:r>
      <w:bookmarkEnd w:id="716"/>
    </w:p>
    <w:p w14:paraId="594B9C34">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评标先做准备工作，再进行资格、技术标评审，然后进行商务标评审。</w:t>
      </w:r>
    </w:p>
    <w:p w14:paraId="550A295E">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7" w:name="_Toc95223432"/>
      <w:r>
        <w:rPr>
          <w:rFonts w:hint="eastAsia" w:ascii="黑体" w:hAnsi="黑体" w:cs="黑体"/>
          <w:color w:val="auto"/>
          <w:sz w:val="21"/>
          <w:szCs w:val="21"/>
          <w:highlight w:val="none"/>
        </w:rPr>
        <w:t>3.1评标准备工作</w:t>
      </w:r>
      <w:bookmarkEnd w:id="717"/>
    </w:p>
    <w:p w14:paraId="578F4DA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评标委员会熟悉评标工作情况：</w:t>
      </w:r>
    </w:p>
    <w:p w14:paraId="0C0B3F7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2464F7E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73C4544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1ED02DC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（4）核对评标工作用表。</w:t>
      </w:r>
    </w:p>
    <w:p w14:paraId="627A326A">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8" w:name="_Toc95223433"/>
      <w:r>
        <w:rPr>
          <w:rFonts w:hint="eastAsia" w:ascii="黑体" w:hAnsi="黑体" w:cs="黑体"/>
          <w:color w:val="auto"/>
          <w:sz w:val="21"/>
          <w:szCs w:val="21"/>
          <w:highlight w:val="none"/>
        </w:rPr>
        <w:t>3.2技术标评审</w:t>
      </w:r>
      <w:bookmarkEnd w:id="718"/>
    </w:p>
    <w:p w14:paraId="422B8AF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详见技术标评审表。</w:t>
      </w:r>
    </w:p>
    <w:p w14:paraId="7BC3DF3D">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19" w:name="_Toc95223434"/>
      <w:r>
        <w:rPr>
          <w:rFonts w:hint="eastAsia" w:ascii="黑体" w:hAnsi="黑体" w:cs="黑体"/>
          <w:color w:val="auto"/>
          <w:sz w:val="21"/>
          <w:szCs w:val="21"/>
          <w:highlight w:val="none"/>
        </w:rPr>
        <w:t>3.3商务标评审</w:t>
      </w:r>
      <w:bookmarkEnd w:id="719"/>
    </w:p>
    <w:p w14:paraId="5298466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78B6DF5D">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3.4推荐中标候选人</w:t>
      </w:r>
    </w:p>
    <w:p w14:paraId="6E489CF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1AFCBA0A">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20" w:name="_Toc95223435"/>
      <w:r>
        <w:rPr>
          <w:rFonts w:hint="eastAsia" w:ascii="黑体" w:hAnsi="黑体" w:cs="黑体"/>
          <w:color w:val="auto"/>
          <w:sz w:val="21"/>
          <w:szCs w:val="21"/>
          <w:highlight w:val="none"/>
        </w:rPr>
        <w:t>4.评审内容</w:t>
      </w:r>
      <w:bookmarkEnd w:id="720"/>
    </w:p>
    <w:p w14:paraId="12272864">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21" w:name="_Toc95223436"/>
      <w:r>
        <w:rPr>
          <w:rFonts w:hint="eastAsia" w:ascii="黑体" w:hAnsi="黑体" w:cs="黑体"/>
          <w:color w:val="auto"/>
          <w:sz w:val="21"/>
          <w:szCs w:val="21"/>
          <w:highlight w:val="none"/>
        </w:rPr>
        <w:t>4.1技术标评审</w:t>
      </w:r>
      <w:bookmarkEnd w:id="721"/>
    </w:p>
    <w:p w14:paraId="1AD8665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4.1.1形式性评审标准：见技术标评审表。</w:t>
      </w:r>
    </w:p>
    <w:p w14:paraId="52FD2F7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4.1.2响应性评审标准：见技术标评审表。</w:t>
      </w:r>
    </w:p>
    <w:p w14:paraId="4C3506B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p w14:paraId="44376606">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22" w:name="_Toc95223437"/>
      <w:r>
        <w:rPr>
          <w:rFonts w:hint="eastAsia" w:ascii="黑体" w:hAnsi="黑体" w:cs="黑体"/>
          <w:color w:val="auto"/>
          <w:sz w:val="21"/>
          <w:szCs w:val="21"/>
          <w:highlight w:val="none"/>
        </w:rPr>
        <w:t>4.2商务标评审</w:t>
      </w:r>
      <w:bookmarkEnd w:id="722"/>
    </w:p>
    <w:p w14:paraId="5BAC77E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只有通过技术标评审的投标才能够进入本阶段评审。</w:t>
      </w:r>
    </w:p>
    <w:p w14:paraId="3D4A657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4.2.1形式性评审标准：见商务标评审表。</w:t>
      </w:r>
    </w:p>
    <w:p w14:paraId="67665F9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4.2.2响应性评审标准：见商务标评审表。</w:t>
      </w:r>
    </w:p>
    <w:p w14:paraId="2BD6275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14:paraId="06A0A36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4.2.3详细评审标准：见商务标评审表。</w:t>
      </w:r>
    </w:p>
    <w:p w14:paraId="539E577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4.2.3.1投标报价清标：</w:t>
      </w:r>
    </w:p>
    <w:p w14:paraId="37AA2C7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（1）清标是指通过对需要评审的工程量清单投标报价采用核对、比较、筛选等方法，对基础性数据进行分析和整理。其目的是找出投标文件中可能存在疑义或者显著异常的数据，为评审中的质疑工作提供基础。</w:t>
      </w:r>
    </w:p>
    <w:p w14:paraId="3D60EE0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（2）清标工作应当使用计算机辅助评标系统，由计算机完成。</w:t>
      </w:r>
    </w:p>
    <w:p w14:paraId="4343F3BB">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（3）清标的内容和步骤：</w:t>
      </w:r>
    </w:p>
    <w:p w14:paraId="78C1E65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 投标文件在符合性、响应性等方面存在的偏差。</w:t>
      </w:r>
    </w:p>
    <w:p w14:paraId="1675A39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 投标文件存在的算术计算错误和修正结果。</w:t>
      </w:r>
    </w:p>
    <w:p w14:paraId="1823B58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 在列出的所有偏差中，属于重大偏差的情形和相关依据；在列出的所有偏差中、属于细微偏差的情形。</w:t>
      </w:r>
    </w:p>
    <w:p w14:paraId="4EFD310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 列出投标价格过高或过低等的清单项目的序号、项目编码、项目名称、项目特征、与招标文件规定的标准之间存在的偏差幅度和产生原因的摘录。</w:t>
      </w:r>
    </w:p>
    <w:p w14:paraId="366C6B59">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6C6FA3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14:paraId="425DCCD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（2）总价金额与依据单价计算出的结果不一致的，以单价金额为准修正总价，但单价金额小数点有明显错误的除外。</w:t>
      </w:r>
    </w:p>
    <w:p w14:paraId="48EE3CB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（3）工程量清单报价表中综合单价与工程量清单项目价格分析表相对应综合单价不一致时，以工程量清单项目价格分析表中标出的综合单价为准。</w:t>
      </w:r>
    </w:p>
    <w:p w14:paraId="75B4BD5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76F97">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23" w:name="_Toc95223438"/>
      <w:r>
        <w:rPr>
          <w:rFonts w:hint="eastAsia" w:ascii="黑体" w:hAnsi="黑体" w:cs="黑体"/>
          <w:color w:val="auto"/>
          <w:sz w:val="21"/>
          <w:szCs w:val="21"/>
          <w:highlight w:val="none"/>
        </w:rPr>
        <w:t>5.无效投标条款</w:t>
      </w:r>
      <w:bookmarkEnd w:id="723"/>
    </w:p>
    <w:p w14:paraId="7CA592F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466BB83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未在投标截止时间前通过网上招标投标系统递交有效电子投标文件的，开标系统不予接收，投标将被拒绝。</w:t>
      </w:r>
    </w:p>
    <w:p w14:paraId="3EFDF16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DD3CF9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5DA3111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5.2.1技术标评审</w:t>
      </w:r>
    </w:p>
    <w:p w14:paraId="3A316A8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评标委员会依据《技术标评审表》进行形式性评审和响应性评审。有一项不符合评审标准的，做无效投标处理；对否定的技术标，评标委员会要提出充足的否定理由，并填写在技术标评标记录上。</w:t>
      </w:r>
    </w:p>
    <w:p w14:paraId="593C0E7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13DE615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60A358F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1BE7697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5.3其他无效投标情况：</w:t>
      </w:r>
    </w:p>
    <w:p w14:paraId="1AAF20C4">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3232E955">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（2）按第四章“评标方法”第4.2.4项修正错误的原则及方法调整或修正投标文件的投标报价，调整或修正的价格经投标人书面确认后具有约束力。投标人不接受修正价格的，其投标将被拒绝。</w:t>
      </w:r>
    </w:p>
    <w:p w14:paraId="48926852">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（3）第二章“投标人须知”第1.4.3项规定的任何一种情形的。</w:t>
      </w:r>
    </w:p>
    <w:p w14:paraId="2D0856EB">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（4）投标人有串通投标、视为串通投标、弄虚作假、行贿等违法行为。</w:t>
      </w:r>
    </w:p>
    <w:p w14:paraId="7B1C3196">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777F6339">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（6）未按规定的格式填写导致实质性内容不全以及实质上不响应，或者关键字迹模糊、无法辨认；经公共资源交易监督部门核准的。</w:t>
      </w:r>
    </w:p>
    <w:p w14:paraId="41C0BFD9">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3A574B99">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3BAF6EE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（9）投标文件中填报的拟任项目经理（建造师）与资格审查通过的项目经理（建造师）前后不一致的。</w:t>
      </w:r>
    </w:p>
    <w:p w14:paraId="770562C9">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019F3361">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（11）投标人投标MAC地址一致。</w:t>
      </w:r>
    </w:p>
    <w:p w14:paraId="215DEEAD">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（12）投标人单方面出现其他投标人材料。</w:t>
      </w:r>
    </w:p>
    <w:p w14:paraId="28B27F29">
      <w:pPr>
        <w:spacing w:line="56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（13）</w:t>
      </w:r>
      <w:r>
        <w:rPr>
          <w:rFonts w:hint="eastAsia" w:ascii="宋体" w:hAnsi="宋体" w:cs="宋体"/>
          <w:bCs/>
          <w:color w:val="auto"/>
          <w:szCs w:val="21"/>
          <w:highlight w:val="none"/>
        </w:rPr>
        <w:t>评标时查询投标文件制作机器码、文件创建标识码及造价软件加密锁号。若存在投标文件制作机器码或创建标识码或造价软件加密锁号信息与其他投标人雷同的，投标无效。</w:t>
      </w:r>
    </w:p>
    <w:p w14:paraId="6431AB9C">
      <w:pPr>
        <w:spacing w:line="560" w:lineRule="exact"/>
        <w:ind w:firstLine="420" w:firstLineChars="200"/>
        <w:rPr>
          <w:rFonts w:hint="eastAsia" w:ascii="宋体" w:hAnsi="宋体" w:cs="宋体"/>
          <w:strike/>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lang w:bidi="ar"/>
        </w:rPr>
        <w:t>投标人申请开具电子保函MAC地址一致。</w:t>
      </w:r>
    </w:p>
    <w:p w14:paraId="15A23CFF">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（15）投标人联系人或联系电话相同的。</w:t>
      </w:r>
    </w:p>
    <w:p w14:paraId="36F8400E">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（16）法律、法规规定的其他情形。</w:t>
      </w:r>
    </w:p>
    <w:p w14:paraId="3EAD2917">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24" w:name="_Toc95223439"/>
      <w:r>
        <w:rPr>
          <w:rFonts w:hint="eastAsia" w:ascii="黑体" w:hAnsi="黑体" w:cs="黑体"/>
          <w:color w:val="auto"/>
          <w:sz w:val="21"/>
          <w:szCs w:val="21"/>
          <w:highlight w:val="none"/>
        </w:rPr>
        <w:t>6.投标文件的澄清和补正</w:t>
      </w:r>
      <w:bookmarkEnd w:id="724"/>
    </w:p>
    <w:p w14:paraId="1EA3CE5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EC90AF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02EA385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0733076C">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2CB64CB8">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25" w:name="_Toc95223440"/>
      <w:r>
        <w:rPr>
          <w:rFonts w:hint="eastAsia" w:ascii="黑体" w:hAnsi="黑体" w:cs="黑体"/>
          <w:color w:val="auto"/>
          <w:sz w:val="21"/>
          <w:szCs w:val="21"/>
          <w:highlight w:val="none"/>
        </w:rPr>
        <w:t>7.评分标准</w:t>
      </w:r>
      <w:bookmarkEnd w:id="725"/>
    </w:p>
    <w:p w14:paraId="48A2878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7.1评分标准：见资信、技术及商务评分表。</w:t>
      </w:r>
    </w:p>
    <w:p w14:paraId="696EBD42">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726" w:name="_Toc95223441"/>
      <w:r>
        <w:rPr>
          <w:rFonts w:hint="eastAsia" w:ascii="黑体" w:hAnsi="黑体" w:cs="黑体"/>
          <w:color w:val="auto"/>
          <w:sz w:val="21"/>
          <w:szCs w:val="21"/>
          <w:highlight w:val="none"/>
        </w:rPr>
        <w:t>8.评审结果</w:t>
      </w:r>
      <w:bookmarkEnd w:id="726"/>
    </w:p>
    <w:p w14:paraId="259B4DD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8.1除第二章“投标人须知”及其前附表授权直接确定中标人外，评标委员会按照总得分由高到低顺序推荐中标候选人。</w:t>
      </w:r>
    </w:p>
    <w:p w14:paraId="45EAC1F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14:paraId="689BCD3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（1）基本情况和数据表。</w:t>
      </w:r>
    </w:p>
    <w:p w14:paraId="64EA914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（2）评标委员会成员名单。</w:t>
      </w:r>
    </w:p>
    <w:p w14:paraId="3EC3A37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（3）开标记录。</w:t>
      </w:r>
    </w:p>
    <w:p w14:paraId="2FBBB04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（4）符合要求的投标人一览表。</w:t>
      </w:r>
    </w:p>
    <w:p w14:paraId="54B4599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（5）否决投标情况说明。</w:t>
      </w:r>
    </w:p>
    <w:p w14:paraId="082A3F4F">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38C7DB4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（7）评标情况一览表。</w:t>
      </w:r>
    </w:p>
    <w:p w14:paraId="51FACAC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（8）经评审的投标人排序。</w:t>
      </w:r>
    </w:p>
    <w:p w14:paraId="1ABA226E">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7AD9DBA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（10）澄清、说明、补正事项纪要。</w:t>
      </w:r>
    </w:p>
    <w:p w14:paraId="02F1D6E4">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2593801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7B6CB9D1">
      <w:pPr>
        <w:pStyle w:val="3"/>
        <w:adjustRightInd w:val="0"/>
        <w:snapToGrid w:val="0"/>
        <w:spacing w:before="0" w:after="0" w:line="520" w:lineRule="exact"/>
        <w:ind w:firstLine="422" w:firstLineChars="200"/>
        <w:rPr>
          <w:rFonts w:hint="eastAsia" w:ascii="黑体" w:hAnsi="黑体" w:cs="黑体"/>
          <w:color w:val="auto"/>
          <w:sz w:val="21"/>
          <w:szCs w:val="21"/>
          <w:highlight w:val="none"/>
        </w:rPr>
      </w:pPr>
      <w:bookmarkStart w:id="727" w:name="_Toc95223442"/>
      <w:r>
        <w:rPr>
          <w:rFonts w:hint="eastAsia" w:ascii="黑体" w:hAnsi="黑体" w:cs="黑体"/>
          <w:color w:val="auto"/>
          <w:sz w:val="21"/>
          <w:szCs w:val="21"/>
          <w:highlight w:val="none"/>
        </w:rPr>
        <w:t>9.其他</w:t>
      </w:r>
      <w:bookmarkEnd w:id="727"/>
    </w:p>
    <w:p w14:paraId="65F1AB75">
      <w:pPr>
        <w:adjustRightInd w:val="0"/>
        <w:snapToGrid w:val="0"/>
        <w:spacing w:line="520" w:lineRule="exact"/>
        <w:ind w:firstLine="420" w:firstLineChars="200"/>
        <w:rPr>
          <w:rFonts w:hint="eastAsia"/>
          <w:color w:val="auto"/>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68B58E69">
      <w:pPr>
        <w:pStyle w:val="2"/>
        <w:adjustRightInd w:val="0"/>
        <w:snapToGrid w:val="0"/>
        <w:spacing w:before="0" w:after="0" w:line="560" w:lineRule="exact"/>
        <w:jc w:val="center"/>
        <w:rPr>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728" w:name="_Toc95223458"/>
    </w:p>
    <w:p w14:paraId="374F6ABE">
      <w:pPr>
        <w:pStyle w:val="2"/>
        <w:adjustRightInd w:val="0"/>
        <w:snapToGrid w:val="0"/>
        <w:spacing w:before="0" w:after="0" w:line="560" w:lineRule="exact"/>
        <w:jc w:val="center"/>
        <w:rPr>
          <w:rFonts w:hint="eastAsia"/>
          <w:color w:val="auto"/>
          <w:highlight w:val="none"/>
        </w:rPr>
      </w:pPr>
      <w:r>
        <w:rPr>
          <w:rFonts w:hint="eastAsia"/>
          <w:color w:val="auto"/>
          <w:highlight w:val="none"/>
        </w:rPr>
        <w:t>第五章 合同条款及格式</w:t>
      </w:r>
      <w:bookmarkEnd w:id="728"/>
    </w:p>
    <w:p w14:paraId="3C522F0E">
      <w:pPr>
        <w:adjustRightInd w:val="0"/>
        <w:snapToGrid w:val="0"/>
        <w:spacing w:line="560" w:lineRule="exact"/>
        <w:jc w:val="center"/>
        <w:rPr>
          <w:rFonts w:hint="eastAsia" w:eastAsia="仿宋_GB2312"/>
          <w:bCs/>
          <w:color w:val="auto"/>
          <w:sz w:val="32"/>
          <w:szCs w:val="32"/>
          <w:highlight w:val="none"/>
        </w:rPr>
      </w:pPr>
    </w:p>
    <w:p w14:paraId="24DF9A41">
      <w:pPr>
        <w:adjustRightInd w:val="0"/>
        <w:snapToGrid w:val="0"/>
        <w:spacing w:line="560" w:lineRule="exact"/>
        <w:jc w:val="center"/>
        <w:rPr>
          <w:rFonts w:hint="eastAsia" w:eastAsia="仿宋_GB2312"/>
          <w:bCs/>
          <w:color w:val="auto"/>
          <w:sz w:val="32"/>
          <w:szCs w:val="32"/>
          <w:highlight w:val="none"/>
        </w:rPr>
      </w:pPr>
    </w:p>
    <w:p w14:paraId="7745AABE">
      <w:pPr>
        <w:adjustRightInd w:val="0"/>
        <w:snapToGrid w:val="0"/>
        <w:spacing w:line="560" w:lineRule="exact"/>
        <w:jc w:val="center"/>
        <w:rPr>
          <w:rFonts w:hint="eastAsia" w:eastAsia="仿宋_GB2312"/>
          <w:bCs/>
          <w:color w:val="auto"/>
          <w:sz w:val="32"/>
          <w:szCs w:val="32"/>
          <w:highlight w:val="none"/>
        </w:rPr>
      </w:pPr>
    </w:p>
    <w:p w14:paraId="6D127D73">
      <w:pPr>
        <w:adjustRightInd w:val="0"/>
        <w:snapToGrid w:val="0"/>
        <w:spacing w:line="560" w:lineRule="exact"/>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（HT-YL- ）</w:t>
      </w:r>
    </w:p>
    <w:p w14:paraId="2C8A681F">
      <w:pPr>
        <w:adjustRightInd w:val="0"/>
        <w:snapToGrid w:val="0"/>
        <w:spacing w:line="560" w:lineRule="exact"/>
        <w:jc w:val="center"/>
        <w:rPr>
          <w:rFonts w:eastAsia="华文中宋"/>
          <w:b/>
          <w:color w:val="auto"/>
          <w:sz w:val="52"/>
          <w:szCs w:val="52"/>
          <w:highlight w:val="none"/>
        </w:rPr>
      </w:pPr>
    </w:p>
    <w:p w14:paraId="7B1C1A89">
      <w:pPr>
        <w:adjustRightInd w:val="0"/>
        <w:snapToGrid w:val="0"/>
        <w:jc w:val="center"/>
        <w:rPr>
          <w:rFonts w:eastAsia="华文中宋"/>
          <w:b/>
          <w:color w:val="auto"/>
          <w:sz w:val="52"/>
          <w:szCs w:val="52"/>
          <w:highlight w:val="none"/>
        </w:rPr>
      </w:pPr>
      <w:r>
        <w:rPr>
          <w:rFonts w:hint="eastAsia" w:ascii="宋体" w:hAnsi="宋体" w:eastAsia="宋体" w:cs="宋体"/>
          <w:b/>
          <w:color w:val="auto"/>
          <w:sz w:val="72"/>
          <w:szCs w:val="52"/>
          <w:highlight w:val="none"/>
          <w:lang w:eastAsia="zh-CN"/>
        </w:rPr>
        <w:t>兴全矿业骨料加工厂新能源充电桩项目（二次）</w:t>
      </w:r>
      <w:r>
        <w:rPr>
          <w:rFonts w:hint="eastAsia" w:ascii="宋体" w:hAnsi="宋体" w:cs="宋体"/>
          <w:b/>
          <w:color w:val="auto"/>
          <w:sz w:val="72"/>
          <w:szCs w:val="52"/>
          <w:highlight w:val="none"/>
        </w:rPr>
        <w:t>施工合同</w:t>
      </w:r>
      <w:r>
        <w:rPr>
          <w:rFonts w:eastAsia="华文中宋"/>
          <w:b/>
          <w:color w:val="auto"/>
          <w:sz w:val="52"/>
          <w:szCs w:val="52"/>
          <w:highlight w:val="none"/>
        </w:rPr>
        <w:br w:type="textWrapping"/>
      </w:r>
      <w:bookmarkStart w:id="729" w:name="_Toc60061567"/>
      <w:bookmarkStart w:id="730" w:name="_Toc506107333"/>
      <w:bookmarkStart w:id="731" w:name="_Toc15058927"/>
    </w:p>
    <w:p w14:paraId="67EDE7B7">
      <w:pPr>
        <w:adjustRightInd w:val="0"/>
        <w:snapToGrid w:val="0"/>
        <w:spacing w:line="560" w:lineRule="exact"/>
        <w:jc w:val="center"/>
        <w:rPr>
          <w:rFonts w:eastAsia="华文中宋"/>
          <w:b/>
          <w:color w:val="auto"/>
          <w:sz w:val="52"/>
          <w:szCs w:val="52"/>
          <w:highlight w:val="none"/>
        </w:rPr>
      </w:pPr>
    </w:p>
    <w:p w14:paraId="538C954B">
      <w:pPr>
        <w:adjustRightInd w:val="0"/>
        <w:snapToGrid w:val="0"/>
        <w:spacing w:line="560" w:lineRule="exact"/>
        <w:jc w:val="center"/>
        <w:rPr>
          <w:rFonts w:eastAsia="黑体"/>
          <w:b/>
          <w:color w:val="auto"/>
          <w:sz w:val="72"/>
          <w:szCs w:val="72"/>
          <w:highlight w:val="none"/>
        </w:rPr>
      </w:pPr>
    </w:p>
    <w:p w14:paraId="1C4845B9">
      <w:pPr>
        <w:adjustRightInd w:val="0"/>
        <w:snapToGrid w:val="0"/>
        <w:spacing w:line="560" w:lineRule="exact"/>
        <w:jc w:val="center"/>
        <w:rPr>
          <w:rFonts w:hint="eastAsia" w:ascii="宋体" w:hAnsi="宋体" w:cs="宋体"/>
          <w:b/>
          <w:color w:val="auto"/>
          <w:sz w:val="54"/>
          <w:szCs w:val="72"/>
          <w:highlight w:val="none"/>
        </w:rPr>
      </w:pPr>
    </w:p>
    <w:p w14:paraId="20A2470E">
      <w:pPr>
        <w:pStyle w:val="19"/>
        <w:rPr>
          <w:color w:val="auto"/>
          <w:highlight w:val="none"/>
        </w:rPr>
      </w:pPr>
    </w:p>
    <w:p w14:paraId="0AA82D5C">
      <w:pPr>
        <w:adjustRightInd w:val="0"/>
        <w:snapToGrid w:val="0"/>
        <w:spacing w:line="560" w:lineRule="exact"/>
        <w:jc w:val="center"/>
        <w:rPr>
          <w:rFonts w:eastAsia="黑体"/>
          <w:b/>
          <w:color w:val="auto"/>
          <w:sz w:val="52"/>
          <w:szCs w:val="52"/>
          <w:highlight w:val="none"/>
        </w:rPr>
      </w:pPr>
    </w:p>
    <w:p w14:paraId="4ED7DB5C">
      <w:pPr>
        <w:adjustRightInd w:val="0"/>
        <w:snapToGrid w:val="0"/>
        <w:spacing w:line="560" w:lineRule="exact"/>
        <w:rPr>
          <w:b/>
          <w:color w:val="auto"/>
          <w:sz w:val="28"/>
          <w:szCs w:val="28"/>
          <w:highlight w:val="none"/>
        </w:rPr>
      </w:pPr>
    </w:p>
    <w:p w14:paraId="4635E2F6">
      <w:pPr>
        <w:adjustRightInd w:val="0"/>
        <w:snapToGrid w:val="0"/>
        <w:spacing w:line="560" w:lineRule="exact"/>
        <w:rPr>
          <w:b/>
          <w:color w:val="auto"/>
          <w:sz w:val="28"/>
          <w:szCs w:val="28"/>
          <w:highlight w:val="none"/>
        </w:rPr>
      </w:pPr>
    </w:p>
    <w:p w14:paraId="4C024CA4">
      <w:pPr>
        <w:adjustRightInd w:val="0"/>
        <w:snapToGrid w:val="0"/>
        <w:spacing w:line="560" w:lineRule="exact"/>
        <w:rPr>
          <w:b/>
          <w:color w:val="auto"/>
          <w:sz w:val="28"/>
          <w:szCs w:val="28"/>
          <w:highlight w:val="none"/>
        </w:rPr>
      </w:pPr>
    </w:p>
    <w:p w14:paraId="47D1FDD5">
      <w:pPr>
        <w:adjustRightInd w:val="0"/>
        <w:snapToGrid w:val="0"/>
        <w:spacing w:line="560" w:lineRule="exact"/>
        <w:rPr>
          <w:b/>
          <w:color w:val="auto"/>
          <w:sz w:val="28"/>
          <w:szCs w:val="28"/>
          <w:highlight w:val="none"/>
        </w:rPr>
      </w:pPr>
    </w:p>
    <w:p w14:paraId="38B12455">
      <w:pPr>
        <w:adjustRightInd w:val="0"/>
        <w:snapToGrid w:val="0"/>
        <w:spacing w:line="560" w:lineRule="exact"/>
        <w:jc w:val="center"/>
        <w:rPr>
          <w:b/>
          <w:color w:val="auto"/>
          <w:sz w:val="28"/>
          <w:szCs w:val="28"/>
          <w:highlight w:val="none"/>
        </w:rPr>
      </w:pPr>
    </w:p>
    <w:p w14:paraId="2FE6FDA3">
      <w:pPr>
        <w:adjustRightInd w:val="0"/>
        <w:snapToGrid w:val="0"/>
        <w:spacing w:line="560" w:lineRule="exact"/>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C562BB5"/>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4C562BB5"/>
                  </w:txbxContent>
                </v:textbox>
              </v:shape>
            </w:pict>
          </mc:Fallback>
        </mc:AlternateContent>
      </w:r>
      <w:bookmarkEnd w:id="729"/>
      <w:bookmarkEnd w:id="730"/>
      <w:bookmarkEnd w:id="731"/>
      <w:r>
        <w:rPr>
          <w:rFonts w:hint="eastAsia"/>
          <w:b/>
          <w:color w:val="auto"/>
          <w:sz w:val="32"/>
          <w:szCs w:val="28"/>
          <w:highlight w:val="none"/>
        </w:rPr>
        <w:t>住房和城乡建设部</w:t>
      </w:r>
    </w:p>
    <w:p w14:paraId="38720676">
      <w:pPr>
        <w:adjustRightInd w:val="0"/>
        <w:snapToGrid w:val="0"/>
        <w:spacing w:line="560" w:lineRule="exact"/>
        <w:jc w:val="center"/>
        <w:rPr>
          <w:b/>
          <w:color w:val="auto"/>
          <w:sz w:val="32"/>
          <w:szCs w:val="28"/>
          <w:highlight w:val="none"/>
        </w:rPr>
      </w:pPr>
      <w:r>
        <w:rPr>
          <w:rFonts w:hint="eastAsia"/>
          <w:b/>
          <w:color w:val="auto"/>
          <w:sz w:val="32"/>
          <w:szCs w:val="28"/>
          <w:highlight w:val="none"/>
        </w:rPr>
        <w:t>国家工商行政管理总局</w:t>
      </w:r>
    </w:p>
    <w:p w14:paraId="2FB3313C">
      <w:pPr>
        <w:adjustRightInd w:val="0"/>
        <w:snapToGrid w:val="0"/>
        <w:spacing w:line="560" w:lineRule="exact"/>
        <w:rPr>
          <w:rFonts w:hint="eastAsia" w:ascii="仿宋_GB2312" w:eastAsia="仿宋_GB2312"/>
          <w:color w:val="auto"/>
          <w:szCs w:val="21"/>
          <w:highlight w:val="none"/>
          <w:u w:val="single"/>
        </w:rPr>
      </w:pPr>
    </w:p>
    <w:p w14:paraId="0C0338DC">
      <w:pPr>
        <w:keepNext/>
        <w:keepLines/>
        <w:spacing w:line="360" w:lineRule="auto"/>
        <w:jc w:val="center"/>
        <w:outlineLvl w:val="1"/>
        <w:rPr>
          <w:rFonts w:hint="eastAsia" w:ascii="宋体" w:hAnsi="宋体" w:cs="宋体"/>
          <w:b/>
          <w:bCs/>
          <w:color w:val="auto"/>
          <w:sz w:val="32"/>
          <w:szCs w:val="32"/>
          <w:highlight w:val="none"/>
        </w:rPr>
      </w:pPr>
      <w:bookmarkStart w:id="732" w:name="_Toc95223459"/>
      <w:bookmarkStart w:id="733" w:name="_Toc28799376"/>
      <w:bookmarkStart w:id="734" w:name="_Toc3977"/>
      <w:r>
        <w:rPr>
          <w:rFonts w:hint="eastAsia" w:ascii="宋体" w:hAnsi="宋体" w:cs="宋体"/>
          <w:b/>
          <w:bCs/>
          <w:color w:val="auto"/>
          <w:sz w:val="32"/>
          <w:szCs w:val="32"/>
          <w:highlight w:val="none"/>
        </w:rPr>
        <w:t>第一节  合同协议书</w:t>
      </w:r>
      <w:bookmarkEnd w:id="732"/>
      <w:bookmarkEnd w:id="733"/>
      <w:bookmarkEnd w:id="734"/>
    </w:p>
    <w:p w14:paraId="7650FB52">
      <w:pPr>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发包人（全</w:t>
      </w:r>
      <w:r>
        <w:rPr>
          <w:rFonts w:hint="eastAsia" w:ascii="宋体" w:hAnsi="宋体" w:cs="宋体"/>
          <w:b/>
          <w:color w:val="auto"/>
          <w:sz w:val="24"/>
          <w:highlight w:val="none"/>
          <w:u w:val="single"/>
        </w:rPr>
        <w:t>称）：</w:t>
      </w:r>
      <w:r>
        <w:rPr>
          <w:rFonts w:hint="eastAsia" w:ascii="宋体" w:hAnsi="宋体" w:eastAsia="宋体" w:cs="宋体"/>
          <w:b/>
          <w:color w:val="auto"/>
          <w:sz w:val="24"/>
          <w:highlight w:val="none"/>
          <w:u w:val="single"/>
          <w:lang w:val="en-US" w:eastAsia="zh-CN"/>
        </w:rPr>
        <w:t>滁州市兴全矿业投资有限公司</w:t>
      </w:r>
    </w:p>
    <w:p w14:paraId="1FDCE20F">
      <w:pPr>
        <w:spacing w:line="360" w:lineRule="auto"/>
        <w:rPr>
          <w:rFonts w:hint="eastAsia" w:ascii="宋体" w:hAnsi="宋体" w:cs="宋体"/>
          <w:color w:val="auto"/>
          <w:szCs w:val="21"/>
          <w:highlight w:val="none"/>
          <w:u w:val="single"/>
        </w:rPr>
      </w:pPr>
      <w:r>
        <w:rPr>
          <w:rFonts w:hint="eastAsia" w:ascii="宋体" w:hAnsi="宋体" w:cs="宋体"/>
          <w:b/>
          <w:color w:val="auto"/>
          <w:sz w:val="24"/>
          <w:highlight w:val="none"/>
          <w:u w:val="single"/>
        </w:rPr>
        <w:t>承包人（全称）：              </w:t>
      </w:r>
    </w:p>
    <w:p w14:paraId="124105B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 xml:space="preserve">根据《中华人民共和国民法典》《中华人民共和国建筑法》及有关法律规定，遵循平等、自愿、公平和诚实信用的原则，双方就 </w:t>
      </w:r>
      <w:r>
        <w:rPr>
          <w:rFonts w:hint="eastAsia" w:ascii="宋体" w:hAnsi="宋体" w:eastAsia="宋体" w:cs="宋体"/>
          <w:color w:val="auto"/>
          <w:szCs w:val="21"/>
          <w:highlight w:val="none"/>
          <w:u w:val="single"/>
          <w:lang w:eastAsia="zh-CN"/>
        </w:rPr>
        <w:t>兴全矿业骨料加工厂新能源充电桩项目（二次）</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rPr>
        <w:t xml:space="preserve"> 工程施工及有关事项协商一致，共同达成如下协议：</w:t>
      </w:r>
      <w:bookmarkStart w:id="735" w:name="_Toc351203481"/>
    </w:p>
    <w:p w14:paraId="6584E2BA">
      <w:pP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735"/>
    </w:p>
    <w:p w14:paraId="6A5361DB">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eastAsia="宋体" w:cs="宋体"/>
          <w:color w:val="auto"/>
          <w:szCs w:val="21"/>
          <w:highlight w:val="none"/>
          <w:u w:val="single"/>
          <w:lang w:eastAsia="zh-CN"/>
        </w:rPr>
        <w:t>兴全矿业骨料加工厂新能源充电桩项目（二次）</w:t>
      </w:r>
      <w:r>
        <w:rPr>
          <w:rFonts w:hint="eastAsia" w:ascii="宋体" w:hAnsi="宋体" w:cs="宋体"/>
          <w:color w:val="auto"/>
          <w:szCs w:val="21"/>
          <w:highlight w:val="none"/>
          <w:u w:val="single"/>
        </w:rPr>
        <w:t>。</w:t>
      </w:r>
    </w:p>
    <w:p w14:paraId="0854B227">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2. 工程地点：</w:t>
      </w:r>
      <w:r>
        <w:rPr>
          <w:rFonts w:hint="default" w:ascii="宋体" w:hAnsi="宋体" w:eastAsia="宋体" w:cs="宋体"/>
          <w:color w:val="auto"/>
          <w:szCs w:val="21"/>
          <w:highlight w:val="none"/>
          <w:u w:val="single"/>
        </w:rPr>
        <w:t>滁州市全椒县六镇镇兴全矿业骨料加工厂内</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w:t>
      </w:r>
    </w:p>
    <w:p w14:paraId="2D424373">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 工程立项批准文号：                            </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w:t>
      </w:r>
    </w:p>
    <w:p w14:paraId="6211B239">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4. 资金来源：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284736D7">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5. 工程内容：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14:paraId="5518BECC">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color w:val="auto"/>
          <w:szCs w:val="21"/>
          <w:highlight w:val="none"/>
          <w:u w:val="single"/>
        </w:rPr>
        <w:t>群体工程应附《承包人承揽工程项目一览表》（附件1）。</w:t>
      </w:r>
    </w:p>
    <w:p w14:paraId="4896190A">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6. 工程承包范围：</w:t>
      </w:r>
      <w:r>
        <w:rPr>
          <w:rFonts w:hint="eastAsia" w:ascii="宋体" w:hAnsi="宋体" w:cs="宋体"/>
          <w:color w:val="auto"/>
          <w:szCs w:val="21"/>
          <w:highlight w:val="none"/>
          <w:u w:val="single"/>
        </w:rPr>
        <w:t xml:space="preserve">                                 。</w:t>
      </w:r>
    </w:p>
    <w:p w14:paraId="3DEAF2C3">
      <w:pPr>
        <w:spacing w:line="360" w:lineRule="auto"/>
        <w:ind w:firstLine="422" w:firstLineChars="200"/>
        <w:rPr>
          <w:rFonts w:hint="eastAsia" w:ascii="宋体" w:hAnsi="宋体" w:cs="宋体"/>
          <w:b/>
          <w:color w:val="auto"/>
          <w:szCs w:val="21"/>
          <w:highlight w:val="none"/>
          <w:u w:val="single"/>
        </w:rPr>
      </w:pPr>
      <w:bookmarkStart w:id="736" w:name="_Toc351203482"/>
      <w:r>
        <w:rPr>
          <w:rFonts w:hint="eastAsia" w:ascii="宋体" w:hAnsi="宋体" w:cs="宋体"/>
          <w:b/>
          <w:color w:val="auto"/>
          <w:szCs w:val="21"/>
          <w:highlight w:val="none"/>
          <w:u w:val="single"/>
        </w:rPr>
        <w:t>二、合同工期</w:t>
      </w:r>
      <w:bookmarkEnd w:id="736"/>
    </w:p>
    <w:p w14:paraId="027D0540">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14:paraId="04A05D5E">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14:paraId="25FB8A27">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14:paraId="785256FC">
      <w:pPr>
        <w:spacing w:line="360" w:lineRule="auto"/>
        <w:ind w:firstLine="422" w:firstLineChars="200"/>
        <w:rPr>
          <w:rFonts w:hint="eastAsia" w:ascii="宋体" w:hAnsi="宋体" w:cs="宋体"/>
          <w:b/>
          <w:color w:val="auto"/>
          <w:szCs w:val="21"/>
          <w:highlight w:val="none"/>
          <w:u w:val="single"/>
        </w:rPr>
      </w:pPr>
      <w:bookmarkStart w:id="737" w:name="_Toc351203483"/>
      <w:r>
        <w:rPr>
          <w:rFonts w:hint="eastAsia" w:ascii="宋体" w:hAnsi="宋体" w:cs="宋体"/>
          <w:b/>
          <w:color w:val="auto"/>
          <w:szCs w:val="21"/>
          <w:highlight w:val="none"/>
          <w:u w:val="single"/>
        </w:rPr>
        <w:t>三、质量标准</w:t>
      </w:r>
      <w:bookmarkEnd w:id="737"/>
    </w:p>
    <w:p w14:paraId="77F5D5B1">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                                 标准。</w:t>
      </w:r>
    </w:p>
    <w:p w14:paraId="33A6AC65">
      <w:pPr>
        <w:spacing w:line="360" w:lineRule="auto"/>
        <w:ind w:firstLine="422" w:firstLineChars="200"/>
        <w:rPr>
          <w:rFonts w:hint="eastAsia" w:ascii="宋体" w:hAnsi="宋体" w:cs="宋体"/>
          <w:b/>
          <w:color w:val="auto"/>
          <w:szCs w:val="21"/>
          <w:highlight w:val="none"/>
          <w:u w:val="single"/>
        </w:rPr>
      </w:pPr>
      <w:bookmarkStart w:id="738" w:name="_Toc351203484"/>
      <w:r>
        <w:rPr>
          <w:rFonts w:hint="eastAsia" w:ascii="宋体" w:hAnsi="宋体" w:cs="宋体"/>
          <w:b/>
          <w:color w:val="auto"/>
          <w:szCs w:val="21"/>
          <w:highlight w:val="none"/>
          <w:u w:val="single"/>
        </w:rPr>
        <w:t>四、签约合同价与合同价格形式</w:t>
      </w:r>
      <w:bookmarkEnd w:id="738"/>
    </w:p>
    <w:p w14:paraId="1D426AE8">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14:paraId="72D1C5B4">
      <w:pP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5636609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其中：</w:t>
      </w:r>
    </w:p>
    <w:p w14:paraId="6A5840A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（1）安全文明施工费：</w:t>
      </w:r>
    </w:p>
    <w:p w14:paraId="12FC8089">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2FFF02B9">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（2）材料和工程设备暂估价金额：</w:t>
      </w:r>
    </w:p>
    <w:p w14:paraId="3EC11769">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7F9EDBB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（3）专业工程暂估价金额：</w:t>
      </w:r>
    </w:p>
    <w:p w14:paraId="5D6F1847">
      <w:pPr>
        <w:spacing w:line="360" w:lineRule="auto"/>
        <w:ind w:firstLine="945" w:firstLineChars="4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14:paraId="7DCE768D">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（4）暂列金额：</w:t>
      </w:r>
    </w:p>
    <w:p w14:paraId="3F6EDE49">
      <w:pPr>
        <w:spacing w:line="360" w:lineRule="auto"/>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          元)；</w:t>
      </w:r>
      <w:r>
        <w:rPr>
          <w:rFonts w:hint="eastAsia" w:ascii="宋体" w:hAnsi="宋体" w:cs="宋体"/>
          <w:color w:val="auto"/>
          <w:szCs w:val="21"/>
          <w:highlight w:val="none"/>
        </w:rPr>
        <w:t>。</w:t>
      </w:r>
    </w:p>
    <w:p w14:paraId="7CD0ED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194D7E92">
      <w:pPr>
        <w:spacing w:line="360" w:lineRule="auto"/>
        <w:ind w:firstLine="422" w:firstLineChars="200"/>
        <w:rPr>
          <w:rFonts w:hint="eastAsia" w:ascii="宋体" w:hAnsi="宋体" w:cs="宋体"/>
          <w:b/>
          <w:color w:val="auto"/>
          <w:szCs w:val="21"/>
          <w:highlight w:val="none"/>
        </w:rPr>
      </w:pPr>
      <w:bookmarkStart w:id="739" w:name="_Toc351203485"/>
      <w:r>
        <w:rPr>
          <w:rFonts w:hint="eastAsia" w:ascii="宋体" w:hAnsi="宋体" w:cs="宋体"/>
          <w:b/>
          <w:color w:val="auto"/>
          <w:szCs w:val="21"/>
          <w:highlight w:val="none"/>
        </w:rPr>
        <w:t>五、</w:t>
      </w:r>
      <w:bookmarkEnd w:id="739"/>
      <w:r>
        <w:rPr>
          <w:rFonts w:hint="eastAsia" w:ascii="宋体" w:hAnsi="宋体" w:cs="宋体"/>
          <w:b/>
          <w:color w:val="auto"/>
          <w:szCs w:val="21"/>
          <w:highlight w:val="none"/>
        </w:rPr>
        <w:t>项目经理</w:t>
      </w:r>
    </w:p>
    <w:p w14:paraId="190755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EDCC5AA">
      <w:pPr>
        <w:spacing w:line="360" w:lineRule="auto"/>
        <w:ind w:firstLine="422" w:firstLineChars="200"/>
        <w:rPr>
          <w:rFonts w:hint="eastAsia" w:ascii="宋体" w:hAnsi="宋体" w:cs="宋体"/>
          <w:b/>
          <w:color w:val="auto"/>
          <w:szCs w:val="21"/>
          <w:highlight w:val="none"/>
        </w:rPr>
      </w:pPr>
      <w:bookmarkStart w:id="740" w:name="_Toc351203486"/>
      <w:r>
        <w:rPr>
          <w:rFonts w:hint="eastAsia" w:ascii="宋体" w:hAnsi="宋体" w:cs="宋体"/>
          <w:b/>
          <w:color w:val="auto"/>
          <w:szCs w:val="21"/>
          <w:highlight w:val="none"/>
        </w:rPr>
        <w:t>六、合同文件构成</w:t>
      </w:r>
      <w:bookmarkEnd w:id="740"/>
    </w:p>
    <w:p w14:paraId="5DF9589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14:paraId="2018B91D">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14:paraId="43CA0BA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38814595">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14:paraId="47EF2D7B">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14:paraId="177FD3EC">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14:paraId="7B52CCDD">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14:paraId="6A8FF1CD">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14:paraId="6870B16E">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14:paraId="7498A038">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2291C9BB">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C288548">
      <w:pPr>
        <w:spacing w:line="360" w:lineRule="auto"/>
        <w:ind w:firstLine="422" w:firstLineChars="200"/>
        <w:rPr>
          <w:rFonts w:hint="eastAsia" w:ascii="宋体" w:hAnsi="宋体" w:cs="宋体"/>
          <w:b/>
          <w:color w:val="auto"/>
          <w:szCs w:val="21"/>
          <w:highlight w:val="none"/>
        </w:rPr>
      </w:pPr>
      <w:bookmarkStart w:id="741" w:name="_Toc351203487"/>
      <w:r>
        <w:rPr>
          <w:rFonts w:hint="eastAsia" w:ascii="宋体" w:hAnsi="宋体" w:cs="宋体"/>
          <w:b/>
          <w:color w:val="auto"/>
          <w:szCs w:val="21"/>
          <w:highlight w:val="none"/>
        </w:rPr>
        <w:t>七、承诺</w:t>
      </w:r>
      <w:bookmarkEnd w:id="741"/>
    </w:p>
    <w:p w14:paraId="338912D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14:paraId="42ACB2E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0D9C98C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发包人和承包人通过招投标形式签订合同的，双方理解并承诺不再就本项目通过资信、技术评审且商务标初步评审合格另行签订与合同实质性内容相背离的协议。</w:t>
      </w:r>
    </w:p>
    <w:p w14:paraId="3DF50ABA">
      <w:pPr>
        <w:spacing w:line="360" w:lineRule="auto"/>
        <w:ind w:firstLine="422" w:firstLineChars="200"/>
        <w:rPr>
          <w:rFonts w:hint="eastAsia" w:ascii="宋体" w:hAnsi="宋体" w:cs="宋体"/>
          <w:b/>
          <w:color w:val="auto"/>
          <w:szCs w:val="21"/>
          <w:highlight w:val="none"/>
        </w:rPr>
      </w:pPr>
      <w:bookmarkStart w:id="742" w:name="_Toc351203488"/>
      <w:r>
        <w:rPr>
          <w:rFonts w:hint="eastAsia" w:ascii="宋体" w:hAnsi="宋体" w:cs="宋体"/>
          <w:b/>
          <w:color w:val="auto"/>
          <w:szCs w:val="21"/>
          <w:highlight w:val="none"/>
        </w:rPr>
        <w:t>八、词语含义</w:t>
      </w:r>
      <w:bookmarkEnd w:id="742"/>
    </w:p>
    <w:p w14:paraId="6AED5ED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14:paraId="72D04606">
      <w:pPr>
        <w:spacing w:line="360" w:lineRule="auto"/>
        <w:ind w:firstLine="422" w:firstLineChars="200"/>
        <w:rPr>
          <w:rFonts w:hint="eastAsia" w:ascii="宋体" w:hAnsi="宋体" w:cs="宋体"/>
          <w:b/>
          <w:color w:val="auto"/>
          <w:szCs w:val="21"/>
          <w:highlight w:val="none"/>
        </w:rPr>
      </w:pPr>
      <w:bookmarkStart w:id="743" w:name="_Toc351203489"/>
      <w:r>
        <w:rPr>
          <w:rFonts w:hint="eastAsia" w:ascii="宋体" w:hAnsi="宋体" w:cs="宋体"/>
          <w:b/>
          <w:color w:val="auto"/>
          <w:szCs w:val="21"/>
          <w:highlight w:val="none"/>
        </w:rPr>
        <w:t>九、签订时间</w:t>
      </w:r>
      <w:bookmarkEnd w:id="743"/>
    </w:p>
    <w:p w14:paraId="1963F05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434A6494">
      <w:pPr>
        <w:spacing w:line="360" w:lineRule="auto"/>
        <w:ind w:firstLine="422" w:firstLineChars="200"/>
        <w:rPr>
          <w:rFonts w:hint="eastAsia" w:ascii="宋体" w:hAnsi="宋体" w:cs="宋体"/>
          <w:b/>
          <w:color w:val="auto"/>
          <w:szCs w:val="21"/>
          <w:highlight w:val="none"/>
        </w:rPr>
      </w:pPr>
      <w:bookmarkStart w:id="744" w:name="_Toc351203490"/>
      <w:r>
        <w:rPr>
          <w:rFonts w:hint="eastAsia" w:ascii="宋体" w:hAnsi="宋体" w:cs="宋体"/>
          <w:b/>
          <w:color w:val="auto"/>
          <w:szCs w:val="21"/>
          <w:highlight w:val="none"/>
        </w:rPr>
        <w:t>十、签订地点</w:t>
      </w:r>
      <w:bookmarkEnd w:id="744"/>
    </w:p>
    <w:p w14:paraId="17FF4C5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eastAsia="宋体" w:cs="宋体"/>
          <w:bCs/>
          <w:color w:val="auto"/>
          <w:szCs w:val="21"/>
          <w:highlight w:val="none"/>
          <w:u w:val="single"/>
          <w:lang w:val="en-US" w:eastAsia="zh-CN"/>
        </w:rPr>
        <w:t>滁州市兴全矿业投资有限公司</w:t>
      </w:r>
      <w:r>
        <w:rPr>
          <w:rFonts w:hint="eastAsia" w:ascii="宋体" w:hAnsi="宋体" w:cs="宋体"/>
          <w:bCs/>
          <w:color w:val="auto"/>
          <w:szCs w:val="21"/>
          <w:highlight w:val="none"/>
        </w:rPr>
        <w:t>签订。</w:t>
      </w:r>
    </w:p>
    <w:p w14:paraId="4BA061DA">
      <w:pPr>
        <w:spacing w:line="360" w:lineRule="auto"/>
        <w:ind w:firstLine="422" w:firstLineChars="200"/>
        <w:rPr>
          <w:rFonts w:hint="eastAsia" w:ascii="宋体" w:hAnsi="宋体" w:cs="宋体"/>
          <w:b/>
          <w:color w:val="auto"/>
          <w:szCs w:val="21"/>
          <w:highlight w:val="none"/>
        </w:rPr>
      </w:pPr>
      <w:bookmarkStart w:id="745" w:name="_Toc351203491"/>
      <w:r>
        <w:rPr>
          <w:rFonts w:hint="eastAsia" w:ascii="宋体" w:hAnsi="宋体" w:cs="宋体"/>
          <w:b/>
          <w:color w:val="auto"/>
          <w:szCs w:val="21"/>
          <w:highlight w:val="none"/>
        </w:rPr>
        <w:t>十一、补充协议</w:t>
      </w:r>
      <w:bookmarkEnd w:id="745"/>
    </w:p>
    <w:p w14:paraId="165D51A8">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37EF4CC7">
      <w:pPr>
        <w:spacing w:line="360" w:lineRule="auto"/>
        <w:ind w:firstLine="422" w:firstLineChars="200"/>
        <w:rPr>
          <w:rFonts w:hint="eastAsia" w:ascii="宋体" w:hAnsi="宋体" w:cs="宋体"/>
          <w:b/>
          <w:color w:val="auto"/>
          <w:szCs w:val="21"/>
          <w:highlight w:val="none"/>
        </w:rPr>
      </w:pPr>
      <w:bookmarkStart w:id="746" w:name="_Toc351203492"/>
      <w:r>
        <w:rPr>
          <w:rFonts w:hint="eastAsia" w:ascii="宋体" w:hAnsi="宋体" w:cs="宋体"/>
          <w:b/>
          <w:color w:val="auto"/>
          <w:szCs w:val="21"/>
          <w:highlight w:val="none"/>
        </w:rPr>
        <w:t>十二、合同生效</w:t>
      </w:r>
      <w:bookmarkEnd w:id="746"/>
    </w:p>
    <w:p w14:paraId="0F70676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双方签字盖章后</w:t>
      </w:r>
      <w:r>
        <w:rPr>
          <w:rFonts w:hint="eastAsia" w:ascii="宋体" w:hAnsi="宋体" w:cs="宋体"/>
          <w:bCs/>
          <w:color w:val="auto"/>
          <w:szCs w:val="21"/>
          <w:highlight w:val="none"/>
        </w:rPr>
        <w:t>生效。</w:t>
      </w:r>
    </w:p>
    <w:p w14:paraId="792008CA">
      <w:pPr>
        <w:spacing w:line="360" w:lineRule="auto"/>
        <w:ind w:firstLine="422" w:firstLineChars="200"/>
        <w:rPr>
          <w:rFonts w:hint="eastAsia" w:ascii="宋体" w:hAnsi="宋体" w:cs="宋体"/>
          <w:b/>
          <w:color w:val="auto"/>
          <w:szCs w:val="21"/>
          <w:highlight w:val="none"/>
        </w:rPr>
      </w:pPr>
      <w:bookmarkStart w:id="747" w:name="_Toc351203493"/>
      <w:r>
        <w:rPr>
          <w:rFonts w:hint="eastAsia" w:ascii="宋体" w:hAnsi="宋体" w:cs="宋体"/>
          <w:b/>
          <w:color w:val="auto"/>
          <w:szCs w:val="21"/>
          <w:highlight w:val="none"/>
        </w:rPr>
        <w:t>十三、合同份数</w:t>
      </w:r>
      <w:bookmarkEnd w:id="747"/>
    </w:p>
    <w:p w14:paraId="26C9353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14:paraId="5A12BBCE">
      <w:pPr>
        <w:spacing w:line="360" w:lineRule="auto"/>
        <w:rPr>
          <w:rFonts w:hint="eastAsia" w:ascii="宋体" w:hAnsi="宋体" w:cs="宋体"/>
          <w:bCs/>
          <w:color w:val="auto"/>
          <w:szCs w:val="21"/>
          <w:highlight w:val="none"/>
        </w:rPr>
      </w:pPr>
    </w:p>
    <w:p w14:paraId="32E692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14:paraId="529DD527">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14:paraId="552056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14:paraId="0D7BC4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14:paraId="01290911">
      <w:pPr>
        <w:spacing w:line="360" w:lineRule="auto"/>
        <w:rPr>
          <w:rFonts w:hint="eastAsia" w:ascii="宋体" w:hAnsi="宋体" w:cs="宋体"/>
          <w:color w:val="auto"/>
          <w:szCs w:val="21"/>
          <w:highlight w:val="none"/>
          <w:u w:val="single"/>
        </w:rPr>
      </w:pPr>
    </w:p>
    <w:p w14:paraId="3461668A">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14:paraId="5FFF01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7D2768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0A5CDE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14:paraId="51ACEE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14:paraId="3B58A9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63EEFD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622274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14:paraId="433785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63350FD8">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1166C0B7">
      <w:pPr>
        <w:pStyle w:val="19"/>
        <w:rPr>
          <w:rFonts w:hint="eastAsia"/>
          <w:color w:val="auto"/>
          <w:highlight w:val="none"/>
        </w:rPr>
      </w:pPr>
      <w:bookmarkStart w:id="748" w:name="_Toc28799377"/>
    </w:p>
    <w:p w14:paraId="34699745">
      <w:pPr>
        <w:rPr>
          <w:rFonts w:hint="eastAsia"/>
          <w:color w:val="auto"/>
          <w:highlight w:val="none"/>
        </w:rPr>
      </w:pPr>
    </w:p>
    <w:p w14:paraId="04685816">
      <w:pPr>
        <w:pStyle w:val="19"/>
        <w:rPr>
          <w:rFonts w:hint="eastAsia"/>
          <w:color w:val="auto"/>
          <w:highlight w:val="none"/>
        </w:rPr>
      </w:pPr>
    </w:p>
    <w:p w14:paraId="2B54E8EA">
      <w:pPr>
        <w:rPr>
          <w:rFonts w:hint="eastAsia"/>
          <w:color w:val="auto"/>
          <w:highlight w:val="none"/>
        </w:rPr>
      </w:pPr>
    </w:p>
    <w:p w14:paraId="34696B91">
      <w:pPr>
        <w:pStyle w:val="19"/>
        <w:rPr>
          <w:rFonts w:hint="eastAsia"/>
          <w:color w:val="auto"/>
          <w:highlight w:val="none"/>
        </w:rPr>
      </w:pPr>
    </w:p>
    <w:p w14:paraId="0DE33369">
      <w:pPr>
        <w:rPr>
          <w:rFonts w:hint="eastAsia"/>
          <w:color w:val="auto"/>
          <w:highlight w:val="none"/>
        </w:rPr>
      </w:pPr>
    </w:p>
    <w:p w14:paraId="744BD1D6">
      <w:pPr>
        <w:pStyle w:val="19"/>
        <w:rPr>
          <w:rFonts w:hint="eastAsia"/>
          <w:color w:val="auto"/>
          <w:highlight w:val="none"/>
        </w:rPr>
      </w:pPr>
    </w:p>
    <w:p w14:paraId="5BD58E92">
      <w:pPr>
        <w:rPr>
          <w:rFonts w:hint="eastAsia"/>
          <w:color w:val="auto"/>
          <w:highlight w:val="none"/>
        </w:rPr>
      </w:pPr>
    </w:p>
    <w:p w14:paraId="1206B4A6">
      <w:pPr>
        <w:pStyle w:val="19"/>
        <w:rPr>
          <w:rFonts w:hint="eastAsia"/>
          <w:color w:val="auto"/>
          <w:highlight w:val="none"/>
        </w:rPr>
      </w:pPr>
    </w:p>
    <w:p w14:paraId="20798070">
      <w:pPr>
        <w:rPr>
          <w:rFonts w:hint="eastAsia"/>
          <w:color w:val="auto"/>
          <w:highlight w:val="none"/>
        </w:rPr>
      </w:pPr>
    </w:p>
    <w:p w14:paraId="49037EDA">
      <w:pPr>
        <w:pStyle w:val="19"/>
        <w:rPr>
          <w:rFonts w:hint="eastAsia"/>
          <w:color w:val="auto"/>
          <w:highlight w:val="none"/>
        </w:rPr>
      </w:pPr>
    </w:p>
    <w:p w14:paraId="5EE928E8">
      <w:pPr>
        <w:rPr>
          <w:rFonts w:hint="eastAsia"/>
          <w:color w:val="auto"/>
          <w:highlight w:val="none"/>
        </w:rPr>
      </w:pPr>
    </w:p>
    <w:p w14:paraId="4B79976C">
      <w:pPr>
        <w:pStyle w:val="19"/>
        <w:rPr>
          <w:rFonts w:hint="eastAsia"/>
          <w:color w:val="auto"/>
          <w:highlight w:val="none"/>
        </w:rPr>
      </w:pPr>
    </w:p>
    <w:p w14:paraId="76858EDC">
      <w:pPr>
        <w:pStyle w:val="19"/>
        <w:rPr>
          <w:rFonts w:hint="eastAsia"/>
          <w:color w:val="auto"/>
          <w:highlight w:val="none"/>
        </w:rPr>
      </w:pPr>
    </w:p>
    <w:p w14:paraId="554F1F5C">
      <w:pPr>
        <w:rPr>
          <w:rFonts w:hint="eastAsia"/>
          <w:color w:val="auto"/>
          <w:highlight w:val="none"/>
        </w:rPr>
      </w:pPr>
    </w:p>
    <w:p w14:paraId="66F27287">
      <w:pPr>
        <w:pStyle w:val="19"/>
        <w:rPr>
          <w:rFonts w:hint="eastAsia"/>
          <w:color w:val="auto"/>
          <w:highlight w:val="none"/>
        </w:rPr>
      </w:pPr>
    </w:p>
    <w:p w14:paraId="5282205B">
      <w:pPr>
        <w:rPr>
          <w:rFonts w:hint="eastAsia"/>
          <w:color w:val="auto"/>
          <w:highlight w:val="none"/>
        </w:rPr>
      </w:pPr>
    </w:p>
    <w:p w14:paraId="1E64600D">
      <w:pPr>
        <w:pStyle w:val="19"/>
        <w:rPr>
          <w:rFonts w:hint="eastAsia"/>
          <w:color w:val="auto"/>
          <w:highlight w:val="none"/>
        </w:rPr>
      </w:pPr>
    </w:p>
    <w:p w14:paraId="3581CA52">
      <w:pPr>
        <w:rPr>
          <w:rFonts w:hint="eastAsia"/>
          <w:color w:val="auto"/>
          <w:highlight w:val="none"/>
        </w:rPr>
      </w:pPr>
    </w:p>
    <w:p w14:paraId="2F58D6BF">
      <w:pPr>
        <w:pStyle w:val="19"/>
        <w:rPr>
          <w:rFonts w:hint="eastAsia"/>
          <w:color w:val="auto"/>
          <w:highlight w:val="none"/>
        </w:rPr>
      </w:pPr>
    </w:p>
    <w:p w14:paraId="7274A83F">
      <w:pPr>
        <w:keepNext/>
        <w:keepLines/>
        <w:spacing w:line="360" w:lineRule="auto"/>
        <w:jc w:val="center"/>
        <w:outlineLvl w:val="1"/>
        <w:rPr>
          <w:rFonts w:ascii="宋体" w:hAnsi="宋体" w:cs="宋体"/>
          <w:b/>
          <w:bCs/>
          <w:color w:val="auto"/>
          <w:sz w:val="32"/>
          <w:szCs w:val="32"/>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749" w:name="_Toc15494"/>
      <w:bookmarkStart w:id="750" w:name="_Toc95223460"/>
    </w:p>
    <w:p w14:paraId="37A64EE3">
      <w:pPr>
        <w:keepNext/>
        <w:keepLines/>
        <w:spacing w:line="360" w:lineRule="auto"/>
        <w:jc w:val="center"/>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第二节  通用合同条款</w:t>
      </w:r>
      <w:bookmarkEnd w:id="748"/>
      <w:bookmarkEnd w:id="749"/>
      <w:bookmarkEnd w:id="750"/>
    </w:p>
    <w:p w14:paraId="4A2BAA9B">
      <w:pPr>
        <w:ind w:firstLine="560" w:firstLineChars="200"/>
        <w:rPr>
          <w:rFonts w:hint="eastAsia" w:ascii="宋体" w:hAnsi="宋体" w:cs="宋体"/>
          <w:snapToGrid w:val="0"/>
          <w:color w:val="auto"/>
          <w:kern w:val="0"/>
          <w:sz w:val="28"/>
          <w:highlight w:val="none"/>
        </w:rPr>
      </w:pPr>
    </w:p>
    <w:p w14:paraId="03FB06D2">
      <w:pPr>
        <w:adjustRightInd w:val="0"/>
        <w:snapToGrid w:val="0"/>
        <w:spacing w:line="480" w:lineRule="auto"/>
        <w:ind w:firstLine="562" w:firstLineChars="200"/>
        <w:rPr>
          <w:rFonts w:hint="eastAsia" w:ascii="宋体" w:hAnsi="宋体" w:cs="宋体"/>
          <w:b/>
          <w:bCs/>
          <w:snapToGrid w:val="0"/>
          <w:color w:val="auto"/>
          <w:kern w:val="0"/>
          <w:sz w:val="28"/>
          <w:highlight w:val="none"/>
        </w:rPr>
      </w:pPr>
      <w:r>
        <w:rPr>
          <w:rFonts w:hint="eastAsia" w:ascii="宋体" w:hAnsi="宋体" w:cs="宋体"/>
          <w:b/>
          <w:bCs/>
          <w:snapToGrid w:val="0"/>
          <w:color w:val="auto"/>
          <w:kern w:val="0"/>
          <w:sz w:val="28"/>
          <w:highlight w:val="none"/>
        </w:rPr>
        <w:t>采用《建设工程施工合同(示范文本)》（GF-2017-0201）中通用合同条款。上述资料由投标人自行准备。</w:t>
      </w:r>
    </w:p>
    <w:p w14:paraId="616B9462">
      <w:pPr>
        <w:keepNext/>
        <w:keepLines/>
        <w:adjustRightInd w:val="0"/>
        <w:snapToGrid w:val="0"/>
        <w:spacing w:line="360" w:lineRule="auto"/>
        <w:jc w:val="center"/>
        <w:outlineLvl w:val="1"/>
        <w:rPr>
          <w:rFonts w:hint="eastAsia" w:ascii="宋体" w:hAnsi="宋体" w:cs="宋体"/>
          <w:bCs/>
          <w:color w:val="auto"/>
          <w:sz w:val="32"/>
          <w:szCs w:val="32"/>
          <w:highlight w:val="none"/>
        </w:rPr>
      </w:pPr>
      <w:r>
        <w:rPr>
          <w:rFonts w:hint="eastAsia" w:ascii="宋体" w:hAnsi="宋体" w:cs="宋体"/>
          <w:b/>
          <w:bCs/>
          <w:color w:val="auto"/>
          <w:sz w:val="24"/>
          <w:szCs w:val="32"/>
          <w:highlight w:val="none"/>
        </w:rPr>
        <w:br w:type="page"/>
      </w:r>
      <w:bookmarkStart w:id="751" w:name="_Toc28799378"/>
      <w:bookmarkStart w:id="752" w:name="_Toc95223461"/>
      <w:bookmarkStart w:id="753" w:name="_Toc8192"/>
      <w:r>
        <w:rPr>
          <w:rFonts w:hint="eastAsia" w:ascii="宋体" w:hAnsi="宋体" w:cs="宋体"/>
          <w:b/>
          <w:bCs/>
          <w:color w:val="auto"/>
          <w:sz w:val="32"/>
          <w:szCs w:val="32"/>
          <w:highlight w:val="none"/>
        </w:rPr>
        <w:t>第三节  专用合同条款</w:t>
      </w:r>
      <w:bookmarkEnd w:id="751"/>
      <w:bookmarkEnd w:id="752"/>
      <w:bookmarkEnd w:id="753"/>
    </w:p>
    <w:p w14:paraId="20090C4F">
      <w:pPr>
        <w:keepNext/>
        <w:keepLines/>
        <w:adjustRightInd w:val="0"/>
        <w:snapToGrid w:val="0"/>
        <w:spacing w:line="384" w:lineRule="auto"/>
        <w:jc w:val="left"/>
        <w:outlineLvl w:val="2"/>
        <w:rPr>
          <w:rFonts w:hint="eastAsia" w:ascii="宋体" w:hAnsi="宋体" w:cs="宋体"/>
          <w:bCs/>
          <w:color w:val="auto"/>
          <w:sz w:val="24"/>
          <w:highlight w:val="none"/>
        </w:rPr>
      </w:pPr>
      <w:bookmarkStart w:id="754" w:name="_Toc95223462"/>
      <w:bookmarkStart w:id="755" w:name="_Toc351203633"/>
      <w:r>
        <w:rPr>
          <w:rFonts w:hint="eastAsia" w:ascii="宋体" w:hAnsi="宋体" w:cs="宋体"/>
          <w:bCs/>
          <w:color w:val="auto"/>
          <w:sz w:val="24"/>
          <w:highlight w:val="none"/>
        </w:rPr>
        <w:t>1</w:t>
      </w:r>
      <w:bookmarkStart w:id="756" w:name="_Toc297048342"/>
      <w:bookmarkStart w:id="757" w:name="_Toc296503156"/>
      <w:bookmarkStart w:id="758" w:name="_Toc296347155"/>
      <w:bookmarkStart w:id="759" w:name="_Toc296944495"/>
      <w:bookmarkStart w:id="760" w:name="_Toc296890984"/>
      <w:bookmarkStart w:id="761" w:name="_Toc297120456"/>
      <w:bookmarkStart w:id="762" w:name="_Toc292559866"/>
      <w:bookmarkStart w:id="763" w:name="_Toc296891196"/>
      <w:bookmarkStart w:id="764" w:name="_Toc292559361"/>
      <w:bookmarkStart w:id="765" w:name="_Toc296346657"/>
      <w:r>
        <w:rPr>
          <w:rFonts w:hint="eastAsia" w:ascii="宋体" w:hAnsi="宋体" w:cs="宋体"/>
          <w:bCs/>
          <w:color w:val="auto"/>
          <w:sz w:val="24"/>
          <w:highlight w:val="none"/>
        </w:rPr>
        <w:t>. 一般约定</w:t>
      </w:r>
      <w:bookmarkEnd w:id="754"/>
      <w:bookmarkEnd w:id="755"/>
    </w:p>
    <w:bookmarkEnd w:id="756"/>
    <w:bookmarkEnd w:id="757"/>
    <w:bookmarkEnd w:id="758"/>
    <w:bookmarkEnd w:id="759"/>
    <w:bookmarkEnd w:id="760"/>
    <w:bookmarkEnd w:id="761"/>
    <w:bookmarkEnd w:id="762"/>
    <w:bookmarkEnd w:id="763"/>
    <w:bookmarkEnd w:id="764"/>
    <w:bookmarkEnd w:id="765"/>
    <w:p w14:paraId="1583A26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 词语定义与解释</w:t>
      </w:r>
    </w:p>
    <w:p w14:paraId="0DCDB42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1.1.1 合同</w:t>
      </w:r>
    </w:p>
    <w:p w14:paraId="011895E8">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1.1.1.10 其他合同文件包括：</w:t>
      </w:r>
      <w:r>
        <w:rPr>
          <w:rFonts w:hint="eastAsia" w:ascii="宋体" w:hAnsi="宋体" w:eastAsia="宋体" w:cs="宋体"/>
          <w:color w:val="auto"/>
          <w:szCs w:val="21"/>
          <w:highlight w:val="none"/>
          <w:u w:val="single"/>
        </w:rPr>
        <w:t>本项目招标文件、在合同订立及履行过程中形成的与合同有关的文件均构成合同文件组成部分</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2AFB5A3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 合同当事人及其他相关方</w:t>
      </w:r>
    </w:p>
    <w:p w14:paraId="5FE669F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1.1.2.4 监理人：</w:t>
      </w:r>
    </w:p>
    <w:p w14:paraId="278F16A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lang w:val="en-US" w:eastAsia="zh-CN"/>
        </w:rPr>
        <w:t>详见监理合同</w:t>
      </w:r>
      <w:r>
        <w:rPr>
          <w:rFonts w:hint="eastAsia" w:ascii="宋体" w:hAnsi="宋体" w:cs="宋体"/>
          <w:color w:val="auto"/>
          <w:highlight w:val="none"/>
        </w:rPr>
        <w:t>；</w:t>
      </w:r>
    </w:p>
    <w:p w14:paraId="567FB92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详见监理合同</w:t>
      </w:r>
      <w:r>
        <w:rPr>
          <w:rFonts w:hint="eastAsia" w:ascii="宋体" w:hAnsi="宋体" w:cs="宋体"/>
          <w:color w:val="auto"/>
          <w:highlight w:val="none"/>
          <w:u w:val="single"/>
        </w:rPr>
        <w:t></w:t>
      </w:r>
      <w:r>
        <w:rPr>
          <w:rFonts w:hint="eastAsia" w:ascii="宋体" w:hAnsi="宋体" w:cs="宋体"/>
          <w:color w:val="auto"/>
          <w:highlight w:val="none"/>
        </w:rPr>
        <w:t>；</w:t>
      </w:r>
    </w:p>
    <w:p w14:paraId="66AC678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详见监理合同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E51156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lang w:val="en-US" w:eastAsia="zh-CN"/>
        </w:rPr>
        <w:t>详见监理合同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2F58A6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详见监理合同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75C03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1.1.2.5 设计人：</w:t>
      </w:r>
    </w:p>
    <w:p w14:paraId="38E2277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lang w:val="en-US" w:eastAsia="zh-CN"/>
        </w:rPr>
        <w:t>详见设计合同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34EBF2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lang w:val="en-US" w:eastAsia="zh-CN"/>
        </w:rPr>
        <w:t>详见设计合同</w:t>
      </w:r>
      <w:r>
        <w:rPr>
          <w:rFonts w:hint="eastAsia" w:ascii="宋体" w:hAnsi="宋体" w:cs="宋体"/>
          <w:color w:val="auto"/>
          <w:highlight w:val="none"/>
        </w:rPr>
        <w:t>；</w:t>
      </w:r>
    </w:p>
    <w:p w14:paraId="45BE897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lang w:val="en-US" w:eastAsia="zh-CN"/>
        </w:rPr>
        <w:t>详见设计合同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EE5545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lang w:val="en-US" w:eastAsia="zh-CN"/>
        </w:rPr>
        <w:t>详见设计合同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402FFD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详见设计合同</w:t>
      </w:r>
      <w:r>
        <w:rPr>
          <w:rFonts w:hint="eastAsia" w:ascii="宋体" w:hAnsi="宋体" w:cs="宋体"/>
          <w:color w:val="auto"/>
          <w:highlight w:val="none"/>
        </w:rPr>
        <w:t>。</w:t>
      </w:r>
    </w:p>
    <w:p w14:paraId="26BA13E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1.1.3 工程和设备</w:t>
      </w:r>
    </w:p>
    <w:p w14:paraId="791E3ED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见</w:t>
      </w:r>
      <w:r>
        <w:rPr>
          <w:rFonts w:hint="eastAsia" w:ascii="宋体" w:hAnsi="宋体" w:eastAsia="宋体" w:cs="宋体"/>
          <w:color w:val="auto"/>
          <w:szCs w:val="21"/>
          <w:highlight w:val="none"/>
          <w:u w:val="single"/>
        </w:rPr>
        <w:t>施工图纸并现场确定</w:t>
      </w:r>
      <w:r>
        <w:rPr>
          <w:rFonts w:hint="eastAsia" w:ascii="宋体" w:hAnsi="宋体" w:cs="宋体"/>
          <w:color w:val="auto"/>
          <w:highlight w:val="none"/>
        </w:rPr>
        <w:t>。</w:t>
      </w:r>
    </w:p>
    <w:p w14:paraId="34FFA70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1.1.3.9 永久占地包括：</w:t>
      </w:r>
      <w:r>
        <w:rPr>
          <w:rFonts w:hint="eastAsia" w:ascii="宋体" w:hAnsi="宋体" w:cs="宋体"/>
          <w:color w:val="auto"/>
          <w:highlight w:val="none"/>
          <w:u w:val="single"/>
          <w:lang w:val="en-US" w:eastAsia="zh-CN"/>
        </w:rPr>
        <w:t>见</w:t>
      </w:r>
      <w:r>
        <w:rPr>
          <w:rFonts w:hint="eastAsia" w:ascii="宋体" w:hAnsi="宋体" w:eastAsia="宋体" w:cs="宋体"/>
          <w:color w:val="auto"/>
          <w:szCs w:val="21"/>
          <w:highlight w:val="none"/>
          <w:u w:val="single"/>
        </w:rPr>
        <w:t>施工图纸</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1C8D0BD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1.1.3.10 临时占地包括：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现场确定</w:t>
      </w:r>
      <w:r>
        <w:rPr>
          <w:rFonts w:hint="eastAsia" w:ascii="宋体" w:hAnsi="宋体" w:cs="宋体"/>
          <w:color w:val="auto"/>
          <w:kern w:val="0"/>
          <w:highlight w:val="none"/>
        </w:rPr>
        <w:t>。</w:t>
      </w:r>
    </w:p>
    <w:p w14:paraId="79DA633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 xml:space="preserve">1.3 法律 </w:t>
      </w:r>
    </w:p>
    <w:p w14:paraId="0677743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适用于合同的其他规范性文件：</w:t>
      </w:r>
      <w:r>
        <w:rPr>
          <w:rFonts w:hint="eastAsia" w:ascii="宋体" w:hAnsi="宋体" w:cs="宋体"/>
          <w:color w:val="auto"/>
          <w:szCs w:val="21"/>
          <w:highlight w:val="none"/>
          <w:u w:val="single"/>
        </w:rPr>
        <w:t xml:space="preserve">《中华人民共和国民法典》、《中华人民共和国建筑法》、《中华人民共和国招标投标法》、《建设工程质量管理条例》、《建设工程安全生产管理条例》等国家及工程所在地现行有效的法律法规和规章 </w:t>
      </w:r>
      <w:r>
        <w:rPr>
          <w:rFonts w:hint="eastAsia" w:ascii="宋体" w:hAnsi="宋体" w:cs="宋体"/>
          <w:color w:val="auto"/>
          <w:szCs w:val="21"/>
          <w:highlight w:val="none"/>
        </w:rPr>
        <w:t>。</w:t>
      </w:r>
    </w:p>
    <w:p w14:paraId="5E1B526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 标准和规范</w:t>
      </w:r>
    </w:p>
    <w:p w14:paraId="5D7A8B5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1.4.1 适用于工程的标准规范包括：</w:t>
      </w:r>
      <w:r>
        <w:rPr>
          <w:rFonts w:hint="eastAsia" w:ascii="宋体" w:hAnsi="宋体" w:eastAsia="宋体" w:cs="宋体"/>
          <w:color w:val="auto"/>
          <w:szCs w:val="21"/>
          <w:highlight w:val="none"/>
          <w:u w:val="single"/>
        </w:rPr>
        <w:t>中华人民共和国住房和城乡建设部等部门及省、市发布的有关文件</w:t>
      </w:r>
      <w:r>
        <w:rPr>
          <w:rFonts w:hint="eastAsia" w:ascii="宋体" w:hAnsi="宋体" w:cs="宋体"/>
          <w:color w:val="auto"/>
          <w:szCs w:val="21"/>
          <w:highlight w:val="none"/>
        </w:rPr>
        <w:t>。</w:t>
      </w:r>
    </w:p>
    <w:p w14:paraId="07596111">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1.4.2 发包人提供国外标准、规范的名称：</w:t>
      </w:r>
      <w:r>
        <w:rPr>
          <w:rFonts w:hint="eastAsia" w:ascii="宋体" w:hAnsi="宋体" w:eastAsia="宋体" w:cs="宋体"/>
          <w:color w:val="auto"/>
          <w:szCs w:val="21"/>
          <w:highlight w:val="none"/>
          <w:u w:val="single"/>
        </w:rPr>
        <w:t>承包人自备国内现行适用的标准、规范</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66E7EA4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发包人提供国外标准、规范的份数：</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无</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1F88144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发包人提供国外标准、规范的时间：</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无</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4A179CE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1.4.3 发包人对工程的技术标准和功能要求的特殊要求：</w:t>
      </w:r>
      <w:r>
        <w:rPr>
          <w:rFonts w:hint="eastAsia" w:ascii="宋体" w:hAnsi="宋体" w:eastAsia="宋体" w:cs="宋体"/>
          <w:color w:val="auto"/>
          <w:szCs w:val="21"/>
          <w:highlight w:val="none"/>
          <w:u w:val="single"/>
        </w:rPr>
        <w:t>按现行规范执行</w:t>
      </w:r>
      <w:r>
        <w:rPr>
          <w:rFonts w:hint="eastAsia" w:ascii="宋体" w:hAnsi="宋体" w:cs="宋体"/>
          <w:color w:val="auto"/>
          <w:highlight w:val="none"/>
        </w:rPr>
        <w:t>。</w:t>
      </w:r>
    </w:p>
    <w:p w14:paraId="64CF8A8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 合同文件的优先顺序</w:t>
      </w:r>
    </w:p>
    <w:p w14:paraId="0E49FB53">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kern w:val="0"/>
          <w:highlight w:val="none"/>
        </w:rPr>
        <w:t>合同文件组成及优先顺序为：</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1）合同协议书；（2）中标通知书；（3）投标函及其附录；（4）招标文件；（5）专用合同条款及其附件；（6）通用合同条款；（7）技术标准和要求；（8）图纸；（9）已标价工程量清单或预算书；（10）其他合同文件</w:t>
      </w:r>
      <w:r>
        <w:rPr>
          <w:rFonts w:hint="eastAsia" w:ascii="宋体" w:hAnsi="宋体" w:cs="宋体"/>
          <w:color w:val="auto"/>
          <w:highlight w:val="none"/>
        </w:rPr>
        <w:t>。</w:t>
      </w:r>
    </w:p>
    <w:p w14:paraId="26211FC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 图纸和承包人文件</w:t>
      </w:r>
      <w:r>
        <w:rPr>
          <w:rFonts w:hint="eastAsia" w:ascii="宋体" w:hAnsi="宋体" w:cs="宋体"/>
          <w:bCs/>
          <w:color w:val="auto"/>
          <w:szCs w:val="28"/>
          <w:highlight w:val="none"/>
        </w:rPr>
        <w:tab/>
      </w:r>
    </w:p>
    <w:p w14:paraId="3B4B248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 图纸的提供和交底</w:t>
      </w:r>
    </w:p>
    <w:p w14:paraId="2FF2A70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发包人向承包人提供图纸的期限：</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开工前1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天</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0B9735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发包人向承包人提供图纸的数量：</w:t>
      </w:r>
      <w:r>
        <w:rPr>
          <w:rFonts w:hint="eastAsia" w:ascii="宋体" w:hAnsi="宋体" w:cs="宋体"/>
          <w:color w:val="auto"/>
          <w:szCs w:val="21"/>
          <w:highlight w:val="none"/>
          <w:u w:val="single"/>
        </w:rPr>
        <w:t>提供</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套（含竣工图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套），不足的由承包人自行复制，费用自理；</w:t>
      </w:r>
    </w:p>
    <w:p w14:paraId="5337C68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发包人向承包人提供图纸的内容：</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144BD2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1.6.4 承包人文件</w:t>
      </w:r>
    </w:p>
    <w:p w14:paraId="140B5F2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需要由承包人提供的文件，包括：</w:t>
      </w:r>
      <w:r>
        <w:rPr>
          <w:rFonts w:hint="eastAsia" w:ascii="宋体" w:hAnsi="宋体" w:eastAsia="宋体" w:cs="宋体"/>
          <w:color w:val="auto"/>
          <w:szCs w:val="21"/>
          <w:highlight w:val="none"/>
          <w:u w:val="single"/>
        </w:rPr>
        <w:t>按监理要求执行，包括但不限于项目部人员证书（在领取中标通知书前）、项目部任命文、实施性施工组织设计等</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8C00B2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承包人提供的文件的期限为：</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按监理要求执行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60F5F0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承包人提供的文件的数量为：</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按监理要求执行</w:t>
      </w:r>
      <w:r>
        <w:rPr>
          <w:rFonts w:hint="eastAsia" w:ascii="宋体" w:hAnsi="宋体" w:cs="宋体"/>
          <w:color w:val="auto"/>
          <w:highlight w:val="none"/>
        </w:rPr>
        <w:t>；</w:t>
      </w:r>
    </w:p>
    <w:p w14:paraId="57FCEBF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承包人提供的文件的形式为：</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按监理要求执行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02D740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发包人审批承包人文件的期限：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7天</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B57570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1.6.5 图纸和承包人文件的保管</w:t>
      </w:r>
    </w:p>
    <w:p w14:paraId="47ABF19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关于图纸和承包人文件保管的约定：</w:t>
      </w:r>
      <w:r>
        <w:rPr>
          <w:rFonts w:hint="eastAsia" w:ascii="宋体" w:hAnsi="宋体" w:eastAsia="宋体" w:cs="宋体"/>
          <w:color w:val="auto"/>
          <w:szCs w:val="21"/>
          <w:highlight w:val="none"/>
          <w:u w:val="single"/>
        </w:rPr>
        <w:t>除专用合同条款另有约定外，承包人应在施工现场另外保存一套完整的图纸和承包人文件，供发包人、监理人及有关人员进行工程检查时使用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1568E6E0">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 联络</w:t>
      </w:r>
    </w:p>
    <w:p w14:paraId="785DC56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1.7.1 发包人和承包人应当在</w:t>
      </w:r>
      <w:r>
        <w:rPr>
          <w:rFonts w:hint="eastAsia" w:ascii="宋体" w:hAnsi="宋体" w:cs="宋体"/>
          <w:color w:val="auto"/>
          <w:highlight w:val="none"/>
          <w:u w:val="single"/>
        </w:rPr>
        <w:t>7</w:t>
      </w:r>
      <w:r>
        <w:rPr>
          <w:rFonts w:hint="eastAsia" w:ascii="宋体" w:hAnsi="宋体" w:cs="宋体"/>
          <w:color w:val="auto"/>
          <w:kern w:val="0"/>
          <w:highlight w:val="none"/>
        </w:rPr>
        <w:t>天内将与合同有关的通知、批准、证明、证书、指示、指令、要求、请求、同意、意见、确定和决定等书面函件送达对方当事人。</w:t>
      </w:r>
    </w:p>
    <w:p w14:paraId="0ACA0E0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1.7.2 发包人接收文件的地点：</w:t>
      </w:r>
      <w:r>
        <w:rPr>
          <w:rFonts w:hint="eastAsia" w:ascii="宋体" w:hAnsi="宋体" w:cs="宋体"/>
          <w:color w:val="auto"/>
          <w:highlight w:val="none"/>
          <w:u w:val="single"/>
        </w:rPr>
        <w:t xml:space="preserve"> 发包人办公室</w:t>
      </w:r>
      <w:r>
        <w:rPr>
          <w:rFonts w:hint="eastAsia" w:ascii="宋体" w:hAnsi="宋体" w:cs="宋体"/>
          <w:color w:val="auto"/>
          <w:kern w:val="0"/>
          <w:highlight w:val="none"/>
        </w:rPr>
        <w:t>；</w:t>
      </w:r>
    </w:p>
    <w:p w14:paraId="78B2501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发包人指定的接收人为：</w:t>
      </w:r>
      <w:r>
        <w:rPr>
          <w:rFonts w:hint="eastAsia" w:ascii="宋体" w:hAnsi="宋体" w:cs="宋体"/>
          <w:color w:val="auto"/>
          <w:highlight w:val="none"/>
          <w:u w:val="single"/>
        </w:rPr>
        <w:t>发包人指派的项目负责人</w:t>
      </w:r>
      <w:r>
        <w:rPr>
          <w:rFonts w:hint="eastAsia" w:ascii="宋体" w:hAnsi="宋体" w:cs="宋体"/>
          <w:color w:val="auto"/>
          <w:kern w:val="0"/>
          <w:highlight w:val="none"/>
        </w:rPr>
        <w:t>。</w:t>
      </w:r>
    </w:p>
    <w:p w14:paraId="6880A60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承包人接收文件的地点：</w:t>
      </w:r>
      <w:r>
        <w:rPr>
          <w:rFonts w:hint="eastAsia" w:ascii="宋体" w:hAnsi="宋体" w:cs="宋体"/>
          <w:color w:val="auto"/>
          <w:szCs w:val="21"/>
          <w:highlight w:val="none"/>
          <w:u w:val="single"/>
        </w:rPr>
        <w:t>项目部</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75D4D04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承包人指定的接收人为：</w:t>
      </w:r>
      <w:r>
        <w:rPr>
          <w:rFonts w:hint="eastAsia" w:ascii="宋体" w:hAnsi="宋体" w:cs="宋体"/>
          <w:color w:val="auto"/>
          <w:highlight w:val="none"/>
          <w:u w:val="single"/>
        </w:rPr>
        <w:t>项目负责人</w:t>
      </w:r>
      <w:r>
        <w:rPr>
          <w:rFonts w:hint="eastAsia" w:ascii="宋体" w:hAnsi="宋体" w:cs="宋体"/>
          <w:color w:val="auto"/>
          <w:kern w:val="0"/>
          <w:highlight w:val="none"/>
        </w:rPr>
        <w:t>。</w:t>
      </w:r>
    </w:p>
    <w:p w14:paraId="3C17536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监理人接收文件的地点：</w:t>
      </w:r>
      <w:r>
        <w:rPr>
          <w:rFonts w:hint="eastAsia" w:ascii="宋体" w:hAnsi="宋体" w:cs="宋体"/>
          <w:color w:val="auto"/>
          <w:szCs w:val="21"/>
          <w:highlight w:val="none"/>
          <w:u w:val="single"/>
        </w:rPr>
        <w:t>监理部</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5DDEE52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监理人指定的接收人为：</w:t>
      </w:r>
      <w:r>
        <w:rPr>
          <w:rFonts w:hint="eastAsia" w:ascii="宋体" w:hAnsi="宋体" w:cs="宋体"/>
          <w:color w:val="auto"/>
          <w:szCs w:val="21"/>
          <w:highlight w:val="none"/>
          <w:u w:val="single"/>
        </w:rPr>
        <w:t>总监理工程师</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1839FE48">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1.10 交通运输</w:t>
      </w:r>
    </w:p>
    <w:p w14:paraId="66E36A0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766" w:name="_Toc312677986"/>
      <w:bookmarkStart w:id="767" w:name="_Toc303539100"/>
      <w:bookmarkStart w:id="768" w:name="_Toc300934943"/>
      <w:bookmarkStart w:id="769" w:name="_Toc318581155"/>
      <w:bookmarkStart w:id="770" w:name="_Toc304295521"/>
      <w:r>
        <w:rPr>
          <w:rFonts w:hint="eastAsia" w:ascii="宋体" w:hAnsi="宋体" w:cs="宋体"/>
          <w:color w:val="auto"/>
          <w:highlight w:val="none"/>
        </w:rPr>
        <w:t>.10.1 出入现场的权利</w:t>
      </w:r>
    </w:p>
    <w:p w14:paraId="28FECD9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关于出入现场的权利的约定：</w:t>
      </w:r>
      <w:r>
        <w:rPr>
          <w:rFonts w:hint="eastAsia" w:ascii="宋体" w:hAnsi="宋体" w:eastAsia="宋体" w:cs="宋体"/>
          <w:color w:val="auto"/>
          <w:szCs w:val="21"/>
          <w:highlight w:val="none"/>
          <w:u w:val="single"/>
        </w:rPr>
        <w:t>发包人应根据施工需要，负责取得出入施工现场所需的批准手续和全部权利，以及取得因施工所需修建道路、桥梁以及其他基础设施的权利，该费用已包含在本项目发包范围，则由承包人自行解决并承担费用。承包人应协助发包人办理修建场内外道路、桥梁以及其他基础设施的手续</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766"/>
    <w:bookmarkEnd w:id="767"/>
    <w:bookmarkEnd w:id="768"/>
    <w:bookmarkEnd w:id="769"/>
    <w:bookmarkEnd w:id="770"/>
    <w:p w14:paraId="37ED321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771" w:name="_Toc304295522"/>
      <w:bookmarkStart w:id="772" w:name="_Toc300934944"/>
      <w:bookmarkStart w:id="773" w:name="_Toc318581156"/>
      <w:bookmarkStart w:id="774" w:name="_Toc303539101"/>
      <w:bookmarkStart w:id="775" w:name="_Toc312677987"/>
      <w:r>
        <w:rPr>
          <w:rFonts w:hint="eastAsia" w:ascii="宋体" w:hAnsi="宋体" w:cs="宋体"/>
          <w:color w:val="auto"/>
          <w:highlight w:val="none"/>
        </w:rPr>
        <w:t>.10.3 场内交通</w:t>
      </w:r>
    </w:p>
    <w:p w14:paraId="4B0F08E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关于场外交通和场内交通的边界的约定：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场内交通设施和道路由承包人负责建设，发包人不另支付费用，场内交通边界现场确定</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6F2C4F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eastAsia="宋体" w:cs="宋体"/>
          <w:color w:val="auto"/>
          <w:szCs w:val="21"/>
          <w:highlight w:val="none"/>
          <w:u w:val="single"/>
        </w:rPr>
        <w:t>自行踏勘，自行解决</w:t>
      </w:r>
      <w:r>
        <w:rPr>
          <w:rFonts w:hint="eastAsia" w:ascii="宋体" w:hAnsi="宋体" w:cs="宋体"/>
          <w:color w:val="auto"/>
          <w:highlight w:val="none"/>
        </w:rPr>
        <w:t>。</w:t>
      </w:r>
      <w:bookmarkEnd w:id="771"/>
      <w:bookmarkEnd w:id="772"/>
      <w:bookmarkEnd w:id="773"/>
      <w:bookmarkEnd w:id="774"/>
      <w:bookmarkEnd w:id="775"/>
      <w:bookmarkStart w:id="776" w:name="_Toc318581157"/>
    </w:p>
    <w:p w14:paraId="4985565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1.10.4 超大件和超重件的运输</w:t>
      </w:r>
    </w:p>
    <w:p w14:paraId="06AC123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w:t>
      </w:r>
      <w:r>
        <w:rPr>
          <w:rFonts w:hint="eastAsia" w:ascii="宋体" w:hAnsi="宋体" w:cs="宋体"/>
          <w:color w:val="auto"/>
          <w:highlight w:val="none"/>
          <w:lang w:val="en-US" w:eastAsia="zh-CN"/>
        </w:rPr>
        <w:t>中标人</w:t>
      </w:r>
      <w:r>
        <w:rPr>
          <w:rFonts w:hint="eastAsia" w:ascii="宋体" w:hAnsi="宋体" w:eastAsia="宋体" w:cs="宋体"/>
          <w:color w:val="auto"/>
          <w:szCs w:val="21"/>
          <w:highlight w:val="none"/>
          <w:u w:val="single"/>
        </w:rPr>
        <w:t>自行解决</w:t>
      </w:r>
      <w:r>
        <w:rPr>
          <w:rFonts w:hint="eastAsia" w:ascii="宋体" w:hAnsi="宋体" w:cs="宋体"/>
          <w:color w:val="auto"/>
          <w:highlight w:val="none"/>
        </w:rPr>
        <w:t>承担。</w:t>
      </w:r>
    </w:p>
    <w:bookmarkEnd w:id="776"/>
    <w:p w14:paraId="384AC41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1.11 知识产权</w:t>
      </w:r>
    </w:p>
    <w:p w14:paraId="74539DB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lang w:val="en-US" w:eastAsia="zh-CN"/>
        </w:rPr>
        <w:t>发包人</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54904F9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hAnsi="宋体" w:eastAsia="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11AC0B3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1.11.2 关于承包人为实施工程所编制文件的著作权的归属：</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发包人</w:t>
      </w:r>
      <w:r>
        <w:rPr>
          <w:rFonts w:hint="eastAsia" w:ascii="宋体" w:hAnsi="宋体" w:cs="宋体"/>
          <w:color w:val="auto"/>
          <w:highlight w:val="none"/>
        </w:rPr>
        <w:t>。</w:t>
      </w:r>
    </w:p>
    <w:p w14:paraId="7F1ED1C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关于承包人提供的上述文件的使用限制的要求：</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15D8954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1.11.4 承包人在施工过程中所采用的专利、专有技术、技术秘密的使用费的承担方式：</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该费用已包含在签约合同价中</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088C4D1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1.13 工程量清单错误的修正</w:t>
      </w:r>
    </w:p>
    <w:p w14:paraId="02E634A3">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出现工程量清单错误时，是否调整合同价格：</w:t>
      </w:r>
      <w:r>
        <w:rPr>
          <w:rFonts w:hint="eastAsia" w:ascii="宋体" w:hAnsi="宋体" w:cs="宋体"/>
          <w:b/>
          <w:color w:val="auto"/>
          <w:highlight w:val="none"/>
          <w:u w:val="single"/>
        </w:rPr>
        <w:t xml:space="preserve"> </w:t>
      </w:r>
      <w:r>
        <w:rPr>
          <w:rFonts w:hint="eastAsia" w:ascii="宋体" w:hAnsi="宋体" w:eastAsia="宋体" w:cs="宋体"/>
          <w:color w:val="auto"/>
          <w:szCs w:val="21"/>
          <w:highlight w:val="none"/>
          <w:u w:val="single"/>
        </w:rPr>
        <w:t>是，具体调整方式见下款</w:t>
      </w:r>
      <w:r>
        <w:rPr>
          <w:rFonts w:hint="eastAsia" w:ascii="宋体" w:hAnsi="宋体" w:cs="宋体"/>
          <w:bCs/>
          <w:color w:val="auto"/>
          <w:highlight w:val="none"/>
        </w:rPr>
        <w:t xml:space="preserve"> 。</w:t>
      </w:r>
    </w:p>
    <w:p w14:paraId="3CA21E1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允许调整合同价格的工程量偏差范围：</w:t>
      </w:r>
      <w:r>
        <w:rPr>
          <w:rFonts w:hint="eastAsia" w:ascii="宋体" w:hAnsi="宋体" w:eastAsia="宋体" w:cs="宋体"/>
          <w:b/>
          <w:bCs/>
          <w:color w:val="auto"/>
          <w:szCs w:val="21"/>
          <w:highlight w:val="none"/>
          <w:u w:val="single"/>
        </w:rPr>
        <w:t>承包人拒绝实施因</w:t>
      </w:r>
      <w:r>
        <w:rPr>
          <w:rFonts w:hint="eastAsia" w:ascii="宋体" w:hAnsi="宋体" w:eastAsia="宋体" w:cs="宋体"/>
          <w:b/>
          <w:bCs/>
          <w:color w:val="auto"/>
          <w:spacing w:val="-6"/>
          <w:kern w:val="0"/>
          <w:szCs w:val="21"/>
          <w:highlight w:val="none"/>
          <w:u w:val="single"/>
        </w:rPr>
        <w:t>此产生变化的施工内容或范围</w:t>
      </w:r>
      <w:r>
        <w:rPr>
          <w:rFonts w:hint="eastAsia" w:ascii="宋体" w:hAnsi="宋体" w:eastAsia="宋体" w:cs="宋体"/>
          <w:b/>
          <w:bCs/>
          <w:color w:val="auto"/>
          <w:szCs w:val="21"/>
          <w:highlight w:val="none"/>
          <w:u w:val="single"/>
        </w:rPr>
        <w:t>，将被视为违约，发包人视情节轻重给予违约处罚。结算时，工程量按实计算。结算工程量减少0-100%或增加15%以内部分，执行中标单价；超出15%以外部分，结算单价按最高投标限价单价×投标让利幅度计算且结算单价不得高于中标单价；</w:t>
      </w:r>
      <w:r>
        <w:rPr>
          <w:rFonts w:hint="eastAsia" w:ascii="宋体" w:hAnsi="宋体" w:eastAsia="宋体" w:cs="宋体"/>
          <w:b/>
          <w:bCs/>
          <w:color w:val="auto"/>
          <w:spacing w:val="-6"/>
          <w:kern w:val="0"/>
          <w:szCs w:val="21"/>
          <w:highlight w:val="none"/>
          <w:u w:val="single"/>
        </w:rPr>
        <w:t>缺漏</w:t>
      </w:r>
      <w:r>
        <w:rPr>
          <w:rFonts w:hint="eastAsia" w:ascii="宋体" w:hAnsi="宋体" w:eastAsia="宋体" w:cs="宋体"/>
          <w:b/>
          <w:bCs/>
          <w:color w:val="auto"/>
          <w:szCs w:val="21"/>
          <w:highlight w:val="none"/>
          <w:u w:val="single"/>
        </w:rPr>
        <w:t>项目单价按照最高投标限价的编制原则重新组价×投标让利幅度（上述投标让利幅度为中标价/最高投标限价，其中中标价和最高投标限价均扣除暂列金额、暂估价及相应税金）</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7A7D81A8">
      <w:pPr>
        <w:keepNext/>
        <w:keepLines/>
        <w:adjustRightInd w:val="0"/>
        <w:snapToGrid w:val="0"/>
        <w:spacing w:line="384" w:lineRule="auto"/>
        <w:jc w:val="left"/>
        <w:outlineLvl w:val="2"/>
        <w:rPr>
          <w:rFonts w:hint="eastAsia" w:ascii="宋体" w:hAnsi="宋体" w:cs="宋体"/>
          <w:bCs/>
          <w:color w:val="auto"/>
          <w:sz w:val="24"/>
          <w:highlight w:val="none"/>
        </w:rPr>
      </w:pPr>
      <w:bookmarkStart w:id="777" w:name="_Toc351203634"/>
      <w:bookmarkStart w:id="778" w:name="_Toc95223463"/>
      <w:r>
        <w:rPr>
          <w:rFonts w:hint="eastAsia" w:ascii="宋体" w:hAnsi="宋体" w:cs="宋体"/>
          <w:bCs/>
          <w:color w:val="auto"/>
          <w:sz w:val="24"/>
          <w:highlight w:val="none"/>
        </w:rPr>
        <w:t>2</w:t>
      </w:r>
      <w:bookmarkStart w:id="779" w:name="_Toc297120457"/>
      <w:bookmarkStart w:id="780" w:name="_Toc296890985"/>
      <w:bookmarkStart w:id="781" w:name="_Toc296503157"/>
      <w:bookmarkStart w:id="782" w:name="_Toc296346658"/>
      <w:bookmarkStart w:id="783" w:name="_Toc296347156"/>
      <w:bookmarkStart w:id="784" w:name="_Toc296891197"/>
      <w:bookmarkStart w:id="785" w:name="_Toc292559362"/>
      <w:bookmarkStart w:id="786" w:name="_Toc296944496"/>
      <w:bookmarkStart w:id="787" w:name="_Toc292559867"/>
      <w:bookmarkStart w:id="788" w:name="_Toc297048343"/>
      <w:r>
        <w:rPr>
          <w:rFonts w:hint="eastAsia" w:ascii="宋体" w:hAnsi="宋体" w:cs="宋体"/>
          <w:bCs/>
          <w:color w:val="auto"/>
          <w:sz w:val="24"/>
          <w:highlight w:val="none"/>
        </w:rPr>
        <w:t>. 发包人</w:t>
      </w:r>
      <w:bookmarkEnd w:id="777"/>
      <w:bookmarkEnd w:id="778"/>
    </w:p>
    <w:bookmarkEnd w:id="779"/>
    <w:bookmarkEnd w:id="780"/>
    <w:bookmarkEnd w:id="781"/>
    <w:bookmarkEnd w:id="782"/>
    <w:bookmarkEnd w:id="783"/>
    <w:bookmarkEnd w:id="784"/>
    <w:bookmarkEnd w:id="785"/>
    <w:bookmarkEnd w:id="786"/>
    <w:bookmarkEnd w:id="787"/>
    <w:bookmarkEnd w:id="788"/>
    <w:p w14:paraId="39AE5A4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2.2 发包人代表</w:t>
      </w:r>
    </w:p>
    <w:p w14:paraId="60D7124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发包人代表：</w:t>
      </w:r>
    </w:p>
    <w:p w14:paraId="4DB2CB3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6A2724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8E1D56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80CDEC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C2D091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E393B1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FF93134">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发包人对发包人代表的授权范围如下：</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CC8913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2.4 施工现场、施工条件和基础资料的提供</w:t>
      </w:r>
    </w:p>
    <w:p w14:paraId="6A4B964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2.4.1 提供施工现场</w:t>
      </w:r>
    </w:p>
    <w:p w14:paraId="7B47B69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eastAsia="宋体" w:cs="宋体"/>
          <w:color w:val="auto"/>
          <w:szCs w:val="21"/>
          <w:highlight w:val="none"/>
          <w:u w:val="single"/>
        </w:rPr>
        <w:t>发包人应最迟于开工日期7天前向承包人移交施工现场</w:t>
      </w:r>
      <w:r>
        <w:rPr>
          <w:rFonts w:hint="eastAsia" w:ascii="宋体" w:hAnsi="宋体" w:cs="宋体"/>
          <w:color w:val="auto"/>
          <w:highlight w:val="none"/>
        </w:rPr>
        <w:t>。</w:t>
      </w:r>
    </w:p>
    <w:p w14:paraId="4286BC4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2.4.2 提供施工条件</w:t>
      </w:r>
    </w:p>
    <w:p w14:paraId="6292AA9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关于发包人应负责提供施工所需要的条件，包括：</w:t>
      </w:r>
      <w:r>
        <w:rPr>
          <w:rFonts w:hint="eastAsia" w:ascii="宋体" w:hAnsi="宋体" w:eastAsia="宋体" w:cs="宋体"/>
          <w:color w:val="auto"/>
          <w:szCs w:val="21"/>
          <w:highlight w:val="none"/>
          <w:u w:val="single"/>
        </w:rPr>
        <w:t>（1）将施工用水、电力、通讯线路等施工所必需的条件接至施工现场内；（2）保证向承包人提供正常施工所需要的进入施工现场的交通条件；（3）协调处理施工现场周围地下管线和邻近建筑物、构筑物、古树名木的保护工作，并承担相关费用。若上述费用已包含在本项目发包范围，则由承包人自行解决并承担费用</w:t>
      </w:r>
      <w:r>
        <w:rPr>
          <w:rFonts w:hint="eastAsia" w:ascii="宋体" w:hAnsi="宋体" w:cs="宋体"/>
          <w:bCs/>
          <w:color w:val="auto"/>
          <w:highlight w:val="none"/>
        </w:rPr>
        <w:t>。</w:t>
      </w:r>
    </w:p>
    <w:p w14:paraId="4485997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2.5 资金来源证明及支付担保</w:t>
      </w:r>
    </w:p>
    <w:p w14:paraId="12C21F0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发包人提供资金来源证明及资金安排的期限要求：在取得施工许可证的 3 个月内办结工程款支付担保。施工单位在收到工程款支付担保后 3 日内将相关资料上传至至项目所在地农民工工资支付监管平台，未按时按承诺提交工程款支付担保的工程建设项目，将视作建设资金未落实。</w:t>
      </w:r>
    </w:p>
    <w:p w14:paraId="6ADB55C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b/>
          <w:color w:val="auto"/>
          <w:highlight w:val="none"/>
        </w:rPr>
        <w:t>提供支付担保</w:t>
      </w:r>
      <w:r>
        <w:rPr>
          <w:rFonts w:hint="eastAsia" w:ascii="宋体" w:hAnsi="宋体" w:cs="宋体"/>
          <w:color w:val="auto"/>
          <w:highlight w:val="none"/>
        </w:rPr>
        <w:t>。</w:t>
      </w:r>
    </w:p>
    <w:p w14:paraId="7670E1D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提供支付担保的形式：工程款支付担保可以采用银行保函、保证保险、工程担保公司担保等方式。银行保函、保证保险和工程担保保单应当为不可撤销的保证。发包人应当向承包人提供签约合同价8%的工程款支付担保。</w:t>
      </w:r>
    </w:p>
    <w:p w14:paraId="6A463A5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政府投资的工程建设项目，发包人可以提供财政等政府有权部门出具的落实项目建设资金保障证明作为工程款支付担保凭证。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 30 天，办理保函、保单延期手续。</w:t>
      </w:r>
    </w:p>
    <w:p w14:paraId="6969F56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工程款支付担保保证有效期内，建设单位未按照规定向农民工工资专用账户拨付工资性工程款或者未按照合同约定支付施工进度款的，施工总承包企业（包括专业承包企业，下同）可以要求保证人履行保证责任，同时将拖欠信息报送工程所在地住房城乡建设主管部门和人力资源社会保障主管部门。</w:t>
      </w:r>
    </w:p>
    <w:p w14:paraId="7D679B96">
      <w:pPr>
        <w:pStyle w:val="19"/>
        <w:ind w:left="0" w:leftChars="0"/>
        <w:rPr>
          <w:rFonts w:hint="eastAsia"/>
          <w:color w:val="auto"/>
          <w:highlight w:val="none"/>
        </w:rPr>
      </w:pPr>
      <w:r>
        <w:rPr>
          <w:rFonts w:hint="eastAsia"/>
          <w:color w:val="auto"/>
          <w:highlight w:val="none"/>
        </w:rPr>
        <w:t>在我省开展工程款支付担保业务的保证人应向有关主管部门提供担保凭证网络验证途径。</w:t>
      </w:r>
    </w:p>
    <w:p w14:paraId="2B6E73AB">
      <w:pPr>
        <w:keepNext/>
        <w:keepLines/>
        <w:adjustRightInd w:val="0"/>
        <w:snapToGrid w:val="0"/>
        <w:spacing w:line="384" w:lineRule="auto"/>
        <w:jc w:val="left"/>
        <w:outlineLvl w:val="2"/>
        <w:rPr>
          <w:rFonts w:hint="eastAsia" w:ascii="宋体" w:hAnsi="宋体" w:cs="宋体"/>
          <w:bCs/>
          <w:color w:val="auto"/>
          <w:sz w:val="24"/>
          <w:highlight w:val="none"/>
        </w:rPr>
      </w:pPr>
      <w:bookmarkStart w:id="789" w:name="_Toc95223464"/>
      <w:bookmarkStart w:id="790" w:name="_Toc351203635"/>
      <w:r>
        <w:rPr>
          <w:rFonts w:hint="eastAsia" w:ascii="宋体" w:hAnsi="宋体" w:cs="宋体"/>
          <w:bCs/>
          <w:color w:val="auto"/>
          <w:sz w:val="24"/>
          <w:highlight w:val="none"/>
        </w:rPr>
        <w:t>3</w:t>
      </w:r>
      <w:bookmarkStart w:id="791" w:name="_Toc297048344"/>
      <w:bookmarkStart w:id="792" w:name="_Toc296890986"/>
      <w:bookmarkStart w:id="793" w:name="_Toc296891198"/>
      <w:bookmarkStart w:id="794" w:name="_Toc292559868"/>
      <w:bookmarkStart w:id="795" w:name="_Toc296346659"/>
      <w:bookmarkStart w:id="796" w:name="_Toc296347157"/>
      <w:bookmarkStart w:id="797" w:name="_Toc292559363"/>
      <w:bookmarkStart w:id="798" w:name="_Toc296503158"/>
      <w:bookmarkStart w:id="799" w:name="_Toc297120458"/>
      <w:bookmarkStart w:id="800" w:name="_Toc296944497"/>
      <w:r>
        <w:rPr>
          <w:rFonts w:hint="eastAsia" w:ascii="宋体" w:hAnsi="宋体" w:cs="宋体"/>
          <w:bCs/>
          <w:color w:val="auto"/>
          <w:sz w:val="24"/>
          <w:highlight w:val="none"/>
        </w:rPr>
        <w:t>. 承包人</w:t>
      </w:r>
      <w:bookmarkEnd w:id="789"/>
      <w:bookmarkEnd w:id="790"/>
    </w:p>
    <w:bookmarkEnd w:id="791"/>
    <w:bookmarkEnd w:id="792"/>
    <w:bookmarkEnd w:id="793"/>
    <w:bookmarkEnd w:id="794"/>
    <w:bookmarkEnd w:id="795"/>
    <w:bookmarkEnd w:id="796"/>
    <w:bookmarkEnd w:id="797"/>
    <w:bookmarkEnd w:id="798"/>
    <w:bookmarkEnd w:id="799"/>
    <w:bookmarkEnd w:id="800"/>
    <w:p w14:paraId="59B13FD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3.1 承包人的一般义务</w:t>
      </w:r>
    </w:p>
    <w:p w14:paraId="64BE6FE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（9）</w:t>
      </w:r>
      <w:r>
        <w:rPr>
          <w:rFonts w:hint="eastAsia" w:ascii="宋体" w:hAnsi="宋体" w:cs="宋体"/>
          <w:color w:val="auto"/>
          <w:highlight w:val="none"/>
        </w:rPr>
        <w:t>承包人提交的竣工资料的内容：</w:t>
      </w:r>
      <w:r>
        <w:rPr>
          <w:rFonts w:hint="eastAsia" w:ascii="宋体" w:hAnsi="宋体" w:cs="宋体"/>
          <w:color w:val="auto"/>
          <w:szCs w:val="21"/>
          <w:highlight w:val="none"/>
          <w:u w:val="single"/>
        </w:rPr>
        <w:t>承包人提供全套竣工图，所有竣工图应为新图纸</w:t>
      </w:r>
      <w:r>
        <w:rPr>
          <w:rFonts w:hint="eastAsia" w:ascii="宋体" w:hAnsi="宋体" w:cs="宋体"/>
          <w:color w:val="auto"/>
          <w:highlight w:val="none"/>
        </w:rPr>
        <w:t>。</w:t>
      </w:r>
    </w:p>
    <w:p w14:paraId="21425E3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承包人需要提交的竣工资料套数：</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按相关要求执行，且不少于3套</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E3DE22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承包人提交的竣工资料的费用承担：</w:t>
      </w:r>
      <w:r>
        <w:rPr>
          <w:rFonts w:hint="eastAsia" w:ascii="宋体" w:hAnsi="宋体" w:cs="宋体"/>
          <w:color w:val="auto"/>
          <w:szCs w:val="21"/>
          <w:highlight w:val="none"/>
          <w:u w:val="single"/>
        </w:rPr>
        <w:t xml:space="preserve">承包人承担           </w:t>
      </w:r>
      <w:r>
        <w:rPr>
          <w:rFonts w:hint="eastAsia" w:ascii="宋体" w:hAnsi="宋体" w:cs="宋体"/>
          <w:color w:val="auto"/>
          <w:highlight w:val="none"/>
        </w:rPr>
        <w:t>。</w:t>
      </w:r>
    </w:p>
    <w:p w14:paraId="7395E94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承包人提交的竣工资料移交时间：</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竣工验收合格后15日内</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F4BAD6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承包人提交的竣工资料形式要求：</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纸质及电子形式</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AF60E0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（10）承包人应履行的其他义务：</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⑦须执行我市市住建、公管、人社、重点处等相关单位关于项目管理、扬尘治理、大气、农民工工资支付、工程款支付等方面的通知、规定和相关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0B0F22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3.2 项目经理</w:t>
      </w:r>
    </w:p>
    <w:p w14:paraId="71A53EC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 xml:space="preserve">3.2.1 </w:t>
      </w:r>
      <w:r>
        <w:rPr>
          <w:rFonts w:hint="eastAsia" w:ascii="宋体" w:hAnsi="宋体" w:cs="宋体"/>
          <w:color w:val="auto"/>
          <w:highlight w:val="none"/>
        </w:rPr>
        <w:t>项目经理：</w:t>
      </w:r>
    </w:p>
    <w:p w14:paraId="419C383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w:t>
      </w:r>
      <w:r>
        <w:rPr>
          <w:rFonts w:hint="eastAsia" w:ascii="宋体" w:hAnsi="宋体" w:cs="宋体"/>
          <w:color w:val="auto"/>
          <w:highlight w:val="none"/>
        </w:rPr>
        <w:t>；</w:t>
      </w:r>
    </w:p>
    <w:p w14:paraId="530BBEA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73B00D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建造师执业资格等级：</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E5A2BE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建造师注册证书号：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6AFDBF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建造师执业印章号：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48BA2D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安全生产考核合格证书号：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8C23A0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3AE95A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F801C0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B293E5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承包人对项目经理的授权范围如下：</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由承包人明确授权范围</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8F838E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关于项目经理每月在施工现场的时间要求：</w:t>
      </w:r>
      <w:r>
        <w:rPr>
          <w:rFonts w:hint="eastAsia" w:ascii="宋体" w:hAnsi="宋体" w:cs="宋体"/>
          <w:color w:val="auto"/>
          <w:szCs w:val="21"/>
          <w:highlight w:val="none"/>
          <w:u w:val="single"/>
        </w:rPr>
        <w:t>驻场时间每月不少于</w:t>
      </w:r>
      <w:r>
        <w:rPr>
          <w:rFonts w:hint="eastAsia" w:ascii="宋体" w:hAnsi="宋体" w:cs="宋体"/>
          <w:color w:val="auto"/>
          <w:szCs w:val="21"/>
          <w:highlight w:val="none"/>
          <w:u w:val="single"/>
          <w:lang w:val="en-US" w:eastAsia="zh-CN"/>
        </w:rPr>
        <w:t>22</w:t>
      </w:r>
      <w:r>
        <w:rPr>
          <w:rFonts w:hint="eastAsia" w:ascii="宋体" w:hAnsi="宋体" w:cs="宋体"/>
          <w:color w:val="auto"/>
          <w:szCs w:val="21"/>
          <w:highlight w:val="none"/>
          <w:u w:val="single"/>
        </w:rPr>
        <w:t xml:space="preserve"> 天，每天在岗工作时间不得少于</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小时</w:t>
      </w:r>
      <w:r>
        <w:rPr>
          <w:rFonts w:hint="eastAsia" w:ascii="宋体" w:hAnsi="宋体" w:eastAsia="宋体" w:cs="宋体"/>
          <w:color w:val="auto"/>
          <w:szCs w:val="21"/>
          <w:highlight w:val="none"/>
          <w:u w:val="single"/>
        </w:rPr>
        <w:t>，施工现场其他管理人员每月在岗时间不得少于22天</w:t>
      </w:r>
      <w:r>
        <w:rPr>
          <w:rFonts w:hint="eastAsia" w:ascii="宋体" w:hAnsi="宋体" w:cs="宋体"/>
          <w:color w:val="auto"/>
          <w:szCs w:val="21"/>
          <w:highlight w:val="none"/>
        </w:rPr>
        <w:t>。</w:t>
      </w:r>
      <w:r>
        <w:rPr>
          <w:rFonts w:hint="eastAsia" w:ascii="宋体" w:hAnsi="宋体" w:cs="宋体"/>
          <w:color w:val="auto"/>
          <w:highlight w:val="none"/>
        </w:rPr>
        <w:t xml:space="preserve"> </w:t>
      </w:r>
    </w:p>
    <w:p w14:paraId="1BDA3C0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承包人未提交劳动合同，以及没有为项目经理缴纳社会保险证明的违约责任：</w:t>
      </w:r>
      <w:r>
        <w:rPr>
          <w:rFonts w:hint="eastAsia" w:ascii="宋体" w:hAnsi="宋体" w:cs="宋体"/>
          <w:color w:val="auto"/>
          <w:highlight w:val="none"/>
          <w:u w:val="single"/>
        </w:rPr>
        <w:t xml:space="preserve"> </w:t>
      </w:r>
      <w:r>
        <w:rPr>
          <w:rFonts w:hint="eastAsia" w:ascii="宋体" w:hAnsi="宋体" w:eastAsia="宋体" w:cs="宋体"/>
          <w:color w:val="auto"/>
          <w:sz w:val="21"/>
          <w:szCs w:val="21"/>
          <w:highlight w:val="none"/>
          <w:u w:val="single"/>
        </w:rPr>
        <w:t>未按规定在岗履责的，对项目经理和技术负责人处罚2000元/人·天的违约金，对施工现场其他管理人员处罚1000元/人·天的违约金。项目部关键岗位人员离岗必须向发包人项目组长履行请假手续，若被我</w:t>
      </w:r>
      <w:r>
        <w:rPr>
          <w:rFonts w:hint="eastAsia" w:ascii="宋体" w:hAnsi="宋体" w:eastAsia="宋体" w:cs="宋体"/>
          <w:color w:val="auto"/>
          <w:sz w:val="21"/>
          <w:szCs w:val="21"/>
          <w:highlight w:val="none"/>
          <w:u w:val="single"/>
          <w:lang w:val="en-US" w:eastAsia="zh-CN"/>
        </w:rPr>
        <w:t>单位</w:t>
      </w:r>
      <w:r>
        <w:rPr>
          <w:rFonts w:hint="eastAsia" w:ascii="宋体" w:hAnsi="宋体" w:eastAsia="宋体" w:cs="宋体"/>
          <w:color w:val="auto"/>
          <w:sz w:val="21"/>
          <w:szCs w:val="21"/>
          <w:highlight w:val="none"/>
          <w:u w:val="single"/>
        </w:rPr>
        <w:t>和相关部门日常检查和随机抽查中发现不在岗的，又未履行请假手续的，处罚1000元/人·次的违约金</w:t>
      </w:r>
      <w:r>
        <w:rPr>
          <w:rFonts w:hint="eastAsia" w:ascii="宋体" w:hAnsi="宋体" w:cs="宋体"/>
          <w:color w:val="auto"/>
          <w:highlight w:val="none"/>
        </w:rPr>
        <w:t>。</w:t>
      </w:r>
    </w:p>
    <w:p w14:paraId="5367FA3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项目经理未经批准，擅自离开施工现场的违约责任：</w:t>
      </w:r>
      <w:r>
        <w:rPr>
          <w:rFonts w:hint="eastAsia" w:ascii="宋体" w:hAnsi="宋体" w:eastAsia="宋体" w:cs="宋体"/>
          <w:color w:val="auto"/>
          <w:sz w:val="21"/>
          <w:szCs w:val="21"/>
          <w:highlight w:val="none"/>
          <w:u w:val="single"/>
        </w:rPr>
        <w:t>未按规定在岗履责的，对项目经理和技术负责人处罚2000元/人·天的违约金，对施工现场其他管理人员处罚1000元/人·天的违约金。项目部关键岗位人员离岗必须向发包人项目组长履行请假手续，若被我处和相关部门日常检查和随机抽查中发现不在岗的，又未履行请假手续的，处罚1000元/人·次的违约金</w:t>
      </w:r>
      <w:r>
        <w:rPr>
          <w:rFonts w:hint="eastAsia" w:ascii="宋体" w:hAnsi="宋体" w:cs="宋体"/>
          <w:color w:val="auto"/>
          <w:szCs w:val="21"/>
          <w:highlight w:val="none"/>
          <w:u w:val="single"/>
        </w:rPr>
        <w:t>。</w:t>
      </w:r>
    </w:p>
    <w:p w14:paraId="738C211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3.2.3 承包人擅自更换项目经理的违约责任：</w:t>
      </w:r>
    </w:p>
    <w:p w14:paraId="33F3D6A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eastAsia="宋体" w:cs="宋体"/>
          <w:color w:val="auto"/>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w:t>
      </w:r>
      <w:r>
        <w:rPr>
          <w:rFonts w:hint="eastAsia" w:ascii="宋体" w:hAnsi="宋体" w:eastAsia="宋体" w:cs="宋体"/>
          <w:color w:val="auto"/>
          <w:sz w:val="21"/>
          <w:szCs w:val="21"/>
          <w:highlight w:val="none"/>
          <w:u w:val="single"/>
        </w:rPr>
        <w:t>并满足《关于进一步加强建筑施工现场项目负责人变更行为管理的通知》及滁州市其他相关规定要求。</w:t>
      </w:r>
      <w:r>
        <w:rPr>
          <w:rFonts w:hint="eastAsia" w:ascii="宋体" w:hAnsi="宋体" w:eastAsia="宋体" w:cs="宋体"/>
          <w:color w:val="auto"/>
          <w:szCs w:val="21"/>
          <w:highlight w:val="none"/>
          <w:u w:val="single"/>
        </w:rPr>
        <w:t>更换后的人员不得低于承包人投标时所报人员资质和技术水平，并支付</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val="en-US" w:eastAsia="zh-CN"/>
        </w:rPr>
        <w:t>万元/次</w:t>
      </w:r>
      <w:r>
        <w:rPr>
          <w:rFonts w:hint="eastAsia" w:ascii="宋体" w:hAnsi="宋体" w:eastAsia="宋体" w:cs="宋体"/>
          <w:color w:val="auto"/>
          <w:szCs w:val="21"/>
          <w:highlight w:val="none"/>
          <w:u w:val="single"/>
        </w:rPr>
        <w:t>的违约金</w:t>
      </w:r>
      <w:r>
        <w:rPr>
          <w:rFonts w:hint="eastAsia" w:ascii="宋体" w:hAnsi="宋体" w:cs="宋体"/>
          <w:color w:val="auto"/>
          <w:szCs w:val="21"/>
          <w:highlight w:val="none"/>
          <w:u w:val="single"/>
        </w:rPr>
        <w:t>。</w:t>
      </w:r>
    </w:p>
    <w:p w14:paraId="52EED8B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w:t>
      </w:r>
    </w:p>
    <w:p w14:paraId="258ABA4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3.2.4 承包人无正当理由拒绝更换项目经理的违约责任：</w:t>
      </w:r>
      <w:r>
        <w:rPr>
          <w:rFonts w:hint="eastAsia" w:ascii="宋体" w:hAnsi="宋体" w:eastAsia="宋体" w:cs="宋体"/>
          <w:color w:val="auto"/>
          <w:szCs w:val="21"/>
          <w:highlight w:val="none"/>
          <w:u w:val="single"/>
        </w:rPr>
        <w:t>当发包人认为项目经理不能满足工程要求时，书面告知承包人后，承包人应当在七个工作日内更换项目经理，并支付</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lang w:val="en-US" w:eastAsia="zh-CN"/>
        </w:rPr>
        <w:t>万</w:t>
      </w:r>
      <w:r>
        <w:rPr>
          <w:rFonts w:hint="eastAsia" w:ascii="宋体" w:hAnsi="宋体" w:eastAsia="宋体" w:cs="宋体"/>
          <w:color w:val="auto"/>
          <w:szCs w:val="21"/>
          <w:highlight w:val="none"/>
          <w:u w:val="single"/>
        </w:rPr>
        <w:t>元的违约金。若未按要求及时更换项目经理，发包人有权处以承包人违约金</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万元。承包人需一次性向发包人现金转账支付违约金，否则发包人有权在进度款支付中扣除。如承包人拒不更换项目经理，发包人有权要求承包人退场并解除合同。更换后的项目经理资质、业绩经验不得低于变更前项目负责人资质、业绩经验。且由此增加的费用和（或）延误的工期由承包人承担</w:t>
      </w:r>
      <w:r>
        <w:rPr>
          <w:rFonts w:hint="eastAsia" w:ascii="宋体" w:hAnsi="宋体" w:cs="宋体"/>
          <w:color w:val="auto"/>
          <w:highlight w:val="none"/>
        </w:rPr>
        <w:t>。</w:t>
      </w:r>
    </w:p>
    <w:p w14:paraId="0E7FCAD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3.3 承包人人员</w:t>
      </w:r>
    </w:p>
    <w:p w14:paraId="37ED96C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3.3.1 承包人提交项目管理机构及施工现场管理人员安排报告的期限：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承包人应在合同签订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r>
        <w:rPr>
          <w:rFonts w:hint="eastAsia" w:ascii="宋体" w:hAnsi="宋体" w:cs="宋体"/>
          <w:color w:val="auto"/>
          <w:highlight w:val="none"/>
        </w:rPr>
        <w:t>。</w:t>
      </w:r>
    </w:p>
    <w:p w14:paraId="41AC525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3.3.3 承包人无正当理由拒绝撤换主要施工管理人员的违约责任：</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发包人可以要求承包人更换其认为不称职或不符合要求的项目主要施工管理人员，承包人应予以执行。承包人必须在收到发包人更换项目施工管理人员书面通知的7天内负责更换，更换的项目施工管理人员应得到发包人的书面确认。承包人无正当理由拒绝更换项目施工管理人员的，自承包人接到发包人更换项目施工管理人员通知之第8日起，承包人向发包人支付违约金5000元/天，直至更换符合发包人要求的项目施工管理人员为止，由此增加的费用和（或）延误的工期及其它责任由承包人承担</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BD5D8F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3.3.4 承包人主要施工管理人员离开施工现场的批准要求：</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离开时必须事先征得发包人和监理人同意后方可离开</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28365FC9">
      <w:pPr>
        <w:adjustRightInd w:val="0"/>
        <w:snapToGrid w:val="0"/>
        <w:spacing w:line="384" w:lineRule="auto"/>
        <w:ind w:firstLine="424" w:firstLineChars="202"/>
        <w:rPr>
          <w:rFonts w:hint="eastAsia"/>
          <w:color w:val="auto"/>
          <w:highlight w:val="none"/>
        </w:rPr>
      </w:pPr>
      <w:r>
        <w:rPr>
          <w:rFonts w:hint="eastAsia" w:ascii="宋体" w:hAnsi="宋体" w:cs="宋体"/>
          <w:color w:val="auto"/>
          <w:highlight w:val="none"/>
        </w:rPr>
        <w:t>3.3.5 承包人擅自更换主要施工管理人员的违约责任：</w:t>
      </w:r>
      <w:r>
        <w:rPr>
          <w:rFonts w:hint="eastAsia" w:ascii="宋体" w:hAnsi="宋体" w:cs="宋体"/>
          <w:color w:val="auto"/>
          <w:szCs w:val="21"/>
          <w:highlight w:val="none"/>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w:t>
      </w:r>
      <w:r>
        <w:rPr>
          <w:rFonts w:hint="eastAsia" w:ascii="宋体" w:hAnsi="宋体" w:cs="宋体"/>
          <w:b/>
          <w:bCs/>
          <w:color w:val="auto"/>
          <w:szCs w:val="21"/>
          <w:highlight w:val="none"/>
          <w:u w:val="single"/>
        </w:rPr>
        <w:t xml:space="preserve">并支付 </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 xml:space="preserve"> 万元/人的违约金，</w:t>
      </w:r>
      <w:r>
        <w:rPr>
          <w:rFonts w:hint="eastAsia" w:ascii="宋体" w:hAnsi="宋体" w:cs="宋体"/>
          <w:color w:val="auto"/>
          <w:szCs w:val="21"/>
          <w:highlight w:val="none"/>
          <w:u w:val="single"/>
        </w:rPr>
        <w:t>更换后的人员不得低于承包人投标时所报人员资质和技术水平。发包人如认为有必要，可要求对上述人员中的部分人员作出更好的调整。其他需要补充的内容。</w:t>
      </w:r>
    </w:p>
    <w:p w14:paraId="416BAF7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承包人主要施工管理人员擅自离开施工现场的违约责任：</w:t>
      </w:r>
      <w:r>
        <w:rPr>
          <w:rFonts w:hint="eastAsia" w:ascii="宋体" w:hAnsi="宋体" w:eastAsia="宋体" w:cs="宋体"/>
          <w:color w:val="auto"/>
          <w:szCs w:val="21"/>
          <w:highlight w:val="none"/>
          <w:u w:val="single"/>
        </w:rPr>
        <w:t>未按规定在岗履责的，对项目经理和技术负责人处罚5000元/人·天的违约金，对施工现场其他管理人员处罚1000元/人·天的违约金。项目部关键岗位人员离岗必须向发包人项目组长履行请假手续，若被我处和相关部门日常检查和随机抽查中发现不在岗的，又未履行请假手续的，处罚5000元/人·次的违约金</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0D073A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w:t>
      </w:r>
      <w:bookmarkStart w:id="801" w:name="_Toc292559364"/>
      <w:bookmarkStart w:id="802" w:name="_Toc312677988"/>
      <w:bookmarkStart w:id="803" w:name="_Toc296944498"/>
      <w:bookmarkStart w:id="804" w:name="_Toc296891199"/>
      <w:bookmarkStart w:id="805" w:name="_Toc300934945"/>
      <w:bookmarkStart w:id="806" w:name="_Toc297048345"/>
      <w:bookmarkStart w:id="807" w:name="_Toc297123492"/>
      <w:bookmarkStart w:id="808" w:name="_Toc296346660"/>
      <w:bookmarkStart w:id="809" w:name="_Toc304295523"/>
      <w:bookmarkStart w:id="810" w:name="_Toc296347158"/>
      <w:bookmarkStart w:id="811" w:name="_Toc292559869"/>
      <w:bookmarkStart w:id="812" w:name="_Toc296890987"/>
      <w:bookmarkStart w:id="813" w:name="_Toc303539102"/>
      <w:bookmarkStart w:id="814" w:name="_Toc296503159"/>
      <w:bookmarkStart w:id="815" w:name="_Toc297216151"/>
      <w:bookmarkStart w:id="816" w:name="_Toc297120459"/>
      <w:r>
        <w:rPr>
          <w:rFonts w:hint="eastAsia" w:ascii="宋体" w:hAnsi="宋体" w:cs="宋体"/>
          <w:bCs/>
          <w:color w:val="auto"/>
          <w:szCs w:val="28"/>
          <w:highlight w:val="none"/>
        </w:rPr>
        <w:t>.5 分包</w:t>
      </w:r>
    </w:p>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14:paraId="123E422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bookmarkStart w:id="817" w:name="_Toc297048346"/>
      <w:bookmarkStart w:id="818" w:name="_Toc297120460"/>
      <w:bookmarkStart w:id="819" w:name="_Toc300934946"/>
      <w:bookmarkStart w:id="820" w:name="_Toc296944499"/>
      <w:bookmarkStart w:id="821" w:name="_Toc296347159"/>
      <w:bookmarkStart w:id="822" w:name="_Toc292559365"/>
      <w:bookmarkStart w:id="823" w:name="_Toc297216152"/>
      <w:bookmarkStart w:id="824" w:name="_Toc296503160"/>
      <w:bookmarkStart w:id="825" w:name="_Toc304295524"/>
      <w:bookmarkStart w:id="826" w:name="_Toc292559870"/>
      <w:bookmarkStart w:id="827" w:name="_Toc296891200"/>
      <w:bookmarkStart w:id="828" w:name="_Toc303539103"/>
      <w:bookmarkStart w:id="829" w:name="_Toc297123493"/>
      <w:bookmarkStart w:id="830" w:name="_Toc296890988"/>
      <w:bookmarkStart w:id="831" w:name="_Toc296346661"/>
      <w:bookmarkStart w:id="832" w:name="_Toc312677989"/>
      <w:bookmarkStart w:id="833" w:name="_Toc318581158"/>
      <w:r>
        <w:rPr>
          <w:rFonts w:hint="eastAsia" w:ascii="宋体" w:hAnsi="宋体" w:cs="宋体"/>
          <w:color w:val="auto"/>
          <w:highlight w:val="none"/>
        </w:rPr>
        <w:t>.5.1 分包的一般约定</w:t>
      </w:r>
    </w:p>
    <w:p w14:paraId="60CEA9E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禁止分包的工程包括：</w:t>
      </w:r>
      <w:r>
        <w:rPr>
          <w:rFonts w:hint="eastAsia" w:ascii="宋体" w:hAnsi="宋体" w:eastAsia="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r>
        <w:rPr>
          <w:rFonts w:hint="eastAsia" w:ascii="宋体" w:hAnsi="宋体" w:cs="宋体"/>
          <w:color w:val="auto"/>
          <w:highlight w:val="none"/>
        </w:rPr>
        <w:t>。</w:t>
      </w:r>
    </w:p>
    <w:p w14:paraId="0828B1E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主体结构、关键性工作的范围：</w:t>
      </w:r>
      <w:r>
        <w:rPr>
          <w:rFonts w:hint="eastAsia" w:ascii="宋体" w:hAnsi="宋体" w:eastAsia="宋体" w:cs="宋体"/>
          <w:color w:val="auto"/>
          <w:szCs w:val="21"/>
          <w:highlight w:val="none"/>
          <w:u w:val="single"/>
        </w:rPr>
        <w:t>房建、水利工程为主体结构；市政工程为道路基层、面层；桥梁为主体结构；园林景观工程为绿化采购、栽植、养护；等等</w:t>
      </w:r>
      <w:r>
        <w:rPr>
          <w:rFonts w:hint="eastAsia" w:ascii="宋体" w:hAnsi="宋体" w:cs="宋体"/>
          <w:color w:val="auto"/>
          <w:highlight w:val="none"/>
        </w:rPr>
        <w:t>。</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Start w:id="834" w:name="_Toc296346662"/>
      <w:bookmarkStart w:id="835" w:name="_Toc303539104"/>
      <w:bookmarkStart w:id="836" w:name="_Toc297123494"/>
      <w:bookmarkStart w:id="837" w:name="_Toc296944500"/>
      <w:bookmarkStart w:id="838" w:name="_Toc296503161"/>
      <w:bookmarkStart w:id="839" w:name="_Toc297120461"/>
      <w:bookmarkStart w:id="840" w:name="_Toc297048347"/>
      <w:bookmarkStart w:id="841" w:name="_Toc296347160"/>
      <w:bookmarkStart w:id="842" w:name="_Toc296890989"/>
      <w:bookmarkStart w:id="843" w:name="_Toc300934947"/>
      <w:bookmarkStart w:id="844" w:name="_Toc297216153"/>
      <w:bookmarkStart w:id="845" w:name="_Toc304295525"/>
      <w:bookmarkStart w:id="846" w:name="_Toc296891201"/>
    </w:p>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14:paraId="2ADECB9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bookmarkStart w:id="847" w:name="_Toc318581159"/>
      <w:bookmarkStart w:id="848" w:name="_Toc312677990"/>
      <w:r>
        <w:rPr>
          <w:rFonts w:hint="eastAsia" w:ascii="宋体" w:hAnsi="宋体" w:cs="宋体"/>
          <w:color w:val="auto"/>
          <w:highlight w:val="none"/>
        </w:rPr>
        <w:t>.5.2 分包的确定</w:t>
      </w:r>
    </w:p>
    <w:p w14:paraId="5E67408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允许分包的专业工程包括：</w:t>
      </w:r>
      <w:r>
        <w:rPr>
          <w:rFonts w:hint="eastAsia" w:ascii="宋体" w:hAnsi="宋体" w:cs="宋体"/>
          <w:color w:val="auto"/>
          <w:szCs w:val="21"/>
          <w:highlight w:val="none"/>
          <w:u w:val="single"/>
        </w:rPr>
        <w:t xml:space="preserve"> 按国家规定</w:t>
      </w:r>
      <w:r>
        <w:rPr>
          <w:rFonts w:hint="eastAsia" w:ascii="宋体" w:hAnsi="宋体" w:cs="宋体"/>
          <w:color w:val="auto"/>
          <w:highlight w:val="none"/>
        </w:rPr>
        <w:t>。</w:t>
      </w:r>
    </w:p>
    <w:p w14:paraId="1F5D440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其他关于分包的约定：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承包人不得以劳务分包的名义转包或违法分包工程。发包人一经发现承包人转包、挂靠等行为的，发包人立即解除合同，清退出场，承包人已完合格工程量按合同价款70%进行结算</w:t>
      </w:r>
      <w:r>
        <w:rPr>
          <w:rFonts w:hint="eastAsia" w:ascii="宋体" w:hAnsi="宋体" w:cs="宋体"/>
          <w:color w:val="auto"/>
          <w:highlight w:val="none"/>
        </w:rPr>
        <w:t>。</w:t>
      </w:r>
    </w:p>
    <w:p w14:paraId="379C2C9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3.5.4 分包合同价款</w:t>
      </w:r>
    </w:p>
    <w:p w14:paraId="4863D53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关于分包合同价款支付的约定：</w:t>
      </w:r>
      <w:r>
        <w:rPr>
          <w:rFonts w:hint="eastAsia" w:ascii="宋体" w:hAnsi="宋体" w:eastAsia="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hAnsi="宋体" w:cs="宋体"/>
          <w:color w:val="auto"/>
          <w:highlight w:val="none"/>
        </w:rPr>
        <w:t>。</w:t>
      </w:r>
    </w:p>
    <w:bookmarkEnd w:id="847"/>
    <w:bookmarkEnd w:id="848"/>
    <w:p w14:paraId="0498237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3.6 工程照管与成品、半成品保护</w:t>
      </w:r>
    </w:p>
    <w:p w14:paraId="530A7807">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承包人负责照管工程及工程相关的材料、工程设备的起始时间：</w:t>
      </w:r>
      <w:r>
        <w:rPr>
          <w:rFonts w:hint="eastAsia" w:ascii="宋体" w:hAnsi="宋体" w:cs="宋体"/>
          <w:color w:val="auto"/>
          <w:szCs w:val="21"/>
          <w:highlight w:val="none"/>
          <w:u w:val="single"/>
        </w:rPr>
        <w:t>自发包人向承包人移交施工现场之日起，承包人应负责照管工程及工程相关的材料、工程设备，直到颁发工程接收证书之日止。</w:t>
      </w:r>
    </w:p>
    <w:p w14:paraId="2ED67A1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3.7 履约保证金</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3"/>
      </w:r>
    </w:p>
    <w:p w14:paraId="04DFF6D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承包人是否提供履约保证金： </w:t>
      </w:r>
      <w:r>
        <w:rPr>
          <w:rFonts w:hint="eastAsia" w:ascii="宋体" w:hAnsi="宋体" w:cs="宋体"/>
          <w:color w:val="auto"/>
          <w:szCs w:val="21"/>
          <w:highlight w:val="none"/>
          <w:u w:val="single"/>
        </w:rPr>
        <w:t xml:space="preserve">提供 </w:t>
      </w:r>
      <w:r>
        <w:rPr>
          <w:rFonts w:hint="eastAsia" w:ascii="宋体" w:hAnsi="宋体" w:cs="宋体"/>
          <w:color w:val="auto"/>
          <w:highlight w:val="none"/>
        </w:rPr>
        <w:t>。</w:t>
      </w:r>
    </w:p>
    <w:p w14:paraId="4213708C">
      <w:pPr>
        <w:adjustRightInd w:val="0"/>
        <w:snapToGrid w:val="0"/>
        <w:spacing w:line="384" w:lineRule="auto"/>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承包人提供履约保证金的形式：</w:t>
      </w:r>
      <w:r>
        <w:rPr>
          <w:rFonts w:hint="eastAsia" w:ascii="宋体" w:hAnsi="宋体" w:cs="宋体"/>
          <w:bCs/>
          <w:snapToGrid w:val="0"/>
          <w:color w:val="auto"/>
          <w:kern w:val="0"/>
          <w:szCs w:val="21"/>
          <w:highlight w:val="none"/>
        </w:rPr>
        <w:t>银行转账或银行电汇或银行保函或担保机构担保或保证保险</w:t>
      </w:r>
    </w:p>
    <w:p w14:paraId="2F72FD05">
      <w:pPr>
        <w:adjustRightInd w:val="0"/>
        <w:snapToGrid w:val="0"/>
        <w:spacing w:line="384" w:lineRule="auto"/>
        <w:ind w:left="-73" w:leftChars="-35" w:firstLine="497" w:firstLineChars="237"/>
        <w:rPr>
          <w:rFonts w:hint="eastAsia"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注：</w:t>
      </w:r>
      <w:r>
        <w:rPr>
          <w:rFonts w:hint="eastAsia" w:ascii="宋体" w:hAnsi="宋体" w:cs="宋体"/>
          <w:color w:val="auto"/>
          <w:highlight w:val="none"/>
        </w:rPr>
        <w:t>履约保证金的金额：</w:t>
      </w:r>
      <w:r>
        <w:rPr>
          <w:rFonts w:hint="eastAsia" w:ascii="宋体" w:hAnsi="宋体" w:cs="宋体"/>
          <w:color w:val="auto"/>
          <w:szCs w:val="21"/>
          <w:highlight w:val="none"/>
        </w:rPr>
        <w:t xml:space="preserve">中标合同金额× </w:t>
      </w:r>
      <w:r>
        <w:rPr>
          <w:rFonts w:hint="eastAsia" w:ascii="宋体" w:hAnsi="宋体" w:cs="宋体"/>
          <w:color w:val="auto"/>
          <w:highlight w:val="none"/>
        </w:rPr>
        <w:t>2％ 。</w:t>
      </w:r>
    </w:p>
    <w:p w14:paraId="73391859">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 xml:space="preserve">履约保证金提交期限的要求： </w:t>
      </w:r>
      <w:r>
        <w:rPr>
          <w:rFonts w:hint="eastAsia" w:ascii="宋体" w:hAnsi="宋体" w:eastAsia="宋体" w:cs="宋体"/>
          <w:color w:val="auto"/>
          <w:szCs w:val="21"/>
          <w:highlight w:val="none"/>
          <w:u w:val="single"/>
        </w:rPr>
        <w:t>签订合同</w:t>
      </w:r>
      <w:r>
        <w:rPr>
          <w:rFonts w:hint="eastAsia" w:ascii="宋体" w:hAnsi="宋体" w:eastAsia="宋体" w:cs="宋体"/>
          <w:color w:val="auto"/>
          <w:szCs w:val="21"/>
          <w:highlight w:val="none"/>
          <w:u w:val="single"/>
          <w:lang w:val="en-US" w:eastAsia="zh-CN"/>
        </w:rPr>
        <w:t>前</w:t>
      </w:r>
      <w:r>
        <w:rPr>
          <w:rFonts w:hint="eastAsia" w:ascii="宋体" w:hAnsi="宋体" w:cs="宋体"/>
          <w:color w:val="auto"/>
          <w:szCs w:val="21"/>
          <w:highlight w:val="none"/>
          <w:u w:val="single"/>
        </w:rPr>
        <w:t xml:space="preserve"> 。</w:t>
      </w:r>
      <w:r>
        <w:rPr>
          <w:rFonts w:hint="eastAsia" w:ascii="宋体" w:hAnsi="宋体" w:cs="宋体"/>
          <w:color w:val="auto"/>
          <w:highlight w:val="none"/>
        </w:rPr>
        <w:t xml:space="preserve"> </w:t>
      </w:r>
    </w:p>
    <w:p w14:paraId="6E8FD8B2">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bCs/>
          <w:snapToGrid w:val="0"/>
          <w:color w:val="auto"/>
          <w:kern w:val="0"/>
          <w:szCs w:val="21"/>
          <w:highlight w:val="none"/>
        </w:rPr>
        <w:t>履约保证金退还时限：履约保证金有效期满7日内（最迟不得超过项目竣工验收通过后28天）。</w:t>
      </w:r>
    </w:p>
    <w:p w14:paraId="3DBD58C4">
      <w:pPr>
        <w:keepNext/>
        <w:keepLines/>
        <w:adjustRightInd w:val="0"/>
        <w:snapToGrid w:val="0"/>
        <w:spacing w:line="384" w:lineRule="auto"/>
        <w:jc w:val="left"/>
        <w:outlineLvl w:val="2"/>
        <w:rPr>
          <w:rFonts w:hint="eastAsia" w:ascii="宋体" w:hAnsi="宋体" w:cs="宋体"/>
          <w:bCs/>
          <w:color w:val="auto"/>
          <w:sz w:val="24"/>
          <w:highlight w:val="none"/>
        </w:rPr>
      </w:pPr>
      <w:bookmarkStart w:id="849" w:name="_Toc351203636"/>
      <w:bookmarkStart w:id="850" w:name="_Toc95223465"/>
      <w:r>
        <w:rPr>
          <w:rFonts w:hint="eastAsia" w:ascii="宋体" w:hAnsi="宋体" w:cs="宋体"/>
          <w:bCs/>
          <w:color w:val="auto"/>
          <w:sz w:val="24"/>
          <w:highlight w:val="none"/>
        </w:rPr>
        <w:t>4</w:t>
      </w:r>
      <w:bookmarkStart w:id="851" w:name="_Toc296347161"/>
      <w:bookmarkStart w:id="852" w:name="_Toc297120462"/>
      <w:bookmarkStart w:id="853" w:name="_Toc296346663"/>
      <w:bookmarkStart w:id="854" w:name="_Toc296503162"/>
      <w:bookmarkStart w:id="855" w:name="_Toc267251413"/>
      <w:bookmarkStart w:id="856" w:name="_Toc297048348"/>
      <w:bookmarkStart w:id="857" w:name="_Toc296890990"/>
      <w:bookmarkStart w:id="858" w:name="_Toc292559366"/>
      <w:bookmarkStart w:id="859" w:name="_Toc296891202"/>
      <w:bookmarkStart w:id="860" w:name="_Toc296944501"/>
      <w:bookmarkStart w:id="861" w:name="_Toc292559871"/>
      <w:r>
        <w:rPr>
          <w:rFonts w:hint="eastAsia" w:ascii="宋体" w:hAnsi="宋体" w:cs="宋体"/>
          <w:bCs/>
          <w:color w:val="auto"/>
          <w:sz w:val="24"/>
          <w:highlight w:val="none"/>
        </w:rPr>
        <w:t>. 监</w:t>
      </w:r>
      <w:bookmarkEnd w:id="851"/>
      <w:bookmarkEnd w:id="852"/>
      <w:bookmarkEnd w:id="853"/>
      <w:bookmarkEnd w:id="854"/>
      <w:bookmarkEnd w:id="855"/>
      <w:bookmarkEnd w:id="856"/>
      <w:bookmarkEnd w:id="857"/>
      <w:bookmarkEnd w:id="858"/>
      <w:bookmarkEnd w:id="859"/>
      <w:bookmarkEnd w:id="860"/>
      <w:bookmarkEnd w:id="861"/>
      <w:r>
        <w:rPr>
          <w:rFonts w:hint="eastAsia" w:ascii="宋体" w:hAnsi="宋体" w:cs="宋体"/>
          <w:bCs/>
          <w:color w:val="auto"/>
          <w:sz w:val="24"/>
          <w:highlight w:val="none"/>
        </w:rPr>
        <w:t>理人</w:t>
      </w:r>
      <w:bookmarkEnd w:id="849"/>
      <w:bookmarkEnd w:id="850"/>
    </w:p>
    <w:p w14:paraId="2299427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4.1 监理人的一般规定</w:t>
      </w:r>
    </w:p>
    <w:p w14:paraId="698A481A">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关于监理人的监理内容：</w:t>
      </w:r>
      <w:r>
        <w:rPr>
          <w:rFonts w:hint="eastAsia" w:ascii="宋体" w:hAnsi="宋体" w:eastAsia="宋体" w:cs="宋体"/>
          <w:color w:val="auto"/>
          <w:szCs w:val="21"/>
          <w:highlight w:val="none"/>
          <w:u w:val="single"/>
        </w:rPr>
        <w:t>详见监理合同</w:t>
      </w:r>
      <w:r>
        <w:rPr>
          <w:rFonts w:hint="eastAsia" w:ascii="宋体" w:hAnsi="宋体" w:cs="宋体"/>
          <w:color w:val="auto"/>
          <w:szCs w:val="21"/>
          <w:highlight w:val="none"/>
        </w:rPr>
        <w:t>。</w:t>
      </w:r>
    </w:p>
    <w:p w14:paraId="7713FDF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关于监理人的监理权限：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等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highlight w:val="none"/>
        </w:rPr>
        <w:t xml:space="preserve"> </w:t>
      </w:r>
    </w:p>
    <w:p w14:paraId="34919C6E">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关于监理人在施工现场的办公场所、生活场所的提供和费用承担的约定：</w:t>
      </w:r>
      <w:r>
        <w:rPr>
          <w:rFonts w:hint="eastAsia" w:ascii="宋体" w:hAnsi="宋体" w:eastAsia="宋体" w:cs="宋体"/>
          <w:color w:val="auto"/>
          <w:szCs w:val="21"/>
          <w:highlight w:val="none"/>
          <w:u w:val="single"/>
        </w:rPr>
        <w:t>办公场所由承包人提供和承担，生活场所由监理人自行解决和承担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BD3EE8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4.2 监理人员</w:t>
      </w:r>
    </w:p>
    <w:p w14:paraId="2E3D38B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总监理工程师：</w:t>
      </w:r>
    </w:p>
    <w:p w14:paraId="7D8B673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348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C4051D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监理工程师执业资格证书号：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A74E9A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w:t>
      </w:r>
      <w:r>
        <w:rPr>
          <w:rFonts w:hint="eastAsia" w:ascii="宋体" w:hAnsi="宋体" w:cs="宋体"/>
          <w:color w:val="auto"/>
          <w:highlight w:val="none"/>
        </w:rPr>
        <w:t>；</w:t>
      </w:r>
    </w:p>
    <w:p w14:paraId="22E55E7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022934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74AD1F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关于监理人的其他约定：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F27D84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4.4 商定或确定</w:t>
      </w:r>
    </w:p>
    <w:p w14:paraId="19D211C3">
      <w:pPr>
        <w:adjustRightInd w:val="0"/>
        <w:snapToGrid w:val="0"/>
        <w:spacing w:line="384" w:lineRule="auto"/>
        <w:ind w:firstLine="420" w:firstLineChars="200"/>
        <w:rPr>
          <w:rFonts w:hint="eastAsia" w:ascii="宋体" w:hAnsi="宋体" w:cs="宋体"/>
          <w:color w:val="auto"/>
          <w:highlight w:val="none"/>
        </w:rPr>
      </w:pPr>
      <w:bookmarkStart w:id="862" w:name="_Toc267251418"/>
      <w:r>
        <w:rPr>
          <w:rFonts w:hint="eastAsia" w:ascii="宋体" w:hAnsi="宋体" w:cs="宋体"/>
          <w:color w:val="auto"/>
          <w:highlight w:val="none"/>
        </w:rPr>
        <w:t>在发包人和承包人不能通过协商达成一致意见时，发包人授权监理人对以下事项进行确定：</w:t>
      </w:r>
    </w:p>
    <w:p w14:paraId="5096E96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施工方案</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6C770B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索赔事项等</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06B200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F0733F8">
      <w:pPr>
        <w:keepNext/>
        <w:keepLines/>
        <w:adjustRightInd w:val="0"/>
        <w:snapToGrid w:val="0"/>
        <w:spacing w:line="384" w:lineRule="auto"/>
        <w:jc w:val="left"/>
        <w:outlineLvl w:val="2"/>
        <w:rPr>
          <w:rFonts w:hint="eastAsia" w:ascii="宋体" w:hAnsi="宋体" w:cs="宋体"/>
          <w:bCs/>
          <w:color w:val="auto"/>
          <w:sz w:val="24"/>
          <w:highlight w:val="none"/>
        </w:rPr>
      </w:pPr>
      <w:bookmarkStart w:id="863" w:name="_Toc351203637"/>
      <w:bookmarkStart w:id="864" w:name="_Toc95223466"/>
      <w:r>
        <w:rPr>
          <w:rFonts w:hint="eastAsia" w:ascii="宋体" w:hAnsi="宋体" w:cs="宋体"/>
          <w:bCs/>
          <w:color w:val="auto"/>
          <w:sz w:val="24"/>
          <w:highlight w:val="none"/>
        </w:rPr>
        <w:t>5</w:t>
      </w:r>
      <w:bookmarkEnd w:id="862"/>
      <w:bookmarkStart w:id="865" w:name="_Toc296503163"/>
      <w:bookmarkStart w:id="866" w:name="_Toc296944502"/>
      <w:bookmarkStart w:id="867" w:name="_Toc297120463"/>
      <w:bookmarkStart w:id="868" w:name="_Toc297048349"/>
      <w:bookmarkStart w:id="869" w:name="_Toc296347162"/>
      <w:bookmarkStart w:id="870" w:name="_Toc296890991"/>
      <w:bookmarkStart w:id="871" w:name="_Toc292559872"/>
      <w:bookmarkStart w:id="872" w:name="_Toc292559367"/>
      <w:bookmarkStart w:id="873" w:name="_Toc296891203"/>
      <w:bookmarkStart w:id="874" w:name="_Toc296346664"/>
      <w:r>
        <w:rPr>
          <w:rFonts w:hint="eastAsia" w:ascii="宋体" w:hAnsi="宋体" w:cs="宋体"/>
          <w:bCs/>
          <w:color w:val="auto"/>
          <w:sz w:val="24"/>
          <w:highlight w:val="none"/>
        </w:rPr>
        <w:t>. 工程质量</w:t>
      </w:r>
      <w:bookmarkEnd w:id="863"/>
      <w:bookmarkEnd w:id="864"/>
    </w:p>
    <w:p w14:paraId="5FC7836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5.1 质量要求</w:t>
      </w:r>
    </w:p>
    <w:p w14:paraId="0BE61F4D">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5</w:t>
      </w:r>
      <w:bookmarkStart w:id="875" w:name="_Toc318581164"/>
      <w:bookmarkStart w:id="876" w:name="_Toc304295527"/>
      <w:bookmarkStart w:id="877" w:name="_Toc300934949"/>
      <w:bookmarkStart w:id="878" w:name="_Toc312677997"/>
      <w:bookmarkStart w:id="879" w:name="_Toc297216155"/>
      <w:bookmarkStart w:id="880" w:name="_Toc297123496"/>
      <w:bookmarkStart w:id="881" w:name="_Toc303539106"/>
      <w:r>
        <w:rPr>
          <w:rFonts w:hint="eastAsia" w:ascii="宋体" w:hAnsi="宋体" w:cs="宋体"/>
          <w:color w:val="auto"/>
          <w:highlight w:val="none"/>
        </w:rPr>
        <w:t>.1.1 特殊质量标准和要求：</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D98F36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关于工程奖项的约定</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4"/>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不要求</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128D93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5.3 隐蔽工程检查</w:t>
      </w:r>
    </w:p>
    <w:p w14:paraId="3F2752AF">
      <w:pPr>
        <w:adjustRightInd w:val="0"/>
        <w:snapToGrid w:val="0"/>
        <w:spacing w:line="384" w:lineRule="auto"/>
        <w:ind w:firstLine="420" w:firstLineChars="200"/>
        <w:rPr>
          <w:rFonts w:hint="eastAsia" w:ascii="宋体" w:hAnsi="宋体" w:eastAsia="宋体" w:cs="宋体"/>
          <w:color w:val="auto"/>
          <w:sz w:val="18"/>
          <w:szCs w:val="18"/>
          <w:highlight w:val="none"/>
          <w:u w:val="single"/>
          <w:lang w:eastAsia="zh-CN"/>
        </w:rPr>
      </w:pPr>
      <w:r>
        <w:rPr>
          <w:rFonts w:hint="eastAsia" w:ascii="宋体" w:hAnsi="宋体" w:cs="宋体"/>
          <w:color w:val="auto"/>
          <w:highlight w:val="none"/>
        </w:rPr>
        <w:t>5.3.2 承包人提前通知监理人隐蔽工程检查的期限的约定：</w:t>
      </w:r>
      <w:r>
        <w:rPr>
          <w:rFonts w:hint="eastAsia" w:ascii="宋体" w:hAnsi="宋体" w:eastAsia="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w:t>
      </w:r>
      <w:r>
        <w:rPr>
          <w:rFonts w:hint="eastAsia" w:ascii="宋体" w:hAnsi="宋体" w:eastAsia="宋体" w:cs="宋体"/>
          <w:color w:val="auto"/>
          <w:szCs w:val="21"/>
          <w:highlight w:val="none"/>
          <w:u w:val="single"/>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r>
        <w:rPr>
          <w:rFonts w:hint="eastAsia" w:ascii="宋体" w:hAnsi="宋体" w:eastAsia="宋体" w:cs="宋体"/>
          <w:color w:val="auto"/>
          <w:sz w:val="18"/>
          <w:szCs w:val="18"/>
          <w:highlight w:val="none"/>
          <w:u w:val="single"/>
          <w:lang w:eastAsia="zh-CN"/>
        </w:rPr>
        <w:t>。</w:t>
      </w:r>
    </w:p>
    <w:p w14:paraId="121A633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eastAsia="宋体" w:cs="宋体"/>
          <w:color w:val="auto"/>
          <w:szCs w:val="21"/>
          <w:highlight w:val="none"/>
          <w:u w:val="single"/>
          <w:lang w:eastAsia="zh-CN"/>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3B14631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监理人不能按时进行检查时，应提前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小时提交书面延期要求。</w:t>
      </w:r>
    </w:p>
    <w:p w14:paraId="03E056C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关于延期最长不得超过：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w:t>
      </w:r>
    </w:p>
    <w:p w14:paraId="4DB33754">
      <w:pPr>
        <w:keepNext/>
        <w:keepLines/>
        <w:adjustRightInd w:val="0"/>
        <w:snapToGrid w:val="0"/>
        <w:spacing w:line="384" w:lineRule="auto"/>
        <w:jc w:val="left"/>
        <w:outlineLvl w:val="2"/>
        <w:rPr>
          <w:rFonts w:hint="eastAsia" w:ascii="宋体" w:hAnsi="宋体" w:cs="宋体"/>
          <w:bCs/>
          <w:color w:val="auto"/>
          <w:sz w:val="24"/>
          <w:highlight w:val="none"/>
        </w:rPr>
      </w:pPr>
      <w:bookmarkStart w:id="882" w:name="_Toc351203638"/>
      <w:bookmarkStart w:id="883" w:name="_Toc95223467"/>
      <w:r>
        <w:rPr>
          <w:rFonts w:hint="eastAsia" w:ascii="宋体" w:hAnsi="宋体" w:cs="宋体"/>
          <w:bCs/>
          <w:color w:val="auto"/>
          <w:sz w:val="24"/>
          <w:highlight w:val="none"/>
        </w:rPr>
        <w:t>6. 安全文明施工与环境保护</w:t>
      </w:r>
      <w:bookmarkEnd w:id="882"/>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5"/>
      </w:r>
      <w:bookmarkEnd w:id="883"/>
    </w:p>
    <w:p w14:paraId="51B9569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6.1 安全文明施工</w:t>
      </w:r>
    </w:p>
    <w:p w14:paraId="0DEDAFDD">
      <w:pPr>
        <w:pageBreakBefore w:val="0"/>
        <w:kinsoku/>
        <w:overflowPunct/>
        <w:topLinePunct w:val="0"/>
        <w:bidi w:val="0"/>
        <w:snapToGrid w:val="0"/>
        <w:spacing w:line="440" w:lineRule="exact"/>
        <w:ind w:firstLine="420" w:firstLineChars="200"/>
        <w:jc w:val="left"/>
        <w:rPr>
          <w:rFonts w:hint="eastAsia" w:ascii="宋体" w:hAnsi="宋体" w:eastAsia="宋体" w:cs="宋体"/>
          <w:color w:val="auto"/>
          <w:szCs w:val="21"/>
          <w:highlight w:val="none"/>
          <w:u w:val="single"/>
        </w:rPr>
      </w:pPr>
      <w:r>
        <w:rPr>
          <w:rFonts w:hint="eastAsia" w:ascii="宋体" w:hAnsi="宋体" w:cs="宋体"/>
          <w:color w:val="auto"/>
          <w:highlight w:val="none"/>
        </w:rPr>
        <w:t>6.1.1 项目安全生产的达标目标及相应事项的约定：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承包人应按《建筑施工企业安全生产管理机构设置及专职安全生产管理人员配备办法》（建质【2008】91 号）设置专职安全生产管理人员，并按照工程建设安全生产有关管理规定及技术标准和要求采取有效的安全措施，确保自身和第三人及周边环境的安全。达到安全生产无事故的目标。由于承包人安全措施不力造成事故的责任和因此发生的费用，由承包人承担</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w:t>
      </w:r>
      <w:r>
        <w:rPr>
          <w:rFonts w:hint="eastAsia" w:ascii="宋体" w:hAnsi="宋体" w:eastAsia="宋体" w:cs="宋体"/>
          <w:color w:val="auto"/>
          <w:szCs w:val="21"/>
          <w:highlight w:val="none"/>
          <w:u w:val="single"/>
        </w:rPr>
        <w:t xml:space="preserve">承包人在履行合同前应制订安全稳定事故应急处理预案并报发包人备案，在合同履行过程中如发生安全稳定事故（指造成人身伤害、财产损失或影响生产经营活动正常进行的一切意外事件或群体事件等），承包人应立即通知发包人并按事先制订的预案进行处理。 </w:t>
      </w:r>
    </w:p>
    <w:p w14:paraId="38278FDA">
      <w:pPr>
        <w:pageBreakBefore w:val="0"/>
        <w:kinsoku/>
        <w:overflowPunct/>
        <w:topLinePunct w:val="0"/>
        <w:bidi w:val="0"/>
        <w:snapToGrid w:val="0"/>
        <w:spacing w:line="44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应遵守工程建设安全生产有关管理规定，严格按安全标准组织施工，并随时接受行业安全检查人员依法实施的监督检查，采取必要的安全防护措施，消除事故隐患。一旦发生任何事故，承包人应尽快向监理工程师和发包人报告事故的详情。此外，在发生任何死亡或重大事故时，承包人应立即用最快的可行方法通知监理工程师、发包人。承包人处理安全事故方案应事先征求发包人的意见。除非法律另有规定，未经发包人书面同意，承包人不得就所发生的安全事故向任何第三方予以披露。如安全生产事故系因承包人（包含其员工、代理人及其他一切关联方）的原因所引起的，则承包人应承担由此引起的一切法律责任及经济损失，发包人有权在承包人工程款中直接等额扣除相应损失金额，同时承包人还应按每个事故向发包人支付人民币3-50万元的违约金（具体金额由发包人按以下标准在相应幅度内确定后一并在工程款中予以扣除，事故被公司层面通报的为3－10万；事故被招标人职能部门通报的为10－20万；事故被市级职能部门通报的为20－30万；事故被市级以上职能部门通报的为40－50万）以作为给发包人带来不便和增加工作的补偿，这不包括有关当局由于上述事故而规定的任何罚金或采取措施的费用。如发包人因此产生对第三方赔偿、补偿等负担义务的，由承包人最终承担。</w:t>
      </w:r>
    </w:p>
    <w:p w14:paraId="109F8F90">
      <w:pPr>
        <w:pageBreakBefore w:val="0"/>
        <w:kinsoku/>
        <w:overflowPunct/>
        <w:topLinePunct w:val="0"/>
        <w:bidi w:val="0"/>
        <w:snapToGrid w:val="0"/>
        <w:spacing w:line="44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如发生的安全生产事故导致人员伤亡或经济损失在10万元以上的，则发包人有权解除与承包人的合同，承包人应承担由此引起的一切法律责任及经济损失。 </w:t>
      </w:r>
    </w:p>
    <w:p w14:paraId="21DC042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eastAsia="宋体" w:cs="宋体"/>
          <w:color w:val="auto"/>
          <w:szCs w:val="21"/>
          <w:highlight w:val="none"/>
          <w:u w:val="single"/>
        </w:rPr>
        <w:t>安全防护文明施工措施费已包含在合同价款中，承包人应自行承担该费</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A7D4B6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6.1.4 关于治安保卫的特别约定：</w:t>
      </w:r>
      <w:r>
        <w:rPr>
          <w:rFonts w:hint="eastAsia" w:ascii="宋体" w:hAnsi="宋体" w:eastAsia="宋体" w:cs="宋体"/>
          <w:color w:val="auto"/>
          <w:szCs w:val="21"/>
          <w:highlight w:val="none"/>
          <w:u w:val="single"/>
        </w:rPr>
        <w:t>发包人应与当地公安部门协商，在现场建立治安管理机构或联防组织，统一管理施工场地的治安保卫事项，履行合同工程的治安保卫职责。承包人除应协助现场治安管理机构或联防组织维护施工场地的社会治安外，还应做好包括生活区在内的各自管辖区的治安保卫工作。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6C5CC18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关于编制施工场地治安管理计划的约定：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承包人编制，监理人审核，其它按照通用合同条款约定执行</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5E21085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6.1.5 文明施工</w:t>
      </w:r>
    </w:p>
    <w:p w14:paraId="0CA225B1">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highlight w:val="none"/>
        </w:rPr>
        <w:t>合同当事人对文明施工的要求：</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1）符合项目建设地文明施工要求；（2）承包人应按照《安徽省建筑施工安全质量标准化示范工地申报考核办法》的通知要求申报省级“安全质量标准化示范工地”，费用自理。（3）发生安全事故，承包人应按照有关规定立即上报有关部门并通知工程师，同时按照政府有关要求处理，由事故责任方承担发生的费用。发包人根据事故的分类对承包人进行处以违约，事故分类：《生产安全事故报告和调查处理条例》（国务院令第493号）中第三条指出根据生产安全事故（以下简称事故）造成的人员伤亡或者直接经济损失，事故一般分为以下等级：</w:t>
      </w:r>
    </w:p>
    <w:p w14:paraId="351C7C09">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（一）特别重大事故，是指造成30人以上死亡，或者100人以上重伤（包括急性工业中毒，下同），或者1亿元以上直接经济损失的事故；</w:t>
      </w:r>
    </w:p>
    <w:p w14:paraId="04F9DB6E">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（二）重大事故，是指造成10人以上30人以下死亡，或者50人以上100人以下重伤，或者5000万元以上1亿元以下直接经济损失的事故；</w:t>
      </w:r>
    </w:p>
    <w:p w14:paraId="28D8DB18">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（三）较大事故，是指造成3人以上10人以下死亡，或者10人以上50人以下重伤，或者1000万元以上5000万元以下直接经济损失的事故；</w:t>
      </w:r>
    </w:p>
    <w:p w14:paraId="5E3A9B48">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（四）一般事故，是指造成3人以下死亡，或者10人以下重伤，或者1000万元以下直接经济损失的事故。</w:t>
      </w:r>
    </w:p>
    <w:p w14:paraId="24000EDB">
      <w:pPr>
        <w:snapToGrid w:val="0"/>
        <w:spacing w:line="50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（以上包括本数，以下不包括本数。）</w:t>
      </w:r>
    </w:p>
    <w:p w14:paraId="1C4BE79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szCs w:val="21"/>
          <w:highlight w:val="none"/>
          <w:u w:val="single"/>
        </w:rPr>
        <w:t>如国家颁布新标准规定，以新划分标准执行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A2EE0D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6.1.6 关于安全文明施工费支付比例和支付期限的约定：</w:t>
      </w:r>
      <w:r>
        <w:rPr>
          <w:rFonts w:hint="eastAsia" w:ascii="宋体" w:hAnsi="宋体" w:cs="宋体"/>
          <w:color w:val="auto"/>
          <w:highlight w:val="none"/>
          <w:u w:val="single"/>
        </w:rPr>
        <w:t xml:space="preserve">  </w:t>
      </w:r>
      <w:r>
        <w:rPr>
          <w:rFonts w:hint="eastAsia" w:ascii="宋体" w:hAnsi="宋体" w:eastAsia="宋体" w:cs="宋体"/>
          <w:strike w:val="0"/>
          <w:dstrike w:val="0"/>
          <w:color w:val="auto"/>
          <w:szCs w:val="21"/>
          <w:highlight w:val="none"/>
          <w:u w:val="single"/>
        </w:rPr>
        <w:t>与工程款同期同比例支付。施工单位须按滁州市相关规定及监理单位、建设单位、安监站要求做好现场安全文明措施</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875"/>
    <w:bookmarkEnd w:id="876"/>
    <w:bookmarkEnd w:id="877"/>
    <w:bookmarkEnd w:id="878"/>
    <w:bookmarkEnd w:id="879"/>
    <w:bookmarkEnd w:id="880"/>
    <w:bookmarkEnd w:id="881"/>
    <w:p w14:paraId="22546D11">
      <w:pPr>
        <w:keepNext/>
        <w:keepLines/>
        <w:adjustRightInd w:val="0"/>
        <w:snapToGrid w:val="0"/>
        <w:spacing w:line="384" w:lineRule="auto"/>
        <w:jc w:val="left"/>
        <w:outlineLvl w:val="2"/>
        <w:rPr>
          <w:rFonts w:hint="eastAsia" w:ascii="宋体" w:hAnsi="宋体" w:cs="宋体"/>
          <w:bCs/>
          <w:color w:val="auto"/>
          <w:sz w:val="24"/>
          <w:highlight w:val="none"/>
        </w:rPr>
      </w:pPr>
      <w:bookmarkStart w:id="884" w:name="_Toc351203639"/>
      <w:bookmarkStart w:id="885" w:name="_Toc95223468"/>
      <w:r>
        <w:rPr>
          <w:rFonts w:hint="eastAsia" w:ascii="宋体" w:hAnsi="宋体" w:cs="宋体"/>
          <w:bCs/>
          <w:color w:val="auto"/>
          <w:sz w:val="24"/>
          <w:highlight w:val="none"/>
        </w:rPr>
        <w:t>7. 工期和进度</w:t>
      </w:r>
      <w:bookmarkEnd w:id="884"/>
      <w:bookmarkEnd w:id="885"/>
    </w:p>
    <w:p w14:paraId="1C3303F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7.1 施工组织设计</w:t>
      </w:r>
    </w:p>
    <w:p w14:paraId="39D03C4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7.1.1 合</w:t>
      </w:r>
      <w:r>
        <w:rPr>
          <w:rFonts w:hint="eastAsia" w:ascii="宋体" w:hAnsi="宋体" w:cs="宋体"/>
          <w:color w:val="auto"/>
          <w:kern w:val="0"/>
          <w:highlight w:val="none"/>
        </w:rPr>
        <w:t>同当事人约定的施工组织设计应包括的其他内容：</w:t>
      </w:r>
      <w:r>
        <w:rPr>
          <w:rFonts w:hint="eastAsia" w:ascii="宋体" w:hAnsi="宋体" w:cs="宋体"/>
          <w:color w:val="auto"/>
          <w:szCs w:val="21"/>
          <w:highlight w:val="none"/>
          <w:u w:val="single"/>
        </w:rPr>
        <w:t xml:space="preserve">总进度计划须含网络图、横道图  </w:t>
      </w:r>
      <w:r>
        <w:rPr>
          <w:rFonts w:hint="eastAsia" w:ascii="宋体" w:hAnsi="宋体" w:cs="宋体"/>
          <w:color w:val="auto"/>
          <w:szCs w:val="21"/>
          <w:highlight w:val="none"/>
        </w:rPr>
        <w:t xml:space="preserve"> 。</w:t>
      </w:r>
    </w:p>
    <w:p w14:paraId="24EDDD2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 xml:space="preserve">7.1.2 </w:t>
      </w:r>
      <w:r>
        <w:rPr>
          <w:rFonts w:hint="eastAsia" w:ascii="宋体" w:hAnsi="宋体" w:cs="宋体"/>
          <w:color w:val="auto"/>
          <w:kern w:val="0"/>
          <w:highlight w:val="none"/>
        </w:rPr>
        <w:t>施工组织设计的提交和修改</w:t>
      </w:r>
    </w:p>
    <w:p w14:paraId="7035EA6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承包人提交详细施工组织设计的期限的约定：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图纸会审及设计交底后一周内提供标后实施性施工组织设计</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714284A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发包人和监理人在收到详细的施工组织设计后确认或提出修改意见的期限：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587D81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886" w:name="_Toc304295541"/>
      <w:bookmarkStart w:id="887" w:name="_Toc297216173"/>
      <w:bookmarkStart w:id="888" w:name="_Toc297123514"/>
      <w:bookmarkStart w:id="889" w:name="_Toc312678005"/>
      <w:bookmarkStart w:id="890" w:name="_Toc312677479"/>
      <w:bookmarkStart w:id="891" w:name="_Toc303539123"/>
      <w:bookmarkStart w:id="892" w:name="_Toc300934966"/>
      <w:r>
        <w:rPr>
          <w:rFonts w:hint="eastAsia" w:ascii="宋体" w:hAnsi="宋体" w:cs="宋体"/>
          <w:bCs/>
          <w:color w:val="auto"/>
          <w:szCs w:val="28"/>
          <w:highlight w:val="none"/>
        </w:rPr>
        <w:t>.2 施工进度计划</w:t>
      </w:r>
    </w:p>
    <w:p w14:paraId="3140362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7.2.2 施工进度计划的修订</w:t>
      </w:r>
    </w:p>
    <w:p w14:paraId="6A33F22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发包人和监理人在收到修订的施工进度计划后确认或提出修改意见的期限：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发包人和监理人应在收到修订的施工进度计划后7天内完成审核和批准或提出修改意见。发包人和监理人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5C87919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7.3 开工</w:t>
      </w:r>
    </w:p>
    <w:p w14:paraId="3E7935C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7.3.1 开工准备</w:t>
      </w:r>
    </w:p>
    <w:p w14:paraId="0341BB5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关于承包人提交</w:t>
      </w:r>
      <w:r>
        <w:rPr>
          <w:rFonts w:hint="eastAsia" w:ascii="宋体" w:hAnsi="宋体" w:cs="宋体"/>
          <w:color w:val="auto"/>
          <w:kern w:val="0"/>
          <w:highlight w:val="none"/>
        </w:rPr>
        <w:t>工程开工报审表的期限：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承</w:t>
      </w:r>
      <w:r>
        <w:rPr>
          <w:rFonts w:hint="eastAsia" w:ascii="宋体" w:hAnsi="宋体" w:eastAsia="宋体" w:cs="宋体"/>
          <w:color w:val="auto"/>
          <w:szCs w:val="21"/>
          <w:highlight w:val="none"/>
          <w:u w:val="single"/>
        </w:rPr>
        <w:t>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1DF85A6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关于发包人应完成的其他开工准备工作及期限：</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5836D9F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关于承包人应完成的其他开工准备工作及期限：</w:t>
      </w:r>
      <w:r>
        <w:rPr>
          <w:rFonts w:hint="eastAsia" w:ascii="宋体" w:hAnsi="宋体" w:eastAsia="宋体" w:cs="宋体"/>
          <w:color w:val="auto"/>
          <w:szCs w:val="21"/>
          <w:highlight w:val="none"/>
          <w:u w:val="single"/>
        </w:rPr>
        <w:t>合同当事人应按约定完成开工准备工作</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2B243D6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7.3.2 开工通知</w:t>
      </w:r>
    </w:p>
    <w:p w14:paraId="6DC0FDB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因发包人原因造成监理人未能在计划开工日期之日起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highlight w:val="none"/>
        </w:rPr>
        <w:t>天内发出开工通知的，承包人有权提出价格调整要求，或者解除合同。</w:t>
      </w:r>
    </w:p>
    <w:bookmarkEnd w:id="886"/>
    <w:bookmarkEnd w:id="887"/>
    <w:bookmarkEnd w:id="888"/>
    <w:bookmarkEnd w:id="889"/>
    <w:bookmarkEnd w:id="890"/>
    <w:bookmarkEnd w:id="891"/>
    <w:bookmarkEnd w:id="892"/>
    <w:p w14:paraId="5EBCC73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7.4 测量放线</w:t>
      </w:r>
    </w:p>
    <w:p w14:paraId="36A4B44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7.4.1 发包人通过监理人向承包人提供测量基准点、基准线和水准点及其书面资料的期限：</w:t>
      </w:r>
      <w:r>
        <w:rPr>
          <w:rFonts w:hint="eastAsia" w:ascii="宋体" w:hAnsi="宋体" w:cs="宋体"/>
          <w:color w:val="auto"/>
          <w:szCs w:val="21"/>
          <w:highlight w:val="none"/>
          <w:u w:val="single"/>
        </w:rPr>
        <w:t xml:space="preserve"> </w:t>
      </w:r>
      <w:r>
        <w:rPr>
          <w:rFonts w:hint="eastAsia" w:ascii="宋体" w:hAnsi="宋体" w:eastAsia="宋体" w:cs="宋体"/>
          <w:color w:val="auto"/>
          <w:highlight w:val="none"/>
          <w:u w:val="single"/>
        </w:rPr>
        <w:t>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B74A7A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893" w:name="_Toc297216175"/>
      <w:bookmarkStart w:id="894" w:name="_Toc312677484"/>
      <w:bookmarkStart w:id="895" w:name="_Toc297123516"/>
      <w:bookmarkStart w:id="896" w:name="_Toc304295546"/>
      <w:bookmarkStart w:id="897" w:name="_Toc303539125"/>
      <w:bookmarkStart w:id="898" w:name="_Toc312678010"/>
      <w:bookmarkStart w:id="899" w:name="_Toc300934968"/>
      <w:r>
        <w:rPr>
          <w:rFonts w:hint="eastAsia" w:ascii="宋体" w:hAnsi="宋体" w:cs="宋体"/>
          <w:bCs/>
          <w:color w:val="auto"/>
          <w:szCs w:val="28"/>
          <w:highlight w:val="none"/>
        </w:rPr>
        <w:t>.5 工期延误</w:t>
      </w:r>
    </w:p>
    <w:bookmarkEnd w:id="893"/>
    <w:bookmarkEnd w:id="894"/>
    <w:bookmarkEnd w:id="895"/>
    <w:bookmarkEnd w:id="896"/>
    <w:bookmarkEnd w:id="897"/>
    <w:bookmarkEnd w:id="898"/>
    <w:bookmarkEnd w:id="899"/>
    <w:p w14:paraId="7156945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7.5.1 因发包人原因导致工期延误</w:t>
      </w:r>
    </w:p>
    <w:p w14:paraId="5DD56F9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（7）因发包人原因导致工期延误的其他情形：</w:t>
      </w:r>
      <w:r>
        <w:rPr>
          <w:rFonts w:hint="eastAsia" w:ascii="宋体" w:hAnsi="宋体" w:cs="宋体"/>
          <w:color w:val="auto"/>
          <w:highlight w:val="none"/>
          <w:u w:val="single"/>
        </w:rPr>
        <w:t xml:space="preserve">    </w:t>
      </w:r>
      <w:r>
        <w:rPr>
          <w:rFonts w:hint="eastAsia" w:ascii="宋体" w:hAnsi="宋体" w:eastAsia="宋体" w:cs="宋体"/>
          <w:color w:val="auto"/>
          <w:highlight w:val="none"/>
          <w:u w:val="single"/>
        </w:rPr>
        <w:t>由于发包人的原因和非承包人的责任停工的，工期顺延</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824A8C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w:t>
      </w:r>
      <w:bookmarkStart w:id="900" w:name="_Toc318581169"/>
      <w:bookmarkStart w:id="901" w:name="_Toc312677486"/>
      <w:bookmarkStart w:id="902" w:name="_Toc312678012"/>
      <w:bookmarkStart w:id="903" w:name="_Toc297216177"/>
      <w:bookmarkStart w:id="904" w:name="_Toc297123518"/>
      <w:bookmarkStart w:id="905" w:name="_Toc303539127"/>
      <w:bookmarkStart w:id="906" w:name="_Toc304295548"/>
      <w:bookmarkStart w:id="907" w:name="_Toc300934970"/>
      <w:r>
        <w:rPr>
          <w:rFonts w:hint="eastAsia" w:ascii="宋体" w:hAnsi="宋体" w:cs="宋体"/>
          <w:color w:val="auto"/>
          <w:highlight w:val="none"/>
        </w:rPr>
        <w:t>.5.2 因承包人原因导致工期延误</w:t>
      </w:r>
    </w:p>
    <w:bookmarkEnd w:id="900"/>
    <w:bookmarkEnd w:id="901"/>
    <w:bookmarkEnd w:id="902"/>
    <w:p w14:paraId="03E8564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w:t>
      </w:r>
      <w:bookmarkStart w:id="908" w:name="_Toc312678013"/>
      <w:bookmarkStart w:id="909" w:name="_Toc312677487"/>
      <w:bookmarkStart w:id="910" w:name="_Toc318581170"/>
      <w:r>
        <w:rPr>
          <w:rFonts w:hint="eastAsia" w:ascii="宋体" w:hAnsi="宋体" w:cs="宋体"/>
          <w:color w:val="auto"/>
          <w:highlight w:val="none"/>
        </w:rPr>
        <w:t>承包人原因造成工期延误，逾期竣工违约金的计算方法为：</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投标人自报的承诺工期为考核标准。工期每延误一天，处以</w:t>
      </w:r>
      <w:r>
        <w:rPr>
          <w:rFonts w:hint="eastAsia" w:ascii="宋体" w:hAnsi="宋体" w:eastAsia="宋体" w:cs="宋体"/>
          <w:color w:val="auto"/>
          <w:szCs w:val="21"/>
          <w:highlight w:val="none"/>
          <w:u w:val="single"/>
          <w:lang w:val="en-US" w:eastAsia="zh-CN"/>
        </w:rPr>
        <w:t>5000</w:t>
      </w:r>
      <w:r>
        <w:rPr>
          <w:rFonts w:hint="eastAsia" w:ascii="宋体" w:hAnsi="宋体" w:eastAsia="宋体" w:cs="宋体"/>
          <w:color w:val="auto"/>
          <w:szCs w:val="21"/>
          <w:highlight w:val="none"/>
          <w:u w:val="single"/>
        </w:rPr>
        <w:t>元违约金</w:t>
      </w:r>
      <w:r>
        <w:rPr>
          <w:rFonts w:hint="eastAsia" w:ascii="宋体" w:hAnsi="宋体" w:eastAsia="宋体" w:cs="宋体"/>
          <w:color w:val="auto"/>
          <w:highlight w:val="none"/>
          <w:u w:val="single"/>
        </w:rPr>
        <w:t>；月工程量未完成的当期不得请款，当月未完成的工程量纳入下月一并完成，完不成的仍不予请款，依</w:t>
      </w:r>
      <w:r>
        <w:rPr>
          <w:rFonts w:hint="eastAsia" w:ascii="宋体" w:hAnsi="宋体" w:eastAsia="宋体" w:cs="宋体"/>
          <w:color w:val="auto"/>
          <w:highlight w:val="none"/>
          <w:u w:val="single"/>
          <w:lang w:val="en-US" w:eastAsia="zh-CN"/>
        </w:rPr>
        <w:t>此</w:t>
      </w:r>
      <w:r>
        <w:rPr>
          <w:rFonts w:hint="eastAsia" w:ascii="宋体" w:hAnsi="宋体" w:eastAsia="宋体" w:cs="宋体"/>
          <w:color w:val="auto"/>
          <w:highlight w:val="none"/>
          <w:u w:val="single"/>
        </w:rPr>
        <w:t>类推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bookmarkEnd w:id="903"/>
      <w:bookmarkEnd w:id="904"/>
      <w:bookmarkEnd w:id="905"/>
      <w:bookmarkEnd w:id="906"/>
      <w:bookmarkEnd w:id="907"/>
      <w:bookmarkEnd w:id="908"/>
      <w:bookmarkEnd w:id="909"/>
    </w:p>
    <w:bookmarkEnd w:id="910"/>
    <w:p w14:paraId="7AB1AC4C">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因承包人原因造成工期延误，逾</w:t>
      </w:r>
      <w:bookmarkStart w:id="911" w:name="_Toc312678014"/>
      <w:bookmarkStart w:id="912" w:name="_Toc318581171"/>
      <w:r>
        <w:rPr>
          <w:rFonts w:hint="eastAsia" w:ascii="宋体" w:hAnsi="宋体" w:cs="宋体"/>
          <w:color w:val="auto"/>
          <w:highlight w:val="none"/>
        </w:rPr>
        <w:t>期竣工违约金的上限：</w:t>
      </w:r>
      <w:r>
        <w:rPr>
          <w:rFonts w:hint="eastAsia" w:ascii="宋体" w:hAnsi="宋体" w:cs="宋体"/>
          <w:color w:val="auto"/>
          <w:szCs w:val="21"/>
          <w:highlight w:val="none"/>
          <w:u w:val="single"/>
        </w:rPr>
        <w:t xml:space="preserve"> </w:t>
      </w:r>
      <w:r>
        <w:rPr>
          <w:rFonts w:hint="eastAsia" w:ascii="宋体" w:hAnsi="宋体" w:eastAsia="宋体" w:cs="宋体"/>
          <w:color w:val="auto"/>
          <w:highlight w:val="none"/>
          <w:u w:val="single"/>
        </w:rPr>
        <w:t>全额履约保证金</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911"/>
    <w:bookmarkEnd w:id="912"/>
    <w:p w14:paraId="6B66EE5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913" w:name="_Toc312678015"/>
      <w:bookmarkStart w:id="914" w:name="_Toc300934971"/>
      <w:bookmarkStart w:id="915" w:name="_Toc304295549"/>
      <w:bookmarkStart w:id="916" w:name="_Toc303539128"/>
      <w:bookmarkStart w:id="917" w:name="_Toc297123519"/>
      <w:bookmarkStart w:id="918" w:name="_Toc297216178"/>
      <w:r>
        <w:rPr>
          <w:rFonts w:hint="eastAsia" w:ascii="宋体" w:hAnsi="宋体" w:cs="宋体"/>
          <w:bCs/>
          <w:color w:val="auto"/>
          <w:szCs w:val="28"/>
          <w:highlight w:val="none"/>
        </w:rPr>
        <w:t>.6 不</w:t>
      </w:r>
      <w:bookmarkEnd w:id="913"/>
      <w:bookmarkEnd w:id="914"/>
      <w:bookmarkEnd w:id="915"/>
      <w:bookmarkEnd w:id="916"/>
      <w:bookmarkEnd w:id="917"/>
      <w:bookmarkEnd w:id="918"/>
      <w:r>
        <w:rPr>
          <w:rFonts w:hint="eastAsia" w:ascii="宋体" w:hAnsi="宋体" w:cs="宋体"/>
          <w:bCs/>
          <w:color w:val="auto"/>
          <w:szCs w:val="28"/>
          <w:highlight w:val="none"/>
        </w:rPr>
        <w:t>利物质条件</w:t>
      </w:r>
    </w:p>
    <w:p w14:paraId="44215C65">
      <w:pPr>
        <w:adjustRightInd w:val="0"/>
        <w:snapToGrid w:val="0"/>
        <w:spacing w:line="384" w:lineRule="auto"/>
        <w:ind w:firstLine="420" w:firstLineChars="200"/>
        <w:rPr>
          <w:rFonts w:hint="eastAsia" w:ascii="宋体" w:hAnsi="宋体" w:cs="宋体"/>
          <w:b/>
          <w:color w:val="auto"/>
          <w:highlight w:val="none"/>
          <w:u w:val="single"/>
        </w:rPr>
      </w:pPr>
      <w:bookmarkStart w:id="919" w:name="_Toc303539129"/>
      <w:bookmarkStart w:id="920" w:name="_Toc297123520"/>
      <w:bookmarkStart w:id="921" w:name="_Toc318581172"/>
      <w:bookmarkStart w:id="922" w:name="_Toc312678016"/>
      <w:bookmarkStart w:id="923" w:name="_Toc297216179"/>
      <w:bookmarkStart w:id="924" w:name="_Toc300934972"/>
      <w:bookmarkStart w:id="925" w:name="_Toc304295550"/>
      <w:r>
        <w:rPr>
          <w:rFonts w:hint="eastAsia" w:ascii="宋体" w:hAnsi="宋体" w:cs="宋体"/>
          <w:color w:val="auto"/>
          <w:highlight w:val="none"/>
        </w:rPr>
        <w:t>不利物质条件的其他情形和有关约定：</w:t>
      </w:r>
      <w:r>
        <w:rPr>
          <w:rFonts w:hint="eastAsia" w:ascii="宋体" w:hAnsi="宋体" w:cs="宋体"/>
          <w:color w:val="auto"/>
          <w:szCs w:val="21"/>
          <w:highlight w:val="none"/>
          <w:u w:val="single"/>
        </w:rPr>
        <w:t xml:space="preserve"> </w:t>
      </w:r>
      <w:r>
        <w:rPr>
          <w:rFonts w:hint="eastAsia" w:ascii="宋体" w:hAnsi="宋体" w:eastAsia="宋体" w:cs="宋体"/>
          <w:color w:val="auto"/>
          <w:highlight w:val="none"/>
          <w:u w:val="single"/>
        </w:rPr>
        <w:t>承包人应了解当地地质、水文等情况并对照地勘报告了解当地情况，现场进行踏勘，中标后不得以不利物质条件为由提出索赔</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919"/>
    <w:bookmarkEnd w:id="920"/>
    <w:bookmarkEnd w:id="921"/>
    <w:bookmarkEnd w:id="922"/>
    <w:bookmarkEnd w:id="923"/>
    <w:bookmarkEnd w:id="924"/>
    <w:bookmarkEnd w:id="925"/>
    <w:p w14:paraId="39FFB56D">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w:t>
      </w:r>
      <w:bookmarkStart w:id="926" w:name="_Toc297123521"/>
      <w:bookmarkStart w:id="927" w:name="_Toc297216180"/>
      <w:bookmarkStart w:id="928" w:name="_Toc304295551"/>
      <w:bookmarkStart w:id="929" w:name="_Toc300934973"/>
      <w:bookmarkStart w:id="930" w:name="_Toc303539130"/>
      <w:bookmarkStart w:id="931" w:name="_Toc312678017"/>
      <w:r>
        <w:rPr>
          <w:rFonts w:hint="eastAsia" w:ascii="宋体" w:hAnsi="宋体" w:cs="宋体"/>
          <w:bCs/>
          <w:color w:val="auto"/>
          <w:szCs w:val="28"/>
          <w:highlight w:val="none"/>
        </w:rPr>
        <w:t>.7 异常恶劣的气候条件</w:t>
      </w:r>
    </w:p>
    <w:bookmarkEnd w:id="926"/>
    <w:bookmarkEnd w:id="927"/>
    <w:bookmarkEnd w:id="928"/>
    <w:bookmarkEnd w:id="929"/>
    <w:bookmarkEnd w:id="930"/>
    <w:bookmarkEnd w:id="931"/>
    <w:p w14:paraId="773A574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发包人和承包人同意以下情形视为异常恶劣的气候条件：</w:t>
      </w:r>
    </w:p>
    <w:p w14:paraId="2080DE0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u w:val="single"/>
        </w:rPr>
        <w:t xml:space="preserve"> 50 年一遇的风、雨、雪、洪水及工程遭遇 5 级以上的地震等自然灾害属不可抗力 。其余同通用条款  </w:t>
      </w:r>
      <w:r>
        <w:rPr>
          <w:rFonts w:hint="eastAsia" w:ascii="宋体" w:hAnsi="宋体" w:cs="宋体"/>
          <w:color w:val="auto"/>
          <w:highlight w:val="none"/>
        </w:rPr>
        <w:t>；</w:t>
      </w:r>
    </w:p>
    <w:p w14:paraId="55B6F61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8BB909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0C1FC3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7.9 提前竣工</w:t>
      </w:r>
    </w:p>
    <w:p w14:paraId="2B2F4DB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7.9.2 提前竣工的奖励：</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此条不执行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1CF594D">
      <w:pPr>
        <w:keepNext/>
        <w:keepLines/>
        <w:adjustRightInd w:val="0"/>
        <w:snapToGrid w:val="0"/>
        <w:spacing w:line="384" w:lineRule="auto"/>
        <w:jc w:val="left"/>
        <w:outlineLvl w:val="2"/>
        <w:rPr>
          <w:rFonts w:hint="eastAsia" w:ascii="宋体" w:hAnsi="宋体" w:cs="宋体"/>
          <w:bCs/>
          <w:color w:val="auto"/>
          <w:sz w:val="24"/>
          <w:highlight w:val="none"/>
        </w:rPr>
      </w:pPr>
      <w:bookmarkStart w:id="932" w:name="_Toc95223469"/>
      <w:bookmarkStart w:id="933" w:name="_Toc351203640"/>
      <w:r>
        <w:rPr>
          <w:rFonts w:hint="eastAsia" w:ascii="宋体" w:hAnsi="宋体" w:cs="宋体"/>
          <w:bCs/>
          <w:color w:val="auto"/>
          <w:sz w:val="24"/>
          <w:highlight w:val="none"/>
        </w:rPr>
        <w:t>8. 材料与设备</w:t>
      </w:r>
      <w:bookmarkEnd w:id="932"/>
      <w:bookmarkEnd w:id="933"/>
    </w:p>
    <w:bookmarkEnd w:id="865"/>
    <w:bookmarkEnd w:id="866"/>
    <w:bookmarkEnd w:id="867"/>
    <w:bookmarkEnd w:id="868"/>
    <w:bookmarkEnd w:id="869"/>
    <w:bookmarkEnd w:id="870"/>
    <w:bookmarkEnd w:id="871"/>
    <w:bookmarkEnd w:id="872"/>
    <w:bookmarkEnd w:id="873"/>
    <w:bookmarkEnd w:id="874"/>
    <w:p w14:paraId="15DCDC7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w:t>
      </w:r>
      <w:bookmarkStart w:id="934" w:name="_Toc297123527"/>
      <w:bookmarkStart w:id="935" w:name="_Toc280868654"/>
      <w:bookmarkStart w:id="936" w:name="_Toc304295556"/>
      <w:bookmarkStart w:id="937" w:name="_Toc297216186"/>
      <w:bookmarkStart w:id="938" w:name="_Toc296944506"/>
      <w:bookmarkStart w:id="939" w:name="_Toc296347166"/>
      <w:bookmarkStart w:id="940" w:name="_Toc312678019"/>
      <w:bookmarkStart w:id="941" w:name="_Toc312677493"/>
      <w:bookmarkStart w:id="942" w:name="_Toc297048353"/>
      <w:bookmarkStart w:id="943" w:name="_Toc300934979"/>
      <w:bookmarkStart w:id="944" w:name="_Toc296890995"/>
      <w:bookmarkStart w:id="945" w:name="_Toc296891207"/>
      <w:bookmarkStart w:id="946" w:name="_Toc303539136"/>
      <w:bookmarkStart w:id="947" w:name="_Toc296346668"/>
      <w:bookmarkStart w:id="948" w:name="_Toc297120467"/>
      <w:bookmarkStart w:id="949" w:name="_Toc292559877"/>
      <w:bookmarkStart w:id="950" w:name="_Toc296503167"/>
      <w:bookmarkStart w:id="951" w:name="_Toc292559372"/>
      <w:bookmarkStart w:id="952" w:name="_Toc267251424"/>
      <w:bookmarkStart w:id="953" w:name="_Toc280868656"/>
      <w:bookmarkStart w:id="954" w:name="_Toc280868655"/>
      <w:r>
        <w:rPr>
          <w:rFonts w:hint="eastAsia" w:ascii="宋体" w:hAnsi="宋体" w:cs="宋体"/>
          <w:color w:val="auto"/>
          <w:highlight w:val="none"/>
        </w:rPr>
        <w:t>.4 材料与工程设备的保管与使用</w:t>
      </w:r>
    </w:p>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14:paraId="3EDFFF4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8</w:t>
      </w:r>
      <w:bookmarkStart w:id="955" w:name="_Toc292559878"/>
      <w:bookmarkStart w:id="956" w:name="_Toc292559373"/>
      <w:bookmarkStart w:id="957" w:name="_Toc303539137"/>
      <w:bookmarkStart w:id="958" w:name="_Toc318581173"/>
      <w:bookmarkStart w:id="959" w:name="_Toc297048354"/>
      <w:bookmarkStart w:id="960" w:name="_Toc297120468"/>
      <w:bookmarkStart w:id="961" w:name="_Toc300934980"/>
      <w:bookmarkStart w:id="962" w:name="_Toc297216187"/>
      <w:bookmarkStart w:id="963" w:name="_Toc296346669"/>
      <w:bookmarkStart w:id="964" w:name="_Toc296890996"/>
      <w:bookmarkStart w:id="965" w:name="_Toc297123528"/>
      <w:bookmarkStart w:id="966" w:name="_Toc296347167"/>
      <w:bookmarkStart w:id="967" w:name="_Toc304295557"/>
      <w:bookmarkStart w:id="968" w:name="_Toc296944507"/>
      <w:bookmarkStart w:id="969" w:name="_Toc312677494"/>
      <w:bookmarkStart w:id="970" w:name="_Toc296503168"/>
      <w:bookmarkStart w:id="971" w:name="_Toc296891208"/>
      <w:bookmarkStart w:id="972" w:name="_Toc312678020"/>
      <w:r>
        <w:rPr>
          <w:rFonts w:hint="eastAsia" w:ascii="宋体" w:hAnsi="宋体" w:cs="宋体"/>
          <w:color w:val="auto"/>
          <w:highlight w:val="none"/>
        </w:rPr>
        <w:t>.4.1 发包人供应的材料设备的保管费用的承担：</w:t>
      </w:r>
      <w:r>
        <w:rPr>
          <w:rFonts w:hint="eastAsia" w:ascii="宋体" w:hAnsi="宋体" w:cs="宋体"/>
          <w:color w:val="auto"/>
          <w:highlight w:val="none"/>
          <w:u w:val="single"/>
        </w:rPr>
        <w:t xml:space="preserve">承包人                  </w:t>
      </w:r>
      <w:r>
        <w:rPr>
          <w:rFonts w:hint="eastAsia" w:ascii="宋体" w:hAnsi="宋体" w:cs="宋体"/>
          <w:color w:val="auto"/>
          <w:highlight w:val="none"/>
        </w:rPr>
        <w:t>。</w:t>
      </w:r>
      <w:bookmarkEnd w:id="955"/>
      <w:bookmarkEnd w:id="956"/>
    </w:p>
    <w:p w14:paraId="238987BA">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8.6 样品</w:t>
      </w:r>
    </w:p>
    <w:p w14:paraId="26747DC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8.6.1 样品的报送与封存</w:t>
      </w:r>
    </w:p>
    <w:p w14:paraId="243A213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需要承包人报送样品的材料或工程设备，样品的种类、名称、规格、数量要求：</w:t>
      </w:r>
      <w:r>
        <w:rPr>
          <w:rFonts w:hint="eastAsia" w:ascii="宋体" w:hAnsi="宋体" w:eastAsia="宋体" w:cs="宋体"/>
          <w:color w:val="auto"/>
          <w:szCs w:val="21"/>
          <w:highlight w:val="none"/>
          <w:u w:val="single"/>
        </w:rPr>
        <w:t>执行招标文件</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616049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8.8 施工设备和临时设施</w:t>
      </w:r>
    </w:p>
    <w:p w14:paraId="1A1E39D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8.8.1 承包人提供的施工设备和临时设施</w:t>
      </w:r>
    </w:p>
    <w:p w14:paraId="4E65C90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关于修建临时设施费用承担的约定：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由承包人自行承担费用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14:paraId="77BBAAD2">
      <w:pPr>
        <w:keepNext/>
        <w:keepLines/>
        <w:adjustRightInd w:val="0"/>
        <w:snapToGrid w:val="0"/>
        <w:spacing w:line="384" w:lineRule="auto"/>
        <w:jc w:val="left"/>
        <w:outlineLvl w:val="2"/>
        <w:rPr>
          <w:rFonts w:hint="eastAsia" w:ascii="宋体" w:hAnsi="宋体" w:cs="宋体"/>
          <w:bCs/>
          <w:color w:val="auto"/>
          <w:sz w:val="24"/>
          <w:highlight w:val="none"/>
        </w:rPr>
      </w:pPr>
      <w:bookmarkStart w:id="973" w:name="_Toc95223470"/>
      <w:bookmarkStart w:id="974" w:name="_Toc351203641"/>
      <w:r>
        <w:rPr>
          <w:rFonts w:hint="eastAsia" w:ascii="宋体" w:hAnsi="宋体" w:cs="宋体"/>
          <w:bCs/>
          <w:color w:val="auto"/>
          <w:sz w:val="24"/>
          <w:highlight w:val="none"/>
        </w:rPr>
        <w:t>9</w:t>
      </w:r>
      <w:bookmarkEnd w:id="952"/>
      <w:bookmarkEnd w:id="953"/>
      <w:bookmarkEnd w:id="954"/>
      <w:bookmarkStart w:id="975" w:name="_Toc304295559"/>
      <w:bookmarkStart w:id="976" w:name="_Toc300934982"/>
      <w:bookmarkStart w:id="977" w:name="_Toc303539139"/>
      <w:bookmarkStart w:id="978" w:name="_Toc297123533"/>
      <w:bookmarkStart w:id="979" w:name="_Toc312677495"/>
      <w:bookmarkStart w:id="980" w:name="_Toc297216192"/>
      <w:bookmarkStart w:id="981" w:name="_Toc312678021"/>
      <w:bookmarkStart w:id="982" w:name="_Toc267251427"/>
      <w:bookmarkStart w:id="983" w:name="_Toc296891001"/>
      <w:bookmarkStart w:id="984" w:name="_Toc292559883"/>
      <w:bookmarkStart w:id="985" w:name="_Toc267251428"/>
      <w:bookmarkStart w:id="986" w:name="_Toc297120473"/>
      <w:bookmarkStart w:id="987" w:name="_Toc296944512"/>
      <w:bookmarkStart w:id="988" w:name="_Toc292559378"/>
      <w:bookmarkStart w:id="989" w:name="_Toc296347172"/>
      <w:bookmarkStart w:id="990" w:name="_Toc296503173"/>
      <w:bookmarkStart w:id="991" w:name="_Toc297048359"/>
      <w:bookmarkStart w:id="992" w:name="_Toc296346674"/>
      <w:bookmarkStart w:id="993" w:name="_Toc296891213"/>
      <w:r>
        <w:rPr>
          <w:rFonts w:hint="eastAsia" w:ascii="宋体" w:hAnsi="宋体" w:cs="宋体"/>
          <w:bCs/>
          <w:color w:val="auto"/>
          <w:sz w:val="24"/>
          <w:highlight w:val="none"/>
        </w:rPr>
        <w:t>. 试验与检验</w:t>
      </w:r>
      <w:bookmarkEnd w:id="973"/>
      <w:bookmarkEnd w:id="974"/>
    </w:p>
    <w:bookmarkEnd w:id="975"/>
    <w:bookmarkEnd w:id="976"/>
    <w:bookmarkEnd w:id="977"/>
    <w:bookmarkEnd w:id="978"/>
    <w:bookmarkEnd w:id="979"/>
    <w:bookmarkEnd w:id="980"/>
    <w:bookmarkEnd w:id="981"/>
    <w:p w14:paraId="0751F96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9</w:t>
      </w:r>
      <w:bookmarkStart w:id="994" w:name="_Toc303539140"/>
      <w:bookmarkStart w:id="995" w:name="_Toc312677496"/>
      <w:bookmarkStart w:id="996" w:name="_Toc304295560"/>
      <w:bookmarkStart w:id="997" w:name="_Toc297216193"/>
      <w:bookmarkStart w:id="998" w:name="_Toc300934983"/>
      <w:bookmarkStart w:id="999" w:name="_Toc297123534"/>
      <w:bookmarkStart w:id="1000" w:name="_Toc312678022"/>
      <w:r>
        <w:rPr>
          <w:rFonts w:hint="eastAsia" w:ascii="宋体" w:hAnsi="宋体" w:cs="宋体"/>
          <w:bCs/>
          <w:color w:val="auto"/>
          <w:szCs w:val="28"/>
          <w:highlight w:val="none"/>
        </w:rPr>
        <w:t>.1 试验设备与试验人员</w:t>
      </w:r>
    </w:p>
    <w:bookmarkEnd w:id="994"/>
    <w:bookmarkEnd w:id="995"/>
    <w:bookmarkEnd w:id="996"/>
    <w:bookmarkEnd w:id="997"/>
    <w:bookmarkEnd w:id="998"/>
    <w:bookmarkEnd w:id="999"/>
    <w:bookmarkEnd w:id="1000"/>
    <w:p w14:paraId="15438AC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9</w:t>
      </w:r>
      <w:bookmarkStart w:id="1001" w:name="_Toc297216194"/>
      <w:bookmarkStart w:id="1002" w:name="_Toc312677497"/>
      <w:bookmarkStart w:id="1003" w:name="_Toc312678023"/>
      <w:bookmarkStart w:id="1004" w:name="_Toc303539141"/>
      <w:bookmarkStart w:id="1005" w:name="_Toc300934984"/>
      <w:bookmarkStart w:id="1006" w:name="_Toc297123535"/>
      <w:bookmarkStart w:id="1007" w:name="_Toc304295561"/>
      <w:bookmarkStart w:id="1008" w:name="_Toc318581174"/>
      <w:r>
        <w:rPr>
          <w:rFonts w:hint="eastAsia" w:ascii="宋体" w:hAnsi="宋体" w:cs="宋体"/>
          <w:color w:val="auto"/>
          <w:highlight w:val="none"/>
        </w:rPr>
        <w:t>.1.2 试验设备</w:t>
      </w:r>
    </w:p>
    <w:p w14:paraId="3FE30F7A">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施工现场需要配置的试验场所</w:t>
      </w:r>
      <w:bookmarkEnd w:id="1001"/>
      <w:bookmarkEnd w:id="1002"/>
      <w:bookmarkEnd w:id="1003"/>
      <w:bookmarkEnd w:id="1004"/>
      <w:bookmarkEnd w:id="1005"/>
      <w:bookmarkEnd w:id="1006"/>
      <w:bookmarkEnd w:id="1007"/>
      <w:bookmarkStart w:id="1009" w:name="_Toc297216195"/>
      <w:bookmarkStart w:id="1010" w:name="_Toc300934985"/>
      <w:bookmarkStart w:id="1011" w:name="_Toc303539142"/>
      <w:bookmarkStart w:id="1012" w:name="_Toc312678024"/>
      <w:bookmarkStart w:id="1013" w:name="_Toc312677498"/>
      <w:bookmarkStart w:id="1014" w:name="_Toc297123536"/>
      <w:bookmarkStart w:id="1015" w:name="_Toc304295562"/>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eastAsia="宋体" w:cs="宋体"/>
          <w:color w:val="auto"/>
          <w:sz w:val="21"/>
          <w:szCs w:val="21"/>
          <w:highlight w:val="none"/>
          <w:u w:val="single" w:color="auto"/>
          <w:lang w:val="en-US" w:eastAsia="zh-CN"/>
        </w:rPr>
        <w:t>须</w:t>
      </w:r>
      <w:r>
        <w:rPr>
          <w:rFonts w:hint="eastAsia" w:ascii="宋体" w:hAnsi="宋体" w:eastAsia="宋体" w:cs="宋体"/>
          <w:color w:val="auto"/>
          <w:sz w:val="21"/>
          <w:szCs w:val="21"/>
          <w:highlight w:val="none"/>
          <w:u w:val="single" w:color="auto"/>
        </w:rPr>
        <w:t>配备</w:t>
      </w:r>
      <w:r>
        <w:rPr>
          <w:rFonts w:hint="eastAsia" w:ascii="宋体" w:hAnsi="宋体" w:eastAsia="宋体" w:cs="宋体"/>
          <w:color w:val="auto"/>
          <w:sz w:val="21"/>
          <w:szCs w:val="21"/>
          <w:highlight w:val="none"/>
          <w:u w:val="single" w:color="auto"/>
          <w:lang w:val="en-US" w:eastAsia="zh-CN"/>
        </w:rPr>
        <w:t>工地临时试验室</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13BA34E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施工现场需要配备的试验设备：</w:t>
      </w:r>
      <w:r>
        <w:rPr>
          <w:rFonts w:hint="eastAsia" w:ascii="宋体" w:hAnsi="宋体" w:cs="宋体"/>
          <w:color w:val="auto"/>
          <w:highlight w:val="none"/>
          <w:u w:val="single"/>
        </w:rPr>
        <w:t xml:space="preserve"> </w:t>
      </w:r>
      <w:r>
        <w:rPr>
          <w:rFonts w:hint="eastAsia" w:ascii="宋体" w:hAnsi="宋体" w:eastAsia="宋体" w:cs="宋体"/>
          <w:color w:val="auto"/>
          <w:sz w:val="21"/>
          <w:szCs w:val="21"/>
          <w:highlight w:val="none"/>
          <w:u w:val="single" w:color="auto"/>
          <w:lang w:val="en-US" w:eastAsia="zh-CN"/>
        </w:rPr>
        <w:t>须</w:t>
      </w:r>
      <w:r>
        <w:rPr>
          <w:rFonts w:hint="eastAsia" w:ascii="宋体" w:hAnsi="宋体" w:eastAsia="宋体" w:cs="宋体"/>
          <w:color w:val="auto"/>
          <w:sz w:val="21"/>
          <w:szCs w:val="21"/>
          <w:highlight w:val="none"/>
          <w:u w:val="single" w:color="auto"/>
        </w:rPr>
        <w:t>配备施工现场试验检测所需的常规检测仪器</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3FF21A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施工现场需要具备的其他试验条件：</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0F1758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 xml:space="preserve">9.4 现场工艺试验 </w:t>
      </w:r>
    </w:p>
    <w:p w14:paraId="0BF7EAA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现场工艺试验的有关约定：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按监理人指示</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1008"/>
    <w:bookmarkEnd w:id="1009"/>
    <w:bookmarkEnd w:id="1010"/>
    <w:bookmarkEnd w:id="1011"/>
    <w:bookmarkEnd w:id="1012"/>
    <w:bookmarkEnd w:id="1013"/>
    <w:bookmarkEnd w:id="1014"/>
    <w:bookmarkEnd w:id="1015"/>
    <w:p w14:paraId="55A926F6">
      <w:pPr>
        <w:keepNext/>
        <w:keepLines/>
        <w:adjustRightInd w:val="0"/>
        <w:snapToGrid w:val="0"/>
        <w:spacing w:line="384" w:lineRule="auto"/>
        <w:jc w:val="left"/>
        <w:outlineLvl w:val="2"/>
        <w:rPr>
          <w:rFonts w:hint="eastAsia" w:ascii="宋体" w:hAnsi="宋体" w:cs="宋体"/>
          <w:bCs/>
          <w:color w:val="auto"/>
          <w:sz w:val="24"/>
          <w:highlight w:val="none"/>
        </w:rPr>
      </w:pPr>
      <w:bookmarkStart w:id="1016" w:name="_Toc95223471"/>
      <w:bookmarkStart w:id="1017" w:name="_Toc351203642"/>
      <w:r>
        <w:rPr>
          <w:rFonts w:hint="eastAsia" w:ascii="宋体" w:hAnsi="宋体" w:cs="宋体"/>
          <w:bCs/>
          <w:color w:val="auto"/>
          <w:sz w:val="24"/>
          <w:highlight w:val="none"/>
        </w:rPr>
        <w:t>1</w:t>
      </w:r>
      <w:bookmarkEnd w:id="982"/>
      <w:bookmarkEnd w:id="983"/>
      <w:bookmarkEnd w:id="984"/>
      <w:bookmarkEnd w:id="985"/>
      <w:bookmarkEnd w:id="986"/>
      <w:bookmarkEnd w:id="987"/>
      <w:bookmarkEnd w:id="988"/>
      <w:bookmarkEnd w:id="989"/>
      <w:bookmarkEnd w:id="990"/>
      <w:bookmarkEnd w:id="991"/>
      <w:bookmarkEnd w:id="992"/>
      <w:bookmarkEnd w:id="993"/>
      <w:bookmarkStart w:id="1018" w:name="_Toc296503193"/>
      <w:bookmarkStart w:id="1019" w:name="_Toc296891233"/>
      <w:bookmarkStart w:id="1020" w:name="_Toc297048379"/>
      <w:bookmarkStart w:id="1021" w:name="_Toc304295566"/>
      <w:bookmarkStart w:id="1022" w:name="_Toc300934989"/>
      <w:bookmarkStart w:id="1023" w:name="_Toc297123540"/>
      <w:bookmarkStart w:id="1024" w:name="_Toc297216199"/>
      <w:bookmarkStart w:id="1025" w:name="_Toc292559903"/>
      <w:bookmarkStart w:id="1026" w:name="_Toc296944532"/>
      <w:bookmarkStart w:id="1027" w:name="_Toc297120493"/>
      <w:bookmarkStart w:id="1028" w:name="_Toc296346694"/>
      <w:bookmarkStart w:id="1029" w:name="_Toc303539146"/>
      <w:bookmarkStart w:id="1030" w:name="_Toc296347192"/>
      <w:bookmarkStart w:id="1031" w:name="_Toc296891021"/>
      <w:bookmarkStart w:id="1032" w:name="_Toc292559398"/>
      <w:bookmarkStart w:id="1033" w:name="_Toc312677499"/>
      <w:bookmarkStart w:id="1034" w:name="_Toc312678025"/>
      <w:bookmarkStart w:id="1035" w:name="_Toc267251433"/>
      <w:bookmarkStart w:id="1036" w:name="_Toc267251440"/>
      <w:bookmarkStart w:id="1037" w:name="_Toc267251439"/>
      <w:bookmarkStart w:id="1038" w:name="_Toc267251435"/>
      <w:bookmarkStart w:id="1039" w:name="_Toc267251437"/>
      <w:bookmarkStart w:id="1040" w:name="_Toc267251441"/>
      <w:bookmarkStart w:id="1041" w:name="_Toc267251442"/>
      <w:r>
        <w:rPr>
          <w:rFonts w:hint="eastAsia" w:ascii="宋体" w:hAnsi="宋体" w:cs="宋体"/>
          <w:bCs/>
          <w:color w:val="auto"/>
          <w:sz w:val="24"/>
          <w:highlight w:val="none"/>
        </w:rPr>
        <w:t>0. 变更</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bookmarkEnd w:id="1033"/>
    <w:bookmarkEnd w:id="1034"/>
    <w:p w14:paraId="2D8BC93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Start w:id="1042" w:name="_Toc297120494"/>
      <w:bookmarkStart w:id="1043" w:name="_Toc297048380"/>
      <w:bookmarkStart w:id="1044" w:name="_Toc303539147"/>
      <w:bookmarkStart w:id="1045" w:name="_Toc296891022"/>
      <w:bookmarkStart w:id="1046" w:name="_Toc297123541"/>
      <w:bookmarkStart w:id="1047" w:name="_Toc296347193"/>
      <w:bookmarkStart w:id="1048" w:name="_Toc312678026"/>
      <w:bookmarkStart w:id="1049" w:name="_Toc296944533"/>
      <w:bookmarkStart w:id="1050" w:name="_Toc292559399"/>
      <w:bookmarkStart w:id="1051" w:name="_Toc296891234"/>
      <w:bookmarkStart w:id="1052" w:name="_Toc292559904"/>
      <w:bookmarkStart w:id="1053" w:name="_Toc296346695"/>
      <w:bookmarkStart w:id="1054" w:name="_Toc296503194"/>
      <w:bookmarkStart w:id="1055" w:name="_Toc297216200"/>
      <w:bookmarkStart w:id="1056" w:name="_Toc300934990"/>
      <w:bookmarkStart w:id="1057" w:name="_Toc312677500"/>
      <w:bookmarkStart w:id="1058" w:name="_Toc304295567"/>
      <w:r>
        <w:rPr>
          <w:rFonts w:hint="eastAsia" w:ascii="宋体" w:hAnsi="宋体" w:cs="宋体"/>
          <w:bCs/>
          <w:color w:val="auto"/>
          <w:szCs w:val="28"/>
          <w:highlight w:val="none"/>
        </w:rPr>
        <w:t>0.1 变更的范围</w:t>
      </w:r>
    </w:p>
    <w:p w14:paraId="526CF57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关于变更的范围的约定：</w:t>
      </w:r>
      <w:r>
        <w:rPr>
          <w:rFonts w:hint="eastAsia" w:ascii="宋体" w:hAnsi="宋体" w:eastAsia="宋体" w:cs="宋体"/>
          <w:color w:val="auto"/>
          <w:szCs w:val="21"/>
          <w:highlight w:val="none"/>
          <w:u w:val="single"/>
        </w:rPr>
        <w:t>执行合同通用条款</w:t>
      </w:r>
      <w:r>
        <w:rPr>
          <w:rFonts w:hint="eastAsia" w:ascii="宋体" w:hAnsi="宋体" w:cs="宋体"/>
          <w:color w:val="auto"/>
          <w:highlight w:val="none"/>
        </w:rPr>
        <w:t>。</w:t>
      </w:r>
    </w:p>
    <w:p w14:paraId="74250B6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10.4 变更估价</w:t>
      </w:r>
    </w:p>
    <w:p w14:paraId="57579E9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10.4.1 变更估价原则</w:t>
      </w:r>
    </w:p>
    <w:p w14:paraId="1C88300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 xml:space="preserve">关于变更估价的约定：  </w:t>
      </w:r>
    </w:p>
    <w:p w14:paraId="39E937BD">
      <w:pPr>
        <w:adjustRightInd w:val="0"/>
        <w:snapToGrid w:val="0"/>
        <w:spacing w:line="384" w:lineRule="auto"/>
        <w:ind w:firstLine="422" w:firstLineChars="200"/>
        <w:rPr>
          <w:rFonts w:hint="eastAsia" w:ascii="宋体" w:hAnsi="宋体" w:cs="宋体"/>
          <w:b/>
          <w:color w:val="auto"/>
          <w:highlight w:val="none"/>
        </w:rPr>
      </w:pPr>
      <w:r>
        <w:rPr>
          <w:rFonts w:hint="eastAsia" w:ascii="宋体" w:hAnsi="宋体" w:cs="宋体"/>
          <w:b/>
          <w:color w:val="auto"/>
          <w:kern w:val="0"/>
          <w:highlight w:val="none"/>
        </w:rPr>
        <w:t>10.4.1.1 因工程变更引起已标价工程量清单项目或其工程数量发生变化时，按下列规定调整：</w:t>
      </w:r>
      <w:r>
        <w:rPr>
          <w:rFonts w:hint="eastAsia" w:ascii="宋体" w:hAnsi="宋体" w:cs="宋体"/>
          <w:b/>
          <w:color w:val="auto"/>
          <w:highlight w:val="none"/>
        </w:rPr>
        <w:t xml:space="preserve"> </w:t>
      </w:r>
      <w:r>
        <w:rPr>
          <w:rFonts w:hint="eastAsia" w:ascii="宋体" w:hAnsi="宋体" w:eastAsia="宋体" w:cs="宋体"/>
          <w:color w:val="auto"/>
          <w:szCs w:val="21"/>
          <w:highlight w:val="none"/>
          <w:u w:val="single"/>
        </w:rPr>
        <w:t>变更导致结算工程量减少0-100%或增加15%以内部分，执行中标单价；超出15％</w:t>
      </w:r>
      <w:r>
        <w:rPr>
          <w:rFonts w:hint="eastAsia" w:ascii="宋体" w:hAnsi="宋体" w:eastAsia="宋体" w:cs="宋体"/>
          <w:color w:val="auto"/>
          <w:szCs w:val="21"/>
          <w:highlight w:val="none"/>
          <w:u w:val="single"/>
          <w:lang w:val="en-US" w:eastAsia="zh-CN"/>
        </w:rPr>
        <w:t>以外部分</w:t>
      </w:r>
      <w:r>
        <w:rPr>
          <w:rFonts w:hint="eastAsia" w:ascii="宋体" w:hAnsi="宋体" w:eastAsia="宋体" w:cs="宋体"/>
          <w:color w:val="auto"/>
          <w:szCs w:val="21"/>
          <w:highlight w:val="none"/>
          <w:u w:val="single"/>
        </w:rPr>
        <w:t>的，</w:t>
      </w:r>
      <w:r>
        <w:rPr>
          <w:rFonts w:hint="eastAsia" w:ascii="宋体" w:hAnsi="宋体" w:eastAsia="宋体" w:cs="宋体"/>
          <w:color w:val="auto"/>
          <w:szCs w:val="21"/>
          <w:highlight w:val="none"/>
          <w:u w:val="single"/>
          <w:lang w:val="en-US" w:eastAsia="zh-CN"/>
        </w:rPr>
        <w:t>若中标</w:t>
      </w:r>
      <w:r>
        <w:rPr>
          <w:rFonts w:hint="eastAsia" w:ascii="宋体" w:hAnsi="宋体" w:eastAsia="宋体" w:cs="宋体"/>
          <w:color w:val="auto"/>
          <w:szCs w:val="21"/>
          <w:highlight w:val="none"/>
          <w:u w:val="single"/>
        </w:rPr>
        <w:t>综合单价高于（</w:t>
      </w:r>
      <w:r>
        <w:rPr>
          <w:rFonts w:hint="eastAsia" w:ascii="宋体" w:hAnsi="宋体" w:eastAsia="宋体" w:cs="宋体"/>
          <w:color w:val="auto"/>
          <w:szCs w:val="21"/>
          <w:highlight w:val="none"/>
          <w:u w:val="single"/>
          <w:lang w:val="en-US" w:eastAsia="zh-CN"/>
        </w:rPr>
        <w:t>最高投标限价中综合单价</w:t>
      </w:r>
      <w:r>
        <w:rPr>
          <w:rFonts w:hint="eastAsia" w:ascii="宋体" w:hAnsi="宋体" w:eastAsia="宋体" w:cs="宋体"/>
          <w:color w:val="auto"/>
          <w:szCs w:val="21"/>
          <w:highlight w:val="none"/>
          <w:u w:val="single"/>
        </w:rPr>
        <w:t>×投标让利幅度）时，按（</w:t>
      </w:r>
      <w:r>
        <w:rPr>
          <w:rFonts w:hint="eastAsia" w:ascii="宋体" w:hAnsi="宋体" w:eastAsia="宋体" w:cs="宋体"/>
          <w:color w:val="auto"/>
          <w:szCs w:val="21"/>
          <w:highlight w:val="none"/>
          <w:u w:val="single"/>
          <w:lang w:val="en-US" w:eastAsia="zh-CN"/>
        </w:rPr>
        <w:t>最高投标限价中综合单价</w:t>
      </w:r>
      <w:r>
        <w:rPr>
          <w:rFonts w:hint="eastAsia" w:ascii="宋体" w:hAnsi="宋体" w:eastAsia="宋体" w:cs="宋体"/>
          <w:color w:val="auto"/>
          <w:szCs w:val="21"/>
          <w:highlight w:val="none"/>
          <w:u w:val="single"/>
        </w:rPr>
        <w:t>×投标让利幅度）计算</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若中标</w:t>
      </w:r>
      <w:r>
        <w:rPr>
          <w:rFonts w:hint="eastAsia" w:ascii="宋体" w:hAnsi="宋体" w:eastAsia="宋体" w:cs="宋体"/>
          <w:color w:val="auto"/>
          <w:szCs w:val="21"/>
          <w:highlight w:val="none"/>
          <w:u w:val="single"/>
        </w:rPr>
        <w:t>综合单价低于（</w:t>
      </w:r>
      <w:r>
        <w:rPr>
          <w:rFonts w:hint="eastAsia" w:ascii="宋体" w:hAnsi="宋体" w:eastAsia="宋体" w:cs="宋体"/>
          <w:color w:val="auto"/>
          <w:szCs w:val="21"/>
          <w:highlight w:val="none"/>
          <w:u w:val="single"/>
          <w:lang w:val="en-US" w:eastAsia="zh-CN"/>
        </w:rPr>
        <w:t>最高投标限价中综合单价</w:t>
      </w:r>
      <w:r>
        <w:rPr>
          <w:rFonts w:hint="eastAsia" w:ascii="宋体" w:hAnsi="宋体" w:eastAsia="宋体" w:cs="宋体"/>
          <w:color w:val="auto"/>
          <w:szCs w:val="21"/>
          <w:highlight w:val="none"/>
          <w:u w:val="single"/>
        </w:rPr>
        <w:t>×投标让利幅度）时，执行中标单价(组价明显错误的予以纠正) 。新增项目单价按照最高投标限价的编制原则重新组价×投标让利幅度，重新组价价格最终以审计部门审核结算价为准。</w:t>
      </w:r>
      <w:r>
        <w:rPr>
          <w:rFonts w:hint="eastAsia" w:ascii="宋体" w:hAnsi="宋体" w:eastAsia="宋体" w:cs="宋体"/>
          <w:color w:val="auto"/>
          <w:szCs w:val="21"/>
          <w:highlight w:val="none"/>
          <w:u w:val="single"/>
          <w:lang w:val="en-US" w:eastAsia="zh-CN"/>
        </w:rPr>
        <w:t>注：投标让利幅度为中标价/最高投标限价，其中中标价和最高投标限价均扣除暂定金额、暂估价</w:t>
      </w:r>
      <w:r>
        <w:rPr>
          <w:rFonts w:hint="eastAsia" w:ascii="宋体" w:hAnsi="宋体" w:cs="宋体"/>
          <w:b/>
          <w:color w:val="auto"/>
          <w:highlight w:val="none"/>
          <w:u w:val="single"/>
        </w:rPr>
        <w:t xml:space="preserve"> </w:t>
      </w:r>
      <w:r>
        <w:rPr>
          <w:rFonts w:hint="eastAsia" w:ascii="宋体" w:hAnsi="宋体" w:cs="宋体"/>
          <w:b/>
          <w:color w:val="auto"/>
          <w:highlight w:val="none"/>
        </w:rPr>
        <w:t xml:space="preserve"> </w:t>
      </w:r>
    </w:p>
    <w:p w14:paraId="2993C10A">
      <w:pPr>
        <w:adjustRightInd w:val="0"/>
        <w:snapToGrid w:val="0"/>
        <w:spacing w:line="384"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5564F142">
      <w:pPr>
        <w:adjustRightInd w:val="0"/>
        <w:snapToGrid w:val="0"/>
        <w:spacing w:line="384"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  </w:t>
      </w:r>
      <w:r>
        <w:rPr>
          <w:rFonts w:hint="eastAsia" w:ascii="宋体" w:hAnsi="宋体" w:eastAsia="宋体" w:cs="宋体"/>
          <w:color w:val="auto"/>
          <w:szCs w:val="21"/>
          <w:highlight w:val="none"/>
          <w:u w:val="single"/>
        </w:rPr>
        <w:t>由于承包人改变施工技术措施，造成的价格变动，措施费不予调整。因发包人要求或工程量的增减必须改变原来施工技术措施，造成价格变动的，应扣减相应的原施工技术措施费后，按新增项目组价方式，进行措施费调整。由于分部分项清单工程量增减导致措施费用变化的，按实调整</w:t>
      </w:r>
    </w:p>
    <w:p w14:paraId="4FD2AB7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Start w:id="1059" w:name="_Toc300934993"/>
      <w:bookmarkStart w:id="1060" w:name="_Toc292559402"/>
      <w:bookmarkStart w:id="1061" w:name="_Toc297123544"/>
      <w:bookmarkStart w:id="1062" w:name="_Toc296944536"/>
      <w:bookmarkStart w:id="1063" w:name="_Toc296346698"/>
      <w:bookmarkStart w:id="1064" w:name="_Toc292559907"/>
      <w:bookmarkStart w:id="1065" w:name="_Toc303539150"/>
      <w:bookmarkStart w:id="1066" w:name="_Toc296891025"/>
      <w:bookmarkStart w:id="1067" w:name="_Toc297216203"/>
      <w:bookmarkStart w:id="1068" w:name="_Toc297120497"/>
      <w:bookmarkStart w:id="1069" w:name="_Toc296503197"/>
      <w:bookmarkStart w:id="1070" w:name="_Toc297048383"/>
      <w:bookmarkStart w:id="1071" w:name="_Toc296347196"/>
      <w:bookmarkStart w:id="1072" w:name="_Toc296891237"/>
      <w:bookmarkStart w:id="1073" w:name="_Toc312678029"/>
      <w:bookmarkStart w:id="1074" w:name="_Toc312677503"/>
      <w:bookmarkStart w:id="1075" w:name="_Toc304295570"/>
      <w:r>
        <w:rPr>
          <w:rFonts w:hint="eastAsia" w:ascii="宋体" w:hAnsi="宋体" w:cs="宋体"/>
          <w:bCs/>
          <w:color w:val="auto"/>
          <w:szCs w:val="28"/>
          <w:highlight w:val="none"/>
        </w:rPr>
        <w:t>0.5 承</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Start w:id="1076" w:name="_Toc300934994"/>
      <w:bookmarkStart w:id="1077" w:name="_Toc297048389"/>
      <w:bookmarkStart w:id="1078" w:name="_Toc297216204"/>
      <w:bookmarkStart w:id="1079" w:name="_Toc296891031"/>
      <w:bookmarkStart w:id="1080" w:name="_Toc296347202"/>
      <w:bookmarkStart w:id="1081" w:name="_Toc296891243"/>
      <w:bookmarkStart w:id="1082" w:name="_Toc292559408"/>
      <w:bookmarkStart w:id="1083" w:name="_Toc303539151"/>
      <w:bookmarkStart w:id="1084" w:name="_Toc296944542"/>
      <w:bookmarkStart w:id="1085" w:name="_Toc297123545"/>
      <w:bookmarkStart w:id="1086" w:name="_Toc296503203"/>
      <w:bookmarkStart w:id="1087" w:name="_Toc296346704"/>
      <w:bookmarkStart w:id="1088" w:name="_Toc297120503"/>
      <w:bookmarkStart w:id="1089" w:name="_Toc292559913"/>
      <w:r>
        <w:rPr>
          <w:rFonts w:hint="eastAsia" w:ascii="宋体" w:hAnsi="宋体" w:cs="宋体"/>
          <w:bCs/>
          <w:color w:val="auto"/>
          <w:szCs w:val="28"/>
          <w:highlight w:val="none"/>
        </w:rPr>
        <w:t>包人的合理化建议</w:t>
      </w:r>
    </w:p>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14:paraId="1D4C988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监理人审查承包人合理化建议的期限：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2E71EFC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发包人审批承包人合理化建议的期限：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71E184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w:t>
      </w:r>
      <w:bookmarkStart w:id="1090" w:name="_Toc297048390"/>
      <w:bookmarkStart w:id="1091" w:name="_Toc296503204"/>
      <w:bookmarkStart w:id="1092" w:name="_Toc296891244"/>
      <w:bookmarkStart w:id="1093" w:name="_Toc304295571"/>
      <w:bookmarkStart w:id="1094" w:name="_Toc292559409"/>
      <w:bookmarkStart w:id="1095" w:name="_Toc297120504"/>
      <w:bookmarkStart w:id="1096" w:name="_Toc297123546"/>
      <w:bookmarkStart w:id="1097" w:name="_Toc296346705"/>
      <w:bookmarkStart w:id="1098" w:name="_Toc303539152"/>
      <w:bookmarkStart w:id="1099" w:name="_Toc296944543"/>
      <w:bookmarkStart w:id="1100" w:name="_Toc296891032"/>
      <w:bookmarkStart w:id="1101" w:name="_Toc312677504"/>
      <w:bookmarkStart w:id="1102" w:name="_Toc318581175"/>
      <w:bookmarkStart w:id="1103" w:name="_Toc312678030"/>
      <w:bookmarkStart w:id="1104" w:name="_Toc292559914"/>
      <w:bookmarkStart w:id="1105" w:name="_Toc300934995"/>
      <w:bookmarkStart w:id="1106" w:name="_Toc297216205"/>
      <w:bookmarkStart w:id="1107" w:name="_Toc296347203"/>
      <w:r>
        <w:rPr>
          <w:rFonts w:hint="eastAsia" w:ascii="宋体" w:hAnsi="宋体" w:cs="宋体"/>
          <w:color w:val="auto"/>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w:t>
      </w:r>
      <w:r>
        <w:rPr>
          <w:rFonts w:hint="eastAsia" w:ascii="宋体" w:hAnsi="宋体" w:eastAsia="宋体" w:cs="宋体"/>
          <w:color w:val="auto"/>
          <w:highlight w:val="none"/>
          <w:u w:val="single"/>
        </w:rPr>
        <w:t>由发包人根据合同价格降低额或工程经济效益提高承担，结合项目考勤、质量、安全、进度等实际情况综合考虑</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14:paraId="764057D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w:t>
      </w:r>
      <w:bookmarkStart w:id="1108" w:name="_Toc296347198"/>
      <w:bookmarkStart w:id="1109" w:name="_Toc297216207"/>
      <w:bookmarkStart w:id="1110" w:name="_Toc296944538"/>
      <w:bookmarkStart w:id="1111" w:name="_Toc296891239"/>
      <w:bookmarkStart w:id="1112" w:name="_Toc296503199"/>
      <w:bookmarkStart w:id="1113" w:name="_Toc297123548"/>
      <w:bookmarkStart w:id="1114" w:name="_Toc292559404"/>
      <w:bookmarkStart w:id="1115" w:name="_Toc303539154"/>
      <w:bookmarkStart w:id="1116" w:name="_Toc292559909"/>
      <w:bookmarkStart w:id="1117" w:name="_Toc312677507"/>
      <w:bookmarkStart w:id="1118" w:name="_Toc296346700"/>
      <w:bookmarkStart w:id="1119" w:name="_Toc296891027"/>
      <w:bookmarkStart w:id="1120" w:name="_Toc304295574"/>
      <w:bookmarkStart w:id="1121" w:name="_Toc297120499"/>
      <w:bookmarkStart w:id="1122" w:name="_Toc312678033"/>
      <w:bookmarkStart w:id="1123" w:name="_Toc297048385"/>
      <w:bookmarkStart w:id="1124" w:name="_Toc300934997"/>
      <w:r>
        <w:rPr>
          <w:rFonts w:hint="eastAsia" w:ascii="宋体" w:hAnsi="宋体" w:cs="宋体"/>
          <w:bCs/>
          <w:color w:val="auto"/>
          <w:szCs w:val="28"/>
          <w:highlight w:val="none"/>
        </w:rPr>
        <w:t>0.7 暂估价</w:t>
      </w:r>
    </w:p>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14:paraId="0C8C982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暂</w:t>
      </w:r>
      <w:bookmarkStart w:id="1125" w:name="_Toc318581176"/>
      <w:bookmarkStart w:id="1126" w:name="_Toc312678034"/>
      <w:bookmarkStart w:id="1127" w:name="_Toc312677508"/>
      <w:r>
        <w:rPr>
          <w:rFonts w:hint="eastAsia" w:ascii="宋体" w:hAnsi="宋体" w:cs="宋体"/>
          <w:color w:val="auto"/>
          <w:kern w:val="0"/>
          <w:highlight w:val="none"/>
        </w:rPr>
        <w:t>估价材料和工程设备的明细详见附件12：《</w:t>
      </w:r>
      <w:r>
        <w:rPr>
          <w:rFonts w:hint="eastAsia" w:ascii="宋体" w:hAnsi="宋体" w:cs="宋体"/>
          <w:color w:val="auto"/>
          <w:highlight w:val="none"/>
        </w:rPr>
        <w:t>暂估价一览表》</w:t>
      </w:r>
      <w:r>
        <w:rPr>
          <w:rFonts w:hint="eastAsia" w:ascii="宋体" w:hAnsi="宋体" w:cs="宋体"/>
          <w:color w:val="auto"/>
          <w:kern w:val="0"/>
          <w:highlight w:val="none"/>
        </w:rPr>
        <w:t>。</w:t>
      </w:r>
    </w:p>
    <w:bookmarkEnd w:id="1125"/>
    <w:bookmarkEnd w:id="1126"/>
    <w:bookmarkEnd w:id="1127"/>
    <w:p w14:paraId="1F5A93F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Start w:id="1128" w:name="_Toc318581177"/>
      <w:bookmarkStart w:id="1129" w:name="_Toc312678035"/>
      <w:bookmarkStart w:id="1130" w:name="_Toc312677509"/>
      <w:r>
        <w:rPr>
          <w:rFonts w:hint="eastAsia" w:ascii="宋体" w:hAnsi="宋体" w:cs="宋体"/>
          <w:color w:val="auto"/>
          <w:highlight w:val="none"/>
        </w:rPr>
        <w:t>0.7.1 依法必须招标的暂估价项目</w:t>
      </w:r>
    </w:p>
    <w:bookmarkEnd w:id="1128"/>
    <w:bookmarkEnd w:id="1129"/>
    <w:bookmarkEnd w:id="1130"/>
    <w:p w14:paraId="14DBCA9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2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14:paraId="420BD8F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10.7.2 不属于依法必须招标的暂估价项目</w:t>
      </w:r>
    </w:p>
    <w:p w14:paraId="41A13D6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对于不属于依法必须招标的暂估价项目的确认和批准采取第 </w:t>
      </w:r>
      <w:r>
        <w:rPr>
          <w:rFonts w:hint="eastAsia" w:ascii="宋体" w:hAnsi="宋体" w:cs="宋体"/>
          <w:color w:val="auto"/>
          <w:highlight w:val="none"/>
          <w:u w:val="single"/>
        </w:rPr>
        <w:t xml:space="preserve">1 </w:t>
      </w:r>
      <w:r>
        <w:rPr>
          <w:rFonts w:hint="eastAsia" w:ascii="宋体" w:hAnsi="宋体" w:cs="宋体"/>
          <w:color w:val="auto"/>
          <w:highlight w:val="none"/>
        </w:rPr>
        <w:t>种方式确定。</w:t>
      </w:r>
    </w:p>
    <w:p w14:paraId="653309A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第3种方式：</w:t>
      </w:r>
      <w:r>
        <w:rPr>
          <w:rFonts w:hint="eastAsia" w:ascii="宋体" w:hAnsi="宋体" w:cs="宋体"/>
          <w:color w:val="auto"/>
          <w:kern w:val="0"/>
          <w:highlight w:val="none"/>
        </w:rPr>
        <w:t>承包人直接实施的暂估价项目</w:t>
      </w:r>
    </w:p>
    <w:p w14:paraId="5696ED0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承包人直接实施的暂估价项目的约定：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29AAD3E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10.8 暂列金额</w:t>
      </w:r>
    </w:p>
    <w:p w14:paraId="1EA4951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合同当事人关于暂列金额使用的约定：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64E4AA4D">
      <w:pPr>
        <w:keepNext/>
        <w:keepLines/>
        <w:adjustRightInd w:val="0"/>
        <w:snapToGrid w:val="0"/>
        <w:spacing w:line="384" w:lineRule="auto"/>
        <w:jc w:val="left"/>
        <w:outlineLvl w:val="2"/>
        <w:rPr>
          <w:rFonts w:hint="eastAsia" w:ascii="宋体" w:hAnsi="宋体" w:cs="宋体"/>
          <w:bCs/>
          <w:color w:val="auto"/>
          <w:sz w:val="24"/>
          <w:highlight w:val="none"/>
        </w:rPr>
      </w:pPr>
      <w:bookmarkStart w:id="1131" w:name="_Toc351203643"/>
      <w:bookmarkStart w:id="1132" w:name="_Toc95223472"/>
      <w:r>
        <w:rPr>
          <w:rFonts w:hint="eastAsia" w:ascii="宋体" w:hAnsi="宋体" w:cs="宋体"/>
          <w:bCs/>
          <w:color w:val="auto"/>
          <w:sz w:val="24"/>
          <w:highlight w:val="none"/>
        </w:rPr>
        <w:t>11. 价格调整</w:t>
      </w:r>
      <w:bookmarkEnd w:id="1131"/>
      <w:bookmarkEnd w:id="1132"/>
    </w:p>
    <w:p w14:paraId="64483132">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bookmarkStart w:id="1133" w:name="_Toc296944540"/>
      <w:bookmarkStart w:id="1134" w:name="_Toc292559911"/>
      <w:bookmarkStart w:id="1135" w:name="_Toc296891029"/>
      <w:bookmarkStart w:id="1136" w:name="_Toc303539157"/>
      <w:bookmarkStart w:id="1137" w:name="_Toc292559406"/>
      <w:bookmarkStart w:id="1138" w:name="_Toc297123550"/>
      <w:bookmarkStart w:id="1139" w:name="_Toc312678039"/>
      <w:bookmarkStart w:id="1140" w:name="_Toc296346702"/>
      <w:bookmarkStart w:id="1141" w:name="_Toc296503201"/>
      <w:bookmarkStart w:id="1142" w:name="_Toc296891241"/>
      <w:bookmarkStart w:id="1143" w:name="_Toc300935000"/>
      <w:bookmarkStart w:id="1144" w:name="_Toc297120501"/>
      <w:bookmarkStart w:id="1145" w:name="_Toc296347200"/>
      <w:bookmarkStart w:id="1146" w:name="_Toc297216209"/>
      <w:bookmarkStart w:id="1147" w:name="_Toc304295577"/>
      <w:bookmarkStart w:id="1148" w:name="_Toc297048387"/>
      <w:r>
        <w:rPr>
          <w:rFonts w:hint="eastAsia" w:ascii="宋体" w:hAnsi="宋体" w:cs="宋体"/>
          <w:bCs/>
          <w:color w:val="auto"/>
          <w:szCs w:val="28"/>
          <w:highlight w:val="none"/>
        </w:rPr>
        <w:t>11.1 市场价格波动引起的调整</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6"/>
      </w:r>
    </w:p>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14:paraId="02F6807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市场价格波动是否调整合同价格的约定：</w:t>
      </w:r>
      <w:r>
        <w:rPr>
          <w:rFonts w:hint="eastAsia" w:ascii="宋体" w:hAnsi="宋体" w:cs="宋体"/>
          <w:b/>
          <w:color w:val="auto"/>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606B4E0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因市场价格波动调整合同价格，采用以下第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种方式对合同价格进行调整：</w:t>
      </w:r>
    </w:p>
    <w:p w14:paraId="20D1FCE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第1种方式：采用价格指数进行价格调整。</w:t>
      </w:r>
    </w:p>
    <w:p w14:paraId="6EFF8DD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7D0453E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第2种方式：采用造价信息进行价格调整。</w:t>
      </w:r>
    </w:p>
    <w:p w14:paraId="1F7720A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（1）价格的调整：</w:t>
      </w:r>
    </w:p>
    <w:p w14:paraId="6B4D81F3">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①可调整价格的主要材料范围的约定: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CE504C9">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②主要材料价差调整周期的约定: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FA11C72">
      <w:pPr>
        <w:adjustRightInd w:val="0"/>
        <w:snapToGrid w:val="0"/>
        <w:spacing w:line="384" w:lineRule="auto"/>
        <w:ind w:firstLine="840" w:firstLineChars="400"/>
        <w:rPr>
          <w:rFonts w:hint="eastAsia" w:ascii="宋体" w:hAnsi="宋体" w:cs="宋体"/>
          <w:color w:val="auto"/>
          <w:sz w:val="24"/>
          <w:szCs w:val="32"/>
          <w:highlight w:val="none"/>
        </w:rPr>
      </w:pPr>
      <w:r>
        <w:rPr>
          <w:rFonts w:hint="eastAsia" w:ascii="宋体" w:hAnsi="宋体" w:cs="宋体"/>
          <w:color w:val="auto"/>
          <w:highlight w:val="none"/>
        </w:rPr>
        <w:t>③主要材料价差调整计算方法的约定: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B610737">
      <w:pPr>
        <w:adjustRightInd w:val="0"/>
        <w:snapToGrid w:val="0"/>
        <w:spacing w:line="384" w:lineRule="auto"/>
        <w:ind w:firstLine="840" w:firstLineChars="400"/>
        <w:rPr>
          <w:rFonts w:hint="eastAsia" w:ascii="宋体" w:hAnsi="宋体" w:cs="宋体"/>
          <w:color w:val="auto"/>
          <w:highlight w:val="none"/>
        </w:rPr>
      </w:pPr>
      <w:r>
        <w:rPr>
          <w:rFonts w:hint="eastAsia" w:ascii="宋体" w:hAnsi="宋体" w:cs="宋体"/>
          <w:color w:val="auto"/>
          <w:highlight w:val="none"/>
        </w:rPr>
        <w:t>④主要材料价差调整时间的约定: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EF240F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（2）关于基准价格的约定：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03D2C17">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①承包人在已标价工程量清单或预算书中载明的材料单价低于基准价格的：专用合同条款合同履行期间材料单价涨幅以基准价格为基础超过</w:t>
      </w:r>
      <w:r>
        <w:rPr>
          <w:rFonts w:hint="eastAsia" w:ascii="宋体" w:hAnsi="宋体" w:cs="宋体"/>
          <w:b/>
          <w:bCs/>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b/>
          <w:bCs/>
          <w:color w:val="auto"/>
          <w:highlight w:val="none"/>
          <w:u w:val="single"/>
        </w:rPr>
        <w:t xml:space="preserve">  </w:t>
      </w:r>
      <w:r>
        <w:rPr>
          <w:rFonts w:hint="eastAsia" w:ascii="宋体" w:hAnsi="宋体" w:cs="宋体"/>
          <w:color w:val="auto"/>
          <w:highlight w:val="none"/>
        </w:rPr>
        <w:t>时，或材料单价跌幅以已标价工程量清单或预算书中载明材料单价为基础超过</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b/>
          <w:bCs/>
          <w:color w:val="auto"/>
          <w:highlight w:val="none"/>
          <w:u w:val="single"/>
        </w:rPr>
        <w:t xml:space="preserve">  </w:t>
      </w:r>
      <w:r>
        <w:rPr>
          <w:rFonts w:hint="eastAsia" w:ascii="宋体" w:hAnsi="宋体" w:cs="宋体"/>
          <w:color w:val="auto"/>
          <w:highlight w:val="none"/>
        </w:rPr>
        <w:t>时，其超过部分据实调整。</w:t>
      </w:r>
    </w:p>
    <w:p w14:paraId="3D2E8538">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rPr>
        <w:t>时，材料单价涨幅以已标价工程量清单或预算书中载明材料单价为基础超过</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b/>
          <w:bCs/>
          <w:color w:val="auto"/>
          <w:highlight w:val="none"/>
          <w:u w:val="single"/>
        </w:rPr>
        <w:t xml:space="preserve"> </w:t>
      </w:r>
      <w:r>
        <w:rPr>
          <w:rFonts w:hint="eastAsia" w:ascii="宋体" w:hAnsi="宋体" w:cs="宋体"/>
          <w:color w:val="auto"/>
          <w:highlight w:val="none"/>
        </w:rPr>
        <w:t>时，其超过部分据实调整。</w:t>
      </w:r>
    </w:p>
    <w:p w14:paraId="2130B0A2">
      <w:pPr>
        <w:adjustRightInd w:val="0"/>
        <w:snapToGrid w:val="0"/>
        <w:spacing w:line="384" w:lineRule="auto"/>
        <w:ind w:firstLine="630" w:firstLineChars="300"/>
        <w:rPr>
          <w:rFonts w:hint="eastAsia" w:ascii="宋体" w:hAnsi="宋体" w:cs="宋体"/>
          <w:color w:val="auto"/>
          <w:highlight w:val="none"/>
        </w:rPr>
      </w:pPr>
      <w:r>
        <w:rPr>
          <w:rFonts w:hint="eastAsia" w:ascii="宋体" w:hAnsi="宋体" w:cs="宋体"/>
          <w:color w:val="auto"/>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b/>
          <w:bCs/>
          <w:color w:val="auto"/>
          <w:highlight w:val="none"/>
          <w:u w:val="single"/>
        </w:rPr>
        <w:t xml:space="preserve"> </w:t>
      </w:r>
      <w:r>
        <w:rPr>
          <w:rFonts w:hint="eastAsia" w:ascii="宋体" w:hAnsi="宋体" w:cs="宋体"/>
          <w:color w:val="auto"/>
          <w:highlight w:val="none"/>
        </w:rPr>
        <w:t>时，其超过部分据实调整。</w:t>
      </w:r>
    </w:p>
    <w:p w14:paraId="7A4847A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第3种方式：其他价格调整方式：</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1035"/>
    <w:bookmarkEnd w:id="1036"/>
    <w:bookmarkEnd w:id="1037"/>
    <w:bookmarkEnd w:id="1038"/>
    <w:bookmarkEnd w:id="1039"/>
    <w:bookmarkEnd w:id="1040"/>
    <w:p w14:paraId="156F81FF">
      <w:pPr>
        <w:keepNext/>
        <w:keepLines/>
        <w:adjustRightInd w:val="0"/>
        <w:snapToGrid w:val="0"/>
        <w:spacing w:line="384" w:lineRule="auto"/>
        <w:jc w:val="left"/>
        <w:outlineLvl w:val="2"/>
        <w:rPr>
          <w:rFonts w:hint="eastAsia" w:ascii="宋体" w:hAnsi="宋体" w:cs="宋体"/>
          <w:bCs/>
          <w:color w:val="auto"/>
          <w:sz w:val="24"/>
          <w:highlight w:val="none"/>
        </w:rPr>
      </w:pPr>
      <w:bookmarkStart w:id="1149" w:name="_Toc296503205"/>
      <w:bookmarkStart w:id="1150" w:name="_Toc296944544"/>
      <w:bookmarkStart w:id="1151" w:name="_Toc292559410"/>
      <w:bookmarkStart w:id="1152" w:name="_Toc296891245"/>
      <w:bookmarkStart w:id="1153" w:name="_Toc296891033"/>
      <w:bookmarkStart w:id="1154" w:name="_Toc296346706"/>
      <w:bookmarkStart w:id="1155" w:name="_Toc297120505"/>
      <w:bookmarkStart w:id="1156" w:name="_Toc296347204"/>
      <w:bookmarkStart w:id="1157" w:name="_Toc292559915"/>
      <w:bookmarkStart w:id="1158" w:name="_Toc297048391"/>
      <w:bookmarkStart w:id="1159" w:name="_Toc351203644"/>
      <w:bookmarkStart w:id="1160" w:name="_Toc95223473"/>
      <w:bookmarkStart w:id="1161" w:name="_Toc304295579"/>
      <w:bookmarkStart w:id="1162" w:name="_Toc303539159"/>
      <w:bookmarkStart w:id="1163" w:name="_Toc300935002"/>
      <w:bookmarkStart w:id="1164" w:name="_Toc297123552"/>
      <w:bookmarkStart w:id="1165" w:name="_Toc312678040"/>
      <w:bookmarkStart w:id="1166" w:name="_Toc297216211"/>
      <w:r>
        <w:rPr>
          <w:rFonts w:hint="eastAsia" w:ascii="宋体" w:hAnsi="宋体" w:cs="宋体"/>
          <w:bCs/>
          <w:color w:val="auto"/>
          <w:sz w:val="24"/>
          <w:highlight w:val="none"/>
        </w:rPr>
        <w:t xml:space="preserve">12. </w:t>
      </w:r>
      <w:bookmarkEnd w:id="1149"/>
      <w:bookmarkEnd w:id="1150"/>
      <w:bookmarkEnd w:id="1151"/>
      <w:bookmarkEnd w:id="1152"/>
      <w:bookmarkEnd w:id="1153"/>
      <w:bookmarkEnd w:id="1154"/>
      <w:bookmarkEnd w:id="1155"/>
      <w:bookmarkEnd w:id="1156"/>
      <w:bookmarkEnd w:id="1157"/>
      <w:bookmarkEnd w:id="1158"/>
      <w:r>
        <w:rPr>
          <w:rFonts w:hint="eastAsia" w:ascii="宋体" w:hAnsi="宋体" w:cs="宋体"/>
          <w:bCs/>
          <w:color w:val="auto"/>
          <w:sz w:val="24"/>
          <w:highlight w:val="none"/>
        </w:rPr>
        <w:t>合同价格、计量与支付</w:t>
      </w:r>
      <w:bookmarkEnd w:id="1159"/>
      <w:bookmarkEnd w:id="1160"/>
    </w:p>
    <w:bookmarkEnd w:id="1161"/>
    <w:bookmarkEnd w:id="1162"/>
    <w:bookmarkEnd w:id="1163"/>
    <w:bookmarkEnd w:id="1164"/>
    <w:bookmarkEnd w:id="1165"/>
    <w:bookmarkEnd w:id="1166"/>
    <w:p w14:paraId="27F09C6F">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bookmarkStart w:id="1167" w:name="_Toc292559916"/>
      <w:bookmarkStart w:id="1168" w:name="_Toc292559411"/>
      <w:bookmarkStart w:id="1169" w:name="_Toc267251461"/>
      <w:bookmarkStart w:id="1170" w:name="_Toc296503206"/>
      <w:bookmarkStart w:id="1171" w:name="_Toc296891246"/>
      <w:bookmarkStart w:id="1172" w:name="_Toc297048392"/>
      <w:bookmarkStart w:id="1173" w:name="_Toc297120506"/>
      <w:bookmarkStart w:id="1174" w:name="_Toc296944545"/>
      <w:bookmarkStart w:id="1175" w:name="_Toc296891034"/>
      <w:bookmarkStart w:id="1176" w:name="_Toc296347205"/>
      <w:bookmarkStart w:id="1177" w:name="_Toc296346707"/>
      <w:bookmarkStart w:id="1178" w:name="_Toc304295580"/>
      <w:bookmarkStart w:id="1179" w:name="_Toc312678041"/>
      <w:bookmarkStart w:id="1180" w:name="_Toc300935003"/>
      <w:bookmarkStart w:id="1181" w:name="_Toc297123553"/>
      <w:bookmarkStart w:id="1182" w:name="_Toc303539160"/>
      <w:bookmarkStart w:id="1183" w:name="_Toc297216212"/>
      <w:r>
        <w:rPr>
          <w:rFonts w:hint="eastAsia" w:ascii="宋体" w:hAnsi="宋体" w:cs="宋体"/>
          <w:bCs/>
          <w:color w:val="auto"/>
          <w:szCs w:val="28"/>
          <w:highlight w:val="none"/>
        </w:rPr>
        <w:t>12.1 合</w:t>
      </w:r>
      <w:bookmarkEnd w:id="1167"/>
      <w:bookmarkEnd w:id="1168"/>
      <w:bookmarkEnd w:id="1169"/>
      <w:r>
        <w:rPr>
          <w:rFonts w:hint="eastAsia" w:ascii="宋体" w:hAnsi="宋体" w:cs="宋体"/>
          <w:bCs/>
          <w:color w:val="auto"/>
          <w:szCs w:val="28"/>
          <w:highlight w:val="none"/>
        </w:rPr>
        <w:t>同价</w:t>
      </w:r>
      <w:bookmarkEnd w:id="1170"/>
      <w:bookmarkEnd w:id="1171"/>
      <w:bookmarkEnd w:id="1172"/>
      <w:bookmarkEnd w:id="1173"/>
      <w:bookmarkEnd w:id="1174"/>
      <w:bookmarkEnd w:id="1175"/>
      <w:bookmarkEnd w:id="1176"/>
      <w:bookmarkEnd w:id="1177"/>
      <w:r>
        <w:rPr>
          <w:rFonts w:hint="eastAsia" w:ascii="宋体" w:hAnsi="宋体" w:cs="宋体"/>
          <w:bCs/>
          <w:color w:val="auto"/>
          <w:szCs w:val="28"/>
          <w:highlight w:val="none"/>
        </w:rPr>
        <w:t>格形式</w:t>
      </w:r>
    </w:p>
    <w:bookmarkEnd w:id="1178"/>
    <w:bookmarkEnd w:id="1179"/>
    <w:bookmarkEnd w:id="1180"/>
    <w:bookmarkEnd w:id="1181"/>
    <w:bookmarkEnd w:id="1182"/>
    <w:bookmarkEnd w:id="1183"/>
    <w:p w14:paraId="21DEF4C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(1)单价合同。</w:t>
      </w:r>
    </w:p>
    <w:p w14:paraId="527A8C4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综合单价包含的风险范围：</w:t>
      </w:r>
      <w:r>
        <w:rPr>
          <w:rFonts w:hint="eastAsia" w:ascii="宋体" w:hAnsi="宋体" w:cs="宋体"/>
          <w:color w:val="auto"/>
          <w:highlight w:val="none"/>
          <w:u w:val="single"/>
        </w:rPr>
        <w:t xml:space="preserve">  </w:t>
      </w:r>
      <w:r>
        <w:rPr>
          <w:rFonts w:hint="eastAsia" w:ascii="宋体" w:hAnsi="宋体" w:eastAsia="宋体" w:cs="宋体"/>
          <w:b/>
          <w:bCs/>
          <w:color w:val="auto"/>
          <w:szCs w:val="21"/>
          <w:highlight w:val="none"/>
          <w:u w:val="single"/>
        </w:rPr>
        <w:t>各种因素引起的材料价格（合同允许调差的材料除外）、机械使用费、管理费、利润等</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3C6FFE7">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风险费用的计算方法：</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不考虑</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B2A212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w:t>
      </w:r>
      <w:r>
        <w:rPr>
          <w:rFonts w:hint="eastAsia" w:ascii="宋体" w:hAnsi="宋体" w:eastAsia="宋体" w:cs="宋体"/>
          <w:b/>
          <w:bCs/>
          <w:color w:val="auto"/>
          <w:kern w:val="0"/>
          <w:szCs w:val="21"/>
          <w:highlight w:val="none"/>
          <w:u w:val="single"/>
          <w:shd w:val="clear" w:color="auto" w:fill="FFFFFF"/>
          <w:lang w:val="en-US" w:eastAsia="zh-CN" w:bidi="ar"/>
        </w:rPr>
        <w:t>按国家及省市相关政策执行</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3E3DF1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(2)总价合同。</w:t>
      </w:r>
    </w:p>
    <w:p w14:paraId="1C65D6E5">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总价包含的风险范围：</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p>
    <w:p w14:paraId="38CEEA4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风险费用的计算方法：</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441B5EB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风险范围以外合同价格的调整方法：</w:t>
      </w:r>
      <w:r>
        <w:rPr>
          <w:rFonts w:hint="eastAsia" w:ascii="宋体" w:hAnsi="宋体" w:cs="宋体"/>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59668E3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(3)其他价格方式：</w:t>
      </w:r>
      <w:r>
        <w:rPr>
          <w:rFonts w:hint="eastAsia" w:ascii="宋体" w:hAnsi="宋体" w:cs="宋体"/>
          <w:color w:val="auto"/>
          <w:highlight w:val="none"/>
          <w:u w:val="single"/>
        </w:rPr>
        <w:t xml:space="preserve">  </w:t>
      </w:r>
      <w:r>
        <w:rPr>
          <w:rFonts w:hint="eastAsia" w:ascii="宋体" w:hAnsi="宋体" w:cs="宋体"/>
          <w:b/>
          <w:color w:val="auto"/>
          <w:highlight w:val="none"/>
          <w:u w:val="single"/>
          <w:lang w:val="en-US" w:eastAsia="zh-CN"/>
        </w:rPr>
        <w:t>/</w:t>
      </w:r>
      <w:r>
        <w:rPr>
          <w:rFonts w:hint="eastAsia" w:ascii="宋体" w:hAnsi="宋体" w:cs="宋体"/>
          <w:b/>
          <w:color w:val="auto"/>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776B4CE">
      <w:pPr>
        <w:keepNext/>
        <w:keepLines/>
        <w:adjustRightInd w:val="0"/>
        <w:snapToGrid w:val="0"/>
        <w:spacing w:line="384" w:lineRule="auto"/>
        <w:jc w:val="left"/>
        <w:outlineLvl w:val="2"/>
        <w:rPr>
          <w:rFonts w:hint="eastAsia" w:ascii="宋体" w:hAnsi="宋体" w:cs="宋体"/>
          <w:bCs/>
          <w:color w:val="auto"/>
          <w:sz w:val="24"/>
          <w:highlight w:val="none"/>
        </w:rPr>
      </w:pPr>
      <w:bookmarkStart w:id="1184" w:name="_Toc95223474"/>
      <w:bookmarkStart w:id="1185" w:name="_Toc303539161"/>
      <w:bookmarkStart w:id="1186" w:name="_Toc304295581"/>
      <w:bookmarkStart w:id="1187" w:name="_Toc300935004"/>
      <w:bookmarkStart w:id="1188" w:name="_Toc297123554"/>
      <w:bookmarkStart w:id="1189" w:name="_Toc312678042"/>
      <w:bookmarkStart w:id="1190" w:name="_Toc297216213"/>
      <w:bookmarkStart w:id="1191" w:name="_Toc296503207"/>
      <w:bookmarkStart w:id="1192" w:name="_Toc292559917"/>
      <w:bookmarkStart w:id="1193" w:name="_Toc296944546"/>
      <w:bookmarkStart w:id="1194" w:name="_Toc297120507"/>
      <w:bookmarkStart w:id="1195" w:name="_Toc296347206"/>
      <w:bookmarkStart w:id="1196" w:name="_Toc296346708"/>
      <w:bookmarkStart w:id="1197" w:name="_Toc297048393"/>
      <w:bookmarkStart w:id="1198" w:name="_Toc296891035"/>
      <w:bookmarkStart w:id="1199" w:name="_Toc292559412"/>
      <w:bookmarkStart w:id="1200" w:name="_Toc296891247"/>
      <w:r>
        <w:rPr>
          <w:rFonts w:hint="eastAsia" w:ascii="宋体" w:hAnsi="宋体" w:cs="宋体"/>
          <w:bCs/>
          <w:color w:val="auto"/>
          <w:sz w:val="24"/>
          <w:highlight w:val="none"/>
        </w:rPr>
        <w:t>12.2 预付款</w:t>
      </w:r>
      <w:bookmarkEnd w:id="1184"/>
    </w:p>
    <w:bookmarkEnd w:id="1185"/>
    <w:bookmarkEnd w:id="1186"/>
    <w:bookmarkEnd w:id="1187"/>
    <w:bookmarkEnd w:id="1188"/>
    <w:bookmarkEnd w:id="1189"/>
    <w:bookmarkEnd w:id="1190"/>
    <w:p w14:paraId="2B0A35A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12.2.1 预付款的支付</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7"/>
      </w:r>
    </w:p>
    <w:p w14:paraId="54A4C0A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预付款支付比例或金额：</w:t>
      </w:r>
      <w:r>
        <w:rPr>
          <w:rFonts w:hint="eastAsia" w:ascii="宋体" w:hAnsi="宋体" w:cs="宋体"/>
          <w:color w:val="auto"/>
          <w:highlight w:val="none"/>
          <w:u w:val="single"/>
        </w:rPr>
        <w:t>合同总价（扣除暂列金额）的10%</w:t>
      </w:r>
      <w:r>
        <w:rPr>
          <w:rFonts w:hint="eastAsia" w:ascii="宋体" w:hAnsi="宋体" w:cs="宋体"/>
          <w:color w:val="auto"/>
          <w:highlight w:val="none"/>
        </w:rPr>
        <w:t>。</w:t>
      </w:r>
    </w:p>
    <w:p w14:paraId="5B9769F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预付款支付期限：</w:t>
      </w:r>
      <w:r>
        <w:rPr>
          <w:rFonts w:hint="eastAsia" w:ascii="宋体" w:hAnsi="宋体" w:cs="宋体"/>
          <w:color w:val="auto"/>
          <w:highlight w:val="none"/>
          <w:u w:val="single"/>
        </w:rPr>
        <w:t>在具备施工条件的前提下，发包人在合同签订后一个月内或不迟于约定的开工日期前 7 天内预付工程款</w:t>
      </w:r>
      <w:r>
        <w:rPr>
          <w:rFonts w:hint="eastAsia" w:ascii="宋体" w:hAnsi="宋体" w:cs="宋体"/>
          <w:color w:val="auto"/>
          <w:highlight w:val="none"/>
        </w:rPr>
        <w:t>。</w:t>
      </w:r>
    </w:p>
    <w:p w14:paraId="291007E4">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预付款扣回的方式：</w:t>
      </w:r>
      <w:r>
        <w:rPr>
          <w:rFonts w:hint="eastAsia" w:ascii="宋体" w:hAnsi="宋体" w:eastAsia="宋体" w:cs="宋体"/>
          <w:color w:val="auto"/>
          <w:highlight w:val="none"/>
          <w:u w:val="single"/>
          <w:lang w:val="en-US" w:eastAsia="zh-CN"/>
        </w:rPr>
        <w:t>从第一笔工程款支付开始一次性扣回，直至扣完为止</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00C258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12.2.2 预付款担保</w:t>
      </w:r>
    </w:p>
    <w:p w14:paraId="6498EB0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承包人提交预付款担保的期限：</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F4EF1B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预付款担保的形式为：</w:t>
      </w:r>
      <w:r>
        <w:rPr>
          <w:rFonts w:hint="eastAsia" w:ascii="宋体" w:hAnsi="宋体" w:cs="宋体"/>
          <w:color w:val="auto"/>
          <w:highlight w:val="none"/>
          <w:u w:val="single"/>
        </w:rPr>
        <w:t xml:space="preserve">                                  </w:t>
      </w:r>
      <w:r>
        <w:rPr>
          <w:rFonts w:hint="eastAsia" w:ascii="宋体" w:hAnsi="宋体" w:cs="宋体"/>
          <w:color w:val="auto"/>
          <w:highlight w:val="none"/>
        </w:rPr>
        <w:t>。</w:t>
      </w:r>
    </w:p>
    <w:bookmarkEnd w:id="1191"/>
    <w:bookmarkEnd w:id="1192"/>
    <w:bookmarkEnd w:id="1193"/>
    <w:bookmarkEnd w:id="1194"/>
    <w:bookmarkEnd w:id="1195"/>
    <w:bookmarkEnd w:id="1196"/>
    <w:bookmarkEnd w:id="1197"/>
    <w:bookmarkEnd w:id="1198"/>
    <w:bookmarkEnd w:id="1199"/>
    <w:bookmarkEnd w:id="1200"/>
    <w:p w14:paraId="38297CE7">
      <w:pPr>
        <w:keepNext/>
        <w:keepLines/>
        <w:adjustRightInd w:val="0"/>
        <w:snapToGrid w:val="0"/>
        <w:spacing w:line="384" w:lineRule="auto"/>
        <w:jc w:val="left"/>
        <w:outlineLvl w:val="2"/>
        <w:rPr>
          <w:rFonts w:hint="eastAsia" w:ascii="宋体" w:hAnsi="宋体" w:cs="宋体"/>
          <w:bCs/>
          <w:color w:val="auto"/>
          <w:sz w:val="24"/>
          <w:highlight w:val="none"/>
        </w:rPr>
      </w:pPr>
      <w:bookmarkStart w:id="1201" w:name="_Toc95223475"/>
      <w:r>
        <w:rPr>
          <w:rFonts w:hint="eastAsia" w:ascii="宋体" w:hAnsi="宋体" w:cs="宋体"/>
          <w:bCs/>
          <w:color w:val="auto"/>
          <w:sz w:val="24"/>
          <w:highlight w:val="none"/>
        </w:rPr>
        <w:t>12.3 计量</w:t>
      </w:r>
      <w:bookmarkEnd w:id="1201"/>
    </w:p>
    <w:p w14:paraId="34596A1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12.3.1 计量原则</w:t>
      </w:r>
    </w:p>
    <w:p w14:paraId="2F83F49F">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工程量计算规则：</w:t>
      </w:r>
      <w:r>
        <w:rPr>
          <w:rFonts w:hint="eastAsia" w:ascii="宋体" w:hAnsi="宋体" w:cs="宋体"/>
          <w:color w:val="auto"/>
          <w:szCs w:val="21"/>
          <w:highlight w:val="none"/>
          <w:u w:val="single"/>
        </w:rPr>
        <w:t>按招标工程量清单及最高投标限价所采用的工程量清单计价规范及配套文件等</w:t>
      </w:r>
      <w:r>
        <w:rPr>
          <w:rFonts w:hint="eastAsia" w:ascii="宋体" w:hAnsi="宋体" w:cs="宋体"/>
          <w:b/>
          <w:color w:val="auto"/>
          <w:highlight w:val="none"/>
        </w:rPr>
        <w:t>。</w:t>
      </w:r>
    </w:p>
    <w:p w14:paraId="47AC04B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12.3.2 计量周期</w:t>
      </w:r>
    </w:p>
    <w:p w14:paraId="2435AB96">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关于计量周期的约定</w:t>
      </w:r>
      <w:r>
        <w:rPr>
          <w:rFonts w:hint="eastAsia" w:ascii="宋体" w:hAnsi="宋体" w:cs="宋体"/>
          <w:b/>
          <w:color w:val="auto"/>
          <w:highlight w:val="none"/>
        </w:rPr>
        <w:t>：</w:t>
      </w:r>
      <w:r>
        <w:rPr>
          <w:rFonts w:hint="eastAsia" w:ascii="宋体" w:hAnsi="宋体" w:cs="宋体"/>
          <w:color w:val="auto"/>
          <w:szCs w:val="21"/>
          <w:highlight w:val="none"/>
          <w:u w:val="single"/>
        </w:rPr>
        <w:t xml:space="preserve">  按请款节点</w:t>
      </w:r>
      <w:r>
        <w:rPr>
          <w:rFonts w:hint="eastAsia" w:ascii="宋体" w:hAnsi="宋体" w:cs="宋体"/>
          <w:b/>
          <w:color w:val="auto"/>
          <w:highlight w:val="none"/>
        </w:rPr>
        <w:t>。</w:t>
      </w:r>
    </w:p>
    <w:p w14:paraId="572AE81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12.3.3 单价合同的计量</w:t>
      </w:r>
    </w:p>
    <w:p w14:paraId="471D125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关于单价合同计量的约定：</w:t>
      </w:r>
      <w:r>
        <w:rPr>
          <w:rFonts w:hint="eastAsia" w:ascii="宋体" w:hAnsi="宋体" w:cs="宋体"/>
          <w:color w:val="auto"/>
          <w:highlight w:val="none"/>
          <w:u w:val="single"/>
        </w:rPr>
        <w:t xml:space="preserve">  </w:t>
      </w:r>
      <w:r>
        <w:rPr>
          <w:rFonts w:hint="eastAsia" w:ascii="宋体" w:hAnsi="宋体" w:cs="宋体"/>
          <w:color w:val="auto"/>
          <w:sz w:val="21"/>
          <w:szCs w:val="21"/>
          <w:highlight w:val="none"/>
          <w:u w:val="single"/>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报表后的7天内完成审核的，承包人报送的工程量报告中的工程量视为承包人实际完成的工程量，据此计算工程价款</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347893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12.3.4 总价合同的计量</w:t>
      </w:r>
    </w:p>
    <w:p w14:paraId="03DE5AA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关于总价合同计量的约定：</w:t>
      </w:r>
      <w:r>
        <w:rPr>
          <w:rFonts w:hint="eastAsia" w:ascii="宋体" w:hAnsi="宋体" w:cs="宋体"/>
          <w:color w:val="auto"/>
          <w:szCs w:val="21"/>
          <w:highlight w:val="none"/>
          <w:u w:val="single"/>
          <w:lang w:val="en-US" w:eastAsia="zh-CN"/>
        </w:rPr>
        <w:t>不采用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2C7BBC9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12.3.5 总价合同采用支付分解表计量支付的，是否适用第</w:t>
      </w:r>
      <w:r>
        <w:rPr>
          <w:rFonts w:hint="eastAsia" w:ascii="宋体" w:hAnsi="宋体" w:cs="宋体"/>
          <w:color w:val="auto"/>
          <w:kern w:val="0"/>
          <w:highlight w:val="none"/>
        </w:rPr>
        <w:t>12.3.4</w:t>
      </w:r>
      <w:r>
        <w:rPr>
          <w:rFonts w:hint="eastAsia" w:ascii="宋体" w:hAnsi="宋体" w:cs="宋体"/>
          <w:color w:val="auto"/>
          <w:highlight w:val="none"/>
        </w:rPr>
        <w:t>项</w:t>
      </w:r>
      <w:r>
        <w:rPr>
          <w:rFonts w:hint="eastAsia" w:ascii="宋体" w:hAnsi="宋体" w:cs="宋体"/>
          <w:color w:val="auto"/>
          <w:kern w:val="0"/>
          <w:highlight w:val="none"/>
        </w:rPr>
        <w:t>〔总价合同的计量〕</w:t>
      </w:r>
      <w:r>
        <w:rPr>
          <w:rFonts w:hint="eastAsia" w:ascii="宋体" w:hAnsi="宋体" w:cs="宋体"/>
          <w:color w:val="auto"/>
          <w:highlight w:val="none"/>
        </w:rPr>
        <w:t>约定进行计量：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不采用</w:t>
      </w:r>
      <w:r>
        <w:rPr>
          <w:rFonts w:hint="eastAsia" w:ascii="宋体" w:hAnsi="宋体" w:cs="宋体"/>
          <w:color w:val="auto"/>
          <w:szCs w:val="21"/>
          <w:highlight w:val="none"/>
          <w:u w:val="single"/>
        </w:rPr>
        <w:t xml:space="preserve">             </w:t>
      </w:r>
      <w:r>
        <w:rPr>
          <w:rFonts w:hint="eastAsia" w:ascii="宋体" w:hAnsi="宋体" w:cs="宋体"/>
          <w:b/>
          <w:color w:val="auto"/>
          <w:highlight w:val="none"/>
        </w:rPr>
        <w:t>。</w:t>
      </w:r>
    </w:p>
    <w:p w14:paraId="2A50A54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12.3.6 其他价格形式合同的计量</w:t>
      </w:r>
    </w:p>
    <w:p w14:paraId="639F852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其他价格形式的计量方式和程序：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不采用</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1C67C935">
      <w:pPr>
        <w:keepNext/>
        <w:keepLines/>
        <w:adjustRightInd w:val="0"/>
        <w:snapToGrid w:val="0"/>
        <w:spacing w:line="384" w:lineRule="auto"/>
        <w:jc w:val="left"/>
        <w:outlineLvl w:val="2"/>
        <w:rPr>
          <w:rFonts w:hint="eastAsia" w:ascii="宋体" w:hAnsi="宋体" w:cs="宋体"/>
          <w:bCs/>
          <w:color w:val="auto"/>
          <w:sz w:val="24"/>
          <w:highlight w:val="none"/>
        </w:rPr>
      </w:pPr>
      <w:bookmarkStart w:id="1202" w:name="_Toc95223476"/>
      <w:r>
        <w:rPr>
          <w:rFonts w:hint="eastAsia" w:ascii="宋体" w:hAnsi="宋体" w:cs="宋体"/>
          <w:bCs/>
          <w:color w:val="auto"/>
          <w:sz w:val="24"/>
          <w:highlight w:val="none"/>
        </w:rPr>
        <w:t>12.4 工程进度款支付</w:t>
      </w:r>
      <w:bookmarkEnd w:id="1202"/>
    </w:p>
    <w:p w14:paraId="1235BFEE">
      <w:pPr>
        <w:adjustRightInd w:val="0"/>
        <w:snapToGrid w:val="0"/>
        <w:spacing w:line="384" w:lineRule="auto"/>
        <w:ind w:firstLine="420" w:firstLineChars="200"/>
        <w:rPr>
          <w:rFonts w:hint="eastAsia" w:ascii="宋体" w:hAnsi="宋体" w:cs="宋体"/>
          <w:color w:val="auto"/>
          <w:highlight w:val="none"/>
        </w:rPr>
      </w:pPr>
      <w:bookmarkStart w:id="1203" w:name="_Toc292559921"/>
      <w:bookmarkStart w:id="1204" w:name="_Toc292559416"/>
      <w:bookmarkStart w:id="1205" w:name="_Toc296944550"/>
      <w:bookmarkStart w:id="1206" w:name="_Toc296346712"/>
      <w:bookmarkStart w:id="1207" w:name="_Toc297123556"/>
      <w:bookmarkStart w:id="1208" w:name="_Toc296891039"/>
      <w:bookmarkStart w:id="1209" w:name="_Toc296503211"/>
      <w:bookmarkStart w:id="1210" w:name="_Toc297048397"/>
      <w:bookmarkStart w:id="1211" w:name="_Toc297216215"/>
      <w:bookmarkStart w:id="1212" w:name="_Toc296347210"/>
      <w:bookmarkStart w:id="1213" w:name="_Toc297120511"/>
      <w:bookmarkStart w:id="1214" w:name="_Toc296891251"/>
      <w:bookmarkStart w:id="1215" w:name="_Toc300935006"/>
      <w:bookmarkStart w:id="1216" w:name="_Toc303539163"/>
      <w:r>
        <w:rPr>
          <w:rFonts w:hint="eastAsia" w:ascii="宋体" w:hAnsi="宋体" w:cs="宋体"/>
          <w:color w:val="auto"/>
          <w:highlight w:val="none"/>
        </w:rPr>
        <w:t>12.4.1 付款周期</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8"/>
      </w:r>
    </w:p>
    <w:p w14:paraId="3761568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关于付款周期的约定：</w:t>
      </w:r>
      <w:r>
        <w:rPr>
          <w:rFonts w:hint="eastAsia" w:ascii="宋体" w:hAnsi="宋体" w:cs="宋体"/>
          <w:color w:val="auto"/>
          <w:highlight w:val="none"/>
          <w:u w:val="single"/>
        </w:rPr>
        <w:t>在具备施工条件的前提下，发包人在合同签订后一个月内或不迟于约定的开工日期前 7 天内预付工程款为合同总价（扣除暂列金额）的</w:t>
      </w:r>
      <w:r>
        <w:rPr>
          <w:rFonts w:hint="eastAsia" w:ascii="宋体" w:hAnsi="宋体" w:cs="宋体"/>
          <w:b/>
          <w:color w:val="auto"/>
          <w:highlight w:val="none"/>
          <w:u w:val="single"/>
        </w:rPr>
        <w:t>10</w:t>
      </w:r>
      <w:r>
        <w:rPr>
          <w:rFonts w:hint="eastAsia" w:ascii="宋体" w:hAnsi="宋体" w:cs="宋体"/>
          <w:color w:val="auto"/>
          <w:highlight w:val="none"/>
          <w:u w:val="single"/>
        </w:rPr>
        <w:t>%，</w:t>
      </w:r>
      <w:r>
        <w:rPr>
          <w:rFonts w:hint="eastAsia" w:ascii="宋体" w:hAnsi="宋体" w:cs="宋体"/>
          <w:b/>
          <w:color w:val="auto"/>
          <w:highlight w:val="none"/>
          <w:u w:val="single"/>
        </w:rPr>
        <w:t>施工过程结算款支付比例不低于85%</w:t>
      </w:r>
      <w:r>
        <w:rPr>
          <w:rFonts w:hint="eastAsia" w:ascii="宋体" w:hAnsi="宋体" w:cs="宋体"/>
          <w:color w:val="auto"/>
          <w:highlight w:val="none"/>
          <w:u w:val="single"/>
        </w:rPr>
        <w:t>，结算审核完成后付至结算价款的</w:t>
      </w:r>
      <w:r>
        <w:rPr>
          <w:rFonts w:hint="eastAsia" w:ascii="宋体" w:hAnsi="宋体" w:cs="宋体"/>
          <w:b/>
          <w:color w:val="auto"/>
          <w:highlight w:val="none"/>
          <w:u w:val="single"/>
        </w:rPr>
        <w:t>98%</w:t>
      </w:r>
      <w:r>
        <w:rPr>
          <w:rFonts w:hint="eastAsia" w:ascii="宋体" w:hAnsi="宋体" w:cs="宋体"/>
          <w:color w:val="auto"/>
          <w:highlight w:val="none"/>
          <w:u w:val="single"/>
        </w:rPr>
        <w:t>，剩余</w:t>
      </w:r>
      <w:r>
        <w:rPr>
          <w:rFonts w:hint="eastAsia" w:ascii="宋体" w:hAnsi="宋体" w:cs="宋体"/>
          <w:b/>
          <w:color w:val="auto"/>
          <w:highlight w:val="none"/>
          <w:u w:val="single"/>
        </w:rPr>
        <w:t>2%</w:t>
      </w:r>
      <w:r>
        <w:rPr>
          <w:rFonts w:hint="eastAsia" w:ascii="宋体" w:hAnsi="宋体" w:cs="宋体"/>
          <w:color w:val="auto"/>
          <w:highlight w:val="none"/>
          <w:u w:val="single"/>
        </w:rPr>
        <w:t>作为质量保证金，工程缺陷责任期（自竣工验收合格之日起满</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年）满后付清余款。质量保证金支持保函（银行保函、担保机构担保、保证保险）使用。采用保函的不再从工程进度款中扣留质量保证金，保函有效期须与工程缺陷责任期截止时间保持一致。</w:t>
      </w:r>
    </w:p>
    <w:p w14:paraId="24719647">
      <w:pPr>
        <w:pStyle w:val="19"/>
        <w:ind w:left="0" w:leftChars="0"/>
        <w:rPr>
          <w:rFonts w:hint="eastAsia"/>
          <w:color w:val="auto"/>
          <w:highlight w:val="none"/>
        </w:rPr>
      </w:pPr>
      <w:r>
        <w:rPr>
          <w:rFonts w:hint="eastAsia" w:ascii="宋体" w:hAnsi="宋体" w:cs="宋体"/>
          <w:color w:val="auto"/>
          <w:highlight w:val="none"/>
        </w:rPr>
        <w:t>关于付款周期的其他约定：</w:t>
      </w:r>
      <w:r>
        <w:rPr>
          <w:rFonts w:hint="eastAsia" w:ascii="宋体" w:hAnsi="宋体" w:cs="宋体"/>
          <w:color w:val="auto"/>
          <w:highlight w:val="none"/>
          <w:u w:val="single"/>
        </w:rPr>
        <w:t xml:space="preserve"> </w:t>
      </w:r>
      <w:r>
        <w:rPr>
          <w:rFonts w:hint="eastAsia" w:ascii="宋体" w:hAnsi="宋体" w:eastAsia="宋体" w:cs="宋体"/>
          <w:color w:val="auto"/>
          <w:kern w:val="2"/>
          <w:sz w:val="21"/>
          <w:szCs w:val="24"/>
          <w:highlight w:val="none"/>
          <w:u w:val="single"/>
          <w:lang w:val="en-US" w:eastAsia="zh-CN" w:bidi="ar-SA"/>
        </w:rPr>
        <w:t>按月进度付款，当月完成进度计划的合格分部分项工程按85%付进度款</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highlight w:val="none"/>
        </w:rPr>
        <w:t>。</w:t>
      </w:r>
    </w:p>
    <w:p w14:paraId="66163F3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12.4.2 进度付款申请单的编制</w:t>
      </w:r>
    </w:p>
    <w:p w14:paraId="54D2D9E2">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关于进度付款申请单编制的约定：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按监理要求</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27F54E8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w:t>
      </w:r>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r>
        <w:rPr>
          <w:rFonts w:hint="eastAsia" w:ascii="宋体" w:hAnsi="宋体" w:cs="宋体"/>
          <w:color w:val="auto"/>
          <w:highlight w:val="none"/>
        </w:rPr>
        <w:t>2.4.3 进度付款申请单的提交</w:t>
      </w:r>
    </w:p>
    <w:p w14:paraId="1193F9EA">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（1）单价合同进度付款申请单提交的约定：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按施工进度付款，承包人每月月底前向发包人报送请款资料</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AD5837B">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（2）总价合同进度付款申请单提交的约定：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不采用</w:t>
      </w:r>
      <w:r>
        <w:rPr>
          <w:rFonts w:hint="eastAsia" w:ascii="宋体" w:hAnsi="宋体" w:cs="宋体"/>
          <w:color w:val="auto"/>
          <w:highlight w:val="none"/>
        </w:rPr>
        <w:t>。</w:t>
      </w:r>
    </w:p>
    <w:p w14:paraId="3A637335">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（3）其他价格形式合同进度付款申请单提交的约定：</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D28451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12.4.4 进度款审核和支付</w:t>
      </w:r>
    </w:p>
    <w:p w14:paraId="22E4512A">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（1）监理人审查并报送发包人的期限：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监理人应在收到承包人进度付款申请单以及相关资料后7天内完成审查并报送发包人</w:t>
      </w:r>
      <w:r>
        <w:rPr>
          <w:rFonts w:hint="eastAsia" w:ascii="宋体" w:hAnsi="宋体" w:cs="宋体"/>
          <w:color w:val="auto"/>
          <w:szCs w:val="21"/>
          <w:highlight w:val="none"/>
          <w:u w:val="single"/>
        </w:rPr>
        <w:t xml:space="preserve">  </w:t>
      </w:r>
      <w:r>
        <w:rPr>
          <w:rFonts w:hint="eastAsia" w:ascii="宋体" w:hAnsi="宋体" w:cs="宋体"/>
          <w:b/>
          <w:color w:val="auto"/>
          <w:highlight w:val="none"/>
        </w:rPr>
        <w:t>。</w:t>
      </w:r>
    </w:p>
    <w:p w14:paraId="3F861316">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发包人完成审批并签发进度款支付证书的期限：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发包人应在收到后7天内完成审批并签发进度款支付证书，跟踪审计人员审核时间除外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47FB3D2">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（2）发包人支付进度款的期限：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发包人在政府资金调度会批准且发票送达一周内完成支付</w:t>
      </w:r>
      <w:r>
        <w:rPr>
          <w:rFonts w:hint="eastAsia" w:ascii="宋体" w:hAnsi="宋体" w:cs="宋体"/>
          <w:color w:val="auto"/>
          <w:szCs w:val="21"/>
          <w:highlight w:val="none"/>
          <w:u w:val="single"/>
        </w:rPr>
        <w:t xml:space="preserve"> </w:t>
      </w:r>
      <w:r>
        <w:rPr>
          <w:rFonts w:hint="eastAsia" w:ascii="宋体" w:hAnsi="宋体" w:cs="宋体"/>
          <w:b/>
          <w:color w:val="auto"/>
          <w:highlight w:val="none"/>
        </w:rPr>
        <w:t>。</w:t>
      </w:r>
    </w:p>
    <w:p w14:paraId="7E00CD4F">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 xml:space="preserve">发包人逾期支付进度款的违约金的计算方式 </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不采用</w:t>
      </w:r>
      <w:r>
        <w:rPr>
          <w:rFonts w:hint="eastAsia" w:ascii="宋体" w:hAnsi="宋体" w:cs="宋体"/>
          <w:color w:val="auto"/>
          <w:highlight w:val="none"/>
          <w:u w:val="single"/>
        </w:rPr>
        <w:t xml:space="preserve">   </w:t>
      </w:r>
      <w:r>
        <w:rPr>
          <w:rFonts w:hint="eastAsia" w:ascii="宋体" w:hAnsi="宋体" w:cs="宋体"/>
          <w:b/>
          <w:color w:val="auto"/>
          <w:highlight w:val="none"/>
        </w:rPr>
        <w:t>。</w:t>
      </w:r>
    </w:p>
    <w:p w14:paraId="426F01B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12.4.6 支付分解表的编制</w:t>
      </w:r>
    </w:p>
    <w:p w14:paraId="0165B42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(2)总价合同支付分解表的编制与审批：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D5D64E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(3)单价合同的总价项目支付分解表的编制与审批：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C57FCD1">
      <w:pPr>
        <w:adjustRightInd w:val="0"/>
        <w:snapToGrid w:val="0"/>
        <w:spacing w:line="384" w:lineRule="auto"/>
        <w:ind w:firstLine="422" w:firstLineChars="200"/>
        <w:rPr>
          <w:rFonts w:hint="eastAsia" w:ascii="宋体" w:hAnsi="宋体" w:cs="宋体"/>
          <w:b/>
          <w:color w:val="auto"/>
          <w:highlight w:val="none"/>
        </w:rPr>
      </w:pPr>
      <w:r>
        <w:rPr>
          <w:rFonts w:hint="eastAsia" w:ascii="宋体" w:hAnsi="宋体" w:cs="宋体"/>
          <w:b/>
          <w:color w:val="auto"/>
          <w:highlight w:val="none"/>
        </w:rPr>
        <w:t>12.4.7 农民工工资管理（农民工工资保证金支持保函使用）</w:t>
      </w:r>
    </w:p>
    <w:p w14:paraId="55160E13">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 xml:space="preserve">：        </w:t>
      </w:r>
      <w:r>
        <w:rPr>
          <w:rFonts w:hint="eastAsia" w:ascii="宋体" w:hAnsi="宋体" w:cs="宋体"/>
          <w:bCs/>
          <w:color w:val="auto"/>
          <w:highlight w:val="none"/>
        </w:rPr>
        <w:t>，账号：</w:t>
      </w:r>
      <w:r>
        <w:rPr>
          <w:rFonts w:hint="eastAsia" w:ascii="宋体" w:hAnsi="宋体" w:cs="宋体"/>
          <w:bCs/>
          <w:color w:val="auto"/>
          <w:highlight w:val="none"/>
          <w:u w:val="single"/>
        </w:rPr>
        <w:t xml:space="preserve">              </w:t>
      </w:r>
      <w:r>
        <w:rPr>
          <w:rFonts w:hint="eastAsia" w:ascii="宋体" w:hAnsi="宋体" w:cs="宋体"/>
          <w:bCs/>
          <w:color w:val="auto"/>
          <w:highlight w:val="none"/>
        </w:rPr>
        <w:t>;</w:t>
      </w:r>
    </w:p>
    <w:p w14:paraId="47E7C2EF">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(2)本工程工资性工程款</w:t>
      </w:r>
      <w:r>
        <w:rPr>
          <w:rFonts w:hint="eastAsia" w:ascii="宋体" w:hAnsi="宋体" w:cs="宋体"/>
          <w:bCs/>
          <w:color w:val="auto"/>
          <w:highlight w:val="none"/>
          <w:u w:val="single"/>
        </w:rPr>
        <w:t xml:space="preserve">         </w:t>
      </w:r>
      <w:r>
        <w:rPr>
          <w:rFonts w:hint="eastAsia" w:ascii="宋体" w:hAnsi="宋体" w:cs="宋体"/>
          <w:bCs/>
          <w:color w:val="auto"/>
          <w:highlight w:val="none"/>
        </w:rPr>
        <w:t>元（相应的最低工资标准乘建筑面积）；其中工资性工程预付款</w:t>
      </w:r>
      <w:r>
        <w:rPr>
          <w:rFonts w:hint="eastAsia" w:ascii="宋体" w:hAnsi="宋体" w:cs="宋体"/>
          <w:bCs/>
          <w:color w:val="auto"/>
          <w:highlight w:val="none"/>
          <w:u w:val="single"/>
        </w:rPr>
        <w:t xml:space="preserve">         </w:t>
      </w:r>
      <w:r>
        <w:rPr>
          <w:rFonts w:hint="eastAsia" w:ascii="宋体" w:hAnsi="宋体" w:cs="宋体"/>
          <w:bCs/>
          <w:color w:val="auto"/>
          <w:highlight w:val="none"/>
        </w:rPr>
        <w:t>元。(工资性工程款除月工期)</w:t>
      </w:r>
    </w:p>
    <w:p w14:paraId="3277F453">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(3)发包人在监理人签发开工报告前，将工资性工程预付款转入承包人开立的农民工工资专用账户。</w:t>
      </w:r>
    </w:p>
    <w:p w14:paraId="6EAA5258">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工程开工后第一个月支付工资性工程进度款起，分</w:t>
      </w:r>
      <w:r>
        <w:rPr>
          <w:rFonts w:hint="eastAsia" w:ascii="宋体" w:hAnsi="宋体" w:cs="宋体"/>
          <w:bCs/>
          <w:color w:val="auto"/>
          <w:highlight w:val="none"/>
          <w:u w:val="single"/>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rPr>
        <w:t>月扣回工资性工程预付款。</w:t>
      </w:r>
    </w:p>
    <w:p w14:paraId="4E0A533F">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(4)发包人于每月25日前将工资性工程进度款转入农民工工资专用账户。</w:t>
      </w:r>
    </w:p>
    <w:p w14:paraId="0E95A2E1">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(5)承包人每月25日前上报本工程农民工工资清单，每月10日前委托开设农民工工资专用账户的银行支付农民工工资。</w:t>
      </w:r>
    </w:p>
    <w:p w14:paraId="11255376">
      <w:pPr>
        <w:adjustRightInd w:val="0"/>
        <w:snapToGrid w:val="0"/>
        <w:spacing w:line="384"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(6)工程竣工后，经项目部农民工维权组确认无农民工工资拖欠后，发、承双方办理农民工工资专用账户撤销手续，农民工工资专用账户余额划至本合同约定的承包人账户。</w:t>
      </w:r>
    </w:p>
    <w:bookmarkEnd w:id="1041"/>
    <w:p w14:paraId="3500FB5B">
      <w:pPr>
        <w:keepNext/>
        <w:keepLines/>
        <w:adjustRightInd w:val="0"/>
        <w:snapToGrid w:val="0"/>
        <w:spacing w:line="384" w:lineRule="auto"/>
        <w:jc w:val="left"/>
        <w:outlineLvl w:val="2"/>
        <w:rPr>
          <w:rFonts w:hint="eastAsia" w:ascii="宋体" w:hAnsi="宋体" w:cs="宋体"/>
          <w:bCs/>
          <w:color w:val="auto"/>
          <w:sz w:val="24"/>
          <w:highlight w:val="none"/>
        </w:rPr>
      </w:pPr>
      <w:bookmarkStart w:id="1217" w:name="_Toc95223477"/>
      <w:bookmarkStart w:id="1218" w:name="_Toc351203645"/>
      <w:bookmarkStart w:id="1219" w:name="_Toc296944558"/>
      <w:bookmarkStart w:id="1220" w:name="_Toc297216223"/>
      <w:bookmarkStart w:id="1221" w:name="_Toc303539172"/>
      <w:bookmarkStart w:id="1222" w:name="_Toc296346720"/>
      <w:bookmarkStart w:id="1223" w:name="_Toc297048405"/>
      <w:bookmarkStart w:id="1224" w:name="_Toc292559929"/>
      <w:bookmarkStart w:id="1225" w:name="_Toc312678053"/>
      <w:bookmarkStart w:id="1226" w:name="_Toc292559424"/>
      <w:bookmarkStart w:id="1227" w:name="_Toc304295593"/>
      <w:bookmarkStart w:id="1228" w:name="_Toc297120519"/>
      <w:bookmarkStart w:id="1229" w:name="_Toc300935015"/>
      <w:bookmarkStart w:id="1230" w:name="_Toc297123564"/>
      <w:bookmarkStart w:id="1231" w:name="_Toc296347218"/>
      <w:bookmarkStart w:id="1232" w:name="_Toc296891259"/>
      <w:bookmarkStart w:id="1233" w:name="_Toc296503219"/>
      <w:bookmarkStart w:id="1234" w:name="_Toc296891047"/>
      <w:r>
        <w:rPr>
          <w:rFonts w:hint="eastAsia" w:ascii="宋体" w:hAnsi="宋体" w:cs="宋体"/>
          <w:bCs/>
          <w:color w:val="auto"/>
          <w:sz w:val="24"/>
          <w:highlight w:val="none"/>
        </w:rPr>
        <w:t>13. 验收和工程试车</w:t>
      </w:r>
      <w:bookmarkEnd w:id="1217"/>
      <w:bookmarkEnd w:id="1218"/>
    </w:p>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14:paraId="497B4CC8">
      <w:pPr>
        <w:keepNext/>
        <w:keepLines/>
        <w:adjustRightInd w:val="0"/>
        <w:snapToGrid w:val="0"/>
        <w:spacing w:line="384" w:lineRule="auto"/>
        <w:jc w:val="left"/>
        <w:outlineLvl w:val="2"/>
        <w:rPr>
          <w:rFonts w:hint="eastAsia" w:ascii="宋体" w:hAnsi="宋体" w:cs="宋体"/>
          <w:bCs/>
          <w:color w:val="auto"/>
          <w:sz w:val="24"/>
          <w:highlight w:val="none"/>
        </w:rPr>
      </w:pPr>
      <w:bookmarkStart w:id="1235" w:name="_Toc95223478"/>
      <w:r>
        <w:rPr>
          <w:rFonts w:hint="eastAsia" w:ascii="宋体" w:hAnsi="宋体" w:cs="宋体"/>
          <w:bCs/>
          <w:color w:val="auto"/>
          <w:sz w:val="24"/>
          <w:highlight w:val="none"/>
        </w:rPr>
        <w:t>13.1 分部分项工程验收</w:t>
      </w:r>
      <w:bookmarkEnd w:id="1235"/>
    </w:p>
    <w:p w14:paraId="076F370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13.1.2 监理人不能按时进行验收时，应提前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小时提交书面延期要求。</w:t>
      </w:r>
    </w:p>
    <w:p w14:paraId="00338EC5">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关于延期最长不得超过：</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w:t>
      </w:r>
    </w:p>
    <w:p w14:paraId="08EEBB2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bookmarkStart w:id="1236" w:name="_Toc312678056"/>
      <w:bookmarkStart w:id="1237" w:name="_Toc304295596"/>
      <w:bookmarkStart w:id="1238" w:name="_Toc296503223"/>
      <w:bookmarkStart w:id="1239" w:name="_Toc297123565"/>
      <w:bookmarkStart w:id="1240" w:name="_Toc300935016"/>
      <w:bookmarkStart w:id="1241" w:name="_Toc296944562"/>
      <w:bookmarkStart w:id="1242" w:name="_Toc296891051"/>
      <w:bookmarkStart w:id="1243" w:name="_Toc296346724"/>
      <w:bookmarkStart w:id="1244" w:name="_Toc297120523"/>
      <w:bookmarkStart w:id="1245" w:name="_Toc303539173"/>
      <w:bookmarkStart w:id="1246" w:name="_Toc292559933"/>
      <w:bookmarkStart w:id="1247" w:name="_Toc297216224"/>
      <w:bookmarkStart w:id="1248" w:name="_Toc296891263"/>
      <w:bookmarkStart w:id="1249" w:name="_Toc292559428"/>
      <w:bookmarkStart w:id="1250" w:name="_Toc296347222"/>
      <w:bookmarkStart w:id="1251" w:name="_Toc297048409"/>
      <w:bookmarkStart w:id="1252" w:name="_Toc267251476"/>
      <w:bookmarkStart w:id="1253" w:name="_Toc267251475"/>
      <w:bookmarkStart w:id="1254" w:name="_Toc267251473"/>
      <w:bookmarkStart w:id="1255" w:name="_Toc267251470"/>
      <w:bookmarkStart w:id="1256" w:name="_Toc267251471"/>
      <w:bookmarkStart w:id="1257" w:name="_Toc267251474"/>
      <w:bookmarkStart w:id="1258" w:name="_Toc267251472"/>
      <w:r>
        <w:rPr>
          <w:rFonts w:hint="eastAsia" w:ascii="宋体" w:hAnsi="宋体" w:cs="宋体"/>
          <w:bCs/>
          <w:color w:val="auto"/>
          <w:szCs w:val="28"/>
          <w:highlight w:val="none"/>
        </w:rPr>
        <w:t>13.2 竣工验收</w:t>
      </w:r>
    </w:p>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14:paraId="6056565E">
      <w:pPr>
        <w:adjustRightInd w:val="0"/>
        <w:snapToGrid w:val="0"/>
        <w:spacing w:line="384" w:lineRule="auto"/>
        <w:ind w:firstLine="420" w:firstLineChars="200"/>
        <w:rPr>
          <w:rFonts w:hint="eastAsia" w:ascii="宋体" w:hAnsi="宋体" w:cs="宋体"/>
          <w:color w:val="auto"/>
          <w:highlight w:val="none"/>
        </w:rPr>
      </w:pPr>
      <w:bookmarkStart w:id="1259" w:name="_Toc280868704"/>
      <w:bookmarkStart w:id="1260" w:name="_Toc280868705"/>
      <w:bookmarkStart w:id="1261" w:name="_Toc280868706"/>
      <w:bookmarkStart w:id="1262" w:name="_Toc280868707"/>
      <w:bookmarkStart w:id="1263" w:name="_Toc280868708"/>
      <w:bookmarkStart w:id="1264" w:name="_Toc280868709"/>
      <w:r>
        <w:rPr>
          <w:rFonts w:hint="eastAsia" w:ascii="宋体" w:hAnsi="宋体" w:cs="宋体"/>
          <w:color w:val="auto"/>
          <w:highlight w:val="none"/>
        </w:rPr>
        <w:t>13.2.2 竣工验收程序</w:t>
      </w:r>
    </w:p>
    <w:bookmarkEnd w:id="1259"/>
    <w:p w14:paraId="6C7075F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关于竣工验收程序的约定：</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39DA46E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发包人不按照本项约定组织竣工验收、颁发工程接收证书的违约金的计算方法：</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bookmarkEnd w:id="1260"/>
    <w:p w14:paraId="69856A0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13.2.5 移交、接收全部与部分工程</w:t>
      </w:r>
    </w:p>
    <w:bookmarkEnd w:id="1261"/>
    <w:p w14:paraId="12E8196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承包人向发包人移交工程的期限：</w:t>
      </w:r>
      <w:r>
        <w:rPr>
          <w:rFonts w:hint="eastAsia" w:ascii="宋体" w:hAnsi="宋体" w:cs="宋体"/>
          <w:color w:val="auto"/>
          <w:szCs w:val="21"/>
          <w:highlight w:val="none"/>
          <w:u w:val="single"/>
        </w:rPr>
        <w:t>颁发工程接收证书后7天内完成工程的移交</w:t>
      </w:r>
      <w:r>
        <w:rPr>
          <w:rFonts w:hint="eastAsia" w:ascii="宋体" w:hAnsi="宋体" w:cs="宋体"/>
          <w:color w:val="auto"/>
          <w:highlight w:val="none"/>
        </w:rPr>
        <w:t>。</w:t>
      </w:r>
    </w:p>
    <w:p w14:paraId="365AB74B">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hint="eastAsia" w:ascii="宋体" w:hAnsi="宋体" w:cs="宋体"/>
          <w:color w:val="auto"/>
          <w:szCs w:val="21"/>
          <w:highlight w:val="none"/>
          <w:u w:val="single"/>
        </w:rPr>
        <w:t>发包人自应当接收工程之日起，承担工程照管、成品保护、保管等与工程有关的各项费用</w:t>
      </w:r>
      <w:r>
        <w:rPr>
          <w:rFonts w:hint="eastAsia" w:ascii="宋体" w:hAnsi="宋体" w:cs="宋体"/>
          <w:color w:val="auto"/>
          <w:highlight w:val="none"/>
        </w:rPr>
        <w:t>。</w:t>
      </w:r>
    </w:p>
    <w:bookmarkEnd w:id="1262"/>
    <w:p w14:paraId="0B818073">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承包人未按时移交工程的，违约金的计算方法为：</w:t>
      </w:r>
      <w:r>
        <w:rPr>
          <w:rFonts w:hint="eastAsia" w:ascii="宋体" w:hAnsi="宋体" w:cs="宋体"/>
          <w:color w:val="auto"/>
          <w:szCs w:val="21"/>
          <w:highlight w:val="none"/>
          <w:u w:val="single"/>
        </w:rPr>
        <w:t>承包人应承担工程照管、成品保护、保管等与工程有关的各项费用</w:t>
      </w:r>
      <w:r>
        <w:rPr>
          <w:rFonts w:hint="eastAsia" w:ascii="宋体" w:hAnsi="宋体" w:cs="宋体"/>
          <w:color w:val="auto"/>
          <w:highlight w:val="none"/>
        </w:rPr>
        <w:t>。</w:t>
      </w:r>
    </w:p>
    <w:p w14:paraId="5D4D5B7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13.3 工程试车</w:t>
      </w:r>
    </w:p>
    <w:bookmarkEnd w:id="1263"/>
    <w:p w14:paraId="58E0B0D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13.3.1 试车程序</w:t>
      </w:r>
    </w:p>
    <w:p w14:paraId="4DCF339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工程试车内容：</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承包人承担</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E42D98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（1）单机无负荷试车费用由</w:t>
      </w:r>
      <w:r>
        <w:rPr>
          <w:rFonts w:hint="eastAsia" w:ascii="宋体" w:hAnsi="宋体" w:cs="宋体"/>
          <w:color w:val="auto"/>
          <w:szCs w:val="21"/>
          <w:highlight w:val="none"/>
          <w:u w:val="single"/>
        </w:rPr>
        <w:t>试车消耗的生产性原材料由发包人承担；试车其他费用（包括试车所需水电油等费用）由承包人在措施费中考虑</w:t>
      </w:r>
      <w:r>
        <w:rPr>
          <w:rFonts w:hint="eastAsia" w:ascii="宋体" w:hAnsi="宋体" w:cs="宋体"/>
          <w:color w:val="auto"/>
          <w:kern w:val="0"/>
          <w:highlight w:val="none"/>
        </w:rPr>
        <w:t>承担；</w:t>
      </w:r>
    </w:p>
    <w:p w14:paraId="7301555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（2）无负荷联动试车费用由</w:t>
      </w:r>
      <w:r>
        <w:rPr>
          <w:rFonts w:hint="eastAsia" w:ascii="宋体" w:hAnsi="宋体" w:cs="宋体"/>
          <w:color w:val="auto"/>
          <w:szCs w:val="21"/>
          <w:highlight w:val="none"/>
          <w:u w:val="single"/>
        </w:rPr>
        <w:t>试车消耗的生产性原材料由发包人承担；试车其他费用（包括试车所需水电油等费用）由承包人在措施费中考虑</w:t>
      </w:r>
      <w:r>
        <w:rPr>
          <w:rFonts w:hint="eastAsia" w:ascii="宋体" w:hAnsi="宋体" w:cs="宋体"/>
          <w:color w:val="auto"/>
          <w:kern w:val="0"/>
          <w:highlight w:val="none"/>
        </w:rPr>
        <w:t>承担。</w:t>
      </w:r>
    </w:p>
    <w:p w14:paraId="32BF485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13.3.3 投料试车</w:t>
      </w:r>
    </w:p>
    <w:p w14:paraId="7B3BB56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kern w:val="0"/>
          <w:highlight w:val="none"/>
        </w:rPr>
        <w:t>关于投料试车相关事项的约定：</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2505E14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13.6 竣工退场</w:t>
      </w:r>
    </w:p>
    <w:p w14:paraId="5D3C46B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13.6.1 竣工退场</w:t>
      </w:r>
    </w:p>
    <w:p w14:paraId="097041E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承包人完成竣工退场的期限：</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工程竣工合格后，7天内退场</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6BD35CEC">
      <w:pPr>
        <w:keepNext/>
        <w:keepLines/>
        <w:adjustRightInd w:val="0"/>
        <w:snapToGrid w:val="0"/>
        <w:spacing w:line="384" w:lineRule="auto"/>
        <w:jc w:val="left"/>
        <w:outlineLvl w:val="2"/>
        <w:rPr>
          <w:rFonts w:hint="eastAsia" w:ascii="宋体" w:hAnsi="宋体" w:cs="宋体"/>
          <w:bCs/>
          <w:color w:val="auto"/>
          <w:sz w:val="24"/>
          <w:highlight w:val="none"/>
        </w:rPr>
      </w:pPr>
      <w:bookmarkStart w:id="1265" w:name="_Toc351203646"/>
      <w:bookmarkStart w:id="1266" w:name="_Toc95223479"/>
      <w:r>
        <w:rPr>
          <w:rFonts w:hint="eastAsia" w:ascii="宋体" w:hAnsi="宋体" w:cs="宋体"/>
          <w:bCs/>
          <w:color w:val="auto"/>
          <w:sz w:val="24"/>
          <w:highlight w:val="none"/>
        </w:rPr>
        <w:t>14. 竣工结算</w:t>
      </w:r>
      <w:bookmarkEnd w:id="1265"/>
      <w:bookmarkEnd w:id="1266"/>
    </w:p>
    <w:p w14:paraId="7186F2D8">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14.1 竣工结算申请</w:t>
      </w:r>
    </w:p>
    <w:p w14:paraId="0D8D5B8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承包人提交竣工结算申请单的期限：</w:t>
      </w:r>
      <w:r>
        <w:rPr>
          <w:rFonts w:hint="eastAsia" w:ascii="宋体" w:hAnsi="宋体" w:cs="宋体"/>
          <w:color w:val="auto"/>
          <w:szCs w:val="21"/>
          <w:highlight w:val="none"/>
          <w:u w:val="single"/>
        </w:rPr>
        <w:t>承包人应在工程竣工验收合格后28天内</w:t>
      </w:r>
      <w:r>
        <w:rPr>
          <w:rFonts w:hint="eastAsia" w:ascii="宋体" w:hAnsi="宋体" w:cs="宋体"/>
          <w:color w:val="auto"/>
          <w:highlight w:val="none"/>
        </w:rPr>
        <w:t>。</w:t>
      </w:r>
    </w:p>
    <w:p w14:paraId="2B1D8A58">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竣工结算申请单应包括的内容：</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6CF8A137">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14.2 竣工结算审核</w:t>
      </w:r>
    </w:p>
    <w:p w14:paraId="0850F7F1">
      <w:pPr>
        <w:widowControl/>
        <w:adjustRightInd w:val="0"/>
        <w:snapToGrid w:val="0"/>
        <w:spacing w:line="38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发包人审批竣工付款申请单的期限：发包人应在收到监理人提交的经审核的竣工结算申请单 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7</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天内完成审批。</w:t>
      </w:r>
    </w:p>
    <w:p w14:paraId="1366368B">
      <w:pPr>
        <w:widowControl/>
        <w:adjustRightInd w:val="0"/>
        <w:snapToGrid w:val="0"/>
        <w:spacing w:line="384" w:lineRule="auto"/>
        <w:ind w:firstLine="422" w:firstLineChars="200"/>
        <w:jc w:val="left"/>
        <w:rPr>
          <w:rFonts w:hint="eastAsia" w:ascii="宋体" w:hAnsi="宋体" w:cs="宋体"/>
          <w:b/>
          <w:bCs/>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rPr>
        <w:t>（机关、事业单位从中小企业采购工程，应当自工程交付之日起30日内支付款项；合同另有约定的，付款期限最长不得超过60日。超过60日的，自超期之日起15日内，机关、事业单位先行按照合同价与结算价孰低的98%支付工程价款。）</w:t>
      </w:r>
    </w:p>
    <w:p w14:paraId="583EDE81">
      <w:pPr>
        <w:adjustRightInd w:val="0"/>
        <w:snapToGrid w:val="0"/>
        <w:spacing w:line="384"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发包人完成竣工付款的期限：发包人应在签发竣工付款证书后的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天内，完成对承包人的竣工付款。</w:t>
      </w:r>
    </w:p>
    <w:p w14:paraId="52D79350">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关于竣工付款证书异议部分复核的方式和程序：</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39382D9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14.4 最终结清</w:t>
      </w:r>
    </w:p>
    <w:p w14:paraId="6EBEF6A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14.4.1 最终结清申请单</w:t>
      </w:r>
    </w:p>
    <w:p w14:paraId="2B7243B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承包人提交最终结清申请单的份数：</w:t>
      </w:r>
      <w:r>
        <w:rPr>
          <w:rFonts w:hint="eastAsia" w:ascii="宋体" w:hAnsi="宋体" w:cs="宋体"/>
          <w:color w:val="auto"/>
          <w:highlight w:val="none"/>
          <w:u w:val="single"/>
        </w:rPr>
        <w:t xml:space="preserve">  </w:t>
      </w:r>
      <w:r>
        <w:rPr>
          <w:rFonts w:hint="eastAsia" w:ascii="宋体" w:hAnsi="宋体" w:eastAsia="宋体" w:cs="宋体"/>
          <w:color w:val="auto"/>
          <w:highlight w:val="none"/>
          <w:u w:val="single"/>
        </w:rPr>
        <w:t>按监理要求</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EAAFEB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kern w:val="0"/>
          <w:highlight w:val="none"/>
        </w:rPr>
        <w:t>承包人提交最终结算申请单的期限：</w:t>
      </w:r>
      <w:r>
        <w:rPr>
          <w:rFonts w:hint="eastAsia" w:ascii="宋体" w:hAnsi="宋体" w:cs="宋体"/>
          <w:color w:val="auto"/>
          <w:szCs w:val="21"/>
          <w:highlight w:val="none"/>
          <w:u w:val="single"/>
        </w:rPr>
        <w:t>缺陷责任期终止证书颁发后7天内</w:t>
      </w:r>
      <w:r>
        <w:rPr>
          <w:rFonts w:hint="eastAsia" w:ascii="宋体" w:hAnsi="宋体" w:cs="宋体"/>
          <w:color w:val="auto"/>
          <w:highlight w:val="none"/>
        </w:rPr>
        <w:t xml:space="preserve">。 </w:t>
      </w:r>
    </w:p>
    <w:p w14:paraId="47CABAA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14.4.2 最终结清证书和支付</w:t>
      </w:r>
    </w:p>
    <w:p w14:paraId="3ABE2EE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（1）发包人完成最终结清申请单的审批并颁发最终结清证书的期限：</w:t>
      </w:r>
      <w:r>
        <w:rPr>
          <w:rFonts w:hint="eastAsia" w:ascii="宋体" w:hAnsi="宋体" w:cs="宋体"/>
          <w:color w:val="auto"/>
          <w:szCs w:val="21"/>
          <w:highlight w:val="none"/>
          <w:u w:val="single"/>
        </w:rPr>
        <w:t>收到承包人提交的最终结清申请单后14天内</w:t>
      </w:r>
      <w:r>
        <w:rPr>
          <w:rFonts w:hint="eastAsia" w:ascii="宋体" w:hAnsi="宋体" w:cs="宋体"/>
          <w:color w:val="auto"/>
          <w:highlight w:val="none"/>
        </w:rPr>
        <w:t>。</w:t>
      </w:r>
    </w:p>
    <w:p w14:paraId="7612125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（2）发包人完成支付的期限：</w:t>
      </w:r>
      <w:r>
        <w:rPr>
          <w:rFonts w:hint="eastAsia" w:ascii="宋体" w:hAnsi="宋体" w:cs="宋体"/>
          <w:color w:val="auto"/>
          <w:szCs w:val="21"/>
          <w:highlight w:val="none"/>
          <w:u w:val="single"/>
        </w:rPr>
        <w:t>颁发最终结清证书后7天内完成支付</w:t>
      </w:r>
      <w:r>
        <w:rPr>
          <w:rFonts w:hint="eastAsia" w:ascii="宋体" w:hAnsi="宋体" w:cs="宋体"/>
          <w:color w:val="auto"/>
          <w:highlight w:val="none"/>
        </w:rPr>
        <w:t>。</w:t>
      </w:r>
    </w:p>
    <w:bookmarkEnd w:id="1252"/>
    <w:bookmarkEnd w:id="1253"/>
    <w:bookmarkEnd w:id="1254"/>
    <w:bookmarkEnd w:id="1255"/>
    <w:bookmarkEnd w:id="1256"/>
    <w:bookmarkEnd w:id="1257"/>
    <w:bookmarkEnd w:id="1258"/>
    <w:bookmarkEnd w:id="1264"/>
    <w:p w14:paraId="53630CAC">
      <w:pPr>
        <w:keepNext/>
        <w:keepLines/>
        <w:adjustRightInd w:val="0"/>
        <w:snapToGrid w:val="0"/>
        <w:spacing w:line="384" w:lineRule="auto"/>
        <w:jc w:val="left"/>
        <w:outlineLvl w:val="2"/>
        <w:rPr>
          <w:rFonts w:hint="eastAsia" w:ascii="宋体" w:hAnsi="宋体" w:cs="宋体"/>
          <w:bCs/>
          <w:color w:val="auto"/>
          <w:sz w:val="24"/>
          <w:highlight w:val="none"/>
        </w:rPr>
      </w:pPr>
      <w:bookmarkStart w:id="1267" w:name="_Toc351203647"/>
      <w:bookmarkStart w:id="1268" w:name="_Toc95223480"/>
      <w:bookmarkStart w:id="1269" w:name="_Toc267251483"/>
      <w:bookmarkStart w:id="1270" w:name="_Toc267251484"/>
      <w:bookmarkStart w:id="1271" w:name="_Toc267251482"/>
      <w:bookmarkStart w:id="1272" w:name="_Toc267251485"/>
      <w:bookmarkStart w:id="1273" w:name="_Toc267251489"/>
      <w:bookmarkStart w:id="1274" w:name="_Toc267251488"/>
      <w:bookmarkStart w:id="1275" w:name="_Toc267251486"/>
      <w:bookmarkStart w:id="1276" w:name="_Toc267251490"/>
      <w:bookmarkStart w:id="1277" w:name="_Toc267251495"/>
      <w:bookmarkStart w:id="1278" w:name="_Toc267251501"/>
      <w:bookmarkStart w:id="1279" w:name="_Toc267251494"/>
      <w:bookmarkStart w:id="1280" w:name="_Toc267251497"/>
      <w:bookmarkStart w:id="1281" w:name="_Toc267251492"/>
      <w:bookmarkStart w:id="1282" w:name="_Toc267251499"/>
      <w:bookmarkStart w:id="1283" w:name="_Toc267251493"/>
      <w:bookmarkStart w:id="1284" w:name="_Toc267251496"/>
      <w:bookmarkStart w:id="1285" w:name="_Toc267251491"/>
      <w:bookmarkStart w:id="1286" w:name="_Toc267251503"/>
      <w:bookmarkStart w:id="1287" w:name="_Toc267251498"/>
      <w:bookmarkStart w:id="1288" w:name="_Toc267251502"/>
      <w:bookmarkStart w:id="1289" w:name="_Toc267251506"/>
      <w:bookmarkStart w:id="1290" w:name="_Toc267251504"/>
      <w:bookmarkStart w:id="1291" w:name="_Toc267251507"/>
      <w:bookmarkStart w:id="1292" w:name="_Toc267251508"/>
      <w:bookmarkStart w:id="1293" w:name="_Toc267251515"/>
      <w:bookmarkStart w:id="1294" w:name="_Toc267251511"/>
      <w:bookmarkStart w:id="1295" w:name="_Toc267251510"/>
      <w:bookmarkStart w:id="1296" w:name="_Toc267251514"/>
      <w:bookmarkStart w:id="1297" w:name="_Toc267251509"/>
      <w:bookmarkStart w:id="1298" w:name="_Toc267251513"/>
      <w:r>
        <w:rPr>
          <w:rFonts w:hint="eastAsia" w:ascii="宋体" w:hAnsi="宋体" w:cs="宋体"/>
          <w:bCs/>
          <w:color w:val="auto"/>
          <w:sz w:val="24"/>
          <w:highlight w:val="none"/>
        </w:rPr>
        <w:t>15. 缺陷责任期与保修</w:t>
      </w:r>
      <w:bookmarkEnd w:id="1267"/>
      <w:bookmarkEnd w:id="1268"/>
    </w:p>
    <w:p w14:paraId="0D28B860">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15.2 缺陷责任期</w:t>
      </w:r>
      <w:bookmarkEnd w:id="1269"/>
    </w:p>
    <w:p w14:paraId="179EE0C6">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缺陷责任期的具体期限：</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以附件中工程质量保修书约定的为准</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41B4197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15.3 质量保证金</w:t>
      </w:r>
      <w:r>
        <w:rPr>
          <w:rFonts w:hint="eastAsia" w:ascii="方正小标宋简体" w:hAnsi="方正小标宋简体" w:eastAsia="方正小标宋简体" w:cs="方正小标宋简体"/>
          <w:b/>
          <w:snapToGrid w:val="0"/>
          <w:color w:val="auto"/>
          <w:kern w:val="0"/>
          <w:sz w:val="28"/>
          <w:szCs w:val="28"/>
          <w:highlight w:val="none"/>
          <w:vertAlign w:val="superscript"/>
        </w:rPr>
        <w:footnoteReference w:id="9"/>
      </w:r>
    </w:p>
    <w:p w14:paraId="76E2A4ED">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关于是否扣留质量保证金的约定：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是</w:t>
      </w:r>
      <w:r>
        <w:rPr>
          <w:rFonts w:hint="eastAsia" w:ascii="宋体" w:hAnsi="宋体" w:cs="宋体"/>
          <w:color w:val="auto"/>
          <w:szCs w:val="21"/>
          <w:highlight w:val="none"/>
          <w:u w:val="single"/>
        </w:rPr>
        <w:t xml:space="preserve">      </w:t>
      </w:r>
      <w:r>
        <w:rPr>
          <w:rFonts w:hint="eastAsia" w:ascii="宋体" w:hAnsi="宋体" w:cs="宋体"/>
          <w:color w:val="auto"/>
          <w:highlight w:val="none"/>
        </w:rPr>
        <w:t>。在工程项目竣工前，承包人按专用合同条款第3.7款提供履约保证金的，发包人不得同时预留工程质量保证金。</w:t>
      </w:r>
    </w:p>
    <w:p w14:paraId="2BC1D72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15.3.1 承包人提供质量保证金的方式</w:t>
      </w:r>
    </w:p>
    <w:p w14:paraId="307888D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质量保证金采用以下方式：</w:t>
      </w:r>
    </w:p>
    <w:p w14:paraId="7CBF532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（1）质量保证金保函，保证金额为：</w:t>
      </w:r>
      <w:r>
        <w:rPr>
          <w:rFonts w:hint="eastAsia" w:ascii="宋体" w:hAnsi="宋体" w:cs="宋体"/>
          <w:color w:val="auto"/>
          <w:kern w:val="0"/>
          <w:highlight w:val="none"/>
          <w:u w:val="single"/>
        </w:rPr>
        <w:t>2%的工程款</w:t>
      </w:r>
      <w:r>
        <w:rPr>
          <w:rFonts w:hint="eastAsia" w:ascii="宋体" w:hAnsi="宋体" w:cs="宋体"/>
          <w:color w:val="auto"/>
          <w:kern w:val="0"/>
          <w:highlight w:val="none"/>
        </w:rPr>
        <w:t xml:space="preserve">； </w:t>
      </w:r>
    </w:p>
    <w:p w14:paraId="38917ED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2</w:t>
      </w:r>
      <w:r>
        <w:rPr>
          <w:rFonts w:hint="eastAsia" w:ascii="宋体" w:hAnsi="宋体" w:cs="宋体"/>
          <w:color w:val="auto"/>
          <w:kern w:val="0"/>
          <w:highlight w:val="none"/>
        </w:rPr>
        <w:t>%的工程款；</w:t>
      </w:r>
    </w:p>
    <w:p w14:paraId="720729A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（3）其他方式:</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5FC6598C">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15.3.2 质量保证金的扣留 </w:t>
      </w:r>
    </w:p>
    <w:p w14:paraId="636724A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质量保证金的扣留采取以下方式：</w:t>
      </w:r>
    </w:p>
    <w:p w14:paraId="11A514C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（1）在支付工程进度款时逐次扣留，在此情形下，质量保证金的计算基数不包括预付款的支付、扣回以及价格调整的金额；</w:t>
      </w:r>
    </w:p>
    <w:p w14:paraId="1825CDA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（2）工程竣工结算时一次性扣留质量保证金；</w:t>
      </w:r>
    </w:p>
    <w:p w14:paraId="233DDCD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（3）其他扣留方式:</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02249EB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关于质量保证金的补充约定：</w:t>
      </w:r>
      <w:r>
        <w:rPr>
          <w:rFonts w:hint="eastAsia" w:ascii="宋体" w:hAnsi="宋体" w:cs="宋体"/>
          <w:color w:val="auto"/>
          <w:kern w:val="0"/>
          <w:highlight w:val="none"/>
          <w:u w:val="single"/>
        </w:rPr>
        <w:t>质量保证金支持保函（银行保函、担保机构担保、保证保险）使用。采用保函的，保函有效期须与缺陷责任期截止时间保持一致</w:t>
      </w:r>
      <w:r>
        <w:rPr>
          <w:rFonts w:hint="eastAsia" w:ascii="宋体" w:hAnsi="宋体" w:cs="宋体"/>
          <w:color w:val="auto"/>
          <w:kern w:val="0"/>
          <w:highlight w:val="none"/>
        </w:rPr>
        <w:t>。</w:t>
      </w:r>
    </w:p>
    <w:bookmarkEnd w:id="1270"/>
    <w:bookmarkEnd w:id="1271"/>
    <w:p w14:paraId="21B2CCCB">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15.4 保修</w:t>
      </w:r>
    </w:p>
    <w:bookmarkEnd w:id="1272"/>
    <w:p w14:paraId="3448009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15.4.1 保修责任</w:t>
      </w:r>
    </w:p>
    <w:p w14:paraId="71CDF972">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highlight w:val="none"/>
        </w:rPr>
        <w:t>工程保修期为：</w:t>
      </w:r>
      <w:r>
        <w:rPr>
          <w:rFonts w:hint="eastAsia" w:ascii="宋体" w:hAnsi="宋体" w:cs="宋体"/>
          <w:color w:val="auto"/>
          <w:szCs w:val="21"/>
          <w:highlight w:val="none"/>
          <w:u w:val="single"/>
        </w:rPr>
        <w:t>执行《工程质量保修书》规定</w:t>
      </w:r>
      <w:r>
        <w:rPr>
          <w:rFonts w:hint="eastAsia" w:ascii="宋体" w:hAnsi="宋体" w:cs="宋体"/>
          <w:color w:val="auto"/>
          <w:kern w:val="0"/>
          <w:highlight w:val="none"/>
        </w:rPr>
        <w:t>。</w:t>
      </w:r>
    </w:p>
    <w:p w14:paraId="09D7B471">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15.4.3 修复通知</w:t>
      </w:r>
    </w:p>
    <w:p w14:paraId="4FB14C3C">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承包人收到保修通知并到达工程现场的合理时间：</w:t>
      </w:r>
      <w:r>
        <w:rPr>
          <w:rFonts w:hint="eastAsia" w:ascii="宋体" w:hAnsi="宋体" w:cs="宋体"/>
          <w:color w:val="auto"/>
          <w:kern w:val="0"/>
          <w:highlight w:val="none"/>
          <w:u w:val="single"/>
        </w:rPr>
        <w:t xml:space="preserve">  </w:t>
      </w:r>
      <w:r>
        <w:rPr>
          <w:rFonts w:hint="eastAsia" w:ascii="宋体" w:hAnsi="宋体" w:eastAsia="宋体" w:cs="宋体"/>
          <w:color w:val="auto"/>
          <w:kern w:val="0"/>
          <w:szCs w:val="21"/>
          <w:highlight w:val="none"/>
          <w:u w:val="single"/>
        </w:rPr>
        <w:t>自承包人收到保修通知起24小时内到达工程现场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bookmarkEnd w:id="1273"/>
    <w:bookmarkEnd w:id="1274"/>
    <w:bookmarkEnd w:id="1275"/>
    <w:bookmarkEnd w:id="1276"/>
    <w:p w14:paraId="3B6986A9">
      <w:pPr>
        <w:keepNext/>
        <w:keepLines/>
        <w:adjustRightInd w:val="0"/>
        <w:snapToGrid w:val="0"/>
        <w:spacing w:line="384" w:lineRule="auto"/>
        <w:jc w:val="left"/>
        <w:outlineLvl w:val="2"/>
        <w:rPr>
          <w:rFonts w:hint="eastAsia" w:ascii="宋体" w:hAnsi="宋体" w:cs="宋体"/>
          <w:bCs/>
          <w:color w:val="auto"/>
          <w:sz w:val="24"/>
          <w:highlight w:val="none"/>
        </w:rPr>
      </w:pPr>
      <w:bookmarkStart w:id="1299" w:name="_Toc95223481"/>
      <w:bookmarkStart w:id="1300" w:name="_Toc351203648"/>
      <w:bookmarkStart w:id="1301" w:name="_Toc280868717"/>
      <w:bookmarkStart w:id="1302" w:name="_Toc280868718"/>
      <w:r>
        <w:rPr>
          <w:rFonts w:hint="eastAsia" w:ascii="宋体" w:hAnsi="宋体" w:cs="宋体"/>
          <w:bCs/>
          <w:color w:val="auto"/>
          <w:sz w:val="24"/>
          <w:highlight w:val="none"/>
        </w:rPr>
        <w:t>16. 违约</w:t>
      </w:r>
      <w:bookmarkEnd w:id="1299"/>
      <w:bookmarkEnd w:id="1300"/>
    </w:p>
    <w:p w14:paraId="164CEF4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16.1 发包人违约</w:t>
      </w:r>
    </w:p>
    <w:p w14:paraId="252B617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16.1.1 发包人违约的情形</w:t>
      </w:r>
    </w:p>
    <w:p w14:paraId="657FB907">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发包人违约的其他情形：</w:t>
      </w:r>
      <w:r>
        <w:rPr>
          <w:rFonts w:hint="eastAsia" w:ascii="宋体" w:hAnsi="宋体" w:cs="宋体"/>
          <w:color w:val="auto"/>
          <w:kern w:val="0"/>
          <w:highlight w:val="none"/>
          <w:u w:val="single"/>
          <w:lang w:val="en-US" w:eastAsia="zh-CN"/>
        </w:rPr>
        <w:t>无</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27177686">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16.1.2 发包人违约的责任</w:t>
      </w:r>
    </w:p>
    <w:p w14:paraId="593CBC1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发包人违约责任的承担方式和计算方法：</w:t>
      </w:r>
    </w:p>
    <w:p w14:paraId="207A4054">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（1）因发包人原因未能在计划开工日期前7天内下达开工通知的违约责任：</w:t>
      </w:r>
      <w:r>
        <w:rPr>
          <w:rFonts w:hint="eastAsia" w:ascii="宋体" w:hAnsi="宋体" w:cs="宋体"/>
          <w:color w:val="auto"/>
          <w:szCs w:val="21"/>
          <w:highlight w:val="none"/>
          <w:u w:val="single"/>
        </w:rPr>
        <w:t xml:space="preserve"> </w:t>
      </w:r>
      <w:r>
        <w:rPr>
          <w:rFonts w:hint="eastAsia" w:ascii="宋体" w:hAnsi="宋体" w:eastAsia="宋体" w:cs="宋体"/>
          <w:color w:val="auto"/>
          <w:kern w:val="0"/>
          <w:szCs w:val="21"/>
          <w:highlight w:val="none"/>
          <w:u w:val="single"/>
        </w:rPr>
        <w:t>对工期造成影响的可顺延工期</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51C61E0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（2）因发包人原因未能按合同约定支付合同价款的违约责任：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554FDC54">
      <w:pPr>
        <w:adjustRightInd w:val="0"/>
        <w:snapToGrid w:val="0"/>
        <w:spacing w:line="384" w:lineRule="auto"/>
        <w:ind w:firstLine="420" w:firstLineChars="200"/>
        <w:rPr>
          <w:rFonts w:hint="eastAsia" w:ascii="宋体" w:hAnsi="宋体" w:cs="宋体"/>
          <w:b/>
          <w:color w:val="auto"/>
          <w:kern w:val="0"/>
          <w:highlight w:val="none"/>
          <w:u w:val="single"/>
        </w:rPr>
      </w:pPr>
      <w:r>
        <w:rPr>
          <w:rFonts w:hint="eastAsia" w:ascii="宋体" w:hAnsi="宋体" w:cs="宋体"/>
          <w:color w:val="auto"/>
          <w:kern w:val="0"/>
          <w:highlight w:val="none"/>
        </w:rPr>
        <w:t>（3）发包人违反第10.1款〔变更的范围〕第（2）项约定，自行实施被取消的工作或转由他人实施的违约责任：</w:t>
      </w:r>
      <w:r>
        <w:rPr>
          <w:rFonts w:hint="eastAsia" w:ascii="宋体" w:hAnsi="宋体" w:cs="宋体"/>
          <w:color w:val="auto"/>
          <w:szCs w:val="21"/>
          <w:highlight w:val="none"/>
          <w:u w:val="single"/>
        </w:rPr>
        <w:t xml:space="preserve"> </w:t>
      </w:r>
      <w:r>
        <w:rPr>
          <w:rFonts w:hint="eastAsia" w:ascii="宋体" w:hAnsi="宋体" w:eastAsia="宋体" w:cs="宋体"/>
          <w:color w:val="auto"/>
          <w:kern w:val="0"/>
          <w:szCs w:val="21"/>
          <w:highlight w:val="none"/>
          <w:u w:val="single"/>
        </w:rPr>
        <w:t>发包人可追加与被取消的工作造价相当的额外工作做为补偿</w:t>
      </w:r>
      <w:r>
        <w:rPr>
          <w:rFonts w:hint="eastAsia" w:ascii="宋体" w:hAnsi="宋体" w:cs="宋体"/>
          <w:color w:val="auto"/>
          <w:szCs w:val="21"/>
          <w:highlight w:val="none"/>
          <w:u w:val="single"/>
        </w:rPr>
        <w:t xml:space="preserve"> </w:t>
      </w:r>
      <w:r>
        <w:rPr>
          <w:rFonts w:hint="eastAsia" w:ascii="宋体" w:hAnsi="宋体" w:cs="宋体"/>
          <w:b/>
          <w:color w:val="auto"/>
          <w:kern w:val="0"/>
          <w:highlight w:val="none"/>
        </w:rPr>
        <w:t>。</w:t>
      </w:r>
    </w:p>
    <w:p w14:paraId="31EC6C5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szCs w:val="21"/>
          <w:highlight w:val="none"/>
          <w:u w:val="single"/>
        </w:rPr>
        <w:t xml:space="preserve">  </w:t>
      </w:r>
      <w:r>
        <w:rPr>
          <w:rFonts w:hint="eastAsia" w:ascii="宋体" w:hAnsi="宋体" w:eastAsia="宋体" w:cs="宋体"/>
          <w:color w:val="auto"/>
          <w:kern w:val="0"/>
          <w:szCs w:val="21"/>
          <w:highlight w:val="none"/>
          <w:u w:val="single"/>
        </w:rPr>
        <w:t>发包人可追加与被取消的工作造价相当的额外工作做为补偿</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485C3BD9">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（5）因发包人违反合同约定造成暂停施工的违约责任：</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eastAsia="宋体" w:cs="宋体"/>
          <w:color w:val="auto"/>
          <w:kern w:val="0"/>
          <w:szCs w:val="21"/>
          <w:highlight w:val="none"/>
          <w:u w:val="single"/>
        </w:rPr>
        <w:t>可顺延工期</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5CC003C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（6）发包人无正当理由没有在约定期限内发出复工指示，导致承包人无法复工的违约责任：</w:t>
      </w:r>
      <w:r>
        <w:rPr>
          <w:rFonts w:hint="eastAsia" w:ascii="宋体" w:hAnsi="宋体" w:cs="宋体"/>
          <w:color w:val="auto"/>
          <w:kern w:val="0"/>
          <w:highlight w:val="none"/>
          <w:u w:val="single"/>
        </w:rPr>
        <w:t xml:space="preserve">  </w:t>
      </w:r>
      <w:r>
        <w:rPr>
          <w:rFonts w:hint="eastAsia" w:ascii="宋体" w:hAnsi="宋体" w:eastAsia="宋体" w:cs="宋体"/>
          <w:color w:val="auto"/>
          <w:kern w:val="0"/>
          <w:szCs w:val="21"/>
          <w:highlight w:val="none"/>
          <w:u w:val="single"/>
        </w:rPr>
        <w:t>对工期造成影响的可顺延工期</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4B4836D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（7）其他：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kern w:val="0"/>
          <w:highlight w:val="none"/>
        </w:rPr>
        <w:t>。</w:t>
      </w:r>
    </w:p>
    <w:p w14:paraId="03B6510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16.1.3 因发包人违约解除合同</w:t>
      </w:r>
    </w:p>
    <w:p w14:paraId="04FA180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承包人按16.1.1项〔发包人违约的情形〕约定暂停施工满</w:t>
      </w:r>
      <w:r>
        <w:rPr>
          <w:rFonts w:hint="eastAsia" w:ascii="宋体" w:hAnsi="宋体" w:cs="宋体"/>
          <w:color w:val="auto"/>
          <w:szCs w:val="21"/>
          <w:highlight w:val="none"/>
          <w:u w:val="single"/>
        </w:rPr>
        <w:t>28</w:t>
      </w:r>
      <w:r>
        <w:rPr>
          <w:rFonts w:hint="eastAsia" w:ascii="宋体" w:hAnsi="宋体" w:cs="宋体"/>
          <w:color w:val="auto"/>
          <w:kern w:val="0"/>
          <w:highlight w:val="none"/>
        </w:rPr>
        <w:t>天后发包人仍不纠正其违约行为并致使合同目的不能实现的，承包人有权解除合同。</w:t>
      </w:r>
    </w:p>
    <w:p w14:paraId="772786A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16.2 承包人违约</w:t>
      </w:r>
    </w:p>
    <w:p w14:paraId="7C48503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16.2.1 承包人违约的情形</w:t>
      </w:r>
    </w:p>
    <w:p w14:paraId="350CC8A1">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承包人违约的其他情形：</w:t>
      </w:r>
      <w:r>
        <w:rPr>
          <w:rFonts w:hint="eastAsia" w:ascii="宋体" w:hAnsi="宋体" w:cs="宋体"/>
          <w:color w:val="auto"/>
          <w:kern w:val="0"/>
          <w:highlight w:val="none"/>
          <w:u w:val="single"/>
        </w:rPr>
        <w:t xml:space="preserve">  </w:t>
      </w:r>
      <w:r>
        <w:rPr>
          <w:rFonts w:hint="eastAsia" w:ascii="宋体" w:hAnsi="宋体" w:eastAsia="宋体" w:cs="宋体"/>
          <w:color w:val="auto"/>
          <w:kern w:val="0"/>
          <w:highlight w:val="none"/>
          <w:u w:val="single"/>
        </w:rPr>
        <w:t>执行通用条款</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6AB7F1C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16.2.2 承包人违约的责任</w:t>
      </w:r>
    </w:p>
    <w:p w14:paraId="7F1F6620">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承包人违约责任的承担方式和计算方法：</w:t>
      </w:r>
      <w:r>
        <w:rPr>
          <w:rFonts w:hint="eastAsia" w:ascii="宋体" w:hAnsi="宋体" w:cs="宋体"/>
          <w:b/>
          <w:color w:val="auto"/>
          <w:highlight w:val="none"/>
          <w:u w:val="single"/>
        </w:rPr>
        <w:t xml:space="preserve">  </w:t>
      </w:r>
      <w:r>
        <w:rPr>
          <w:rFonts w:hint="eastAsia" w:ascii="宋体" w:hAnsi="宋体" w:eastAsia="宋体" w:cs="宋体"/>
          <w:b/>
          <w:color w:val="auto"/>
          <w:highlight w:val="none"/>
          <w:u w:val="single"/>
        </w:rPr>
        <w:t>由承包人承担全部费用并承担相关法律责任</w:t>
      </w:r>
      <w:r>
        <w:rPr>
          <w:rFonts w:hint="eastAsia" w:ascii="宋体" w:hAnsi="宋体" w:cs="宋体"/>
          <w:b/>
          <w:color w:val="auto"/>
          <w:highlight w:val="none"/>
          <w:u w:val="single"/>
        </w:rPr>
        <w:t xml:space="preserve"> </w:t>
      </w:r>
      <w:r>
        <w:rPr>
          <w:rFonts w:hint="eastAsia" w:ascii="宋体" w:hAnsi="宋体" w:cs="宋体"/>
          <w:b/>
          <w:color w:val="auto"/>
          <w:highlight w:val="none"/>
        </w:rPr>
        <w:t>。</w:t>
      </w:r>
    </w:p>
    <w:p w14:paraId="0B69A02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16.2.3 因承包人违约解除合同</w:t>
      </w:r>
    </w:p>
    <w:p w14:paraId="6CECA9FF">
      <w:pPr>
        <w:adjustRightInd w:val="0"/>
        <w:snapToGrid w:val="0"/>
        <w:spacing w:line="384" w:lineRule="auto"/>
        <w:ind w:firstLine="420" w:firstLineChars="200"/>
        <w:rPr>
          <w:rFonts w:hint="eastAsia" w:ascii="宋体" w:hAnsi="宋体" w:cs="宋体"/>
          <w:color w:val="auto"/>
          <w:kern w:val="0"/>
          <w:highlight w:val="none"/>
          <w:u w:val="single"/>
        </w:rPr>
      </w:pPr>
      <w:r>
        <w:rPr>
          <w:rFonts w:hint="eastAsia" w:ascii="宋体" w:hAnsi="宋体" w:cs="宋体"/>
          <w:color w:val="auto"/>
          <w:kern w:val="0"/>
          <w:highlight w:val="none"/>
        </w:rPr>
        <w:t>关于承包人违约解除合同的特别约定：</w:t>
      </w:r>
      <w:r>
        <w:rPr>
          <w:rFonts w:hint="eastAsia" w:ascii="宋体" w:hAnsi="宋体" w:cs="宋体"/>
          <w:color w:val="auto"/>
          <w:kern w:val="0"/>
          <w:highlight w:val="none"/>
          <w:u w:val="single"/>
        </w:rPr>
        <w:t xml:space="preserve"> </w:t>
      </w:r>
      <w:r>
        <w:rPr>
          <w:rFonts w:hint="eastAsia" w:ascii="宋体" w:hAnsi="宋体" w:eastAsia="宋体" w:cs="宋体"/>
          <w:color w:val="auto"/>
          <w:kern w:val="0"/>
          <w:highlight w:val="none"/>
          <w:u w:val="single"/>
        </w:rPr>
        <w:t>除专用条款约定情形外，其余执行通用条款</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5807CE8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rPr>
        <w:t>发包人不承担费用</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65885F3D">
      <w:pPr>
        <w:keepNext/>
        <w:keepLines/>
        <w:adjustRightInd w:val="0"/>
        <w:snapToGrid w:val="0"/>
        <w:spacing w:line="384" w:lineRule="auto"/>
        <w:jc w:val="left"/>
        <w:outlineLvl w:val="2"/>
        <w:rPr>
          <w:rFonts w:hint="eastAsia" w:ascii="宋体" w:hAnsi="宋体" w:cs="宋体"/>
          <w:bCs/>
          <w:color w:val="auto"/>
          <w:sz w:val="24"/>
          <w:highlight w:val="none"/>
        </w:rPr>
      </w:pPr>
      <w:bookmarkStart w:id="1303" w:name="_Toc351203649"/>
      <w:bookmarkStart w:id="1304" w:name="_Toc95223482"/>
      <w:r>
        <w:rPr>
          <w:rFonts w:hint="eastAsia" w:ascii="宋体" w:hAnsi="宋体" w:cs="宋体"/>
          <w:bCs/>
          <w:color w:val="auto"/>
          <w:sz w:val="24"/>
          <w:highlight w:val="none"/>
        </w:rPr>
        <w:t>17. 不可抗力</w:t>
      </w:r>
      <w:bookmarkEnd w:id="1303"/>
      <w:bookmarkEnd w:id="1304"/>
      <w:r>
        <w:rPr>
          <w:rFonts w:hint="eastAsia" w:ascii="宋体" w:hAnsi="宋体" w:cs="宋体"/>
          <w:bCs/>
          <w:color w:val="auto"/>
          <w:sz w:val="24"/>
          <w:highlight w:val="none"/>
        </w:rPr>
        <w:t xml:space="preserve"> </w:t>
      </w:r>
      <w:bookmarkEnd w:id="1301"/>
    </w:p>
    <w:p w14:paraId="568A3AE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17.1 不可抗力的确认</w:t>
      </w:r>
    </w:p>
    <w:p w14:paraId="6EC4C6DC">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highlight w:val="none"/>
        </w:rPr>
        <w:t>除通用合同条款约定的不可抗力事件之外，视为不可抗力的其他情形：</w:t>
      </w:r>
      <w:r>
        <w:rPr>
          <w:rFonts w:hint="eastAsia" w:ascii="宋体" w:hAnsi="宋体" w:cs="宋体"/>
          <w:color w:val="auto"/>
          <w:szCs w:val="21"/>
          <w:highlight w:val="none"/>
          <w:u w:val="single"/>
        </w:rPr>
        <w:t>执行通用条款</w:t>
      </w:r>
      <w:r>
        <w:rPr>
          <w:rFonts w:hint="eastAsia" w:ascii="宋体" w:hAnsi="宋体" w:cs="宋体"/>
          <w:color w:val="auto"/>
          <w:szCs w:val="21"/>
          <w:highlight w:val="none"/>
        </w:rPr>
        <w:t>。</w:t>
      </w:r>
    </w:p>
    <w:p w14:paraId="364F7EC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17.4 因不可抗力解除合同</w:t>
      </w:r>
    </w:p>
    <w:p w14:paraId="65422F3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合同解除后，发包人应在商定或确定发包人应支付款项后</w:t>
      </w:r>
      <w:r>
        <w:rPr>
          <w:rFonts w:hint="eastAsia" w:ascii="宋体" w:hAnsi="宋体" w:cs="宋体"/>
          <w:color w:val="auto"/>
          <w:szCs w:val="21"/>
          <w:highlight w:val="none"/>
          <w:u w:val="single"/>
        </w:rPr>
        <w:t>28</w:t>
      </w:r>
      <w:r>
        <w:rPr>
          <w:rFonts w:hint="eastAsia" w:ascii="宋体" w:hAnsi="宋体" w:cs="宋体"/>
          <w:color w:val="auto"/>
          <w:highlight w:val="none"/>
        </w:rPr>
        <w:t>天内完成款项的支付。</w:t>
      </w:r>
    </w:p>
    <w:p w14:paraId="034756E9">
      <w:pPr>
        <w:keepNext/>
        <w:keepLines/>
        <w:adjustRightInd w:val="0"/>
        <w:snapToGrid w:val="0"/>
        <w:spacing w:line="384" w:lineRule="auto"/>
        <w:jc w:val="left"/>
        <w:outlineLvl w:val="2"/>
        <w:rPr>
          <w:rFonts w:hint="eastAsia" w:ascii="宋体" w:hAnsi="宋体" w:cs="宋体"/>
          <w:bCs/>
          <w:color w:val="auto"/>
          <w:sz w:val="24"/>
          <w:highlight w:val="none"/>
        </w:rPr>
      </w:pPr>
      <w:bookmarkStart w:id="1305" w:name="_Toc351203650"/>
      <w:bookmarkStart w:id="1306" w:name="_Toc95223483"/>
      <w:r>
        <w:rPr>
          <w:rFonts w:hint="eastAsia" w:ascii="宋体" w:hAnsi="宋体" w:cs="宋体"/>
          <w:bCs/>
          <w:color w:val="auto"/>
          <w:sz w:val="24"/>
          <w:highlight w:val="none"/>
        </w:rPr>
        <w:t>18. 保险</w:t>
      </w:r>
      <w:bookmarkEnd w:id="1305"/>
      <w:bookmarkEnd w:id="1306"/>
    </w:p>
    <w:bookmarkEnd w:id="1302"/>
    <w:p w14:paraId="66FCC714">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18.1 工程保险</w:t>
      </w:r>
    </w:p>
    <w:p w14:paraId="35FC8FD5">
      <w:pPr>
        <w:adjustRightInd w:val="0"/>
        <w:snapToGrid w:val="0"/>
        <w:spacing w:line="384" w:lineRule="auto"/>
        <w:ind w:firstLine="420" w:firstLineChars="200"/>
        <w:rPr>
          <w:rFonts w:hint="eastAsia" w:ascii="宋体" w:hAnsi="宋体" w:cs="宋体"/>
          <w:b/>
          <w:color w:val="auto"/>
          <w:highlight w:val="none"/>
        </w:rPr>
      </w:pPr>
      <w:r>
        <w:rPr>
          <w:rFonts w:hint="eastAsia" w:ascii="宋体" w:hAnsi="宋体" w:cs="宋体"/>
          <w:color w:val="auto"/>
          <w:highlight w:val="none"/>
        </w:rPr>
        <w:t>关于工程保险的特别约定：</w:t>
      </w:r>
      <w:r>
        <w:rPr>
          <w:rFonts w:hint="eastAsia" w:ascii="宋体" w:hAnsi="宋体" w:cs="宋体"/>
          <w:b/>
          <w:color w:val="auto"/>
          <w:kern w:val="0"/>
          <w:highlight w:val="none"/>
          <w:u w:val="single"/>
        </w:rPr>
        <w:t xml:space="preserve"> </w:t>
      </w:r>
      <w:r>
        <w:rPr>
          <w:rFonts w:hint="eastAsia" w:ascii="宋体" w:hAnsi="宋体" w:eastAsia="宋体" w:cs="宋体"/>
          <w:b/>
          <w:color w:val="auto"/>
          <w:kern w:val="0"/>
          <w:highlight w:val="none"/>
          <w:u w:val="single"/>
        </w:rPr>
        <w:t>承包人自行考虑</w:t>
      </w:r>
      <w:r>
        <w:rPr>
          <w:rFonts w:hint="eastAsia" w:ascii="宋体" w:hAnsi="宋体" w:cs="宋体"/>
          <w:b/>
          <w:color w:val="auto"/>
          <w:kern w:val="0"/>
          <w:highlight w:val="none"/>
          <w:u w:val="single"/>
        </w:rPr>
        <w:t xml:space="preserve"> </w:t>
      </w:r>
      <w:r>
        <w:rPr>
          <w:rFonts w:hint="eastAsia" w:ascii="宋体" w:hAnsi="宋体" w:cs="宋体"/>
          <w:b/>
          <w:color w:val="auto"/>
          <w:kern w:val="0"/>
          <w:highlight w:val="none"/>
        </w:rPr>
        <w:t>。</w:t>
      </w:r>
    </w:p>
    <w:p w14:paraId="7047DDA5">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18.3 其他保险</w:t>
      </w:r>
    </w:p>
    <w:p w14:paraId="69907BB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highlight w:val="none"/>
        </w:rPr>
        <w:t>关于其他保险的约定：</w:t>
      </w:r>
      <w:r>
        <w:rPr>
          <w:rFonts w:hint="eastAsia" w:ascii="宋体" w:hAnsi="宋体" w:cs="宋体"/>
          <w:color w:val="auto"/>
          <w:szCs w:val="21"/>
          <w:highlight w:val="none"/>
          <w:u w:val="single"/>
        </w:rPr>
        <w:t>承包人须为其施工现场的全部人员办理意外伤害保险并支付保险费，包括其员工及为履行合同聘请的第三方的人员</w:t>
      </w:r>
      <w:r>
        <w:rPr>
          <w:rFonts w:hint="eastAsia" w:ascii="宋体" w:hAnsi="宋体" w:cs="宋体"/>
          <w:color w:val="auto"/>
          <w:kern w:val="0"/>
          <w:highlight w:val="none"/>
        </w:rPr>
        <w:t>。</w:t>
      </w:r>
    </w:p>
    <w:p w14:paraId="4686FBBC">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承包人是否应为其施工设备等办理财产保险：</w:t>
      </w:r>
      <w:r>
        <w:rPr>
          <w:rFonts w:hint="eastAsia" w:ascii="宋体" w:hAnsi="宋体" w:cs="宋体"/>
          <w:color w:val="auto"/>
          <w:szCs w:val="21"/>
          <w:highlight w:val="none"/>
          <w:u w:val="single"/>
        </w:rPr>
        <w:t>执行通用条款</w:t>
      </w:r>
      <w:r>
        <w:rPr>
          <w:rFonts w:hint="eastAsia" w:ascii="宋体" w:hAnsi="宋体" w:cs="宋体"/>
          <w:color w:val="auto"/>
          <w:highlight w:val="none"/>
        </w:rPr>
        <w:t>。</w:t>
      </w:r>
    </w:p>
    <w:p w14:paraId="42565D7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18.7 通知义务</w:t>
      </w:r>
    </w:p>
    <w:p w14:paraId="5466860D">
      <w:pPr>
        <w:adjustRightInd w:val="0"/>
        <w:snapToGrid w:val="0"/>
        <w:spacing w:line="384" w:lineRule="auto"/>
        <w:ind w:firstLine="420" w:firstLineChars="200"/>
        <w:rPr>
          <w:rFonts w:hint="eastAsia" w:ascii="宋体" w:hAnsi="宋体" w:cs="宋体"/>
          <w:b/>
          <w:color w:val="auto"/>
          <w:highlight w:val="none"/>
          <w:u w:val="single"/>
        </w:rPr>
      </w:pPr>
      <w:r>
        <w:rPr>
          <w:rFonts w:hint="eastAsia" w:ascii="宋体" w:hAnsi="宋体" w:cs="宋体"/>
          <w:color w:val="auto"/>
          <w:kern w:val="0"/>
          <w:highlight w:val="none"/>
        </w:rPr>
        <w:t>关于变更保险合同时的通知义务的约定：</w:t>
      </w:r>
      <w:r>
        <w:rPr>
          <w:rFonts w:hint="eastAsia" w:ascii="宋体" w:hAnsi="宋体" w:cs="宋体"/>
          <w:color w:val="auto"/>
          <w:szCs w:val="21"/>
          <w:highlight w:val="none"/>
          <w:u w:val="single"/>
        </w:rPr>
        <w:t>执行通用条款</w:t>
      </w:r>
      <w:r>
        <w:rPr>
          <w:rFonts w:hint="eastAsia" w:ascii="宋体" w:hAnsi="宋体" w:cs="宋体"/>
          <w:color w:val="auto"/>
          <w:szCs w:val="21"/>
          <w:highlight w:val="none"/>
        </w:rPr>
        <w:t>。</w:t>
      </w:r>
    </w:p>
    <w:bookmarkEnd w:id="1277"/>
    <w:bookmarkEnd w:id="1278"/>
    <w:bookmarkEnd w:id="1279"/>
    <w:bookmarkEnd w:id="1280"/>
    <w:bookmarkEnd w:id="1281"/>
    <w:bookmarkEnd w:id="1282"/>
    <w:bookmarkEnd w:id="1283"/>
    <w:bookmarkEnd w:id="1284"/>
    <w:bookmarkEnd w:id="1285"/>
    <w:bookmarkEnd w:id="1286"/>
    <w:bookmarkEnd w:id="1287"/>
    <w:bookmarkEnd w:id="1288"/>
    <w:p w14:paraId="125EEC86">
      <w:pPr>
        <w:keepNext/>
        <w:keepLines/>
        <w:adjustRightInd w:val="0"/>
        <w:snapToGrid w:val="0"/>
        <w:spacing w:line="384" w:lineRule="auto"/>
        <w:jc w:val="left"/>
        <w:outlineLvl w:val="2"/>
        <w:rPr>
          <w:rFonts w:hint="eastAsia" w:ascii="宋体" w:hAnsi="宋体" w:cs="宋体"/>
          <w:bCs/>
          <w:color w:val="auto"/>
          <w:sz w:val="24"/>
          <w:highlight w:val="none"/>
        </w:rPr>
      </w:pPr>
      <w:bookmarkStart w:id="1307" w:name="_Toc351203651"/>
      <w:bookmarkStart w:id="1308" w:name="_Toc95223484"/>
      <w:r>
        <w:rPr>
          <w:rFonts w:hint="eastAsia" w:ascii="宋体" w:hAnsi="宋体" w:cs="宋体"/>
          <w:bCs/>
          <w:color w:val="auto"/>
          <w:sz w:val="24"/>
          <w:highlight w:val="none"/>
        </w:rPr>
        <w:t>20. 争议解决</w:t>
      </w:r>
      <w:bookmarkEnd w:id="1307"/>
      <w:bookmarkEnd w:id="1308"/>
    </w:p>
    <w:bookmarkEnd w:id="1289"/>
    <w:bookmarkEnd w:id="1290"/>
    <w:p w14:paraId="0CB91EC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20.3 争</w:t>
      </w:r>
      <w:bookmarkEnd w:id="1291"/>
      <w:r>
        <w:rPr>
          <w:rFonts w:hint="eastAsia" w:ascii="宋体" w:hAnsi="宋体" w:cs="宋体"/>
          <w:bCs/>
          <w:color w:val="auto"/>
          <w:szCs w:val="28"/>
          <w:highlight w:val="none"/>
        </w:rPr>
        <w:t>议评审</w:t>
      </w:r>
    </w:p>
    <w:p w14:paraId="2D3DF6A9">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合同当事人是否同意将工程争议提交争议评审小组决定：</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rPr>
        <w:t>不同意</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01BA42D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20.3.1 争议评审小组的确定</w:t>
      </w:r>
    </w:p>
    <w:p w14:paraId="04C666D1">
      <w:pPr>
        <w:adjustRightInd w:val="0"/>
        <w:snapToGrid w:val="0"/>
        <w:spacing w:line="384" w:lineRule="auto"/>
        <w:ind w:firstLine="420" w:firstLineChars="200"/>
        <w:rPr>
          <w:rFonts w:hint="eastAsia" w:ascii="宋体" w:hAnsi="宋体" w:cs="宋体"/>
          <w:color w:val="auto"/>
          <w:highlight w:val="none"/>
          <w:u w:val="single"/>
        </w:rPr>
      </w:pPr>
      <w:r>
        <w:rPr>
          <w:rFonts w:hint="eastAsia" w:ascii="宋体" w:hAnsi="宋体" w:cs="宋体"/>
          <w:color w:val="auto"/>
          <w:highlight w:val="none"/>
        </w:rPr>
        <w:t>争议评审小组成员的确定：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F0F84D9">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选定争议评审员的期限：</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1C789B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争议评审小组成员的报酬承担方式：</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E56A5C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其他事项的约定：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BBEEEC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20.3.2 争议评审小组的决定</w:t>
      </w:r>
    </w:p>
    <w:p w14:paraId="1CB3547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合同当事人关于本项的约定：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C949C7A">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20.4 仲裁或诉讼</w:t>
      </w:r>
      <w:bookmarkEnd w:id="1292"/>
    </w:p>
    <w:p w14:paraId="14F2075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因合同及合同有关事项发生的争议，按下列第</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1</w:t>
      </w:r>
      <w:r>
        <w:rPr>
          <w:rFonts w:hint="eastAsia" w:ascii="宋体" w:hAnsi="宋体" w:cs="宋体"/>
          <w:b/>
          <w:color w:val="auto"/>
          <w:highlight w:val="none"/>
          <w:u w:val="single"/>
        </w:rPr>
        <w:t xml:space="preserve">  </w:t>
      </w:r>
      <w:r>
        <w:rPr>
          <w:rFonts w:hint="eastAsia" w:ascii="宋体" w:hAnsi="宋体" w:cs="宋体"/>
          <w:color w:val="auto"/>
          <w:highlight w:val="none"/>
        </w:rPr>
        <w:t>种方式解决：</w:t>
      </w:r>
    </w:p>
    <w:p w14:paraId="13239386">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（1）向</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滁州</w:t>
      </w:r>
      <w:r>
        <w:rPr>
          <w:rFonts w:hint="eastAsia" w:ascii="宋体" w:hAnsi="宋体" w:cs="宋体"/>
          <w:color w:val="auto"/>
          <w:szCs w:val="21"/>
          <w:highlight w:val="none"/>
          <w:u w:val="single"/>
        </w:rPr>
        <w:t xml:space="preserve">   </w:t>
      </w:r>
      <w:r>
        <w:rPr>
          <w:rFonts w:hint="eastAsia" w:ascii="宋体" w:hAnsi="宋体" w:cs="宋体"/>
          <w:color w:val="auto"/>
          <w:highlight w:val="none"/>
        </w:rPr>
        <w:t>仲裁委员会申请仲裁；</w:t>
      </w:r>
    </w:p>
    <w:p w14:paraId="4940EB32">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（2）向</w:t>
      </w:r>
      <w:r>
        <w:rPr>
          <w:rFonts w:hint="eastAsia" w:ascii="宋体" w:hAnsi="宋体" w:cs="宋体"/>
          <w:color w:val="auto"/>
          <w:szCs w:val="21"/>
          <w:highlight w:val="none"/>
          <w:u w:val="single"/>
        </w:rPr>
        <w:t>工程所在地</w:t>
      </w:r>
      <w:r>
        <w:rPr>
          <w:rFonts w:hint="eastAsia" w:ascii="宋体" w:hAnsi="宋体" w:cs="宋体"/>
          <w:color w:val="auto"/>
          <w:highlight w:val="none"/>
        </w:rPr>
        <w:t>人民法院起诉。</w:t>
      </w:r>
      <w:bookmarkEnd w:id="1293"/>
      <w:bookmarkEnd w:id="1294"/>
      <w:bookmarkEnd w:id="1295"/>
      <w:bookmarkEnd w:id="1296"/>
      <w:bookmarkEnd w:id="1297"/>
      <w:bookmarkEnd w:id="1298"/>
    </w:p>
    <w:p w14:paraId="08F9F416">
      <w:pPr>
        <w:keepNext/>
        <w:keepLines/>
        <w:adjustRightInd w:val="0"/>
        <w:snapToGrid w:val="0"/>
        <w:spacing w:line="384" w:lineRule="auto"/>
        <w:jc w:val="left"/>
        <w:outlineLvl w:val="2"/>
        <w:rPr>
          <w:rFonts w:hint="eastAsia" w:ascii="宋体" w:hAnsi="宋体" w:cs="宋体"/>
          <w:color w:val="auto"/>
          <w:highlight w:val="none"/>
        </w:rPr>
      </w:pPr>
      <w:bookmarkStart w:id="1309" w:name="_Toc95223485"/>
      <w:r>
        <w:rPr>
          <w:rFonts w:hint="eastAsia" w:ascii="宋体" w:hAnsi="宋体" w:cs="宋体"/>
          <w:color w:val="auto"/>
          <w:highlight w:val="none"/>
        </w:rPr>
        <w:t>21. 补充条款</w:t>
      </w:r>
      <w:bookmarkEnd w:id="1309"/>
      <w:r>
        <w:rPr>
          <w:rFonts w:hint="eastAsia" w:ascii="宋体" w:hAnsi="宋体" w:cs="宋体"/>
          <w:color w:val="auto"/>
          <w:highlight w:val="none"/>
        </w:rPr>
        <w:t xml:space="preserve"> </w:t>
      </w:r>
    </w:p>
    <w:p w14:paraId="0A2269E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本补充条款是专用条款的一部分，其解释顺序优先于专用条款内的其他条款。</w:t>
      </w:r>
    </w:p>
    <w:p w14:paraId="6F336788">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21.1 人员及职责</w:t>
      </w:r>
    </w:p>
    <w:p w14:paraId="33BFCA2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21.1.1 发包人委派的发包人代表或监理工程师（以下简称“工程师”）无权更改合同，也无权解除发包人和承包人的义务和责任。</w:t>
      </w:r>
    </w:p>
    <w:p w14:paraId="2D32AAE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21.1.2 发包人代表的任何批准、检查、证书、同意、通知、建议、检验、指令和要求等不解除承包人在合同中的责任。</w:t>
      </w:r>
    </w:p>
    <w:p w14:paraId="434AB3C0">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21.1.3 承包人只能从发包人代表或其授权代表处接受指令。</w:t>
      </w:r>
    </w:p>
    <w:p w14:paraId="5E839E1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21.1.4 发包人如需更换发包人代表须提前7天通知承包人。</w:t>
      </w:r>
    </w:p>
    <w:p w14:paraId="2C17FAC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21.1.5 投标人委任的项目经理、项目技术负责人、各专业负责人（其他主要管理人员和技术人员）及施工机械等在整个项目施工期内必须在位。</w:t>
      </w:r>
    </w:p>
    <w:p w14:paraId="088CB3B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承包人的项目经理离开现场的，须经发包人代表同意，并书面指定临时代表，代为行使项目经理的权力；该临时代表的一切行为，甲方均认为是项目经理的行为。</w:t>
      </w:r>
    </w:p>
    <w:p w14:paraId="2B2432A7">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21.1.6 承包人提交发包人的任何文件，发包人都认为该文件已经承包人内部程序批准；承包人提交的文件发生修改的，应及时将最新版本提交发包人代表。</w:t>
      </w:r>
    </w:p>
    <w:p w14:paraId="7D1EDB88">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21.1.7 承包人应始终采取一切合理防范措施来避免在项目人员内部发生违法、动乱或妨碍治安的行为，保持项目的安定；并保护好现场和周围的人员和财产安全。</w:t>
      </w:r>
    </w:p>
    <w:p w14:paraId="1E7EDAA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21.1.8 承包人雇佣职员或工人应遵守相关法律法规的规定。</w:t>
      </w:r>
    </w:p>
    <w:p w14:paraId="5505099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31D17A33">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21.1.10 承包人更换项目经理的，须提前14天通知发包人，并征得发包人同意；该行为视为违约，承包人须支付发包人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5</w:t>
      </w:r>
      <w:r>
        <w:rPr>
          <w:rFonts w:hint="eastAsia" w:ascii="宋体" w:hAnsi="宋体" w:cs="宋体"/>
          <w:color w:val="auto"/>
          <w:highlight w:val="none"/>
          <w:u w:val="single"/>
        </w:rPr>
        <w:t xml:space="preserve">  </w:t>
      </w:r>
      <w:r>
        <w:rPr>
          <w:rFonts w:hint="eastAsia" w:ascii="宋体" w:hAnsi="宋体" w:cs="宋体"/>
          <w:color w:val="auto"/>
          <w:highlight w:val="none"/>
        </w:rPr>
        <w:t>万元违约金。更换后的项目经理资历、水平不得降低。</w:t>
      </w:r>
    </w:p>
    <w:p w14:paraId="755673A9">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21.2 变更与调整</w:t>
      </w:r>
    </w:p>
    <w:p w14:paraId="6EA02FE5">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21.2.1 在工程移交前，发包人代表有权签发变更指令，承包人应按照指令来实施变更，并进行工期和费用的估算，提交发包人代表。</w:t>
      </w:r>
    </w:p>
    <w:p w14:paraId="27D0627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21.2.2 发包人代表收到承包人的估算后，可以决定撤销、修改或确认实施该项变更。</w:t>
      </w:r>
    </w:p>
    <w:p w14:paraId="7181F14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21.2.3 如果承包人认为自己的建议能缩短工期、降低工程实施或运营成本，或对业主产生其他利益，可以向发包人代表提交建议书；建议书的编制费用自理。</w:t>
      </w:r>
    </w:p>
    <w:p w14:paraId="734F55B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21.2.4 如果发包人采纳承包人的建议节省了工程费用，将给予承包人节约费用适当比例的奖励。</w:t>
      </w:r>
    </w:p>
    <w:p w14:paraId="3F93183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21.2.5 上一款中节省费用的计算方法为：降低的合同额度减去因变更而引起在工程质量、寿命、以及运营效率等方面为发包人带来的潜在损失。</w:t>
      </w:r>
    </w:p>
    <w:p w14:paraId="535C856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21.2.6 任何变更指令都应由发包人代表签发给承包人，承包人收到后应回函说明；涉及到费用调整的，按照相关条款执行。</w:t>
      </w:r>
    </w:p>
    <w:p w14:paraId="53EC8A4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71018FB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21.2.8 未经发包人代表批准，承包人不得对工程进行任何变更。</w:t>
      </w:r>
    </w:p>
    <w:p w14:paraId="24C51D5E">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21.3 分包与配合</w:t>
      </w:r>
    </w:p>
    <w:p w14:paraId="68CB36E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21.3.1 承包人进行工程分包的，应遵守通用条款相关规定，发包人视其为承包人自行施工的工程；发包人代表对分包的同意或批准并不解除承包人的任何责任，也不代表发包人对此承担任何责任。</w:t>
      </w:r>
    </w:p>
    <w:p w14:paraId="0BDD750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21.3.2 发包人分包的专业工程范围如下： </w:t>
      </w:r>
    </w:p>
    <w:p w14:paraId="7730F85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3FE43D3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57DE65B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21.3.3 发包人通过招标方式选择专业工程分包施工单位，承包人参与分包工程的招标，认可招标结果，并作为总包单位与分包工程的中标人（以下简称“分包人”）签订工程分包施工合同。</w:t>
      </w:r>
    </w:p>
    <w:p w14:paraId="061F8C0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21.3.4 发包人支付给承包人专业分包工程合同价款（不含设备价格）的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%作为总承包服务配合费用，承包人不得向分包人收取其他费用；该项费用包括但不限于以下内容：</w:t>
      </w:r>
    </w:p>
    <w:p w14:paraId="15401CE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（1）乙方承担总包责任所发生的费用。</w:t>
      </w:r>
    </w:p>
    <w:p w14:paraId="28A3301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（2）“分包工程”施工完毕、土建工程的收尾和修复以及使用承包人的施工所用水电管线等费用（水电费用装表计量，按照实际用量结算）。</w:t>
      </w:r>
    </w:p>
    <w:p w14:paraId="5022313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（3）分包人使用承包人现场临时工程及在用的脚手架、塔吊、施工电梯等费用。</w:t>
      </w:r>
    </w:p>
    <w:p w14:paraId="3BE7E9F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（4）分包人使用工程的施工道路，到总包单位搭伙，使用总包单位的卫生间等。</w:t>
      </w:r>
    </w:p>
    <w:p w14:paraId="0015493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（5）门窗洞口、安装工程管道口、楼地面墙面凿洞、槽等的后塞及修补等，以及整个工程的安全保卫等。</w:t>
      </w:r>
    </w:p>
    <w:p w14:paraId="5DA8445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（6）为分包人提供标高、轴线、定位，隐蔽工程指引等。</w:t>
      </w:r>
    </w:p>
    <w:p w14:paraId="36304D1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（7）分包人的工程资料收集整理和移交；工程质量的检验和验收。</w:t>
      </w:r>
    </w:p>
    <w:p w14:paraId="6F38939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（8）保证分包工程在施工期间有足够的工作面，保证其按时开工和连续施工，并承担因乙方原因使分包工程不能按时开工和配合不及时造成的工期延误责任。</w:t>
      </w:r>
    </w:p>
    <w:p w14:paraId="6B43F8B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21.3.5 配合工程：是指某一位于施工现场内或现场外的工程，并非由承包人施工或总包，但与承包人的工程有一定联系，需要承包人配合的工程；配合工程如下：</w:t>
      </w:r>
    </w:p>
    <w:p w14:paraId="120055C1">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w:t>
      </w:r>
      <w:r>
        <w:rPr>
          <w:rFonts w:hint="eastAsia" w:ascii="宋体" w:hAnsi="宋体" w:cs="宋体"/>
          <w:color w:val="auto"/>
          <w:kern w:val="0"/>
          <w:highlight w:val="none"/>
          <w:u w:val="single"/>
        </w:rPr>
        <w:t xml:space="preserve">                                     </w:t>
      </w:r>
    </w:p>
    <w:p w14:paraId="465DE80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 xml:space="preserve">                                     </w:t>
      </w:r>
    </w:p>
    <w:p w14:paraId="5EF8DCF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21.3.6 对于配合工程，承包人除不需要承办总包责任外，其他责任和义务同分包工程；发包人给予承包人</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万元作为承包人承担配合工作的配合费用。</w:t>
      </w:r>
    </w:p>
    <w:p w14:paraId="721C778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21.3.7 凡在与已交工工程有关联的部位施工时，必须提前向甲方提出书面联系单，经甲方同意，并签字后方可施工。</w:t>
      </w:r>
    </w:p>
    <w:p w14:paraId="5860E771">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21.4 结算</w:t>
      </w:r>
    </w:p>
    <w:p w14:paraId="30B2AB6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21.4.1 承包人的投标报价（合同价款）是承包人基于业主提供的资料和现场数据及承包人的解释和现场考察计算出来的，覆盖了完成合同义务所包括的一切工作，不得以漏项或考虑不周提出索赔。</w:t>
      </w:r>
    </w:p>
    <w:p w14:paraId="04C55BF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21.4.2 水电费的结算：</w:t>
      </w:r>
    </w:p>
    <w:p w14:paraId="140BF80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（1）发包人在现场安装计量装置，承包人负责施工期间的保护，并在工程移交的同时完好地移交给发包人。</w:t>
      </w:r>
    </w:p>
    <w:p w14:paraId="13FB0D3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（2）承包人投标报价已经包含水电费用，工程结算时按照发包人实际缴纳的水电费在结算价（税前）中扣除。</w:t>
      </w:r>
    </w:p>
    <w:p w14:paraId="4656B88D">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（3）因承包人保护不善造成计量装置损坏，承包人负责修复，并承担由此造成的增加费用（包括修复费用和水电损失费用以及可能发生的罚款或其他费用）。</w:t>
      </w:r>
    </w:p>
    <w:p w14:paraId="274C588C">
      <w:pPr>
        <w:adjustRightInd w:val="0"/>
        <w:snapToGrid w:val="0"/>
        <w:spacing w:line="384" w:lineRule="auto"/>
        <w:ind w:firstLine="420" w:firstLineChars="200"/>
        <w:rPr>
          <w:rFonts w:hint="eastAsia" w:ascii="宋体" w:hAnsi="宋体" w:cs="宋体"/>
          <w:color w:val="auto"/>
          <w:kern w:val="0"/>
          <w:highlight w:val="none"/>
          <w:u w:val="single" w:color="FFFFFF"/>
        </w:rPr>
      </w:pPr>
      <w:r>
        <w:rPr>
          <w:rFonts w:hint="eastAsia" w:ascii="宋体" w:hAnsi="宋体" w:cs="宋体"/>
          <w:color w:val="auto"/>
          <w:kern w:val="0"/>
          <w:highlight w:val="none"/>
          <w:u w:val="single" w:color="FFFFFF"/>
        </w:rPr>
        <w:t>21.4.3 发包人供应材料设备的结算：材料按照总价的</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color="FFFFFF"/>
        </w:rPr>
        <w:t xml:space="preserve"> %计取保管费（材料数量最多不超过设计文件的用量（可以计算定额损耗））；设备按照总价的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color="FFFFFF"/>
        </w:rPr>
        <w:t xml:space="preserve"> %计取保管费；此费用仅计取税金。</w:t>
      </w:r>
    </w:p>
    <w:p w14:paraId="20833FF2">
      <w:pPr>
        <w:adjustRightInd w:val="0"/>
        <w:snapToGrid w:val="0"/>
        <w:spacing w:line="384" w:lineRule="auto"/>
        <w:ind w:firstLine="422" w:firstLineChars="200"/>
        <w:rPr>
          <w:rFonts w:hint="eastAsia" w:ascii="宋体" w:hAnsi="宋体" w:cs="宋体"/>
          <w:b/>
          <w:bCs/>
          <w:color w:val="auto"/>
          <w:kern w:val="0"/>
          <w:highlight w:val="none"/>
        </w:rPr>
      </w:pPr>
      <w:r>
        <w:rPr>
          <w:rFonts w:hint="eastAsia" w:ascii="宋体" w:hAnsi="宋体" w:cs="宋体"/>
          <w:b/>
          <w:bCs/>
          <w:color w:val="auto"/>
          <w:kern w:val="0"/>
          <w:highlight w:val="none"/>
        </w:rPr>
        <w:t>21.4.4 分包工程的总承包配合费和配合工程的配合费：分包工程的总承包配合费按照分包工程价格确定，一次包死，不随分包工程结算价款的调整而调整；配合工程的配合费也一次包死；该两项费用仅计取税金。</w:t>
      </w:r>
    </w:p>
    <w:p w14:paraId="3F2844CC">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21.4.5对于发包人提供的工程量清单中的单项子目，承包人没有报价的，发包人认为视同该项价格已经包括在其他项目中。</w:t>
      </w:r>
    </w:p>
    <w:p w14:paraId="4CB84109">
      <w:pPr>
        <w:adjustRightInd w:val="0"/>
        <w:snapToGrid w:val="0"/>
        <w:spacing w:line="360" w:lineRule="auto"/>
        <w:rPr>
          <w:rFonts w:hint="eastAsia" w:ascii="宋体" w:hAnsi="宋体" w:cs="宋体"/>
          <w:b/>
          <w:color w:val="auto"/>
          <w:highlight w:val="none"/>
        </w:rPr>
      </w:pPr>
    </w:p>
    <w:p w14:paraId="0822A3B8">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14:paraId="6E0A6312">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24677858">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14:paraId="1D5C511B">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p>
    <w:p w14:paraId="280545EA">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14:paraId="2589D784">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14:paraId="61C61D6C">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14:paraId="7158C500">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14:paraId="7FBC7C7F">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14:paraId="5920EF97">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14:paraId="55090350">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42A07E29">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14:paraId="70ECB93F">
      <w:pPr>
        <w:adjustRightInd w:val="0"/>
        <w:snapToGrid w:val="0"/>
        <w:spacing w:line="360" w:lineRule="auto"/>
        <w:rPr>
          <w:rFonts w:hint="eastAsia" w:ascii="宋体" w:hAnsi="宋体" w:cs="宋体"/>
          <w:b/>
          <w:color w:val="auto"/>
          <w:highlight w:val="non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p w14:paraId="6BB29214">
      <w:pPr>
        <w:spacing w:line="360" w:lineRule="auto"/>
        <w:outlineLvl w:val="1"/>
        <w:rPr>
          <w:rFonts w:ascii="宋体" w:hAnsi="宋体" w:cs="宋体"/>
          <w:b/>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0080D640">
      <w:pPr>
        <w:spacing w:line="360" w:lineRule="auto"/>
        <w:outlineLvl w:val="1"/>
        <w:rPr>
          <w:rFonts w:hint="eastAsia" w:ascii="宋体" w:hAnsi="宋体" w:cs="宋体"/>
          <w:b/>
          <w:color w:val="auto"/>
          <w:highlight w:val="none"/>
        </w:rPr>
      </w:pPr>
      <w:r>
        <w:rPr>
          <w:rFonts w:hint="eastAsia" w:ascii="宋体" w:hAnsi="宋体" w:cs="宋体"/>
          <w:b/>
          <w:color w:val="auto"/>
          <w:highlight w:val="none"/>
        </w:rPr>
        <w:t>附件</w:t>
      </w:r>
    </w:p>
    <w:p w14:paraId="70482939">
      <w:pPr>
        <w:spacing w:line="360" w:lineRule="auto"/>
        <w:rPr>
          <w:rFonts w:hint="eastAsia" w:ascii="宋体" w:hAnsi="宋体" w:cs="宋体"/>
          <w:color w:val="auto"/>
          <w:highlight w:val="none"/>
        </w:rPr>
      </w:pPr>
      <w:r>
        <w:rPr>
          <w:rFonts w:hint="eastAsia" w:ascii="宋体" w:hAnsi="宋体" w:cs="宋体"/>
          <w:color w:val="auto"/>
          <w:highlight w:val="none"/>
        </w:rPr>
        <w:t>协议书附件：</w:t>
      </w:r>
    </w:p>
    <w:p w14:paraId="08062536">
      <w:pPr>
        <w:spacing w:line="360" w:lineRule="auto"/>
        <w:rPr>
          <w:rFonts w:hint="eastAsia" w:ascii="宋体" w:hAnsi="宋体" w:cs="宋体"/>
          <w:color w:val="auto"/>
          <w:highlight w:val="none"/>
        </w:rPr>
      </w:pPr>
      <w:r>
        <w:rPr>
          <w:rFonts w:hint="eastAsia" w:ascii="宋体" w:hAnsi="宋体" w:cs="宋体"/>
          <w:color w:val="auto"/>
          <w:highlight w:val="none"/>
        </w:rPr>
        <w:t>附件1：承包人承揽工程项目一览表</w:t>
      </w:r>
    </w:p>
    <w:p w14:paraId="1E6472E1">
      <w:pPr>
        <w:spacing w:line="360" w:lineRule="auto"/>
        <w:rPr>
          <w:rFonts w:hint="eastAsia" w:ascii="宋体" w:hAnsi="宋体" w:cs="宋体"/>
          <w:color w:val="auto"/>
          <w:highlight w:val="none"/>
        </w:rPr>
      </w:pPr>
      <w:r>
        <w:rPr>
          <w:rFonts w:hint="eastAsia" w:ascii="宋体" w:hAnsi="宋体" w:cs="宋体"/>
          <w:color w:val="auto"/>
          <w:highlight w:val="none"/>
        </w:rPr>
        <w:t>专用合同条款附件：</w:t>
      </w:r>
    </w:p>
    <w:p w14:paraId="2D969EF1">
      <w:pPr>
        <w:spacing w:line="360" w:lineRule="auto"/>
        <w:rPr>
          <w:rFonts w:hint="eastAsia" w:ascii="宋体" w:hAnsi="宋体" w:cs="宋体"/>
          <w:color w:val="auto"/>
          <w:highlight w:val="none"/>
        </w:rPr>
      </w:pPr>
      <w:r>
        <w:rPr>
          <w:rFonts w:hint="eastAsia" w:ascii="宋体" w:hAnsi="宋体" w:cs="宋体"/>
          <w:color w:val="auto"/>
          <w:highlight w:val="none"/>
        </w:rPr>
        <w:t>附件2：发包人供应材料设备一览表</w:t>
      </w:r>
    </w:p>
    <w:p w14:paraId="2B914BEF">
      <w:pPr>
        <w:spacing w:line="360" w:lineRule="auto"/>
        <w:rPr>
          <w:rFonts w:hint="eastAsia" w:ascii="宋体" w:hAnsi="宋体" w:cs="宋体"/>
          <w:color w:val="auto"/>
          <w:highlight w:val="none"/>
        </w:rPr>
      </w:pPr>
      <w:r>
        <w:rPr>
          <w:rFonts w:hint="eastAsia" w:ascii="宋体" w:hAnsi="宋体" w:cs="宋体"/>
          <w:color w:val="auto"/>
          <w:highlight w:val="none"/>
        </w:rPr>
        <w:t>附件3：工程质量保修书</w:t>
      </w:r>
    </w:p>
    <w:p w14:paraId="480A5A39">
      <w:pPr>
        <w:spacing w:line="360" w:lineRule="auto"/>
        <w:rPr>
          <w:rFonts w:hint="eastAsia" w:ascii="宋体" w:hAnsi="宋体" w:cs="宋体"/>
          <w:color w:val="auto"/>
          <w:highlight w:val="none"/>
        </w:rPr>
      </w:pPr>
      <w:r>
        <w:rPr>
          <w:rFonts w:hint="eastAsia" w:ascii="宋体" w:hAnsi="宋体" w:cs="宋体"/>
          <w:color w:val="auto"/>
          <w:highlight w:val="none"/>
        </w:rPr>
        <w:t>附件4：主要建设工程文件目录</w:t>
      </w:r>
    </w:p>
    <w:p w14:paraId="7C129FF6">
      <w:pPr>
        <w:spacing w:line="360" w:lineRule="auto"/>
        <w:rPr>
          <w:rFonts w:hint="eastAsia" w:ascii="宋体" w:hAnsi="宋体" w:cs="宋体"/>
          <w:color w:val="auto"/>
          <w:highlight w:val="none"/>
        </w:rPr>
      </w:pPr>
      <w:r>
        <w:rPr>
          <w:rFonts w:hint="eastAsia" w:ascii="宋体" w:hAnsi="宋体" w:cs="宋体"/>
          <w:color w:val="auto"/>
          <w:highlight w:val="none"/>
        </w:rPr>
        <w:t>附件5：承包人用于本工程施工的机械设备表</w:t>
      </w:r>
    </w:p>
    <w:p w14:paraId="79C37F9A">
      <w:pPr>
        <w:spacing w:line="360" w:lineRule="auto"/>
        <w:rPr>
          <w:rFonts w:hint="eastAsia" w:ascii="宋体" w:hAnsi="宋体" w:cs="宋体"/>
          <w:color w:val="auto"/>
          <w:highlight w:val="none"/>
        </w:rPr>
      </w:pPr>
      <w:r>
        <w:rPr>
          <w:rFonts w:hint="eastAsia" w:ascii="宋体" w:hAnsi="宋体" w:cs="宋体"/>
          <w:color w:val="auto"/>
          <w:highlight w:val="none"/>
        </w:rPr>
        <w:t>附件6：承包人主要施工管理人员表</w:t>
      </w:r>
    </w:p>
    <w:p w14:paraId="4F50D472">
      <w:pPr>
        <w:spacing w:line="360" w:lineRule="auto"/>
        <w:rPr>
          <w:rFonts w:hint="eastAsia" w:ascii="宋体" w:hAnsi="宋体" w:cs="宋体"/>
          <w:color w:val="auto"/>
          <w:highlight w:val="none"/>
        </w:rPr>
      </w:pPr>
      <w:r>
        <w:rPr>
          <w:rFonts w:hint="eastAsia" w:ascii="宋体" w:hAnsi="宋体" w:cs="宋体"/>
          <w:color w:val="auto"/>
          <w:highlight w:val="none"/>
        </w:rPr>
        <w:t>附件7：分包人主要施工管理人员表</w:t>
      </w:r>
    </w:p>
    <w:p w14:paraId="70BD5137">
      <w:pPr>
        <w:spacing w:line="360" w:lineRule="auto"/>
        <w:rPr>
          <w:rFonts w:hint="eastAsia" w:ascii="宋体" w:hAnsi="宋体" w:cs="宋体"/>
          <w:color w:val="auto"/>
          <w:highlight w:val="none"/>
        </w:rPr>
      </w:pPr>
      <w:r>
        <w:rPr>
          <w:rFonts w:hint="eastAsia" w:ascii="宋体" w:hAnsi="宋体" w:cs="宋体"/>
          <w:color w:val="auto"/>
          <w:highlight w:val="none"/>
        </w:rPr>
        <w:t>附件8：廉政协议</w:t>
      </w:r>
    </w:p>
    <w:p w14:paraId="4B473A51">
      <w:pPr>
        <w:spacing w:line="360" w:lineRule="auto"/>
        <w:rPr>
          <w:rFonts w:hint="eastAsia" w:ascii="宋体" w:hAnsi="宋体" w:cs="宋体"/>
          <w:color w:val="auto"/>
          <w:highlight w:val="none"/>
        </w:rPr>
      </w:pPr>
      <w:r>
        <w:rPr>
          <w:rFonts w:hint="eastAsia" w:ascii="宋体" w:hAnsi="宋体" w:cs="宋体"/>
          <w:color w:val="auto"/>
          <w:highlight w:val="none"/>
        </w:rPr>
        <w:t>附件9：履约保证金格式</w:t>
      </w:r>
    </w:p>
    <w:p w14:paraId="5A4DBE48">
      <w:pPr>
        <w:spacing w:line="360" w:lineRule="auto"/>
        <w:rPr>
          <w:rFonts w:hint="eastAsia" w:ascii="宋体" w:hAnsi="宋体" w:cs="宋体"/>
          <w:color w:val="auto"/>
          <w:highlight w:val="none"/>
        </w:rPr>
      </w:pPr>
      <w:r>
        <w:rPr>
          <w:rFonts w:hint="eastAsia" w:ascii="宋体" w:hAnsi="宋体" w:cs="宋体"/>
          <w:color w:val="auto"/>
          <w:highlight w:val="none"/>
        </w:rPr>
        <w:t>附件10：支付担保格式</w:t>
      </w:r>
    </w:p>
    <w:p w14:paraId="1FD66A73">
      <w:pPr>
        <w:spacing w:line="360" w:lineRule="auto"/>
        <w:rPr>
          <w:rFonts w:hint="eastAsia" w:ascii="宋体" w:hAnsi="宋体" w:cs="宋体"/>
          <w:color w:val="auto"/>
          <w:highlight w:val="none"/>
        </w:rPr>
      </w:pPr>
      <w:r>
        <w:rPr>
          <w:rFonts w:hint="eastAsia" w:ascii="宋体" w:hAnsi="宋体" w:cs="宋体"/>
          <w:color w:val="auto"/>
          <w:highlight w:val="none"/>
        </w:rPr>
        <w:t>附件11：暂估价一览表</w:t>
      </w:r>
    </w:p>
    <w:p w14:paraId="3C388C85">
      <w:pPr>
        <w:spacing w:line="360" w:lineRule="auto"/>
        <w:rPr>
          <w:rFonts w:hint="eastAsia" w:ascii="宋体" w:hAnsi="宋体" w:cs="宋体"/>
          <w:color w:val="auto"/>
          <w:highlight w:val="none"/>
        </w:rPr>
      </w:pPr>
      <w:r>
        <w:rPr>
          <w:rFonts w:hint="eastAsia" w:ascii="宋体" w:hAnsi="宋体" w:cs="宋体"/>
          <w:color w:val="auto"/>
          <w:highlight w:val="none"/>
        </w:rPr>
        <w:t>附件12：安全生产合同</w:t>
      </w:r>
    </w:p>
    <w:p w14:paraId="5BA08455">
      <w:pPr>
        <w:spacing w:line="360" w:lineRule="auto"/>
        <w:rPr>
          <w:rFonts w:hint="eastAsia" w:ascii="宋体" w:hAnsi="宋体" w:cs="宋体"/>
          <w:color w:val="auto"/>
          <w:highlight w:val="none"/>
        </w:rPr>
      </w:pPr>
      <w:r>
        <w:rPr>
          <w:rFonts w:hint="eastAsia" w:ascii="宋体" w:hAnsi="宋体" w:cs="宋体"/>
          <w:color w:val="auto"/>
          <w:highlight w:val="none"/>
        </w:rPr>
        <w:t>附件13：项目经理质量终身责任制承诺</w:t>
      </w:r>
    </w:p>
    <w:p w14:paraId="1CEFACFF">
      <w:pPr>
        <w:pStyle w:val="19"/>
        <w:ind w:left="0" w:leftChars="0" w:firstLine="0" w:firstLineChars="0"/>
        <w:rPr>
          <w:rFonts w:hint="eastAsia"/>
          <w:color w:val="auto"/>
          <w:highlight w:val="none"/>
        </w:rPr>
      </w:pPr>
      <w:r>
        <w:rPr>
          <w:rFonts w:hint="eastAsia"/>
          <w:color w:val="auto"/>
          <w:highlight w:val="none"/>
        </w:rPr>
        <w:t>附件14：联合体协议书（如有）</w:t>
      </w:r>
    </w:p>
    <w:p w14:paraId="31A67B87">
      <w:pPr>
        <w:pStyle w:val="19"/>
        <w:ind w:left="0" w:leftChars="0" w:firstLine="0" w:firstLineChars="0"/>
        <w:rPr>
          <w:rFonts w:hint="eastAsia"/>
          <w:color w:val="auto"/>
          <w:highlight w:val="none"/>
        </w:rPr>
      </w:pPr>
      <w:r>
        <w:rPr>
          <w:rFonts w:hint="eastAsia"/>
          <w:color w:val="auto"/>
          <w:highlight w:val="none"/>
        </w:rPr>
        <w:t>其他需要补充的材料</w:t>
      </w:r>
    </w:p>
    <w:p w14:paraId="6877F5BE">
      <w:pPr>
        <w:rPr>
          <w:rFonts w:hint="eastAsia"/>
          <w:color w:val="auto"/>
          <w:highlight w:val="none"/>
        </w:rPr>
      </w:pPr>
    </w:p>
    <w:p w14:paraId="53206356">
      <w:pPr>
        <w:pStyle w:val="19"/>
        <w:rPr>
          <w:rFonts w:hint="eastAsia"/>
          <w:color w:val="auto"/>
          <w:highlight w:val="none"/>
        </w:rPr>
      </w:pPr>
    </w:p>
    <w:p w14:paraId="6804063F">
      <w:pPr>
        <w:rPr>
          <w:rFonts w:hint="eastAsia"/>
          <w:color w:val="auto"/>
          <w:highlight w:val="none"/>
        </w:rPr>
      </w:pPr>
    </w:p>
    <w:p w14:paraId="0FEABE89">
      <w:pPr>
        <w:pStyle w:val="19"/>
        <w:rPr>
          <w:rFonts w:hint="eastAsia"/>
          <w:color w:val="auto"/>
          <w:highlight w:val="none"/>
        </w:rPr>
      </w:pPr>
    </w:p>
    <w:p w14:paraId="2F3D427E">
      <w:pPr>
        <w:rPr>
          <w:rFonts w:hint="eastAsia"/>
          <w:color w:val="auto"/>
          <w:highlight w:val="none"/>
        </w:rPr>
      </w:pPr>
    </w:p>
    <w:p w14:paraId="479F6D0B">
      <w:pPr>
        <w:pStyle w:val="19"/>
        <w:rPr>
          <w:rFonts w:hint="eastAsia"/>
          <w:color w:val="auto"/>
          <w:highlight w:val="none"/>
        </w:rPr>
      </w:pPr>
    </w:p>
    <w:p w14:paraId="33F1648D">
      <w:pPr>
        <w:rPr>
          <w:rFonts w:hint="eastAsia"/>
          <w:color w:val="auto"/>
          <w:highlight w:val="none"/>
        </w:rPr>
      </w:pPr>
    </w:p>
    <w:p w14:paraId="7BC46D68">
      <w:pPr>
        <w:pStyle w:val="19"/>
        <w:rPr>
          <w:rFonts w:hint="eastAsia"/>
          <w:color w:val="auto"/>
          <w:highlight w:val="none"/>
        </w:rPr>
      </w:pPr>
    </w:p>
    <w:p w14:paraId="21E3E8C2">
      <w:pPr>
        <w:pStyle w:val="19"/>
        <w:rPr>
          <w:rFonts w:hint="eastAsia"/>
          <w:color w:val="auto"/>
          <w:highlight w:val="none"/>
        </w:rPr>
      </w:pPr>
    </w:p>
    <w:p w14:paraId="32982637">
      <w:pPr>
        <w:rPr>
          <w:rFonts w:hint="eastAsia"/>
          <w:color w:val="auto"/>
          <w:highlight w:val="none"/>
        </w:rPr>
      </w:pPr>
    </w:p>
    <w:p w14:paraId="2D2D9A8F">
      <w:pPr>
        <w:pStyle w:val="19"/>
        <w:rPr>
          <w:rFonts w:hint="eastAsia"/>
          <w:color w:val="auto"/>
          <w:highlight w:val="none"/>
        </w:rPr>
      </w:pPr>
    </w:p>
    <w:p w14:paraId="475F135D">
      <w:pPr>
        <w:rPr>
          <w:rFonts w:hint="eastAsia"/>
          <w:color w:val="auto"/>
          <w:highlight w:val="none"/>
        </w:rPr>
      </w:pPr>
    </w:p>
    <w:p w14:paraId="57B0F4A6">
      <w:pPr>
        <w:pStyle w:val="19"/>
        <w:rPr>
          <w:rFonts w:hint="eastAsia"/>
          <w:color w:val="auto"/>
          <w:highlight w:val="none"/>
        </w:rPr>
      </w:pPr>
    </w:p>
    <w:p w14:paraId="74A2A497">
      <w:pPr>
        <w:rPr>
          <w:rFonts w:hint="eastAsia"/>
          <w:color w:val="auto"/>
          <w:highlight w:val="none"/>
        </w:rPr>
      </w:pPr>
    </w:p>
    <w:p w14:paraId="1900DD80">
      <w:pPr>
        <w:pStyle w:val="19"/>
        <w:rPr>
          <w:rFonts w:hint="eastAsia"/>
          <w:color w:val="auto"/>
          <w:highlight w:val="none"/>
        </w:rPr>
      </w:pPr>
    </w:p>
    <w:p w14:paraId="0E155FF5">
      <w:pPr>
        <w:pStyle w:val="19"/>
        <w:rPr>
          <w:rFonts w:hint="eastAsia"/>
          <w:color w:val="auto"/>
          <w:highlight w:val="none"/>
        </w:rPr>
      </w:pPr>
    </w:p>
    <w:p w14:paraId="61E2BA99">
      <w:pPr>
        <w:rPr>
          <w:rFonts w:hint="eastAsia"/>
          <w:color w:val="auto"/>
          <w:highlight w:val="none"/>
        </w:rPr>
      </w:pPr>
    </w:p>
    <w:p w14:paraId="2CB2C0A9">
      <w:pPr>
        <w:pStyle w:val="19"/>
        <w:rPr>
          <w:rFonts w:hint="eastAsia"/>
          <w:color w:val="auto"/>
          <w:highlight w:val="none"/>
        </w:rPr>
      </w:pPr>
    </w:p>
    <w:p w14:paraId="1F087D28">
      <w:pPr>
        <w:pStyle w:val="19"/>
        <w:rPr>
          <w:rFonts w:hint="eastAsia"/>
          <w:color w:val="auto"/>
          <w:highlight w:val="none"/>
        </w:rPr>
      </w:pPr>
    </w:p>
    <w:p w14:paraId="3B590BB3">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10" w:name="_Toc95223486"/>
    </w:p>
    <w:p w14:paraId="7CDACEC0">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附件1：承包人承揽工程项目一览表</w:t>
      </w:r>
      <w:bookmarkEnd w:id="1310"/>
    </w:p>
    <w:p w14:paraId="2EEE3B3D">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承包人承揽工程项目一览表</w:t>
      </w:r>
    </w:p>
    <w:tbl>
      <w:tblPr>
        <w:tblStyle w:val="20"/>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14:paraId="4AC8E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06893FFB">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单位工程名称</w:t>
            </w:r>
          </w:p>
        </w:tc>
        <w:tc>
          <w:tcPr>
            <w:tcW w:w="1134" w:type="dxa"/>
            <w:tcBorders>
              <w:top w:val="single" w:color="auto" w:sz="12" w:space="0"/>
              <w:bottom w:val="double" w:color="auto" w:sz="6" w:space="0"/>
            </w:tcBorders>
            <w:noWrap w:val="0"/>
            <w:vAlign w:val="center"/>
          </w:tcPr>
          <w:p w14:paraId="43B54B55">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建设规模</w:t>
            </w:r>
          </w:p>
        </w:tc>
        <w:tc>
          <w:tcPr>
            <w:tcW w:w="1134" w:type="dxa"/>
            <w:tcBorders>
              <w:top w:val="single" w:color="auto" w:sz="12" w:space="0"/>
              <w:bottom w:val="double" w:color="auto" w:sz="6" w:space="0"/>
            </w:tcBorders>
            <w:noWrap w:val="0"/>
            <w:vAlign w:val="center"/>
          </w:tcPr>
          <w:p w14:paraId="1D2A611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建筑面积(平方米)</w:t>
            </w:r>
          </w:p>
        </w:tc>
        <w:tc>
          <w:tcPr>
            <w:tcW w:w="993" w:type="dxa"/>
            <w:tcBorders>
              <w:top w:val="single" w:color="auto" w:sz="12" w:space="0"/>
              <w:bottom w:val="double" w:color="auto" w:sz="6" w:space="0"/>
            </w:tcBorders>
            <w:noWrap w:val="0"/>
            <w:vAlign w:val="center"/>
          </w:tcPr>
          <w:p w14:paraId="5E7E1199">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结构形式</w:t>
            </w:r>
          </w:p>
        </w:tc>
        <w:tc>
          <w:tcPr>
            <w:tcW w:w="708" w:type="dxa"/>
            <w:tcBorders>
              <w:top w:val="single" w:color="auto" w:sz="12" w:space="0"/>
              <w:bottom w:val="double" w:color="auto" w:sz="6" w:space="0"/>
            </w:tcBorders>
            <w:noWrap w:val="0"/>
            <w:vAlign w:val="center"/>
          </w:tcPr>
          <w:p w14:paraId="341BB6CC">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层数</w:t>
            </w:r>
          </w:p>
        </w:tc>
        <w:tc>
          <w:tcPr>
            <w:tcW w:w="1134" w:type="dxa"/>
            <w:tcBorders>
              <w:top w:val="single" w:color="auto" w:sz="12" w:space="0"/>
              <w:bottom w:val="double" w:color="auto" w:sz="6" w:space="0"/>
            </w:tcBorders>
            <w:noWrap w:val="0"/>
            <w:vAlign w:val="center"/>
          </w:tcPr>
          <w:p w14:paraId="0F194C75">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生产能力</w:t>
            </w:r>
          </w:p>
        </w:tc>
        <w:tc>
          <w:tcPr>
            <w:tcW w:w="1134" w:type="dxa"/>
            <w:tcBorders>
              <w:top w:val="single" w:color="auto" w:sz="12" w:space="0"/>
              <w:bottom w:val="double" w:color="auto" w:sz="6" w:space="0"/>
            </w:tcBorders>
            <w:noWrap w:val="0"/>
            <w:vAlign w:val="center"/>
          </w:tcPr>
          <w:p w14:paraId="3A221D03">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设备安装内容</w:t>
            </w:r>
          </w:p>
        </w:tc>
        <w:tc>
          <w:tcPr>
            <w:tcW w:w="993" w:type="dxa"/>
            <w:tcBorders>
              <w:top w:val="single" w:color="auto" w:sz="12" w:space="0"/>
              <w:bottom w:val="double" w:color="auto" w:sz="6" w:space="0"/>
            </w:tcBorders>
            <w:noWrap w:val="0"/>
            <w:vAlign w:val="center"/>
          </w:tcPr>
          <w:p w14:paraId="2F843A3F">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合同价格（元）</w:t>
            </w:r>
          </w:p>
        </w:tc>
        <w:tc>
          <w:tcPr>
            <w:tcW w:w="708" w:type="dxa"/>
            <w:tcBorders>
              <w:top w:val="single" w:color="auto" w:sz="12" w:space="0"/>
              <w:bottom w:val="double" w:color="auto" w:sz="6" w:space="0"/>
            </w:tcBorders>
            <w:noWrap w:val="0"/>
            <w:vAlign w:val="center"/>
          </w:tcPr>
          <w:p w14:paraId="5FA03C70">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开工日期</w:t>
            </w:r>
          </w:p>
        </w:tc>
        <w:tc>
          <w:tcPr>
            <w:tcW w:w="567" w:type="dxa"/>
            <w:tcBorders>
              <w:top w:val="single" w:color="auto" w:sz="12" w:space="0"/>
              <w:bottom w:val="double" w:color="auto" w:sz="6" w:space="0"/>
            </w:tcBorders>
            <w:noWrap w:val="0"/>
            <w:vAlign w:val="center"/>
          </w:tcPr>
          <w:p w14:paraId="2C45DD18">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竣工日期</w:t>
            </w:r>
          </w:p>
        </w:tc>
      </w:tr>
      <w:tr w14:paraId="7A126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center"/>
          </w:tcPr>
          <w:p w14:paraId="4E906571">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2E5EFC37">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78C30F34">
            <w:pPr>
              <w:keepNext/>
              <w:snapToGrid w:val="0"/>
              <w:spacing w:line="360" w:lineRule="auto"/>
              <w:rPr>
                <w:rFonts w:hint="eastAsia" w:ascii="宋体" w:hAnsi="宋体" w:cs="宋体"/>
                <w:color w:val="auto"/>
                <w:sz w:val="22"/>
                <w:szCs w:val="21"/>
                <w:highlight w:val="none"/>
              </w:rPr>
            </w:pPr>
          </w:p>
        </w:tc>
        <w:tc>
          <w:tcPr>
            <w:tcW w:w="993" w:type="dxa"/>
            <w:tcBorders>
              <w:top w:val="double" w:color="auto" w:sz="6" w:space="0"/>
            </w:tcBorders>
            <w:noWrap w:val="0"/>
            <w:vAlign w:val="center"/>
          </w:tcPr>
          <w:p w14:paraId="610002B8">
            <w:pPr>
              <w:keepNext/>
              <w:snapToGrid w:val="0"/>
              <w:spacing w:line="360" w:lineRule="auto"/>
              <w:rPr>
                <w:rFonts w:hint="eastAsia" w:ascii="宋体" w:hAnsi="宋体" w:cs="宋体"/>
                <w:color w:val="auto"/>
                <w:sz w:val="22"/>
                <w:szCs w:val="21"/>
                <w:highlight w:val="none"/>
              </w:rPr>
            </w:pPr>
          </w:p>
        </w:tc>
        <w:tc>
          <w:tcPr>
            <w:tcW w:w="708" w:type="dxa"/>
            <w:tcBorders>
              <w:top w:val="double" w:color="auto" w:sz="6" w:space="0"/>
            </w:tcBorders>
            <w:noWrap w:val="0"/>
            <w:vAlign w:val="center"/>
          </w:tcPr>
          <w:p w14:paraId="0E482316">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0DA0E612">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1C8A9282">
            <w:pPr>
              <w:keepNext/>
              <w:snapToGrid w:val="0"/>
              <w:spacing w:line="360" w:lineRule="auto"/>
              <w:rPr>
                <w:rFonts w:hint="eastAsia" w:ascii="宋体" w:hAnsi="宋体" w:cs="宋体"/>
                <w:color w:val="auto"/>
                <w:sz w:val="22"/>
                <w:szCs w:val="21"/>
                <w:highlight w:val="none"/>
              </w:rPr>
            </w:pPr>
          </w:p>
        </w:tc>
        <w:tc>
          <w:tcPr>
            <w:tcW w:w="993" w:type="dxa"/>
            <w:tcBorders>
              <w:top w:val="double" w:color="auto" w:sz="6" w:space="0"/>
            </w:tcBorders>
            <w:noWrap w:val="0"/>
            <w:vAlign w:val="center"/>
          </w:tcPr>
          <w:p w14:paraId="15B74AC7">
            <w:pPr>
              <w:keepNext/>
              <w:snapToGrid w:val="0"/>
              <w:spacing w:line="360" w:lineRule="auto"/>
              <w:rPr>
                <w:rFonts w:hint="eastAsia" w:ascii="宋体" w:hAnsi="宋体" w:cs="宋体"/>
                <w:color w:val="auto"/>
                <w:sz w:val="22"/>
                <w:szCs w:val="21"/>
                <w:highlight w:val="none"/>
              </w:rPr>
            </w:pPr>
          </w:p>
        </w:tc>
        <w:tc>
          <w:tcPr>
            <w:tcW w:w="708" w:type="dxa"/>
            <w:tcBorders>
              <w:top w:val="double" w:color="auto" w:sz="6" w:space="0"/>
            </w:tcBorders>
            <w:noWrap w:val="0"/>
            <w:vAlign w:val="center"/>
          </w:tcPr>
          <w:p w14:paraId="3144E2ED">
            <w:pPr>
              <w:keepNext/>
              <w:snapToGrid w:val="0"/>
              <w:spacing w:line="360" w:lineRule="auto"/>
              <w:rPr>
                <w:rFonts w:hint="eastAsia" w:ascii="宋体" w:hAnsi="宋体" w:cs="宋体"/>
                <w:color w:val="auto"/>
                <w:sz w:val="22"/>
                <w:szCs w:val="21"/>
                <w:highlight w:val="none"/>
              </w:rPr>
            </w:pPr>
          </w:p>
        </w:tc>
        <w:tc>
          <w:tcPr>
            <w:tcW w:w="567" w:type="dxa"/>
            <w:tcBorders>
              <w:top w:val="double" w:color="auto" w:sz="6" w:space="0"/>
            </w:tcBorders>
            <w:noWrap w:val="0"/>
            <w:vAlign w:val="center"/>
          </w:tcPr>
          <w:p w14:paraId="14C2998F">
            <w:pPr>
              <w:keepNext/>
              <w:snapToGrid w:val="0"/>
              <w:spacing w:line="360" w:lineRule="auto"/>
              <w:rPr>
                <w:rFonts w:hint="eastAsia" w:ascii="宋体" w:hAnsi="宋体" w:cs="宋体"/>
                <w:color w:val="auto"/>
                <w:sz w:val="22"/>
                <w:szCs w:val="21"/>
                <w:highlight w:val="none"/>
              </w:rPr>
            </w:pPr>
          </w:p>
        </w:tc>
      </w:tr>
      <w:tr w14:paraId="74070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368A1917">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381E108D">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7418D11E">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601F5F92">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2AA5459D">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27573A3D">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572E6BF5">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6AE23B86">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13B9CEF8">
            <w:pPr>
              <w:keepNext/>
              <w:snapToGrid w:val="0"/>
              <w:spacing w:line="360" w:lineRule="auto"/>
              <w:rPr>
                <w:rFonts w:hint="eastAsia" w:ascii="宋体" w:hAnsi="宋体" w:cs="宋体"/>
                <w:color w:val="auto"/>
                <w:sz w:val="22"/>
                <w:szCs w:val="21"/>
                <w:highlight w:val="none"/>
              </w:rPr>
            </w:pPr>
          </w:p>
        </w:tc>
        <w:tc>
          <w:tcPr>
            <w:tcW w:w="567" w:type="dxa"/>
            <w:tcBorders>
              <w:top w:val="nil"/>
            </w:tcBorders>
            <w:noWrap w:val="0"/>
            <w:vAlign w:val="center"/>
          </w:tcPr>
          <w:p w14:paraId="34078AF9">
            <w:pPr>
              <w:keepNext/>
              <w:snapToGrid w:val="0"/>
              <w:spacing w:line="360" w:lineRule="auto"/>
              <w:rPr>
                <w:rFonts w:hint="eastAsia" w:ascii="宋体" w:hAnsi="宋体" w:cs="宋体"/>
                <w:color w:val="auto"/>
                <w:sz w:val="22"/>
                <w:szCs w:val="21"/>
                <w:highlight w:val="none"/>
              </w:rPr>
            </w:pPr>
          </w:p>
        </w:tc>
      </w:tr>
      <w:tr w14:paraId="23934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04DEEC23">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7F9A479C">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07FFB0C5">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4E055B61">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02F8D24D">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46AC8E45">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08B86A40">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32B83E1F">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490A9995">
            <w:pPr>
              <w:keepNext/>
              <w:snapToGrid w:val="0"/>
              <w:spacing w:line="360" w:lineRule="auto"/>
              <w:rPr>
                <w:rFonts w:hint="eastAsia" w:ascii="宋体" w:hAnsi="宋体" w:cs="宋体"/>
                <w:color w:val="auto"/>
                <w:sz w:val="22"/>
                <w:szCs w:val="21"/>
                <w:highlight w:val="none"/>
              </w:rPr>
            </w:pPr>
          </w:p>
        </w:tc>
        <w:tc>
          <w:tcPr>
            <w:tcW w:w="567" w:type="dxa"/>
            <w:tcBorders>
              <w:top w:val="nil"/>
            </w:tcBorders>
            <w:noWrap w:val="0"/>
            <w:vAlign w:val="center"/>
          </w:tcPr>
          <w:p w14:paraId="14975F62">
            <w:pPr>
              <w:keepNext/>
              <w:snapToGrid w:val="0"/>
              <w:spacing w:line="360" w:lineRule="auto"/>
              <w:rPr>
                <w:rFonts w:hint="eastAsia" w:ascii="宋体" w:hAnsi="宋体" w:cs="宋体"/>
                <w:color w:val="auto"/>
                <w:sz w:val="22"/>
                <w:szCs w:val="21"/>
                <w:highlight w:val="none"/>
              </w:rPr>
            </w:pPr>
          </w:p>
        </w:tc>
      </w:tr>
      <w:tr w14:paraId="3367E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center"/>
          </w:tcPr>
          <w:p w14:paraId="51467834">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2FDF6167">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7A3FE11B">
            <w:pPr>
              <w:keepNext/>
              <w:snapToGrid w:val="0"/>
              <w:spacing w:line="360" w:lineRule="auto"/>
              <w:rPr>
                <w:rFonts w:hint="eastAsia" w:ascii="宋体" w:hAnsi="宋体" w:cs="宋体"/>
                <w:color w:val="auto"/>
                <w:sz w:val="22"/>
                <w:szCs w:val="21"/>
                <w:highlight w:val="none"/>
              </w:rPr>
            </w:pPr>
          </w:p>
        </w:tc>
        <w:tc>
          <w:tcPr>
            <w:tcW w:w="993" w:type="dxa"/>
            <w:tcBorders>
              <w:bottom w:val="single" w:color="auto" w:sz="12" w:space="0"/>
            </w:tcBorders>
            <w:noWrap w:val="0"/>
            <w:vAlign w:val="center"/>
          </w:tcPr>
          <w:p w14:paraId="62D4739B">
            <w:pPr>
              <w:keepNext/>
              <w:snapToGrid w:val="0"/>
              <w:spacing w:line="360" w:lineRule="auto"/>
              <w:rPr>
                <w:rFonts w:hint="eastAsia" w:ascii="宋体" w:hAnsi="宋体" w:cs="宋体"/>
                <w:color w:val="auto"/>
                <w:sz w:val="22"/>
                <w:szCs w:val="21"/>
                <w:highlight w:val="none"/>
              </w:rPr>
            </w:pPr>
          </w:p>
        </w:tc>
        <w:tc>
          <w:tcPr>
            <w:tcW w:w="708" w:type="dxa"/>
            <w:tcBorders>
              <w:bottom w:val="single" w:color="auto" w:sz="12" w:space="0"/>
            </w:tcBorders>
            <w:noWrap w:val="0"/>
            <w:vAlign w:val="center"/>
          </w:tcPr>
          <w:p w14:paraId="4B42B7BC">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40B648C5">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2C8E0BC4">
            <w:pPr>
              <w:keepNext/>
              <w:snapToGrid w:val="0"/>
              <w:spacing w:line="360" w:lineRule="auto"/>
              <w:rPr>
                <w:rFonts w:hint="eastAsia" w:ascii="宋体" w:hAnsi="宋体" w:cs="宋体"/>
                <w:color w:val="auto"/>
                <w:sz w:val="22"/>
                <w:szCs w:val="21"/>
                <w:highlight w:val="none"/>
              </w:rPr>
            </w:pPr>
          </w:p>
        </w:tc>
        <w:tc>
          <w:tcPr>
            <w:tcW w:w="993" w:type="dxa"/>
            <w:tcBorders>
              <w:bottom w:val="single" w:color="auto" w:sz="12" w:space="0"/>
            </w:tcBorders>
            <w:noWrap w:val="0"/>
            <w:vAlign w:val="center"/>
          </w:tcPr>
          <w:p w14:paraId="27AD3D34">
            <w:pPr>
              <w:keepNext/>
              <w:snapToGrid w:val="0"/>
              <w:spacing w:line="360" w:lineRule="auto"/>
              <w:rPr>
                <w:rFonts w:hint="eastAsia" w:ascii="宋体" w:hAnsi="宋体" w:cs="宋体"/>
                <w:color w:val="auto"/>
                <w:sz w:val="22"/>
                <w:szCs w:val="21"/>
                <w:highlight w:val="none"/>
              </w:rPr>
            </w:pPr>
          </w:p>
        </w:tc>
        <w:tc>
          <w:tcPr>
            <w:tcW w:w="708" w:type="dxa"/>
            <w:tcBorders>
              <w:bottom w:val="single" w:color="auto" w:sz="12" w:space="0"/>
            </w:tcBorders>
            <w:noWrap w:val="0"/>
            <w:vAlign w:val="center"/>
          </w:tcPr>
          <w:p w14:paraId="0A59B1AA">
            <w:pPr>
              <w:keepNext/>
              <w:snapToGrid w:val="0"/>
              <w:spacing w:line="360" w:lineRule="auto"/>
              <w:rPr>
                <w:rFonts w:hint="eastAsia" w:ascii="宋体" w:hAnsi="宋体" w:cs="宋体"/>
                <w:color w:val="auto"/>
                <w:sz w:val="22"/>
                <w:szCs w:val="21"/>
                <w:highlight w:val="none"/>
              </w:rPr>
            </w:pPr>
          </w:p>
        </w:tc>
        <w:tc>
          <w:tcPr>
            <w:tcW w:w="567" w:type="dxa"/>
            <w:tcBorders>
              <w:bottom w:val="single" w:color="auto" w:sz="12" w:space="0"/>
            </w:tcBorders>
            <w:noWrap w:val="0"/>
            <w:vAlign w:val="center"/>
          </w:tcPr>
          <w:p w14:paraId="68E6BDD1">
            <w:pPr>
              <w:keepNext/>
              <w:snapToGrid w:val="0"/>
              <w:spacing w:line="360" w:lineRule="auto"/>
              <w:rPr>
                <w:rFonts w:hint="eastAsia" w:ascii="宋体" w:hAnsi="宋体" w:cs="宋体"/>
                <w:color w:val="auto"/>
                <w:sz w:val="22"/>
                <w:szCs w:val="21"/>
                <w:highlight w:val="none"/>
              </w:rPr>
            </w:pPr>
          </w:p>
        </w:tc>
      </w:tr>
    </w:tbl>
    <w:p w14:paraId="25AA8E6E">
      <w:pPr>
        <w:spacing w:line="360" w:lineRule="auto"/>
        <w:rPr>
          <w:rFonts w:hint="eastAsia" w:ascii="宋体" w:hAnsi="宋体" w:cs="宋体"/>
          <w:color w:val="auto"/>
          <w:sz w:val="22"/>
          <w:szCs w:val="21"/>
          <w:highlight w:val="none"/>
        </w:rPr>
      </w:pPr>
    </w:p>
    <w:p w14:paraId="0864ABC3">
      <w:pPr>
        <w:spacing w:line="360" w:lineRule="auto"/>
        <w:rPr>
          <w:rFonts w:hint="eastAsia" w:ascii="宋体" w:hAnsi="宋体" w:cs="宋体"/>
          <w:color w:val="auto"/>
          <w:sz w:val="22"/>
          <w:szCs w:val="21"/>
          <w:highlight w:val="none"/>
        </w:rPr>
      </w:pPr>
    </w:p>
    <w:p w14:paraId="44578AE1">
      <w:pPr>
        <w:keepNext/>
        <w:keepLines/>
        <w:spacing w:before="120" w:after="120" w:line="360" w:lineRule="auto"/>
        <w:jc w:val="left"/>
        <w:outlineLvl w:val="2"/>
        <w:rPr>
          <w:rFonts w:hint="eastAsia" w:ascii="宋体" w:hAnsi="宋体" w:cs="宋体"/>
          <w:bCs/>
          <w:color w:val="auto"/>
          <w:sz w:val="24"/>
          <w:highlight w:val="none"/>
        </w:rPr>
      </w:pPr>
      <w:bookmarkStart w:id="1311" w:name="_Toc95223487"/>
      <w:r>
        <w:rPr>
          <w:rFonts w:hint="eastAsia" w:ascii="宋体" w:hAnsi="宋体" w:cs="宋体"/>
          <w:bCs/>
          <w:color w:val="auto"/>
          <w:sz w:val="24"/>
          <w:highlight w:val="none"/>
        </w:rPr>
        <w:t>附</w:t>
      </w:r>
      <w:bookmarkStart w:id="1312" w:name="_Toc296891053"/>
      <w:bookmarkStart w:id="1313" w:name="_Toc296944564"/>
      <w:bookmarkStart w:id="1314" w:name="_Toc267261692"/>
      <w:bookmarkStart w:id="1315" w:name="_Toc296346726"/>
      <w:bookmarkStart w:id="1316" w:name="_Toc296891265"/>
      <w:bookmarkStart w:id="1317" w:name="_Toc296503225"/>
      <w:bookmarkStart w:id="1318" w:name="_Toc296347224"/>
      <w:r>
        <w:rPr>
          <w:rFonts w:hint="eastAsia" w:ascii="宋体" w:hAnsi="宋体" w:cs="宋体"/>
          <w:bCs/>
          <w:color w:val="auto"/>
          <w:sz w:val="24"/>
          <w:highlight w:val="none"/>
        </w:rPr>
        <w:t>件2：发包人供应材料设备一览表</w:t>
      </w:r>
      <w:bookmarkEnd w:id="1311"/>
    </w:p>
    <w:bookmarkEnd w:id="1312"/>
    <w:bookmarkEnd w:id="1313"/>
    <w:bookmarkEnd w:id="1314"/>
    <w:bookmarkEnd w:id="1315"/>
    <w:bookmarkEnd w:id="1316"/>
    <w:bookmarkEnd w:id="1317"/>
    <w:bookmarkEnd w:id="1318"/>
    <w:p w14:paraId="52EE03DB">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20"/>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41094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24C6DF41">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0321DA70">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10C60E0C">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4BE5C04E">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4E5FC7C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70E32DA7">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0CB57CA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34AEE08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4937065E">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66B8DDB4">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0B90D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331EF3FF">
            <w:pPr>
              <w:keepNext/>
              <w:snapToGrid w:val="0"/>
              <w:spacing w:line="360" w:lineRule="auto"/>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617D973F">
            <w:pPr>
              <w:keepNext/>
              <w:snapToGrid w:val="0"/>
              <w:spacing w:line="360" w:lineRule="auto"/>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2875D216">
            <w:pPr>
              <w:keepNext/>
              <w:snapToGrid w:val="0"/>
              <w:spacing w:line="360" w:lineRule="auto"/>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51633088">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274B765D">
            <w:pPr>
              <w:keepNext/>
              <w:snapToGrid w:val="0"/>
              <w:spacing w:line="360" w:lineRule="auto"/>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5D9EFA62">
            <w:pPr>
              <w:keepNext/>
              <w:snapToGrid w:val="0"/>
              <w:spacing w:line="360" w:lineRule="auto"/>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4A1B1279">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7DEF962E">
            <w:pPr>
              <w:keepNext/>
              <w:snapToGrid w:val="0"/>
              <w:spacing w:line="360" w:lineRule="auto"/>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193C79C4">
            <w:pPr>
              <w:keepNext/>
              <w:snapToGrid w:val="0"/>
              <w:spacing w:line="360" w:lineRule="auto"/>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3536E640">
            <w:pPr>
              <w:keepNext/>
              <w:snapToGrid w:val="0"/>
              <w:spacing w:line="360" w:lineRule="auto"/>
              <w:rPr>
                <w:rFonts w:hint="eastAsia" w:ascii="宋体" w:hAnsi="宋体" w:cs="宋体"/>
                <w:color w:val="auto"/>
                <w:sz w:val="22"/>
                <w:szCs w:val="21"/>
                <w:highlight w:val="none"/>
              </w:rPr>
            </w:pPr>
          </w:p>
        </w:tc>
      </w:tr>
      <w:tr w14:paraId="0E384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634774D5">
            <w:pPr>
              <w:snapToGrid w:val="0"/>
              <w:spacing w:line="360" w:lineRule="auto"/>
              <w:rPr>
                <w:rFonts w:hint="eastAsia" w:ascii="宋体" w:hAnsi="宋体" w:cs="宋体"/>
                <w:color w:val="auto"/>
                <w:sz w:val="22"/>
                <w:szCs w:val="21"/>
                <w:highlight w:val="none"/>
              </w:rPr>
            </w:pPr>
          </w:p>
        </w:tc>
        <w:tc>
          <w:tcPr>
            <w:tcW w:w="1276" w:type="dxa"/>
            <w:noWrap w:val="0"/>
            <w:vAlign w:val="center"/>
          </w:tcPr>
          <w:p w14:paraId="7628D0F0">
            <w:pPr>
              <w:snapToGrid w:val="0"/>
              <w:spacing w:line="360" w:lineRule="auto"/>
              <w:rPr>
                <w:rFonts w:hint="eastAsia" w:ascii="宋体" w:hAnsi="宋体" w:cs="宋体"/>
                <w:color w:val="auto"/>
                <w:sz w:val="22"/>
                <w:szCs w:val="21"/>
                <w:highlight w:val="none"/>
              </w:rPr>
            </w:pPr>
          </w:p>
        </w:tc>
        <w:tc>
          <w:tcPr>
            <w:tcW w:w="1082" w:type="dxa"/>
            <w:noWrap w:val="0"/>
            <w:vAlign w:val="center"/>
          </w:tcPr>
          <w:p w14:paraId="29EF8459">
            <w:pPr>
              <w:snapToGrid w:val="0"/>
              <w:spacing w:line="360" w:lineRule="auto"/>
              <w:rPr>
                <w:rFonts w:hint="eastAsia" w:ascii="宋体" w:hAnsi="宋体" w:cs="宋体"/>
                <w:color w:val="auto"/>
                <w:sz w:val="22"/>
                <w:szCs w:val="21"/>
                <w:highlight w:val="none"/>
              </w:rPr>
            </w:pPr>
          </w:p>
        </w:tc>
        <w:tc>
          <w:tcPr>
            <w:tcW w:w="940" w:type="dxa"/>
            <w:noWrap w:val="0"/>
            <w:vAlign w:val="center"/>
          </w:tcPr>
          <w:p w14:paraId="6AD2465A">
            <w:pPr>
              <w:snapToGrid w:val="0"/>
              <w:spacing w:line="360" w:lineRule="auto"/>
              <w:rPr>
                <w:rFonts w:hint="eastAsia" w:ascii="宋体" w:hAnsi="宋体" w:cs="宋体"/>
                <w:color w:val="auto"/>
                <w:sz w:val="22"/>
                <w:szCs w:val="21"/>
                <w:highlight w:val="none"/>
              </w:rPr>
            </w:pPr>
          </w:p>
        </w:tc>
        <w:tc>
          <w:tcPr>
            <w:tcW w:w="851" w:type="dxa"/>
            <w:noWrap w:val="0"/>
            <w:vAlign w:val="center"/>
          </w:tcPr>
          <w:p w14:paraId="68C08583">
            <w:pPr>
              <w:snapToGrid w:val="0"/>
              <w:spacing w:line="360" w:lineRule="auto"/>
              <w:rPr>
                <w:rFonts w:hint="eastAsia" w:ascii="宋体" w:hAnsi="宋体" w:cs="宋体"/>
                <w:color w:val="auto"/>
                <w:sz w:val="22"/>
                <w:szCs w:val="21"/>
                <w:highlight w:val="none"/>
              </w:rPr>
            </w:pPr>
          </w:p>
        </w:tc>
        <w:tc>
          <w:tcPr>
            <w:tcW w:w="1044" w:type="dxa"/>
            <w:noWrap w:val="0"/>
            <w:vAlign w:val="center"/>
          </w:tcPr>
          <w:p w14:paraId="37ECC529">
            <w:pPr>
              <w:snapToGrid w:val="0"/>
              <w:spacing w:line="360" w:lineRule="auto"/>
              <w:rPr>
                <w:rFonts w:hint="eastAsia" w:ascii="宋体" w:hAnsi="宋体" w:cs="宋体"/>
                <w:color w:val="auto"/>
                <w:sz w:val="22"/>
                <w:szCs w:val="21"/>
                <w:highlight w:val="none"/>
              </w:rPr>
            </w:pPr>
          </w:p>
        </w:tc>
        <w:tc>
          <w:tcPr>
            <w:tcW w:w="992" w:type="dxa"/>
            <w:noWrap w:val="0"/>
            <w:vAlign w:val="center"/>
          </w:tcPr>
          <w:p w14:paraId="76FD9C4B">
            <w:pPr>
              <w:snapToGrid w:val="0"/>
              <w:spacing w:line="360" w:lineRule="auto"/>
              <w:rPr>
                <w:rFonts w:hint="eastAsia" w:ascii="宋体" w:hAnsi="宋体" w:cs="宋体"/>
                <w:color w:val="auto"/>
                <w:sz w:val="22"/>
                <w:szCs w:val="21"/>
                <w:highlight w:val="none"/>
              </w:rPr>
            </w:pPr>
          </w:p>
        </w:tc>
        <w:tc>
          <w:tcPr>
            <w:tcW w:w="851" w:type="dxa"/>
            <w:noWrap w:val="0"/>
            <w:vAlign w:val="center"/>
          </w:tcPr>
          <w:p w14:paraId="4C3DB789">
            <w:pPr>
              <w:snapToGrid w:val="0"/>
              <w:spacing w:line="360" w:lineRule="auto"/>
              <w:rPr>
                <w:rFonts w:hint="eastAsia" w:ascii="宋体" w:hAnsi="宋体" w:cs="宋体"/>
                <w:color w:val="auto"/>
                <w:sz w:val="22"/>
                <w:szCs w:val="21"/>
                <w:highlight w:val="none"/>
              </w:rPr>
            </w:pPr>
          </w:p>
        </w:tc>
        <w:tc>
          <w:tcPr>
            <w:tcW w:w="966" w:type="dxa"/>
            <w:noWrap w:val="0"/>
            <w:vAlign w:val="center"/>
          </w:tcPr>
          <w:p w14:paraId="6C5D7D83">
            <w:pPr>
              <w:snapToGrid w:val="0"/>
              <w:spacing w:line="360" w:lineRule="auto"/>
              <w:rPr>
                <w:rFonts w:hint="eastAsia" w:ascii="宋体" w:hAnsi="宋体" w:cs="宋体"/>
                <w:color w:val="auto"/>
                <w:sz w:val="22"/>
                <w:szCs w:val="21"/>
                <w:highlight w:val="none"/>
              </w:rPr>
            </w:pPr>
          </w:p>
        </w:tc>
        <w:tc>
          <w:tcPr>
            <w:tcW w:w="803" w:type="dxa"/>
            <w:noWrap w:val="0"/>
            <w:vAlign w:val="center"/>
          </w:tcPr>
          <w:p w14:paraId="2F34E28E">
            <w:pPr>
              <w:snapToGrid w:val="0"/>
              <w:spacing w:line="360" w:lineRule="auto"/>
              <w:rPr>
                <w:rFonts w:hint="eastAsia" w:ascii="宋体" w:hAnsi="宋体" w:cs="宋体"/>
                <w:color w:val="auto"/>
                <w:sz w:val="22"/>
                <w:szCs w:val="21"/>
                <w:highlight w:val="none"/>
              </w:rPr>
            </w:pPr>
          </w:p>
        </w:tc>
      </w:tr>
      <w:tr w14:paraId="342DF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74B2D102">
            <w:pPr>
              <w:snapToGrid w:val="0"/>
              <w:spacing w:line="360" w:lineRule="auto"/>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281BAA8F">
            <w:pPr>
              <w:snapToGrid w:val="0"/>
              <w:spacing w:line="360" w:lineRule="auto"/>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31E9F1B6">
            <w:pPr>
              <w:snapToGrid w:val="0"/>
              <w:spacing w:line="360" w:lineRule="auto"/>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44B40BAA">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3B2F7F8D">
            <w:pPr>
              <w:snapToGrid w:val="0"/>
              <w:spacing w:line="360" w:lineRule="auto"/>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34B0548E">
            <w:pPr>
              <w:snapToGrid w:val="0"/>
              <w:spacing w:line="360" w:lineRule="auto"/>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4B38FD54">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2433F088">
            <w:pPr>
              <w:snapToGrid w:val="0"/>
              <w:spacing w:line="360" w:lineRule="auto"/>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0D992809">
            <w:pPr>
              <w:snapToGrid w:val="0"/>
              <w:spacing w:line="360" w:lineRule="auto"/>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7FF31329">
            <w:pPr>
              <w:snapToGrid w:val="0"/>
              <w:spacing w:line="360" w:lineRule="auto"/>
              <w:rPr>
                <w:rFonts w:hint="eastAsia" w:ascii="宋体" w:hAnsi="宋体" w:cs="宋体"/>
                <w:color w:val="auto"/>
                <w:sz w:val="22"/>
                <w:szCs w:val="21"/>
                <w:highlight w:val="none"/>
              </w:rPr>
            </w:pPr>
          </w:p>
        </w:tc>
      </w:tr>
    </w:tbl>
    <w:p w14:paraId="619498B3">
      <w:pPr>
        <w:pStyle w:val="19"/>
        <w:rPr>
          <w:rFonts w:hint="eastAsia"/>
          <w:color w:val="auto"/>
          <w:highlight w:val="none"/>
        </w:rPr>
      </w:pPr>
    </w:p>
    <w:p w14:paraId="3CD1B8BA">
      <w:pPr>
        <w:rPr>
          <w:rFonts w:hint="eastAsia"/>
          <w:color w:val="auto"/>
          <w:highlight w:val="none"/>
        </w:rPr>
      </w:pPr>
    </w:p>
    <w:p w14:paraId="556679E4">
      <w:pPr>
        <w:pStyle w:val="19"/>
        <w:rPr>
          <w:rFonts w:hint="eastAsia"/>
          <w:color w:val="auto"/>
          <w:highlight w:val="none"/>
        </w:rPr>
      </w:pPr>
    </w:p>
    <w:p w14:paraId="372F5422">
      <w:pPr>
        <w:rPr>
          <w:rFonts w:hint="eastAsia"/>
          <w:color w:val="auto"/>
          <w:highlight w:val="none"/>
        </w:rPr>
      </w:pPr>
    </w:p>
    <w:p w14:paraId="318430CE">
      <w:pPr>
        <w:pStyle w:val="19"/>
        <w:rPr>
          <w:rFonts w:hint="eastAsia"/>
          <w:color w:val="auto"/>
          <w:highlight w:val="none"/>
        </w:rPr>
      </w:pPr>
    </w:p>
    <w:p w14:paraId="16346A07">
      <w:pPr>
        <w:rPr>
          <w:rFonts w:hint="eastAsia"/>
          <w:color w:val="auto"/>
          <w:highlight w:val="none"/>
        </w:rPr>
      </w:pPr>
    </w:p>
    <w:p w14:paraId="54A71351">
      <w:pPr>
        <w:pStyle w:val="19"/>
        <w:rPr>
          <w:rFonts w:hint="eastAsia"/>
          <w:color w:val="auto"/>
          <w:highlight w:val="none"/>
        </w:rPr>
      </w:pPr>
    </w:p>
    <w:p w14:paraId="568C55F2">
      <w:pPr>
        <w:rPr>
          <w:rFonts w:hint="eastAsia"/>
          <w:color w:val="auto"/>
          <w:highlight w:val="none"/>
        </w:rPr>
      </w:pPr>
    </w:p>
    <w:p w14:paraId="65A9A296">
      <w:pPr>
        <w:pStyle w:val="19"/>
        <w:rPr>
          <w:rFonts w:hint="eastAsia"/>
          <w:color w:val="auto"/>
          <w:highlight w:val="none"/>
        </w:rPr>
      </w:pPr>
    </w:p>
    <w:p w14:paraId="4A9999C5">
      <w:pPr>
        <w:rPr>
          <w:rFonts w:hint="eastAsia"/>
          <w:color w:val="auto"/>
          <w:highlight w:val="none"/>
        </w:rPr>
      </w:pPr>
    </w:p>
    <w:p w14:paraId="060C3FA4">
      <w:pPr>
        <w:pStyle w:val="19"/>
        <w:rPr>
          <w:rFonts w:hint="eastAsia"/>
          <w:color w:val="auto"/>
          <w:highlight w:val="none"/>
        </w:rPr>
      </w:pPr>
    </w:p>
    <w:p w14:paraId="75BFD018">
      <w:pPr>
        <w:rPr>
          <w:rFonts w:hint="eastAsia"/>
          <w:color w:val="auto"/>
          <w:highlight w:val="none"/>
        </w:rPr>
      </w:pPr>
    </w:p>
    <w:p w14:paraId="42B0D462">
      <w:pPr>
        <w:pStyle w:val="19"/>
        <w:rPr>
          <w:rFonts w:hint="eastAsia"/>
          <w:color w:val="auto"/>
          <w:highlight w:val="none"/>
        </w:rPr>
      </w:pPr>
    </w:p>
    <w:p w14:paraId="372BEC11">
      <w:pPr>
        <w:pStyle w:val="19"/>
        <w:rPr>
          <w:rFonts w:hint="eastAsia"/>
          <w:color w:val="auto"/>
          <w:highlight w:val="none"/>
        </w:rPr>
      </w:pPr>
    </w:p>
    <w:p w14:paraId="5B74B1A8">
      <w:pPr>
        <w:rPr>
          <w:rFonts w:hint="eastAsia"/>
          <w:color w:val="auto"/>
          <w:highlight w:val="none"/>
        </w:rPr>
      </w:pPr>
    </w:p>
    <w:p w14:paraId="2D69764C">
      <w:pPr>
        <w:pStyle w:val="19"/>
        <w:rPr>
          <w:rFonts w:hint="eastAsia"/>
          <w:color w:val="auto"/>
          <w:highlight w:val="none"/>
        </w:rPr>
      </w:pPr>
    </w:p>
    <w:p w14:paraId="3D191125">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19" w:name="_Toc95223488"/>
    </w:p>
    <w:p w14:paraId="18C3D480">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附件3：工程质量保修书</w:t>
      </w:r>
      <w:r>
        <w:rPr>
          <w:rFonts w:hint="eastAsia" w:ascii="宋体" w:hAnsi="宋体" w:cs="宋体"/>
          <w:bCs/>
          <w:color w:val="auto"/>
          <w:sz w:val="24"/>
          <w:highlight w:val="none"/>
          <w:lang w:val="en-US" w:eastAsia="zh-CN"/>
        </w:rPr>
        <w:t>本项目不采用</w:t>
      </w:r>
      <w:r>
        <w:rPr>
          <w:rFonts w:hint="eastAsia" w:ascii="宋体" w:hAnsi="宋体" w:cs="宋体"/>
          <w:bCs/>
          <w:color w:val="auto"/>
          <w:sz w:val="24"/>
          <w:highlight w:val="none"/>
        </w:rPr>
        <w:t xml:space="preserve"> </w:t>
      </w:r>
      <w:bookmarkEnd w:id="1319"/>
    </w:p>
    <w:p w14:paraId="73EFEC7C">
      <w:pPr>
        <w:adjustRightInd w:val="0"/>
        <w:snapToGrid w:val="0"/>
        <w:spacing w:before="120" w:beforeLines="50" w:after="120" w:after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工程质量保修书</w:t>
      </w:r>
    </w:p>
    <w:p w14:paraId="3EE8453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246F29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9E5D6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发包人和承包人根据《中华人民共和国建筑法》和《建设工程质量管理条例》，经协商一致就_______________（工程全称）签订工程质量保修书。</w:t>
      </w:r>
    </w:p>
    <w:p w14:paraId="16E1C0B3">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一、工程质量保修范围和内容</w:t>
      </w:r>
    </w:p>
    <w:p w14:paraId="7478DC1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2FDD06B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5267575">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二、质量保修期</w:t>
      </w:r>
    </w:p>
    <w:p w14:paraId="4D068C4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23C3B9F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地基基础工程和主体结构工程为设计文件规定的工程合理使用年限；</w:t>
      </w:r>
    </w:p>
    <w:p w14:paraId="6FC3D7A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屋面防水工程、有防水要求的卫生间、房间和外墙面的防渗为</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p>
    <w:p w14:paraId="1C0D5B2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装修工程为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625D88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电气管线、给排水管道、设备安装工程为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71523E7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供热与供冷系统为</w:t>
      </w:r>
      <w:r>
        <w:rPr>
          <w:rFonts w:hint="eastAsia" w:ascii="宋体" w:hAnsi="宋体" w:cs="宋体"/>
          <w:color w:val="auto"/>
          <w:szCs w:val="21"/>
          <w:highlight w:val="none"/>
          <w:u w:val="single"/>
        </w:rPr>
        <w:t>2</w:t>
      </w:r>
      <w:r>
        <w:rPr>
          <w:rFonts w:hint="eastAsia" w:ascii="宋体" w:hAnsi="宋体" w:cs="宋体"/>
          <w:color w:val="auto"/>
          <w:szCs w:val="21"/>
          <w:highlight w:val="none"/>
        </w:rPr>
        <w:t>个采暖期、供冷期；</w:t>
      </w:r>
    </w:p>
    <w:p w14:paraId="0F2A131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住宅小区内的给排水设施、道路等配套工程为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23D8CA7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其他项目保修期限约定如下：</w:t>
      </w:r>
      <w:r>
        <w:rPr>
          <w:rFonts w:hint="eastAsia" w:ascii="宋体" w:hAnsi="宋体" w:cs="宋体"/>
          <w:color w:val="auto"/>
          <w:szCs w:val="21"/>
          <w:highlight w:val="none"/>
          <w:u w:val="single"/>
        </w:rPr>
        <w:t>保温工程5年</w:t>
      </w:r>
      <w:r>
        <w:rPr>
          <w:rFonts w:hint="eastAsia" w:ascii="宋体" w:hAnsi="宋体" w:cs="宋体"/>
          <w:color w:val="auto"/>
          <w:szCs w:val="21"/>
          <w:highlight w:val="none"/>
        </w:rPr>
        <w:t>。</w:t>
      </w:r>
    </w:p>
    <w:p w14:paraId="16C371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0B5AC18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595173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434F3DAF">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缺陷责任期终止后，发包人应退还剩余的质量保证金。</w:t>
      </w:r>
    </w:p>
    <w:p w14:paraId="6B33B848">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四、质量保修责任</w:t>
      </w:r>
    </w:p>
    <w:p w14:paraId="66DD6538">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1. 属于保修范围、内容的项目，承包人应当在接到保修通知之日起7天内派人保修。承包人不在约定期限内派人保修的，发包人可以委托他人修理。</w:t>
      </w:r>
    </w:p>
    <w:p w14:paraId="137B5B15">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2. 发生紧急事故需抢修的，承包人在接到事故通知后，应当立即到达事故现场抢修。</w:t>
      </w:r>
    </w:p>
    <w:p w14:paraId="1569E4F2">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9DE6F13">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4. 质量保修完成后，由发包人组织验收。</w:t>
      </w:r>
    </w:p>
    <w:p w14:paraId="37C3D51C">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五、保修费用</w:t>
      </w:r>
    </w:p>
    <w:p w14:paraId="08C839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268AEEBC">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36916442">
      <w:pPr>
        <w:adjustRightInd w:val="0"/>
        <w:snapToGrid w:val="0"/>
        <w:spacing w:line="360" w:lineRule="auto"/>
        <w:ind w:firstLine="399" w:firstLineChars="190"/>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36E12F6C">
      <w:pPr>
        <w:adjustRightInd w:val="0"/>
        <w:snapToGrid w:val="0"/>
        <w:spacing w:line="360" w:lineRule="auto"/>
        <w:ind w:firstLine="420"/>
        <w:rPr>
          <w:rFonts w:hint="eastAsia" w:ascii="宋体" w:hAnsi="宋体" w:cs="宋体"/>
          <w:color w:val="auto"/>
          <w:szCs w:val="21"/>
          <w:highlight w:val="none"/>
        </w:rPr>
      </w:pPr>
    </w:p>
    <w:p w14:paraId="7548BD5F">
      <w:pPr>
        <w:adjustRightInd w:val="0"/>
        <w:snapToGrid w:val="0"/>
        <w:spacing w:line="360" w:lineRule="auto"/>
        <w:ind w:firstLine="420"/>
        <w:rPr>
          <w:rFonts w:hint="eastAsia" w:ascii="宋体" w:hAnsi="宋体" w:cs="宋体"/>
          <w:color w:val="auto"/>
          <w:szCs w:val="21"/>
          <w:highlight w:val="none"/>
        </w:rPr>
      </w:pPr>
    </w:p>
    <w:p w14:paraId="3FB171A9">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01A7435D">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7DB9DAD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5C1347F9">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1B00297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1CE53948">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26D3A4C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6F097A4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34B19E2D">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5B58CD3B">
      <w:pPr>
        <w:widowControl/>
        <w:jc w:val="left"/>
        <w:rPr>
          <w:rFonts w:hint="eastAsia" w:ascii="宋体" w:hAnsi="宋体" w:cs="宋体"/>
          <w:b/>
          <w:color w:val="auto"/>
          <w:sz w:val="24"/>
          <w:highlight w:val="none"/>
        </w:rPr>
      </w:pPr>
    </w:p>
    <w:p w14:paraId="1783B60D">
      <w:pPr>
        <w:pStyle w:val="19"/>
        <w:rPr>
          <w:rFonts w:hint="eastAsia"/>
          <w:color w:val="auto"/>
          <w:highlight w:val="none"/>
        </w:rPr>
      </w:pPr>
    </w:p>
    <w:p w14:paraId="62055342">
      <w:pPr>
        <w:rPr>
          <w:rFonts w:hint="eastAsia"/>
          <w:color w:val="auto"/>
          <w:highlight w:val="none"/>
        </w:rPr>
      </w:pPr>
    </w:p>
    <w:p w14:paraId="5C034330">
      <w:pPr>
        <w:pStyle w:val="19"/>
        <w:rPr>
          <w:rFonts w:hint="eastAsia"/>
          <w:color w:val="auto"/>
          <w:highlight w:val="none"/>
        </w:rPr>
      </w:pPr>
    </w:p>
    <w:p w14:paraId="4E28B695">
      <w:pPr>
        <w:rPr>
          <w:rFonts w:hint="eastAsia"/>
          <w:color w:val="auto"/>
          <w:highlight w:val="none"/>
        </w:rPr>
      </w:pPr>
    </w:p>
    <w:p w14:paraId="7F39DD8E">
      <w:pPr>
        <w:pStyle w:val="19"/>
        <w:rPr>
          <w:rFonts w:hint="eastAsia"/>
          <w:color w:val="auto"/>
          <w:highlight w:val="none"/>
        </w:rPr>
      </w:pPr>
    </w:p>
    <w:p w14:paraId="4C22AF6D">
      <w:pPr>
        <w:rPr>
          <w:rFonts w:hint="eastAsia"/>
          <w:color w:val="auto"/>
          <w:highlight w:val="none"/>
        </w:rPr>
      </w:pPr>
    </w:p>
    <w:p w14:paraId="575091A6">
      <w:pPr>
        <w:pStyle w:val="19"/>
        <w:rPr>
          <w:rFonts w:hint="eastAsia"/>
          <w:color w:val="auto"/>
          <w:highlight w:val="none"/>
        </w:rPr>
      </w:pPr>
    </w:p>
    <w:p w14:paraId="4329DCBB">
      <w:pPr>
        <w:rPr>
          <w:rFonts w:hint="eastAsia"/>
          <w:color w:val="auto"/>
          <w:highlight w:val="none"/>
        </w:rPr>
      </w:pPr>
    </w:p>
    <w:p w14:paraId="6A7A0760">
      <w:pPr>
        <w:pStyle w:val="19"/>
        <w:rPr>
          <w:rFonts w:hint="eastAsia"/>
          <w:color w:val="auto"/>
          <w:highlight w:val="none"/>
        </w:rPr>
      </w:pPr>
    </w:p>
    <w:p w14:paraId="56038564">
      <w:pPr>
        <w:rPr>
          <w:rFonts w:hint="eastAsia"/>
          <w:color w:val="auto"/>
          <w:highlight w:val="none"/>
        </w:rPr>
      </w:pPr>
    </w:p>
    <w:p w14:paraId="582E1BD6">
      <w:pPr>
        <w:pStyle w:val="19"/>
        <w:rPr>
          <w:rFonts w:hint="eastAsia"/>
          <w:color w:val="auto"/>
          <w:highlight w:val="none"/>
        </w:rPr>
      </w:pPr>
    </w:p>
    <w:p w14:paraId="757B7BBA">
      <w:pPr>
        <w:rPr>
          <w:rFonts w:hint="eastAsia"/>
          <w:color w:val="auto"/>
          <w:highlight w:val="none"/>
        </w:rPr>
      </w:pPr>
    </w:p>
    <w:p w14:paraId="384269EF">
      <w:pPr>
        <w:pStyle w:val="19"/>
        <w:rPr>
          <w:rFonts w:hint="eastAsia"/>
          <w:color w:val="auto"/>
          <w:highlight w:val="none"/>
        </w:rPr>
      </w:pPr>
    </w:p>
    <w:p w14:paraId="5F7F2F15">
      <w:pPr>
        <w:rPr>
          <w:rFonts w:hint="eastAsia"/>
          <w:color w:val="auto"/>
          <w:highlight w:val="none"/>
        </w:rPr>
      </w:pPr>
    </w:p>
    <w:p w14:paraId="28A9454C">
      <w:pPr>
        <w:pStyle w:val="19"/>
        <w:rPr>
          <w:rFonts w:hint="eastAsia"/>
          <w:color w:val="auto"/>
          <w:highlight w:val="none"/>
        </w:rPr>
      </w:pPr>
    </w:p>
    <w:p w14:paraId="0F54E808">
      <w:pPr>
        <w:rPr>
          <w:rFonts w:hint="eastAsia"/>
          <w:color w:val="auto"/>
          <w:highlight w:val="none"/>
        </w:rPr>
      </w:pPr>
    </w:p>
    <w:p w14:paraId="78AA44D5">
      <w:pPr>
        <w:pStyle w:val="19"/>
        <w:rPr>
          <w:rFonts w:hint="eastAsia"/>
          <w:color w:val="auto"/>
          <w:highlight w:val="none"/>
        </w:rPr>
      </w:pPr>
    </w:p>
    <w:p w14:paraId="1EB6EDD6">
      <w:pPr>
        <w:rPr>
          <w:rFonts w:hint="eastAsia"/>
          <w:color w:val="auto"/>
          <w:highlight w:val="none"/>
        </w:rPr>
      </w:pPr>
    </w:p>
    <w:p w14:paraId="43B8506A">
      <w:pPr>
        <w:pStyle w:val="19"/>
        <w:rPr>
          <w:rFonts w:hint="eastAsia"/>
          <w:color w:val="auto"/>
          <w:highlight w:val="none"/>
        </w:rPr>
      </w:pPr>
    </w:p>
    <w:p w14:paraId="048CE0BE">
      <w:pPr>
        <w:rPr>
          <w:rFonts w:hint="eastAsia"/>
          <w:color w:val="auto"/>
          <w:highlight w:val="none"/>
        </w:rPr>
      </w:pPr>
    </w:p>
    <w:p w14:paraId="1ECF36C7">
      <w:pPr>
        <w:pStyle w:val="19"/>
        <w:rPr>
          <w:rFonts w:hint="eastAsia"/>
          <w:color w:val="auto"/>
          <w:highlight w:val="none"/>
        </w:rPr>
      </w:pPr>
    </w:p>
    <w:p w14:paraId="3561E2C4">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20" w:name="_Toc95223489"/>
    </w:p>
    <w:p w14:paraId="7C3233C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1321" w:name="_Toc296944565"/>
      <w:bookmarkStart w:id="1322" w:name="_Toc296891054"/>
      <w:bookmarkStart w:id="1323" w:name="_Toc296503226"/>
      <w:bookmarkStart w:id="1324" w:name="_Toc296346727"/>
      <w:bookmarkStart w:id="1325" w:name="_Toc296891266"/>
      <w:bookmarkStart w:id="1326" w:name="_Toc296347225"/>
      <w:bookmarkStart w:id="1327" w:name="_Toc267261693"/>
      <w:r>
        <w:rPr>
          <w:rFonts w:hint="eastAsia" w:ascii="宋体" w:hAnsi="宋体" w:cs="宋体"/>
          <w:bCs/>
          <w:color w:val="auto"/>
          <w:sz w:val="24"/>
          <w:highlight w:val="none"/>
        </w:rPr>
        <w:t>件3：</w:t>
      </w:r>
      <w:bookmarkEnd w:id="1321"/>
      <w:bookmarkEnd w:id="1322"/>
      <w:bookmarkEnd w:id="1323"/>
      <w:bookmarkEnd w:id="1324"/>
      <w:bookmarkEnd w:id="1325"/>
      <w:bookmarkEnd w:id="1326"/>
      <w:bookmarkEnd w:id="1327"/>
      <w:r>
        <w:rPr>
          <w:rFonts w:hint="eastAsia" w:ascii="宋体" w:hAnsi="宋体" w:cs="宋体"/>
          <w:bCs/>
          <w:color w:val="auto"/>
          <w:sz w:val="24"/>
          <w:highlight w:val="none"/>
        </w:rPr>
        <w:t>工程质量保修书</w:t>
      </w:r>
      <w:bookmarkEnd w:id="1320"/>
      <w:r>
        <w:rPr>
          <w:rFonts w:hint="eastAsia" w:ascii="宋体" w:hAnsi="宋体" w:cs="宋体"/>
          <w:bCs/>
          <w:color w:val="auto"/>
          <w:sz w:val="24"/>
          <w:highlight w:val="none"/>
          <w:lang w:val="en-US" w:eastAsia="zh-CN"/>
        </w:rPr>
        <w:t>本项目采用</w:t>
      </w:r>
      <w:r>
        <w:rPr>
          <w:rFonts w:hint="eastAsia" w:ascii="宋体" w:hAnsi="宋体" w:cs="宋体"/>
          <w:bCs/>
          <w:color w:val="auto"/>
          <w:sz w:val="24"/>
          <w:highlight w:val="none"/>
        </w:rPr>
        <w:t xml:space="preserve"> </w:t>
      </w:r>
    </w:p>
    <w:p w14:paraId="63824398">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14:paraId="24F00FD6">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14:paraId="2977B8F0">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14:paraId="34DEC8EE">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14:paraId="2BB28E6E">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14:paraId="021D10D8">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14:paraId="0767FD16">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14:paraId="4814B45F">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14:paraId="74214693">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14:paraId="38492790">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0A95C801">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w:t>
      </w:r>
      <w:r>
        <w:rPr>
          <w:rFonts w:hint="eastAsia" w:ascii="宋体" w:hAnsi="宋体" w:eastAsia="宋体" w:cs="宋体"/>
          <w:color w:val="auto"/>
          <w:kern w:val="0"/>
          <w:position w:val="6"/>
          <w:szCs w:val="21"/>
          <w:highlight w:val="none"/>
        </w:rPr>
        <w:t>_</w:t>
      </w:r>
      <w:r>
        <w:rPr>
          <w:rFonts w:hint="eastAsia" w:ascii="宋体" w:hAnsi="宋体" w:eastAsia="宋体" w:cs="宋体"/>
          <w:color w:val="auto"/>
          <w:kern w:val="0"/>
          <w:position w:val="6"/>
          <w:szCs w:val="21"/>
          <w:highlight w:val="none"/>
          <w:lang w:val="en-US" w:eastAsia="zh-CN"/>
        </w:rPr>
        <w:t>电力</w:t>
      </w:r>
      <w:r>
        <w:rPr>
          <w:rFonts w:hint="eastAsia" w:ascii="宋体" w:hAnsi="宋体" w:eastAsia="宋体" w:cs="宋体"/>
          <w:color w:val="auto"/>
          <w:kern w:val="0"/>
          <w:position w:val="6"/>
          <w:szCs w:val="21"/>
          <w:highlight w:val="none"/>
        </w:rPr>
        <w:t>_</w:t>
      </w:r>
      <w:r>
        <w:rPr>
          <w:rFonts w:hint="eastAsia" w:ascii="宋体" w:hAnsi="宋体" w:cs="宋体"/>
          <w:color w:val="auto"/>
          <w:kern w:val="0"/>
          <w:position w:val="6"/>
          <w:szCs w:val="21"/>
          <w:highlight w:val="none"/>
        </w:rPr>
        <w:t>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u w:val="single"/>
          <w:lang w:val="en-US" w:eastAsia="zh-CN"/>
        </w:rPr>
        <w:t>2</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4227C0CA">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14:paraId="6C364F12">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_____________工程，为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14:paraId="5FF0062C">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56732B5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14:paraId="1A3B473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765CA354">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14:paraId="37F195BF">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14:paraId="269AB0C6">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14:paraId="5B5C3C19">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14:paraId="01CA30DF">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14:paraId="3DC16AAA">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14:paraId="1A80B9AD">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14:paraId="5277F5C8">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2B454E75">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14:paraId="6BBEA963">
      <w:pPr>
        <w:adjustRightInd w:val="0"/>
        <w:snapToGrid w:val="0"/>
        <w:spacing w:line="360" w:lineRule="auto"/>
        <w:ind w:firstLine="420"/>
        <w:rPr>
          <w:rFonts w:hint="eastAsia" w:ascii="宋体" w:hAnsi="宋体" w:cs="宋体"/>
          <w:color w:val="auto"/>
          <w:szCs w:val="21"/>
          <w:highlight w:val="none"/>
        </w:rPr>
      </w:pPr>
    </w:p>
    <w:p w14:paraId="2C90C039">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68FC1AC6">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14:paraId="0C0EE8DE">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30129A02">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332131B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037D36F3">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4374ECC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7DAAE3B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4DCF2EB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12609748">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
          <w:bCs/>
          <w:color w:val="auto"/>
          <w:sz w:val="24"/>
          <w:highlight w:val="none"/>
        </w:rPr>
        <w:br w:type="page"/>
      </w:r>
      <w:bookmarkStart w:id="1328" w:name="_Toc95223490"/>
      <w:r>
        <w:rPr>
          <w:rFonts w:hint="eastAsia" w:ascii="宋体" w:hAnsi="宋体" w:cs="宋体"/>
          <w:bCs/>
          <w:color w:val="auto"/>
          <w:sz w:val="24"/>
          <w:highlight w:val="none"/>
        </w:rPr>
        <w:t>附件4：主要建设工程文件目录</w:t>
      </w:r>
      <w:bookmarkEnd w:id="1328"/>
    </w:p>
    <w:p w14:paraId="57C0EDF0">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4EBF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3A3BF34C">
            <w:pPr>
              <w:keepNext/>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7576B0FF">
            <w:pPr>
              <w:keepNext/>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145FFF5F">
            <w:pPr>
              <w:keepNext/>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46543593">
            <w:pPr>
              <w:keepNext/>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135B173E">
            <w:pP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25875F7C">
            <w:pPr>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04787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3CC5D9B4">
            <w:pPr>
              <w:keepNext/>
              <w:rPr>
                <w:rFonts w:hint="eastAsia" w:ascii="宋体" w:hAnsi="宋体" w:cs="宋体"/>
                <w:color w:val="auto"/>
                <w:szCs w:val="21"/>
                <w:highlight w:val="none"/>
              </w:rPr>
            </w:pPr>
          </w:p>
        </w:tc>
        <w:tc>
          <w:tcPr>
            <w:tcW w:w="1276" w:type="dxa"/>
            <w:tcBorders>
              <w:top w:val="double" w:color="auto" w:sz="6" w:space="0"/>
            </w:tcBorders>
            <w:noWrap w:val="0"/>
            <w:vAlign w:val="center"/>
          </w:tcPr>
          <w:p w14:paraId="5CB6FCE7">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14:paraId="40EA9AB1">
            <w:pPr>
              <w:keepNext/>
              <w:rPr>
                <w:rFonts w:hint="eastAsia" w:ascii="宋体" w:hAnsi="宋体" w:cs="宋体"/>
                <w:color w:val="auto"/>
                <w:szCs w:val="21"/>
                <w:highlight w:val="none"/>
              </w:rPr>
            </w:pPr>
          </w:p>
        </w:tc>
        <w:tc>
          <w:tcPr>
            <w:tcW w:w="1243" w:type="dxa"/>
            <w:tcBorders>
              <w:top w:val="double" w:color="auto" w:sz="6" w:space="0"/>
            </w:tcBorders>
            <w:noWrap w:val="0"/>
            <w:vAlign w:val="center"/>
          </w:tcPr>
          <w:p w14:paraId="24E9D854">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14:paraId="0CB16B63">
            <w:pPr>
              <w:keepNext/>
              <w:rPr>
                <w:rFonts w:hint="eastAsia" w:ascii="宋体" w:hAnsi="宋体" w:cs="宋体"/>
                <w:color w:val="auto"/>
                <w:szCs w:val="21"/>
                <w:highlight w:val="none"/>
              </w:rPr>
            </w:pPr>
          </w:p>
        </w:tc>
        <w:tc>
          <w:tcPr>
            <w:tcW w:w="1667" w:type="dxa"/>
            <w:tcBorders>
              <w:top w:val="double" w:color="auto" w:sz="6" w:space="0"/>
            </w:tcBorders>
            <w:noWrap w:val="0"/>
            <w:vAlign w:val="center"/>
          </w:tcPr>
          <w:p w14:paraId="319B713F">
            <w:pPr>
              <w:keepNext/>
              <w:rPr>
                <w:rFonts w:hint="eastAsia" w:ascii="宋体" w:hAnsi="宋体" w:cs="宋体"/>
                <w:color w:val="auto"/>
                <w:szCs w:val="21"/>
                <w:highlight w:val="none"/>
              </w:rPr>
            </w:pPr>
          </w:p>
        </w:tc>
      </w:tr>
      <w:tr w14:paraId="2DFFD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29B9EF80">
            <w:pPr>
              <w:keepNext/>
              <w:rPr>
                <w:rFonts w:hint="eastAsia" w:ascii="宋体" w:hAnsi="宋体" w:cs="宋体"/>
                <w:color w:val="auto"/>
                <w:szCs w:val="21"/>
                <w:highlight w:val="none"/>
              </w:rPr>
            </w:pPr>
          </w:p>
        </w:tc>
        <w:tc>
          <w:tcPr>
            <w:tcW w:w="1276" w:type="dxa"/>
            <w:tcBorders>
              <w:top w:val="nil"/>
            </w:tcBorders>
            <w:noWrap w:val="0"/>
            <w:vAlign w:val="center"/>
          </w:tcPr>
          <w:p w14:paraId="0E92F21D">
            <w:pPr>
              <w:keepNext/>
              <w:rPr>
                <w:rFonts w:hint="eastAsia" w:ascii="宋体" w:hAnsi="宋体" w:cs="宋体"/>
                <w:color w:val="auto"/>
                <w:szCs w:val="21"/>
                <w:highlight w:val="none"/>
              </w:rPr>
            </w:pPr>
          </w:p>
        </w:tc>
        <w:tc>
          <w:tcPr>
            <w:tcW w:w="1450" w:type="dxa"/>
            <w:tcBorders>
              <w:top w:val="nil"/>
            </w:tcBorders>
            <w:noWrap w:val="0"/>
            <w:vAlign w:val="center"/>
          </w:tcPr>
          <w:p w14:paraId="28087041">
            <w:pPr>
              <w:keepNext/>
              <w:rPr>
                <w:rFonts w:hint="eastAsia" w:ascii="宋体" w:hAnsi="宋体" w:cs="宋体"/>
                <w:color w:val="auto"/>
                <w:szCs w:val="21"/>
                <w:highlight w:val="none"/>
              </w:rPr>
            </w:pPr>
          </w:p>
        </w:tc>
        <w:tc>
          <w:tcPr>
            <w:tcW w:w="1243" w:type="dxa"/>
            <w:tcBorders>
              <w:top w:val="nil"/>
            </w:tcBorders>
            <w:noWrap w:val="0"/>
            <w:vAlign w:val="center"/>
          </w:tcPr>
          <w:p w14:paraId="7B57B6F3">
            <w:pPr>
              <w:keepNext/>
              <w:rPr>
                <w:rFonts w:hint="eastAsia" w:ascii="宋体" w:hAnsi="宋体" w:cs="宋体"/>
                <w:color w:val="auto"/>
                <w:szCs w:val="21"/>
                <w:highlight w:val="none"/>
              </w:rPr>
            </w:pPr>
          </w:p>
        </w:tc>
        <w:tc>
          <w:tcPr>
            <w:tcW w:w="1450" w:type="dxa"/>
            <w:tcBorders>
              <w:top w:val="nil"/>
            </w:tcBorders>
            <w:noWrap w:val="0"/>
            <w:vAlign w:val="center"/>
          </w:tcPr>
          <w:p w14:paraId="4400524E">
            <w:pPr>
              <w:keepNext/>
              <w:rPr>
                <w:rFonts w:hint="eastAsia" w:ascii="宋体" w:hAnsi="宋体" w:cs="宋体"/>
                <w:color w:val="auto"/>
                <w:szCs w:val="21"/>
                <w:highlight w:val="none"/>
              </w:rPr>
            </w:pPr>
          </w:p>
        </w:tc>
        <w:tc>
          <w:tcPr>
            <w:tcW w:w="1667" w:type="dxa"/>
            <w:tcBorders>
              <w:top w:val="nil"/>
            </w:tcBorders>
            <w:noWrap w:val="0"/>
            <w:vAlign w:val="center"/>
          </w:tcPr>
          <w:p w14:paraId="77597D09">
            <w:pPr>
              <w:keepNext/>
              <w:rPr>
                <w:rFonts w:hint="eastAsia" w:ascii="宋体" w:hAnsi="宋体" w:cs="宋体"/>
                <w:color w:val="auto"/>
                <w:szCs w:val="21"/>
                <w:highlight w:val="none"/>
              </w:rPr>
            </w:pPr>
          </w:p>
        </w:tc>
      </w:tr>
      <w:tr w14:paraId="6A7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DDDA4CD">
            <w:pPr>
              <w:rPr>
                <w:rFonts w:hint="eastAsia" w:ascii="宋体" w:hAnsi="宋体" w:cs="宋体"/>
                <w:color w:val="auto"/>
                <w:szCs w:val="21"/>
                <w:highlight w:val="none"/>
              </w:rPr>
            </w:pPr>
          </w:p>
        </w:tc>
        <w:tc>
          <w:tcPr>
            <w:tcW w:w="1276" w:type="dxa"/>
            <w:noWrap w:val="0"/>
            <w:vAlign w:val="top"/>
          </w:tcPr>
          <w:p w14:paraId="1E1E54A6">
            <w:pPr>
              <w:rPr>
                <w:rFonts w:hint="eastAsia" w:ascii="宋体" w:hAnsi="宋体" w:cs="宋体"/>
                <w:color w:val="auto"/>
                <w:szCs w:val="21"/>
                <w:highlight w:val="none"/>
              </w:rPr>
            </w:pPr>
          </w:p>
        </w:tc>
        <w:tc>
          <w:tcPr>
            <w:tcW w:w="1450" w:type="dxa"/>
            <w:noWrap w:val="0"/>
            <w:vAlign w:val="top"/>
          </w:tcPr>
          <w:p w14:paraId="493409EE">
            <w:pPr>
              <w:rPr>
                <w:rFonts w:hint="eastAsia" w:ascii="宋体" w:hAnsi="宋体" w:cs="宋体"/>
                <w:color w:val="auto"/>
                <w:szCs w:val="21"/>
                <w:highlight w:val="none"/>
              </w:rPr>
            </w:pPr>
          </w:p>
        </w:tc>
        <w:tc>
          <w:tcPr>
            <w:tcW w:w="1243" w:type="dxa"/>
            <w:noWrap w:val="0"/>
            <w:vAlign w:val="top"/>
          </w:tcPr>
          <w:p w14:paraId="4E06A81D">
            <w:pPr>
              <w:rPr>
                <w:rFonts w:hint="eastAsia" w:ascii="宋体" w:hAnsi="宋体" w:cs="宋体"/>
                <w:color w:val="auto"/>
                <w:szCs w:val="21"/>
                <w:highlight w:val="none"/>
              </w:rPr>
            </w:pPr>
          </w:p>
        </w:tc>
        <w:tc>
          <w:tcPr>
            <w:tcW w:w="1450" w:type="dxa"/>
            <w:noWrap w:val="0"/>
            <w:vAlign w:val="top"/>
          </w:tcPr>
          <w:p w14:paraId="10CDBE9F">
            <w:pPr>
              <w:rPr>
                <w:rFonts w:hint="eastAsia" w:ascii="宋体" w:hAnsi="宋体" w:cs="宋体"/>
                <w:color w:val="auto"/>
                <w:szCs w:val="21"/>
                <w:highlight w:val="none"/>
              </w:rPr>
            </w:pPr>
          </w:p>
        </w:tc>
        <w:tc>
          <w:tcPr>
            <w:tcW w:w="1667" w:type="dxa"/>
            <w:noWrap w:val="0"/>
            <w:vAlign w:val="top"/>
          </w:tcPr>
          <w:p w14:paraId="1932CD74">
            <w:pPr>
              <w:rPr>
                <w:rFonts w:hint="eastAsia" w:ascii="宋体" w:hAnsi="宋体" w:cs="宋体"/>
                <w:color w:val="auto"/>
                <w:szCs w:val="21"/>
                <w:highlight w:val="none"/>
              </w:rPr>
            </w:pPr>
          </w:p>
        </w:tc>
      </w:tr>
      <w:tr w14:paraId="770FE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7C9910B4">
            <w:pPr>
              <w:rPr>
                <w:rFonts w:hint="eastAsia" w:ascii="宋体" w:hAnsi="宋体" w:cs="宋体"/>
                <w:color w:val="auto"/>
                <w:szCs w:val="21"/>
                <w:highlight w:val="none"/>
              </w:rPr>
            </w:pPr>
          </w:p>
        </w:tc>
        <w:tc>
          <w:tcPr>
            <w:tcW w:w="1276" w:type="dxa"/>
            <w:noWrap w:val="0"/>
            <w:vAlign w:val="top"/>
          </w:tcPr>
          <w:p w14:paraId="7E931662">
            <w:pPr>
              <w:rPr>
                <w:rFonts w:hint="eastAsia" w:ascii="宋体" w:hAnsi="宋体" w:cs="宋体"/>
                <w:color w:val="auto"/>
                <w:szCs w:val="21"/>
                <w:highlight w:val="none"/>
              </w:rPr>
            </w:pPr>
          </w:p>
        </w:tc>
        <w:tc>
          <w:tcPr>
            <w:tcW w:w="1450" w:type="dxa"/>
            <w:noWrap w:val="0"/>
            <w:vAlign w:val="top"/>
          </w:tcPr>
          <w:p w14:paraId="38D08109">
            <w:pPr>
              <w:rPr>
                <w:rFonts w:hint="eastAsia" w:ascii="宋体" w:hAnsi="宋体" w:cs="宋体"/>
                <w:color w:val="auto"/>
                <w:szCs w:val="21"/>
                <w:highlight w:val="none"/>
              </w:rPr>
            </w:pPr>
          </w:p>
        </w:tc>
        <w:tc>
          <w:tcPr>
            <w:tcW w:w="1243" w:type="dxa"/>
            <w:noWrap w:val="0"/>
            <w:vAlign w:val="top"/>
          </w:tcPr>
          <w:p w14:paraId="4B8B21CA">
            <w:pPr>
              <w:rPr>
                <w:rFonts w:hint="eastAsia" w:ascii="宋体" w:hAnsi="宋体" w:cs="宋体"/>
                <w:color w:val="auto"/>
                <w:szCs w:val="21"/>
                <w:highlight w:val="none"/>
              </w:rPr>
            </w:pPr>
          </w:p>
        </w:tc>
        <w:tc>
          <w:tcPr>
            <w:tcW w:w="1450" w:type="dxa"/>
            <w:noWrap w:val="0"/>
            <w:vAlign w:val="top"/>
          </w:tcPr>
          <w:p w14:paraId="018694A3">
            <w:pPr>
              <w:rPr>
                <w:rFonts w:hint="eastAsia" w:ascii="宋体" w:hAnsi="宋体" w:cs="宋体"/>
                <w:color w:val="auto"/>
                <w:szCs w:val="21"/>
                <w:highlight w:val="none"/>
              </w:rPr>
            </w:pPr>
          </w:p>
        </w:tc>
        <w:tc>
          <w:tcPr>
            <w:tcW w:w="1667" w:type="dxa"/>
            <w:noWrap w:val="0"/>
            <w:vAlign w:val="top"/>
          </w:tcPr>
          <w:p w14:paraId="5C12ED14">
            <w:pPr>
              <w:rPr>
                <w:rFonts w:hint="eastAsia" w:ascii="宋体" w:hAnsi="宋体" w:cs="宋体"/>
                <w:color w:val="auto"/>
                <w:szCs w:val="21"/>
                <w:highlight w:val="none"/>
              </w:rPr>
            </w:pPr>
          </w:p>
        </w:tc>
      </w:tr>
      <w:tr w14:paraId="146C7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4E964D69">
            <w:pPr>
              <w:rPr>
                <w:rFonts w:hint="eastAsia" w:ascii="宋体" w:hAnsi="宋体" w:cs="宋体"/>
                <w:color w:val="auto"/>
                <w:szCs w:val="21"/>
                <w:highlight w:val="none"/>
              </w:rPr>
            </w:pPr>
          </w:p>
        </w:tc>
        <w:tc>
          <w:tcPr>
            <w:tcW w:w="1276" w:type="dxa"/>
            <w:tcBorders>
              <w:bottom w:val="single" w:color="auto" w:sz="12" w:space="0"/>
            </w:tcBorders>
            <w:noWrap w:val="0"/>
            <w:vAlign w:val="top"/>
          </w:tcPr>
          <w:p w14:paraId="16883B82">
            <w:pPr>
              <w:rPr>
                <w:rFonts w:hint="eastAsia" w:ascii="宋体" w:hAnsi="宋体" w:cs="宋体"/>
                <w:color w:val="auto"/>
                <w:szCs w:val="21"/>
                <w:highlight w:val="none"/>
              </w:rPr>
            </w:pPr>
          </w:p>
        </w:tc>
        <w:tc>
          <w:tcPr>
            <w:tcW w:w="1450" w:type="dxa"/>
            <w:tcBorders>
              <w:bottom w:val="single" w:color="auto" w:sz="12" w:space="0"/>
            </w:tcBorders>
            <w:noWrap w:val="0"/>
            <w:vAlign w:val="top"/>
          </w:tcPr>
          <w:p w14:paraId="490077EC">
            <w:pPr>
              <w:rPr>
                <w:rFonts w:hint="eastAsia" w:ascii="宋体" w:hAnsi="宋体" w:cs="宋体"/>
                <w:color w:val="auto"/>
                <w:szCs w:val="21"/>
                <w:highlight w:val="none"/>
              </w:rPr>
            </w:pPr>
          </w:p>
        </w:tc>
        <w:tc>
          <w:tcPr>
            <w:tcW w:w="1243" w:type="dxa"/>
            <w:tcBorders>
              <w:bottom w:val="single" w:color="auto" w:sz="12" w:space="0"/>
            </w:tcBorders>
            <w:noWrap w:val="0"/>
            <w:vAlign w:val="top"/>
          </w:tcPr>
          <w:p w14:paraId="090D323C">
            <w:pPr>
              <w:rPr>
                <w:rFonts w:hint="eastAsia" w:ascii="宋体" w:hAnsi="宋体" w:cs="宋体"/>
                <w:color w:val="auto"/>
                <w:szCs w:val="21"/>
                <w:highlight w:val="none"/>
              </w:rPr>
            </w:pPr>
          </w:p>
        </w:tc>
        <w:tc>
          <w:tcPr>
            <w:tcW w:w="1450" w:type="dxa"/>
            <w:tcBorders>
              <w:bottom w:val="single" w:color="auto" w:sz="12" w:space="0"/>
            </w:tcBorders>
            <w:noWrap w:val="0"/>
            <w:vAlign w:val="top"/>
          </w:tcPr>
          <w:p w14:paraId="1E9F6307">
            <w:pPr>
              <w:rPr>
                <w:rFonts w:hint="eastAsia" w:ascii="宋体" w:hAnsi="宋体" w:cs="宋体"/>
                <w:color w:val="auto"/>
                <w:szCs w:val="21"/>
                <w:highlight w:val="none"/>
              </w:rPr>
            </w:pPr>
          </w:p>
        </w:tc>
        <w:tc>
          <w:tcPr>
            <w:tcW w:w="1667" w:type="dxa"/>
            <w:tcBorders>
              <w:bottom w:val="single" w:color="auto" w:sz="12" w:space="0"/>
            </w:tcBorders>
            <w:noWrap w:val="0"/>
            <w:vAlign w:val="top"/>
          </w:tcPr>
          <w:p w14:paraId="0315315E">
            <w:pPr>
              <w:rPr>
                <w:rFonts w:hint="eastAsia" w:ascii="宋体" w:hAnsi="宋体" w:cs="宋体"/>
                <w:color w:val="auto"/>
                <w:szCs w:val="21"/>
                <w:highlight w:val="none"/>
              </w:rPr>
            </w:pPr>
          </w:p>
        </w:tc>
      </w:tr>
    </w:tbl>
    <w:p w14:paraId="61B737C9">
      <w:pPr>
        <w:rPr>
          <w:rFonts w:hint="eastAsia" w:ascii="宋体" w:hAnsi="宋体" w:cs="宋体"/>
          <w:color w:val="auto"/>
          <w:szCs w:val="21"/>
          <w:highlight w:val="none"/>
        </w:rPr>
      </w:pPr>
    </w:p>
    <w:p w14:paraId="25D251B8">
      <w:pPr>
        <w:keepNext/>
        <w:keepLines/>
        <w:spacing w:before="120" w:after="120" w:line="360" w:lineRule="auto"/>
        <w:jc w:val="left"/>
        <w:outlineLvl w:val="2"/>
        <w:rPr>
          <w:rFonts w:hint="eastAsia" w:ascii="宋体" w:hAnsi="宋体" w:cs="宋体"/>
          <w:bCs/>
          <w:color w:val="auto"/>
          <w:sz w:val="24"/>
          <w:highlight w:val="none"/>
        </w:rPr>
      </w:pPr>
      <w:bookmarkStart w:id="1329" w:name="_Toc95223491"/>
      <w:r>
        <w:rPr>
          <w:rFonts w:hint="eastAsia" w:ascii="宋体" w:hAnsi="宋体" w:cs="宋体"/>
          <w:bCs/>
          <w:color w:val="auto"/>
          <w:sz w:val="24"/>
          <w:highlight w:val="none"/>
        </w:rPr>
        <w:t>附</w:t>
      </w:r>
      <w:bookmarkStart w:id="1330" w:name="_Toc296944566"/>
      <w:bookmarkStart w:id="1331" w:name="_Toc267261698"/>
      <w:bookmarkStart w:id="1332" w:name="_Toc296346728"/>
      <w:bookmarkStart w:id="1333" w:name="_Toc296891055"/>
      <w:bookmarkStart w:id="1334" w:name="_Toc296347226"/>
      <w:bookmarkStart w:id="1335" w:name="_Toc296891267"/>
      <w:bookmarkStart w:id="1336" w:name="_Toc296503227"/>
      <w:r>
        <w:rPr>
          <w:rFonts w:hint="eastAsia" w:ascii="宋体" w:hAnsi="宋体" w:cs="宋体"/>
          <w:bCs/>
          <w:color w:val="auto"/>
          <w:sz w:val="24"/>
          <w:highlight w:val="none"/>
        </w:rPr>
        <w:t>件5：承包人用于本工程施工的机械设备表</w:t>
      </w:r>
      <w:bookmarkEnd w:id="1329"/>
    </w:p>
    <w:bookmarkEnd w:id="1330"/>
    <w:bookmarkEnd w:id="1331"/>
    <w:bookmarkEnd w:id="1332"/>
    <w:bookmarkEnd w:id="1333"/>
    <w:bookmarkEnd w:id="1334"/>
    <w:bookmarkEnd w:id="1335"/>
    <w:bookmarkEnd w:id="1336"/>
    <w:p w14:paraId="405D3C94">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20"/>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4EB74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61FBC7EF">
            <w:pPr>
              <w:keepNex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5D82D14F">
            <w:pPr>
              <w:keepNext/>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50F57214">
            <w:pPr>
              <w:keepNext/>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0C2513E5">
            <w:pPr>
              <w:keepNex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039A5ECB">
            <w:pPr>
              <w:keepNext/>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21E5DD6C">
            <w:pPr>
              <w:keepNext/>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2C0591FC">
            <w:pPr>
              <w:keepNext/>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3E8D62C8">
            <w:pPr>
              <w:keepNext/>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1124F814">
            <w:pPr>
              <w:keepNex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D66C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51298855">
            <w:pPr>
              <w:keepNext/>
              <w:rPr>
                <w:rFonts w:hint="eastAsia" w:ascii="宋体" w:hAnsi="宋体" w:cs="宋体"/>
                <w:color w:val="auto"/>
                <w:szCs w:val="21"/>
                <w:highlight w:val="none"/>
              </w:rPr>
            </w:pPr>
          </w:p>
        </w:tc>
        <w:tc>
          <w:tcPr>
            <w:tcW w:w="1418" w:type="dxa"/>
            <w:tcBorders>
              <w:top w:val="double" w:color="auto" w:sz="6" w:space="0"/>
            </w:tcBorders>
            <w:noWrap w:val="0"/>
            <w:vAlign w:val="center"/>
          </w:tcPr>
          <w:p w14:paraId="2D27CEE2">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14:paraId="706C1D73">
            <w:pPr>
              <w:keepNext/>
              <w:rPr>
                <w:rFonts w:hint="eastAsia" w:ascii="宋体" w:hAnsi="宋体" w:cs="宋体"/>
                <w:color w:val="auto"/>
                <w:szCs w:val="21"/>
                <w:highlight w:val="none"/>
              </w:rPr>
            </w:pPr>
          </w:p>
        </w:tc>
        <w:tc>
          <w:tcPr>
            <w:tcW w:w="709" w:type="dxa"/>
            <w:tcBorders>
              <w:top w:val="double" w:color="auto" w:sz="6" w:space="0"/>
            </w:tcBorders>
            <w:noWrap w:val="0"/>
            <w:vAlign w:val="center"/>
          </w:tcPr>
          <w:p w14:paraId="16A8927A">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14:paraId="20903BC1">
            <w:pPr>
              <w:keepNext/>
              <w:rPr>
                <w:rFonts w:hint="eastAsia" w:ascii="宋体" w:hAnsi="宋体" w:cs="宋体"/>
                <w:color w:val="auto"/>
                <w:szCs w:val="21"/>
                <w:highlight w:val="none"/>
              </w:rPr>
            </w:pPr>
          </w:p>
        </w:tc>
        <w:tc>
          <w:tcPr>
            <w:tcW w:w="963" w:type="dxa"/>
            <w:tcBorders>
              <w:top w:val="double" w:color="auto" w:sz="6" w:space="0"/>
            </w:tcBorders>
            <w:noWrap w:val="0"/>
            <w:vAlign w:val="center"/>
          </w:tcPr>
          <w:p w14:paraId="1E5D9AC2">
            <w:pPr>
              <w:keepNext/>
              <w:rPr>
                <w:rFonts w:hint="eastAsia" w:ascii="宋体" w:hAnsi="宋体" w:cs="宋体"/>
                <w:color w:val="auto"/>
                <w:szCs w:val="21"/>
                <w:highlight w:val="none"/>
              </w:rPr>
            </w:pPr>
          </w:p>
        </w:tc>
        <w:tc>
          <w:tcPr>
            <w:tcW w:w="1480" w:type="dxa"/>
            <w:tcBorders>
              <w:top w:val="double" w:color="auto" w:sz="6" w:space="0"/>
            </w:tcBorders>
            <w:noWrap w:val="0"/>
            <w:vAlign w:val="center"/>
          </w:tcPr>
          <w:p w14:paraId="631B68FA">
            <w:pPr>
              <w:keepNext/>
              <w:rPr>
                <w:rFonts w:hint="eastAsia" w:ascii="宋体" w:hAnsi="宋体" w:cs="宋体"/>
                <w:color w:val="auto"/>
                <w:szCs w:val="21"/>
                <w:highlight w:val="none"/>
              </w:rPr>
            </w:pPr>
          </w:p>
        </w:tc>
        <w:tc>
          <w:tcPr>
            <w:tcW w:w="1020" w:type="dxa"/>
            <w:tcBorders>
              <w:top w:val="double" w:color="auto" w:sz="6" w:space="0"/>
            </w:tcBorders>
            <w:noWrap w:val="0"/>
            <w:vAlign w:val="center"/>
          </w:tcPr>
          <w:p w14:paraId="643D0C7E">
            <w:pPr>
              <w:keepNext/>
              <w:rPr>
                <w:rFonts w:hint="eastAsia" w:ascii="宋体" w:hAnsi="宋体" w:cs="宋体"/>
                <w:color w:val="auto"/>
                <w:szCs w:val="21"/>
                <w:highlight w:val="none"/>
              </w:rPr>
            </w:pPr>
          </w:p>
        </w:tc>
        <w:tc>
          <w:tcPr>
            <w:tcW w:w="932" w:type="dxa"/>
            <w:tcBorders>
              <w:top w:val="double" w:color="auto" w:sz="6" w:space="0"/>
            </w:tcBorders>
            <w:noWrap w:val="0"/>
            <w:vAlign w:val="center"/>
          </w:tcPr>
          <w:p w14:paraId="1F769F60">
            <w:pPr>
              <w:keepNext/>
              <w:rPr>
                <w:rFonts w:hint="eastAsia" w:ascii="宋体" w:hAnsi="宋体" w:cs="宋体"/>
                <w:color w:val="auto"/>
                <w:szCs w:val="21"/>
                <w:highlight w:val="none"/>
              </w:rPr>
            </w:pPr>
          </w:p>
        </w:tc>
      </w:tr>
      <w:tr w14:paraId="15352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1C27F558">
            <w:pPr>
              <w:keepNext/>
              <w:rPr>
                <w:rFonts w:hint="eastAsia" w:ascii="宋体" w:hAnsi="宋体" w:cs="宋体"/>
                <w:color w:val="auto"/>
                <w:szCs w:val="21"/>
                <w:highlight w:val="none"/>
              </w:rPr>
            </w:pPr>
          </w:p>
        </w:tc>
        <w:tc>
          <w:tcPr>
            <w:tcW w:w="1418" w:type="dxa"/>
            <w:tcBorders>
              <w:top w:val="nil"/>
            </w:tcBorders>
            <w:noWrap w:val="0"/>
            <w:vAlign w:val="center"/>
          </w:tcPr>
          <w:p w14:paraId="71E5688C">
            <w:pPr>
              <w:keepNext/>
              <w:rPr>
                <w:rFonts w:hint="eastAsia" w:ascii="宋体" w:hAnsi="宋体" w:cs="宋体"/>
                <w:color w:val="auto"/>
                <w:szCs w:val="21"/>
                <w:highlight w:val="none"/>
              </w:rPr>
            </w:pPr>
          </w:p>
        </w:tc>
        <w:tc>
          <w:tcPr>
            <w:tcW w:w="850" w:type="dxa"/>
            <w:tcBorders>
              <w:top w:val="nil"/>
            </w:tcBorders>
            <w:noWrap w:val="0"/>
            <w:vAlign w:val="center"/>
          </w:tcPr>
          <w:p w14:paraId="2ABCCF14">
            <w:pPr>
              <w:keepNext/>
              <w:rPr>
                <w:rFonts w:hint="eastAsia" w:ascii="宋体" w:hAnsi="宋体" w:cs="宋体"/>
                <w:color w:val="auto"/>
                <w:szCs w:val="21"/>
                <w:highlight w:val="none"/>
              </w:rPr>
            </w:pPr>
          </w:p>
        </w:tc>
        <w:tc>
          <w:tcPr>
            <w:tcW w:w="709" w:type="dxa"/>
            <w:tcBorders>
              <w:top w:val="nil"/>
            </w:tcBorders>
            <w:noWrap w:val="0"/>
            <w:vAlign w:val="center"/>
          </w:tcPr>
          <w:p w14:paraId="4C51639C">
            <w:pPr>
              <w:keepNext/>
              <w:rPr>
                <w:rFonts w:hint="eastAsia" w:ascii="宋体" w:hAnsi="宋体" w:cs="宋体"/>
                <w:color w:val="auto"/>
                <w:szCs w:val="21"/>
                <w:highlight w:val="none"/>
              </w:rPr>
            </w:pPr>
          </w:p>
        </w:tc>
        <w:tc>
          <w:tcPr>
            <w:tcW w:w="850" w:type="dxa"/>
            <w:tcBorders>
              <w:top w:val="nil"/>
            </w:tcBorders>
            <w:noWrap w:val="0"/>
            <w:vAlign w:val="center"/>
          </w:tcPr>
          <w:p w14:paraId="4FB04434">
            <w:pPr>
              <w:keepNext/>
              <w:rPr>
                <w:rFonts w:hint="eastAsia" w:ascii="宋体" w:hAnsi="宋体" w:cs="宋体"/>
                <w:color w:val="auto"/>
                <w:szCs w:val="21"/>
                <w:highlight w:val="none"/>
              </w:rPr>
            </w:pPr>
          </w:p>
        </w:tc>
        <w:tc>
          <w:tcPr>
            <w:tcW w:w="963" w:type="dxa"/>
            <w:tcBorders>
              <w:top w:val="nil"/>
            </w:tcBorders>
            <w:noWrap w:val="0"/>
            <w:vAlign w:val="center"/>
          </w:tcPr>
          <w:p w14:paraId="58D02D69">
            <w:pPr>
              <w:keepNext/>
              <w:rPr>
                <w:rFonts w:hint="eastAsia" w:ascii="宋体" w:hAnsi="宋体" w:cs="宋体"/>
                <w:color w:val="auto"/>
                <w:szCs w:val="21"/>
                <w:highlight w:val="none"/>
              </w:rPr>
            </w:pPr>
          </w:p>
        </w:tc>
        <w:tc>
          <w:tcPr>
            <w:tcW w:w="1480" w:type="dxa"/>
            <w:tcBorders>
              <w:top w:val="nil"/>
            </w:tcBorders>
            <w:noWrap w:val="0"/>
            <w:vAlign w:val="center"/>
          </w:tcPr>
          <w:p w14:paraId="16AB71CC">
            <w:pPr>
              <w:keepNext/>
              <w:rPr>
                <w:rFonts w:hint="eastAsia" w:ascii="宋体" w:hAnsi="宋体" w:cs="宋体"/>
                <w:color w:val="auto"/>
                <w:szCs w:val="21"/>
                <w:highlight w:val="none"/>
              </w:rPr>
            </w:pPr>
          </w:p>
        </w:tc>
        <w:tc>
          <w:tcPr>
            <w:tcW w:w="1020" w:type="dxa"/>
            <w:tcBorders>
              <w:top w:val="nil"/>
            </w:tcBorders>
            <w:noWrap w:val="0"/>
            <w:vAlign w:val="center"/>
          </w:tcPr>
          <w:p w14:paraId="1E4F6889">
            <w:pPr>
              <w:keepNext/>
              <w:rPr>
                <w:rFonts w:hint="eastAsia" w:ascii="宋体" w:hAnsi="宋体" w:cs="宋体"/>
                <w:color w:val="auto"/>
                <w:szCs w:val="21"/>
                <w:highlight w:val="none"/>
              </w:rPr>
            </w:pPr>
          </w:p>
        </w:tc>
        <w:tc>
          <w:tcPr>
            <w:tcW w:w="932" w:type="dxa"/>
            <w:tcBorders>
              <w:top w:val="nil"/>
            </w:tcBorders>
            <w:noWrap w:val="0"/>
            <w:vAlign w:val="center"/>
          </w:tcPr>
          <w:p w14:paraId="080E62F3">
            <w:pPr>
              <w:keepNext/>
              <w:rPr>
                <w:rFonts w:hint="eastAsia" w:ascii="宋体" w:hAnsi="宋体" w:cs="宋体"/>
                <w:color w:val="auto"/>
                <w:szCs w:val="21"/>
                <w:highlight w:val="none"/>
              </w:rPr>
            </w:pPr>
          </w:p>
        </w:tc>
      </w:tr>
      <w:tr w14:paraId="1B6A1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4C66F1E0">
            <w:pPr>
              <w:rPr>
                <w:rFonts w:hint="eastAsia" w:ascii="宋体" w:hAnsi="宋体" w:cs="宋体"/>
                <w:color w:val="auto"/>
                <w:szCs w:val="21"/>
                <w:highlight w:val="none"/>
              </w:rPr>
            </w:pPr>
          </w:p>
        </w:tc>
        <w:tc>
          <w:tcPr>
            <w:tcW w:w="1418" w:type="dxa"/>
            <w:noWrap w:val="0"/>
            <w:vAlign w:val="top"/>
          </w:tcPr>
          <w:p w14:paraId="27DACB6E">
            <w:pPr>
              <w:rPr>
                <w:rFonts w:hint="eastAsia" w:ascii="宋体" w:hAnsi="宋体" w:cs="宋体"/>
                <w:color w:val="auto"/>
                <w:szCs w:val="21"/>
                <w:highlight w:val="none"/>
              </w:rPr>
            </w:pPr>
          </w:p>
        </w:tc>
        <w:tc>
          <w:tcPr>
            <w:tcW w:w="850" w:type="dxa"/>
            <w:noWrap w:val="0"/>
            <w:vAlign w:val="top"/>
          </w:tcPr>
          <w:p w14:paraId="59B6F4B7">
            <w:pPr>
              <w:rPr>
                <w:rFonts w:hint="eastAsia" w:ascii="宋体" w:hAnsi="宋体" w:cs="宋体"/>
                <w:color w:val="auto"/>
                <w:szCs w:val="21"/>
                <w:highlight w:val="none"/>
              </w:rPr>
            </w:pPr>
          </w:p>
        </w:tc>
        <w:tc>
          <w:tcPr>
            <w:tcW w:w="709" w:type="dxa"/>
            <w:noWrap w:val="0"/>
            <w:vAlign w:val="top"/>
          </w:tcPr>
          <w:p w14:paraId="1D90D46B">
            <w:pPr>
              <w:rPr>
                <w:rFonts w:hint="eastAsia" w:ascii="宋体" w:hAnsi="宋体" w:cs="宋体"/>
                <w:color w:val="auto"/>
                <w:szCs w:val="21"/>
                <w:highlight w:val="none"/>
              </w:rPr>
            </w:pPr>
          </w:p>
        </w:tc>
        <w:tc>
          <w:tcPr>
            <w:tcW w:w="850" w:type="dxa"/>
            <w:noWrap w:val="0"/>
            <w:vAlign w:val="top"/>
          </w:tcPr>
          <w:p w14:paraId="7745FD36">
            <w:pPr>
              <w:rPr>
                <w:rFonts w:hint="eastAsia" w:ascii="宋体" w:hAnsi="宋体" w:cs="宋体"/>
                <w:color w:val="auto"/>
                <w:szCs w:val="21"/>
                <w:highlight w:val="none"/>
              </w:rPr>
            </w:pPr>
          </w:p>
        </w:tc>
        <w:tc>
          <w:tcPr>
            <w:tcW w:w="963" w:type="dxa"/>
            <w:noWrap w:val="0"/>
            <w:vAlign w:val="top"/>
          </w:tcPr>
          <w:p w14:paraId="431846EE">
            <w:pPr>
              <w:rPr>
                <w:rFonts w:hint="eastAsia" w:ascii="宋体" w:hAnsi="宋体" w:cs="宋体"/>
                <w:color w:val="auto"/>
                <w:szCs w:val="21"/>
                <w:highlight w:val="none"/>
              </w:rPr>
            </w:pPr>
          </w:p>
        </w:tc>
        <w:tc>
          <w:tcPr>
            <w:tcW w:w="1480" w:type="dxa"/>
            <w:noWrap w:val="0"/>
            <w:vAlign w:val="top"/>
          </w:tcPr>
          <w:p w14:paraId="5E1BA8D6">
            <w:pPr>
              <w:rPr>
                <w:rFonts w:hint="eastAsia" w:ascii="宋体" w:hAnsi="宋体" w:cs="宋体"/>
                <w:color w:val="auto"/>
                <w:szCs w:val="21"/>
                <w:highlight w:val="none"/>
              </w:rPr>
            </w:pPr>
          </w:p>
        </w:tc>
        <w:tc>
          <w:tcPr>
            <w:tcW w:w="1020" w:type="dxa"/>
            <w:noWrap w:val="0"/>
            <w:vAlign w:val="top"/>
          </w:tcPr>
          <w:p w14:paraId="58C1EF28">
            <w:pPr>
              <w:rPr>
                <w:rFonts w:hint="eastAsia" w:ascii="宋体" w:hAnsi="宋体" w:cs="宋体"/>
                <w:color w:val="auto"/>
                <w:szCs w:val="21"/>
                <w:highlight w:val="none"/>
              </w:rPr>
            </w:pPr>
          </w:p>
        </w:tc>
        <w:tc>
          <w:tcPr>
            <w:tcW w:w="932" w:type="dxa"/>
            <w:noWrap w:val="0"/>
            <w:vAlign w:val="top"/>
          </w:tcPr>
          <w:p w14:paraId="0C6F9DAD">
            <w:pPr>
              <w:rPr>
                <w:rFonts w:hint="eastAsia" w:ascii="宋体" w:hAnsi="宋体" w:cs="宋体"/>
                <w:color w:val="auto"/>
                <w:szCs w:val="21"/>
                <w:highlight w:val="none"/>
              </w:rPr>
            </w:pPr>
          </w:p>
        </w:tc>
      </w:tr>
      <w:tr w14:paraId="3F76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2F306B10">
            <w:pPr>
              <w:rPr>
                <w:rFonts w:hint="eastAsia" w:ascii="宋体" w:hAnsi="宋体" w:cs="宋体"/>
                <w:color w:val="auto"/>
                <w:szCs w:val="21"/>
                <w:highlight w:val="none"/>
              </w:rPr>
            </w:pPr>
          </w:p>
        </w:tc>
        <w:tc>
          <w:tcPr>
            <w:tcW w:w="1418" w:type="dxa"/>
            <w:noWrap w:val="0"/>
            <w:vAlign w:val="top"/>
          </w:tcPr>
          <w:p w14:paraId="441FADED">
            <w:pPr>
              <w:rPr>
                <w:rFonts w:hint="eastAsia" w:ascii="宋体" w:hAnsi="宋体" w:cs="宋体"/>
                <w:color w:val="auto"/>
                <w:szCs w:val="21"/>
                <w:highlight w:val="none"/>
              </w:rPr>
            </w:pPr>
          </w:p>
        </w:tc>
        <w:tc>
          <w:tcPr>
            <w:tcW w:w="850" w:type="dxa"/>
            <w:noWrap w:val="0"/>
            <w:vAlign w:val="top"/>
          </w:tcPr>
          <w:p w14:paraId="0A4F2DF1">
            <w:pPr>
              <w:rPr>
                <w:rFonts w:hint="eastAsia" w:ascii="宋体" w:hAnsi="宋体" w:cs="宋体"/>
                <w:color w:val="auto"/>
                <w:szCs w:val="21"/>
                <w:highlight w:val="none"/>
              </w:rPr>
            </w:pPr>
          </w:p>
        </w:tc>
        <w:tc>
          <w:tcPr>
            <w:tcW w:w="709" w:type="dxa"/>
            <w:noWrap w:val="0"/>
            <w:vAlign w:val="top"/>
          </w:tcPr>
          <w:p w14:paraId="1472D7D6">
            <w:pPr>
              <w:rPr>
                <w:rFonts w:hint="eastAsia" w:ascii="宋体" w:hAnsi="宋体" w:cs="宋体"/>
                <w:color w:val="auto"/>
                <w:szCs w:val="21"/>
                <w:highlight w:val="none"/>
              </w:rPr>
            </w:pPr>
          </w:p>
        </w:tc>
        <w:tc>
          <w:tcPr>
            <w:tcW w:w="850" w:type="dxa"/>
            <w:noWrap w:val="0"/>
            <w:vAlign w:val="top"/>
          </w:tcPr>
          <w:p w14:paraId="17ED3BFC">
            <w:pPr>
              <w:rPr>
                <w:rFonts w:hint="eastAsia" w:ascii="宋体" w:hAnsi="宋体" w:cs="宋体"/>
                <w:color w:val="auto"/>
                <w:szCs w:val="21"/>
                <w:highlight w:val="none"/>
              </w:rPr>
            </w:pPr>
          </w:p>
        </w:tc>
        <w:tc>
          <w:tcPr>
            <w:tcW w:w="963" w:type="dxa"/>
            <w:noWrap w:val="0"/>
            <w:vAlign w:val="top"/>
          </w:tcPr>
          <w:p w14:paraId="2C068CD7">
            <w:pPr>
              <w:rPr>
                <w:rFonts w:hint="eastAsia" w:ascii="宋体" w:hAnsi="宋体" w:cs="宋体"/>
                <w:color w:val="auto"/>
                <w:szCs w:val="21"/>
                <w:highlight w:val="none"/>
              </w:rPr>
            </w:pPr>
          </w:p>
        </w:tc>
        <w:tc>
          <w:tcPr>
            <w:tcW w:w="1480" w:type="dxa"/>
            <w:noWrap w:val="0"/>
            <w:vAlign w:val="top"/>
          </w:tcPr>
          <w:p w14:paraId="764EB553">
            <w:pPr>
              <w:rPr>
                <w:rFonts w:hint="eastAsia" w:ascii="宋体" w:hAnsi="宋体" w:cs="宋体"/>
                <w:color w:val="auto"/>
                <w:szCs w:val="21"/>
                <w:highlight w:val="none"/>
              </w:rPr>
            </w:pPr>
          </w:p>
        </w:tc>
        <w:tc>
          <w:tcPr>
            <w:tcW w:w="1020" w:type="dxa"/>
            <w:noWrap w:val="0"/>
            <w:vAlign w:val="top"/>
          </w:tcPr>
          <w:p w14:paraId="3C999C45">
            <w:pPr>
              <w:rPr>
                <w:rFonts w:hint="eastAsia" w:ascii="宋体" w:hAnsi="宋体" w:cs="宋体"/>
                <w:color w:val="auto"/>
                <w:szCs w:val="21"/>
                <w:highlight w:val="none"/>
              </w:rPr>
            </w:pPr>
          </w:p>
        </w:tc>
        <w:tc>
          <w:tcPr>
            <w:tcW w:w="932" w:type="dxa"/>
            <w:noWrap w:val="0"/>
            <w:vAlign w:val="top"/>
          </w:tcPr>
          <w:p w14:paraId="284D3042">
            <w:pPr>
              <w:rPr>
                <w:rFonts w:hint="eastAsia" w:ascii="宋体" w:hAnsi="宋体" w:cs="宋体"/>
                <w:color w:val="auto"/>
                <w:szCs w:val="21"/>
                <w:highlight w:val="none"/>
              </w:rPr>
            </w:pPr>
          </w:p>
        </w:tc>
      </w:tr>
      <w:tr w14:paraId="074BEF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7C9BAD7C">
            <w:pPr>
              <w:rPr>
                <w:rFonts w:hint="eastAsia" w:ascii="宋体" w:hAnsi="宋体" w:cs="宋体"/>
                <w:color w:val="auto"/>
                <w:szCs w:val="21"/>
                <w:highlight w:val="none"/>
              </w:rPr>
            </w:pPr>
          </w:p>
        </w:tc>
        <w:tc>
          <w:tcPr>
            <w:tcW w:w="1418" w:type="dxa"/>
            <w:tcBorders>
              <w:bottom w:val="single" w:color="auto" w:sz="12" w:space="0"/>
            </w:tcBorders>
            <w:noWrap w:val="0"/>
            <w:vAlign w:val="top"/>
          </w:tcPr>
          <w:p w14:paraId="06F8211F">
            <w:pPr>
              <w:rPr>
                <w:rFonts w:hint="eastAsia" w:ascii="宋体" w:hAnsi="宋体" w:cs="宋体"/>
                <w:color w:val="auto"/>
                <w:szCs w:val="21"/>
                <w:highlight w:val="none"/>
              </w:rPr>
            </w:pPr>
          </w:p>
        </w:tc>
        <w:tc>
          <w:tcPr>
            <w:tcW w:w="850" w:type="dxa"/>
            <w:tcBorders>
              <w:bottom w:val="single" w:color="auto" w:sz="12" w:space="0"/>
            </w:tcBorders>
            <w:noWrap w:val="0"/>
            <w:vAlign w:val="top"/>
          </w:tcPr>
          <w:p w14:paraId="45889376">
            <w:pPr>
              <w:rPr>
                <w:rFonts w:hint="eastAsia" w:ascii="宋体" w:hAnsi="宋体" w:cs="宋体"/>
                <w:color w:val="auto"/>
                <w:szCs w:val="21"/>
                <w:highlight w:val="none"/>
              </w:rPr>
            </w:pPr>
          </w:p>
        </w:tc>
        <w:tc>
          <w:tcPr>
            <w:tcW w:w="709" w:type="dxa"/>
            <w:tcBorders>
              <w:bottom w:val="single" w:color="auto" w:sz="12" w:space="0"/>
            </w:tcBorders>
            <w:noWrap w:val="0"/>
            <w:vAlign w:val="top"/>
          </w:tcPr>
          <w:p w14:paraId="6F9ED4E4">
            <w:pPr>
              <w:rPr>
                <w:rFonts w:hint="eastAsia" w:ascii="宋体" w:hAnsi="宋体" w:cs="宋体"/>
                <w:color w:val="auto"/>
                <w:szCs w:val="21"/>
                <w:highlight w:val="none"/>
              </w:rPr>
            </w:pPr>
          </w:p>
        </w:tc>
        <w:tc>
          <w:tcPr>
            <w:tcW w:w="850" w:type="dxa"/>
            <w:tcBorders>
              <w:bottom w:val="single" w:color="auto" w:sz="12" w:space="0"/>
            </w:tcBorders>
            <w:noWrap w:val="0"/>
            <w:vAlign w:val="top"/>
          </w:tcPr>
          <w:p w14:paraId="467AA399">
            <w:pPr>
              <w:rPr>
                <w:rFonts w:hint="eastAsia" w:ascii="宋体" w:hAnsi="宋体" w:cs="宋体"/>
                <w:color w:val="auto"/>
                <w:szCs w:val="21"/>
                <w:highlight w:val="none"/>
              </w:rPr>
            </w:pPr>
          </w:p>
        </w:tc>
        <w:tc>
          <w:tcPr>
            <w:tcW w:w="963" w:type="dxa"/>
            <w:tcBorders>
              <w:bottom w:val="single" w:color="auto" w:sz="12" w:space="0"/>
            </w:tcBorders>
            <w:noWrap w:val="0"/>
            <w:vAlign w:val="top"/>
          </w:tcPr>
          <w:p w14:paraId="3B0CFC02">
            <w:pPr>
              <w:rPr>
                <w:rFonts w:hint="eastAsia" w:ascii="宋体" w:hAnsi="宋体" w:cs="宋体"/>
                <w:color w:val="auto"/>
                <w:szCs w:val="21"/>
                <w:highlight w:val="none"/>
              </w:rPr>
            </w:pPr>
          </w:p>
        </w:tc>
        <w:tc>
          <w:tcPr>
            <w:tcW w:w="1480" w:type="dxa"/>
            <w:tcBorders>
              <w:bottom w:val="single" w:color="auto" w:sz="12" w:space="0"/>
            </w:tcBorders>
            <w:noWrap w:val="0"/>
            <w:vAlign w:val="top"/>
          </w:tcPr>
          <w:p w14:paraId="09FA2843">
            <w:pPr>
              <w:rPr>
                <w:rFonts w:hint="eastAsia" w:ascii="宋体" w:hAnsi="宋体" w:cs="宋体"/>
                <w:color w:val="auto"/>
                <w:szCs w:val="21"/>
                <w:highlight w:val="none"/>
              </w:rPr>
            </w:pPr>
          </w:p>
        </w:tc>
        <w:tc>
          <w:tcPr>
            <w:tcW w:w="1020" w:type="dxa"/>
            <w:tcBorders>
              <w:bottom w:val="single" w:color="auto" w:sz="12" w:space="0"/>
            </w:tcBorders>
            <w:noWrap w:val="0"/>
            <w:vAlign w:val="top"/>
          </w:tcPr>
          <w:p w14:paraId="2F71C376">
            <w:pPr>
              <w:rPr>
                <w:rFonts w:hint="eastAsia" w:ascii="宋体" w:hAnsi="宋体" w:cs="宋体"/>
                <w:color w:val="auto"/>
                <w:szCs w:val="21"/>
                <w:highlight w:val="none"/>
              </w:rPr>
            </w:pPr>
          </w:p>
        </w:tc>
        <w:tc>
          <w:tcPr>
            <w:tcW w:w="932" w:type="dxa"/>
            <w:tcBorders>
              <w:bottom w:val="single" w:color="auto" w:sz="12" w:space="0"/>
            </w:tcBorders>
            <w:noWrap w:val="0"/>
            <w:vAlign w:val="top"/>
          </w:tcPr>
          <w:p w14:paraId="1C07E8C5">
            <w:pPr>
              <w:rPr>
                <w:rFonts w:hint="eastAsia" w:ascii="宋体" w:hAnsi="宋体" w:cs="宋体"/>
                <w:color w:val="auto"/>
                <w:szCs w:val="21"/>
                <w:highlight w:val="none"/>
              </w:rPr>
            </w:pPr>
          </w:p>
        </w:tc>
      </w:tr>
    </w:tbl>
    <w:p w14:paraId="3A1A1EC1">
      <w:pPr>
        <w:rPr>
          <w:rFonts w:hint="eastAsia" w:ascii="宋体" w:hAnsi="宋体" w:cs="宋体"/>
          <w:color w:val="auto"/>
          <w:szCs w:val="21"/>
          <w:highlight w:val="none"/>
        </w:rPr>
      </w:pPr>
    </w:p>
    <w:p w14:paraId="584F43B0">
      <w:pPr>
        <w:widowControl/>
        <w:spacing w:line="360" w:lineRule="auto"/>
        <w:rPr>
          <w:rFonts w:hint="eastAsia" w:ascii="宋体" w:hAnsi="宋体" w:cs="宋体"/>
          <w:color w:val="auto"/>
          <w:szCs w:val="21"/>
          <w:highlight w:val="none"/>
        </w:rPr>
      </w:pPr>
    </w:p>
    <w:p w14:paraId="77EE3D7A">
      <w:pPr>
        <w:widowControl/>
        <w:spacing w:line="360" w:lineRule="auto"/>
        <w:rPr>
          <w:rFonts w:hint="eastAsia" w:ascii="宋体" w:hAnsi="宋体" w:cs="宋体"/>
          <w:color w:val="auto"/>
          <w:szCs w:val="21"/>
          <w:highlight w:val="none"/>
        </w:rPr>
      </w:pPr>
    </w:p>
    <w:p w14:paraId="348ADF1E">
      <w:pPr>
        <w:widowControl/>
        <w:spacing w:line="360" w:lineRule="auto"/>
        <w:rPr>
          <w:rFonts w:hint="eastAsia" w:ascii="宋体" w:hAnsi="宋体" w:cs="宋体"/>
          <w:color w:val="auto"/>
          <w:szCs w:val="21"/>
          <w:highlight w:val="none"/>
        </w:rPr>
      </w:pPr>
    </w:p>
    <w:p w14:paraId="7192F449">
      <w:pPr>
        <w:widowControl/>
        <w:spacing w:line="360" w:lineRule="auto"/>
        <w:rPr>
          <w:rFonts w:hint="eastAsia" w:ascii="宋体" w:hAnsi="宋体" w:cs="宋体"/>
          <w:color w:val="auto"/>
          <w:szCs w:val="21"/>
          <w:highlight w:val="none"/>
        </w:rPr>
      </w:pPr>
    </w:p>
    <w:p w14:paraId="605323A4">
      <w:pPr>
        <w:widowControl/>
        <w:spacing w:line="360" w:lineRule="auto"/>
        <w:rPr>
          <w:rFonts w:hint="eastAsia" w:ascii="宋体" w:hAnsi="宋体" w:cs="宋体"/>
          <w:color w:val="auto"/>
          <w:szCs w:val="21"/>
          <w:highlight w:val="none"/>
        </w:rPr>
      </w:pPr>
    </w:p>
    <w:p w14:paraId="16CF0E1C">
      <w:pPr>
        <w:widowControl/>
        <w:spacing w:line="360" w:lineRule="auto"/>
        <w:rPr>
          <w:rFonts w:hint="eastAsia" w:ascii="宋体" w:hAnsi="宋体" w:cs="宋体"/>
          <w:color w:val="auto"/>
          <w:szCs w:val="21"/>
          <w:highlight w:val="none"/>
        </w:rPr>
      </w:pPr>
    </w:p>
    <w:p w14:paraId="7BD161C5">
      <w:pPr>
        <w:widowControl/>
        <w:spacing w:line="360" w:lineRule="auto"/>
        <w:rPr>
          <w:rFonts w:hint="eastAsia" w:ascii="宋体" w:hAnsi="宋体" w:cs="宋体"/>
          <w:color w:val="auto"/>
          <w:szCs w:val="21"/>
          <w:highlight w:val="none"/>
        </w:rPr>
      </w:pPr>
    </w:p>
    <w:p w14:paraId="410D9667">
      <w:pPr>
        <w:widowControl/>
        <w:spacing w:line="360" w:lineRule="auto"/>
        <w:rPr>
          <w:rFonts w:hint="eastAsia" w:ascii="宋体" w:hAnsi="宋体" w:cs="宋体"/>
          <w:color w:val="auto"/>
          <w:sz w:val="24"/>
          <w:highlight w:val="none"/>
        </w:rPr>
      </w:pPr>
    </w:p>
    <w:p w14:paraId="73C058E7">
      <w:pPr>
        <w:keepNext/>
        <w:keepLines/>
        <w:spacing w:before="120" w:after="120" w:line="360" w:lineRule="auto"/>
        <w:jc w:val="left"/>
        <w:outlineLvl w:val="2"/>
        <w:rPr>
          <w:rFonts w:hint="eastAsia" w:ascii="宋体" w:hAnsi="宋体" w:cs="宋体"/>
          <w:bCs/>
          <w:color w:val="auto"/>
          <w:sz w:val="24"/>
          <w:highlight w:val="none"/>
        </w:rPr>
      </w:pPr>
      <w:bookmarkStart w:id="1337" w:name="_Toc95223492"/>
      <w:r>
        <w:rPr>
          <w:rFonts w:hint="eastAsia" w:ascii="宋体" w:hAnsi="宋体" w:cs="宋体"/>
          <w:bCs/>
          <w:color w:val="auto"/>
          <w:sz w:val="24"/>
          <w:highlight w:val="none"/>
        </w:rPr>
        <w:t>附</w:t>
      </w:r>
      <w:bookmarkStart w:id="1338" w:name="_Toc267261699"/>
      <w:bookmarkStart w:id="1339" w:name="_Toc296891056"/>
      <w:bookmarkStart w:id="1340" w:name="_Toc296347227"/>
      <w:bookmarkStart w:id="1341" w:name="_Toc296346729"/>
      <w:bookmarkStart w:id="1342" w:name="_Toc296503228"/>
      <w:bookmarkStart w:id="1343" w:name="_Toc296891268"/>
      <w:bookmarkStart w:id="1344" w:name="_Toc296944567"/>
      <w:r>
        <w:rPr>
          <w:rFonts w:hint="eastAsia" w:ascii="宋体" w:hAnsi="宋体" w:cs="宋体"/>
          <w:bCs/>
          <w:color w:val="auto"/>
          <w:sz w:val="24"/>
          <w:highlight w:val="none"/>
        </w:rPr>
        <w:t>件</w:t>
      </w:r>
      <w:bookmarkEnd w:id="1338"/>
      <w:bookmarkEnd w:id="1339"/>
      <w:bookmarkEnd w:id="1340"/>
      <w:bookmarkEnd w:id="1341"/>
      <w:bookmarkEnd w:id="1342"/>
      <w:bookmarkEnd w:id="1343"/>
      <w:bookmarkEnd w:id="1344"/>
      <w:r>
        <w:rPr>
          <w:rFonts w:hint="eastAsia" w:ascii="宋体" w:hAnsi="宋体" w:cs="宋体"/>
          <w:bCs/>
          <w:color w:val="auto"/>
          <w:sz w:val="24"/>
          <w:highlight w:val="none"/>
        </w:rPr>
        <w:t>6：承包人主要施工管理人员表</w:t>
      </w:r>
      <w:bookmarkEnd w:id="1337"/>
    </w:p>
    <w:p w14:paraId="25408B33">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20"/>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231F2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2AFA7715">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7AFF2AFA">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1BD580EB">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425114AC">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2D778C88">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5AA2A5DD">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0FC102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5F5A9D75">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37D43740">
            <w:pPr>
              <w:keepNext/>
              <w:spacing w:line="360" w:lineRule="auto"/>
              <w:jc w:val="center"/>
              <w:rPr>
                <w:rFonts w:hint="eastAsia" w:ascii="宋体" w:hAnsi="宋体" w:cs="宋体"/>
                <w:color w:val="auto"/>
                <w:szCs w:val="21"/>
                <w:highlight w:val="none"/>
              </w:rPr>
            </w:pPr>
          </w:p>
        </w:tc>
      </w:tr>
      <w:tr w14:paraId="4B62B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65B67D4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66EA823A">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14:paraId="207CF6A7">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14:paraId="1DE19859">
            <w:pPr>
              <w:keepNext/>
              <w:spacing w:line="360" w:lineRule="auto"/>
              <w:jc w:val="center"/>
              <w:rPr>
                <w:rFonts w:hint="eastAsia" w:ascii="宋体" w:hAnsi="宋体" w:cs="宋体"/>
                <w:color w:val="auto"/>
                <w:szCs w:val="21"/>
                <w:highlight w:val="none"/>
              </w:rPr>
            </w:pPr>
          </w:p>
        </w:tc>
        <w:tc>
          <w:tcPr>
            <w:tcW w:w="1279" w:type="pct"/>
            <w:tcBorders>
              <w:top w:val="nil"/>
            </w:tcBorders>
            <w:noWrap w:val="0"/>
            <w:vAlign w:val="center"/>
          </w:tcPr>
          <w:p w14:paraId="10FE9560">
            <w:pPr>
              <w:keepNext/>
              <w:spacing w:line="360" w:lineRule="auto"/>
              <w:jc w:val="center"/>
              <w:rPr>
                <w:rFonts w:hint="eastAsia" w:ascii="宋体" w:hAnsi="宋体" w:cs="宋体"/>
                <w:color w:val="auto"/>
                <w:szCs w:val="21"/>
                <w:highlight w:val="none"/>
              </w:rPr>
            </w:pPr>
          </w:p>
        </w:tc>
        <w:tc>
          <w:tcPr>
            <w:tcW w:w="1153" w:type="pct"/>
            <w:tcBorders>
              <w:top w:val="nil"/>
            </w:tcBorders>
            <w:noWrap w:val="0"/>
            <w:vAlign w:val="top"/>
          </w:tcPr>
          <w:p w14:paraId="49AABB0F">
            <w:pPr>
              <w:keepNext/>
              <w:spacing w:line="360" w:lineRule="auto"/>
              <w:jc w:val="center"/>
              <w:rPr>
                <w:rFonts w:hint="eastAsia" w:ascii="宋体" w:hAnsi="宋体" w:cs="宋体"/>
                <w:color w:val="auto"/>
                <w:szCs w:val="21"/>
                <w:highlight w:val="none"/>
              </w:rPr>
            </w:pPr>
          </w:p>
        </w:tc>
      </w:tr>
      <w:tr w14:paraId="35747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63F23A11">
            <w:pPr>
              <w:spacing w:line="360" w:lineRule="auto"/>
              <w:jc w:val="center"/>
              <w:rPr>
                <w:rFonts w:hint="eastAsia" w:ascii="宋体" w:hAnsi="宋体" w:cs="宋体"/>
                <w:color w:val="auto"/>
                <w:szCs w:val="21"/>
                <w:highlight w:val="none"/>
              </w:rPr>
            </w:pPr>
          </w:p>
        </w:tc>
        <w:tc>
          <w:tcPr>
            <w:tcW w:w="627" w:type="pct"/>
            <w:noWrap w:val="0"/>
            <w:vAlign w:val="center"/>
          </w:tcPr>
          <w:p w14:paraId="43A918A5">
            <w:pPr>
              <w:keepNext/>
              <w:spacing w:line="360" w:lineRule="auto"/>
              <w:jc w:val="center"/>
              <w:rPr>
                <w:rFonts w:hint="eastAsia" w:ascii="宋体" w:hAnsi="宋体" w:cs="宋体"/>
                <w:color w:val="auto"/>
                <w:szCs w:val="21"/>
                <w:highlight w:val="none"/>
              </w:rPr>
            </w:pPr>
          </w:p>
        </w:tc>
        <w:tc>
          <w:tcPr>
            <w:tcW w:w="502" w:type="pct"/>
            <w:noWrap w:val="0"/>
            <w:vAlign w:val="center"/>
          </w:tcPr>
          <w:p w14:paraId="71DFC45C">
            <w:pPr>
              <w:keepNext/>
              <w:spacing w:line="360" w:lineRule="auto"/>
              <w:jc w:val="center"/>
              <w:rPr>
                <w:rFonts w:hint="eastAsia" w:ascii="宋体" w:hAnsi="宋体" w:cs="宋体"/>
                <w:color w:val="auto"/>
                <w:szCs w:val="21"/>
                <w:highlight w:val="none"/>
              </w:rPr>
            </w:pPr>
          </w:p>
        </w:tc>
        <w:tc>
          <w:tcPr>
            <w:tcW w:w="502" w:type="pct"/>
            <w:noWrap w:val="0"/>
            <w:vAlign w:val="center"/>
          </w:tcPr>
          <w:p w14:paraId="639B1EC5">
            <w:pPr>
              <w:keepNext/>
              <w:spacing w:line="360" w:lineRule="auto"/>
              <w:jc w:val="center"/>
              <w:rPr>
                <w:rFonts w:hint="eastAsia" w:ascii="宋体" w:hAnsi="宋体" w:cs="宋体"/>
                <w:color w:val="auto"/>
                <w:szCs w:val="21"/>
                <w:highlight w:val="none"/>
              </w:rPr>
            </w:pPr>
          </w:p>
        </w:tc>
        <w:tc>
          <w:tcPr>
            <w:tcW w:w="1279" w:type="pct"/>
            <w:noWrap w:val="0"/>
            <w:vAlign w:val="center"/>
          </w:tcPr>
          <w:p w14:paraId="1A86D7CC">
            <w:pPr>
              <w:keepNext/>
              <w:spacing w:line="360" w:lineRule="auto"/>
              <w:jc w:val="center"/>
              <w:rPr>
                <w:rFonts w:hint="eastAsia" w:ascii="宋体" w:hAnsi="宋体" w:cs="宋体"/>
                <w:color w:val="auto"/>
                <w:szCs w:val="21"/>
                <w:highlight w:val="none"/>
              </w:rPr>
            </w:pPr>
          </w:p>
        </w:tc>
        <w:tc>
          <w:tcPr>
            <w:tcW w:w="1153" w:type="pct"/>
            <w:noWrap w:val="0"/>
            <w:vAlign w:val="top"/>
          </w:tcPr>
          <w:p w14:paraId="35AAE3EF">
            <w:pPr>
              <w:keepNext/>
              <w:spacing w:line="360" w:lineRule="auto"/>
              <w:jc w:val="center"/>
              <w:rPr>
                <w:rFonts w:hint="eastAsia" w:ascii="宋体" w:hAnsi="宋体" w:cs="宋体"/>
                <w:color w:val="auto"/>
                <w:szCs w:val="21"/>
                <w:highlight w:val="none"/>
              </w:rPr>
            </w:pPr>
          </w:p>
        </w:tc>
      </w:tr>
      <w:tr w14:paraId="45245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FC8E97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2B2E4A0B">
            <w:pPr>
              <w:keepNext/>
              <w:spacing w:line="360" w:lineRule="auto"/>
              <w:jc w:val="center"/>
              <w:rPr>
                <w:rFonts w:hint="eastAsia" w:ascii="宋体" w:hAnsi="宋体" w:cs="宋体"/>
                <w:color w:val="auto"/>
                <w:szCs w:val="21"/>
                <w:highlight w:val="none"/>
              </w:rPr>
            </w:pPr>
          </w:p>
        </w:tc>
        <w:tc>
          <w:tcPr>
            <w:tcW w:w="502" w:type="pct"/>
            <w:noWrap w:val="0"/>
            <w:vAlign w:val="center"/>
          </w:tcPr>
          <w:p w14:paraId="2CF16C4D">
            <w:pPr>
              <w:keepNext/>
              <w:spacing w:line="360" w:lineRule="auto"/>
              <w:jc w:val="center"/>
              <w:rPr>
                <w:rFonts w:hint="eastAsia" w:ascii="宋体" w:hAnsi="宋体" w:cs="宋体"/>
                <w:color w:val="auto"/>
                <w:szCs w:val="21"/>
                <w:highlight w:val="none"/>
              </w:rPr>
            </w:pPr>
          </w:p>
        </w:tc>
        <w:tc>
          <w:tcPr>
            <w:tcW w:w="502" w:type="pct"/>
            <w:noWrap w:val="0"/>
            <w:vAlign w:val="center"/>
          </w:tcPr>
          <w:p w14:paraId="27F60913">
            <w:pPr>
              <w:keepNext/>
              <w:spacing w:line="360" w:lineRule="auto"/>
              <w:jc w:val="center"/>
              <w:rPr>
                <w:rFonts w:hint="eastAsia" w:ascii="宋体" w:hAnsi="宋体" w:cs="宋体"/>
                <w:color w:val="auto"/>
                <w:szCs w:val="21"/>
                <w:highlight w:val="none"/>
              </w:rPr>
            </w:pPr>
          </w:p>
        </w:tc>
        <w:tc>
          <w:tcPr>
            <w:tcW w:w="1279" w:type="pct"/>
            <w:noWrap w:val="0"/>
            <w:vAlign w:val="center"/>
          </w:tcPr>
          <w:p w14:paraId="1A62E593">
            <w:pPr>
              <w:keepNext/>
              <w:spacing w:line="360" w:lineRule="auto"/>
              <w:jc w:val="center"/>
              <w:rPr>
                <w:rFonts w:hint="eastAsia" w:ascii="宋体" w:hAnsi="宋体" w:cs="宋体"/>
                <w:color w:val="auto"/>
                <w:szCs w:val="21"/>
                <w:highlight w:val="none"/>
              </w:rPr>
            </w:pPr>
          </w:p>
        </w:tc>
        <w:tc>
          <w:tcPr>
            <w:tcW w:w="1153" w:type="pct"/>
            <w:noWrap w:val="0"/>
            <w:vAlign w:val="top"/>
          </w:tcPr>
          <w:p w14:paraId="00A13F4E">
            <w:pPr>
              <w:keepNext/>
              <w:spacing w:line="360" w:lineRule="auto"/>
              <w:jc w:val="center"/>
              <w:rPr>
                <w:rFonts w:hint="eastAsia" w:ascii="宋体" w:hAnsi="宋体" w:cs="宋体"/>
                <w:color w:val="auto"/>
                <w:szCs w:val="21"/>
                <w:highlight w:val="none"/>
              </w:rPr>
            </w:pPr>
          </w:p>
        </w:tc>
      </w:tr>
      <w:tr w14:paraId="17380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75784182">
            <w:pPr>
              <w:spacing w:line="360" w:lineRule="auto"/>
              <w:jc w:val="center"/>
              <w:rPr>
                <w:rFonts w:hint="eastAsia" w:ascii="宋体" w:hAnsi="宋体" w:cs="宋体"/>
                <w:color w:val="auto"/>
                <w:szCs w:val="21"/>
                <w:highlight w:val="none"/>
              </w:rPr>
            </w:pPr>
          </w:p>
        </w:tc>
        <w:tc>
          <w:tcPr>
            <w:tcW w:w="627" w:type="pct"/>
            <w:noWrap w:val="0"/>
            <w:vAlign w:val="center"/>
          </w:tcPr>
          <w:p w14:paraId="3C648259">
            <w:pPr>
              <w:keepNext/>
              <w:spacing w:line="360" w:lineRule="auto"/>
              <w:jc w:val="center"/>
              <w:rPr>
                <w:rFonts w:hint="eastAsia" w:ascii="宋体" w:hAnsi="宋体" w:cs="宋体"/>
                <w:color w:val="auto"/>
                <w:szCs w:val="21"/>
                <w:highlight w:val="none"/>
              </w:rPr>
            </w:pPr>
          </w:p>
        </w:tc>
        <w:tc>
          <w:tcPr>
            <w:tcW w:w="502" w:type="pct"/>
            <w:noWrap w:val="0"/>
            <w:vAlign w:val="center"/>
          </w:tcPr>
          <w:p w14:paraId="52269E7C">
            <w:pPr>
              <w:keepNext/>
              <w:spacing w:line="360" w:lineRule="auto"/>
              <w:jc w:val="center"/>
              <w:rPr>
                <w:rFonts w:hint="eastAsia" w:ascii="宋体" w:hAnsi="宋体" w:cs="宋体"/>
                <w:color w:val="auto"/>
                <w:szCs w:val="21"/>
                <w:highlight w:val="none"/>
              </w:rPr>
            </w:pPr>
          </w:p>
        </w:tc>
        <w:tc>
          <w:tcPr>
            <w:tcW w:w="502" w:type="pct"/>
            <w:noWrap w:val="0"/>
            <w:vAlign w:val="center"/>
          </w:tcPr>
          <w:p w14:paraId="700F22BC">
            <w:pPr>
              <w:keepNext/>
              <w:spacing w:line="360" w:lineRule="auto"/>
              <w:jc w:val="center"/>
              <w:rPr>
                <w:rFonts w:hint="eastAsia" w:ascii="宋体" w:hAnsi="宋体" w:cs="宋体"/>
                <w:color w:val="auto"/>
                <w:szCs w:val="21"/>
                <w:highlight w:val="none"/>
              </w:rPr>
            </w:pPr>
          </w:p>
        </w:tc>
        <w:tc>
          <w:tcPr>
            <w:tcW w:w="1279" w:type="pct"/>
            <w:noWrap w:val="0"/>
            <w:vAlign w:val="center"/>
          </w:tcPr>
          <w:p w14:paraId="7A7A039A">
            <w:pPr>
              <w:keepNext/>
              <w:spacing w:line="360" w:lineRule="auto"/>
              <w:jc w:val="center"/>
              <w:rPr>
                <w:rFonts w:hint="eastAsia" w:ascii="宋体" w:hAnsi="宋体" w:cs="宋体"/>
                <w:color w:val="auto"/>
                <w:szCs w:val="21"/>
                <w:highlight w:val="none"/>
              </w:rPr>
            </w:pPr>
          </w:p>
        </w:tc>
        <w:tc>
          <w:tcPr>
            <w:tcW w:w="1153" w:type="pct"/>
            <w:noWrap w:val="0"/>
            <w:vAlign w:val="top"/>
          </w:tcPr>
          <w:p w14:paraId="30A55953">
            <w:pPr>
              <w:keepNext/>
              <w:spacing w:line="360" w:lineRule="auto"/>
              <w:jc w:val="center"/>
              <w:rPr>
                <w:rFonts w:hint="eastAsia" w:ascii="宋体" w:hAnsi="宋体" w:cs="宋体"/>
                <w:color w:val="auto"/>
                <w:szCs w:val="21"/>
                <w:highlight w:val="none"/>
              </w:rPr>
            </w:pPr>
          </w:p>
        </w:tc>
      </w:tr>
      <w:tr w14:paraId="160787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7C5A5F69">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7FF90BBD">
            <w:pPr>
              <w:keepNext/>
              <w:spacing w:line="360" w:lineRule="auto"/>
              <w:jc w:val="center"/>
              <w:rPr>
                <w:rFonts w:hint="eastAsia" w:ascii="宋体" w:hAnsi="宋体" w:cs="宋体"/>
                <w:color w:val="auto"/>
                <w:szCs w:val="21"/>
                <w:highlight w:val="none"/>
              </w:rPr>
            </w:pPr>
          </w:p>
        </w:tc>
      </w:tr>
      <w:tr w14:paraId="32EDF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E2DD3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6D9C8052">
            <w:pPr>
              <w:keepNext/>
              <w:spacing w:line="360" w:lineRule="auto"/>
              <w:jc w:val="center"/>
              <w:rPr>
                <w:rFonts w:hint="eastAsia" w:ascii="宋体" w:hAnsi="宋体" w:cs="宋体"/>
                <w:color w:val="auto"/>
                <w:szCs w:val="21"/>
                <w:highlight w:val="none"/>
              </w:rPr>
            </w:pPr>
          </w:p>
        </w:tc>
        <w:tc>
          <w:tcPr>
            <w:tcW w:w="502" w:type="pct"/>
            <w:noWrap w:val="0"/>
            <w:vAlign w:val="center"/>
          </w:tcPr>
          <w:p w14:paraId="3315B14E">
            <w:pPr>
              <w:keepNext/>
              <w:spacing w:line="360" w:lineRule="auto"/>
              <w:jc w:val="center"/>
              <w:rPr>
                <w:rFonts w:hint="eastAsia" w:ascii="宋体" w:hAnsi="宋体" w:cs="宋体"/>
                <w:color w:val="auto"/>
                <w:szCs w:val="21"/>
                <w:highlight w:val="none"/>
              </w:rPr>
            </w:pPr>
          </w:p>
        </w:tc>
        <w:tc>
          <w:tcPr>
            <w:tcW w:w="502" w:type="pct"/>
            <w:noWrap w:val="0"/>
            <w:vAlign w:val="center"/>
          </w:tcPr>
          <w:p w14:paraId="5AD2C7B0">
            <w:pPr>
              <w:keepNext/>
              <w:spacing w:line="360" w:lineRule="auto"/>
              <w:jc w:val="center"/>
              <w:rPr>
                <w:rFonts w:hint="eastAsia" w:ascii="宋体" w:hAnsi="宋体" w:cs="宋体"/>
                <w:color w:val="auto"/>
                <w:szCs w:val="21"/>
                <w:highlight w:val="none"/>
              </w:rPr>
            </w:pPr>
          </w:p>
        </w:tc>
        <w:tc>
          <w:tcPr>
            <w:tcW w:w="1279" w:type="pct"/>
            <w:noWrap w:val="0"/>
            <w:vAlign w:val="center"/>
          </w:tcPr>
          <w:p w14:paraId="050C03EA">
            <w:pPr>
              <w:keepNext/>
              <w:spacing w:line="360" w:lineRule="auto"/>
              <w:jc w:val="center"/>
              <w:rPr>
                <w:rFonts w:hint="eastAsia" w:ascii="宋体" w:hAnsi="宋体" w:cs="宋体"/>
                <w:color w:val="auto"/>
                <w:szCs w:val="21"/>
                <w:highlight w:val="none"/>
              </w:rPr>
            </w:pPr>
          </w:p>
        </w:tc>
        <w:tc>
          <w:tcPr>
            <w:tcW w:w="1153" w:type="pct"/>
            <w:noWrap w:val="0"/>
            <w:vAlign w:val="top"/>
          </w:tcPr>
          <w:p w14:paraId="6A219D72">
            <w:pPr>
              <w:keepNext/>
              <w:spacing w:line="360" w:lineRule="auto"/>
              <w:jc w:val="center"/>
              <w:rPr>
                <w:rFonts w:hint="eastAsia" w:ascii="宋体" w:hAnsi="宋体" w:cs="宋体"/>
                <w:color w:val="auto"/>
                <w:szCs w:val="21"/>
                <w:highlight w:val="none"/>
              </w:rPr>
            </w:pPr>
          </w:p>
        </w:tc>
      </w:tr>
      <w:tr w14:paraId="7A1C6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16739E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22D174AD">
            <w:pPr>
              <w:keepNext/>
              <w:spacing w:line="360" w:lineRule="auto"/>
              <w:jc w:val="center"/>
              <w:rPr>
                <w:rFonts w:hint="eastAsia" w:ascii="宋体" w:hAnsi="宋体" w:cs="宋体"/>
                <w:color w:val="auto"/>
                <w:szCs w:val="21"/>
                <w:highlight w:val="none"/>
              </w:rPr>
            </w:pPr>
          </w:p>
        </w:tc>
        <w:tc>
          <w:tcPr>
            <w:tcW w:w="502" w:type="pct"/>
            <w:noWrap w:val="0"/>
            <w:vAlign w:val="center"/>
          </w:tcPr>
          <w:p w14:paraId="1BD698CA">
            <w:pPr>
              <w:keepNext/>
              <w:spacing w:line="360" w:lineRule="auto"/>
              <w:jc w:val="center"/>
              <w:rPr>
                <w:rFonts w:hint="eastAsia" w:ascii="宋体" w:hAnsi="宋体" w:cs="宋体"/>
                <w:color w:val="auto"/>
                <w:szCs w:val="21"/>
                <w:highlight w:val="none"/>
              </w:rPr>
            </w:pPr>
          </w:p>
        </w:tc>
        <w:tc>
          <w:tcPr>
            <w:tcW w:w="502" w:type="pct"/>
            <w:noWrap w:val="0"/>
            <w:vAlign w:val="center"/>
          </w:tcPr>
          <w:p w14:paraId="3194296D">
            <w:pPr>
              <w:keepNext/>
              <w:spacing w:line="360" w:lineRule="auto"/>
              <w:jc w:val="center"/>
              <w:rPr>
                <w:rFonts w:hint="eastAsia" w:ascii="宋体" w:hAnsi="宋体" w:cs="宋体"/>
                <w:color w:val="auto"/>
                <w:szCs w:val="21"/>
                <w:highlight w:val="none"/>
              </w:rPr>
            </w:pPr>
          </w:p>
        </w:tc>
        <w:tc>
          <w:tcPr>
            <w:tcW w:w="1279" w:type="pct"/>
            <w:noWrap w:val="0"/>
            <w:vAlign w:val="center"/>
          </w:tcPr>
          <w:p w14:paraId="7839BB3B">
            <w:pPr>
              <w:keepNext/>
              <w:spacing w:line="360" w:lineRule="auto"/>
              <w:jc w:val="center"/>
              <w:rPr>
                <w:rFonts w:hint="eastAsia" w:ascii="宋体" w:hAnsi="宋体" w:cs="宋体"/>
                <w:color w:val="auto"/>
                <w:szCs w:val="21"/>
                <w:highlight w:val="none"/>
              </w:rPr>
            </w:pPr>
          </w:p>
        </w:tc>
        <w:tc>
          <w:tcPr>
            <w:tcW w:w="1153" w:type="pct"/>
            <w:noWrap w:val="0"/>
            <w:vAlign w:val="top"/>
          </w:tcPr>
          <w:p w14:paraId="4A853AED">
            <w:pPr>
              <w:keepNext/>
              <w:spacing w:line="360" w:lineRule="auto"/>
              <w:jc w:val="center"/>
              <w:rPr>
                <w:rFonts w:hint="eastAsia" w:ascii="宋体" w:hAnsi="宋体" w:cs="宋体"/>
                <w:color w:val="auto"/>
                <w:szCs w:val="21"/>
                <w:highlight w:val="none"/>
              </w:rPr>
            </w:pPr>
          </w:p>
        </w:tc>
      </w:tr>
      <w:tr w14:paraId="7AB9C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A012B9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1F743BE3">
            <w:pPr>
              <w:keepNext/>
              <w:spacing w:line="360" w:lineRule="auto"/>
              <w:jc w:val="center"/>
              <w:rPr>
                <w:rFonts w:hint="eastAsia" w:ascii="宋体" w:hAnsi="宋体" w:cs="宋体"/>
                <w:color w:val="auto"/>
                <w:szCs w:val="21"/>
                <w:highlight w:val="none"/>
              </w:rPr>
            </w:pPr>
          </w:p>
        </w:tc>
        <w:tc>
          <w:tcPr>
            <w:tcW w:w="502" w:type="pct"/>
            <w:noWrap w:val="0"/>
            <w:vAlign w:val="center"/>
          </w:tcPr>
          <w:p w14:paraId="3FCE38C7">
            <w:pPr>
              <w:keepNext/>
              <w:spacing w:line="360" w:lineRule="auto"/>
              <w:jc w:val="center"/>
              <w:rPr>
                <w:rFonts w:hint="eastAsia" w:ascii="宋体" w:hAnsi="宋体" w:cs="宋体"/>
                <w:color w:val="auto"/>
                <w:szCs w:val="21"/>
                <w:highlight w:val="none"/>
              </w:rPr>
            </w:pPr>
          </w:p>
        </w:tc>
        <w:tc>
          <w:tcPr>
            <w:tcW w:w="502" w:type="pct"/>
            <w:noWrap w:val="0"/>
            <w:vAlign w:val="center"/>
          </w:tcPr>
          <w:p w14:paraId="4659F5B2">
            <w:pPr>
              <w:keepNext/>
              <w:spacing w:line="360" w:lineRule="auto"/>
              <w:jc w:val="center"/>
              <w:rPr>
                <w:rFonts w:hint="eastAsia" w:ascii="宋体" w:hAnsi="宋体" w:cs="宋体"/>
                <w:color w:val="auto"/>
                <w:szCs w:val="21"/>
                <w:highlight w:val="none"/>
              </w:rPr>
            </w:pPr>
          </w:p>
        </w:tc>
        <w:tc>
          <w:tcPr>
            <w:tcW w:w="1279" w:type="pct"/>
            <w:noWrap w:val="0"/>
            <w:vAlign w:val="center"/>
          </w:tcPr>
          <w:p w14:paraId="00A00763">
            <w:pPr>
              <w:keepNext/>
              <w:spacing w:line="360" w:lineRule="auto"/>
              <w:jc w:val="center"/>
              <w:rPr>
                <w:rFonts w:hint="eastAsia" w:ascii="宋体" w:hAnsi="宋体" w:cs="宋体"/>
                <w:color w:val="auto"/>
                <w:szCs w:val="21"/>
                <w:highlight w:val="none"/>
              </w:rPr>
            </w:pPr>
          </w:p>
        </w:tc>
        <w:tc>
          <w:tcPr>
            <w:tcW w:w="1153" w:type="pct"/>
            <w:noWrap w:val="0"/>
            <w:vAlign w:val="top"/>
          </w:tcPr>
          <w:p w14:paraId="7741B734">
            <w:pPr>
              <w:keepNext/>
              <w:spacing w:line="360" w:lineRule="auto"/>
              <w:jc w:val="center"/>
              <w:rPr>
                <w:rFonts w:hint="eastAsia" w:ascii="宋体" w:hAnsi="宋体" w:cs="宋体"/>
                <w:color w:val="auto"/>
                <w:szCs w:val="21"/>
                <w:highlight w:val="none"/>
              </w:rPr>
            </w:pPr>
          </w:p>
        </w:tc>
      </w:tr>
      <w:tr w14:paraId="730123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75CED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1B935C0F">
            <w:pPr>
              <w:keepNext/>
              <w:spacing w:line="360" w:lineRule="auto"/>
              <w:jc w:val="center"/>
              <w:rPr>
                <w:rFonts w:hint="eastAsia" w:ascii="宋体" w:hAnsi="宋体" w:cs="宋体"/>
                <w:color w:val="auto"/>
                <w:szCs w:val="21"/>
                <w:highlight w:val="none"/>
              </w:rPr>
            </w:pPr>
          </w:p>
        </w:tc>
        <w:tc>
          <w:tcPr>
            <w:tcW w:w="502" w:type="pct"/>
            <w:noWrap w:val="0"/>
            <w:vAlign w:val="center"/>
          </w:tcPr>
          <w:p w14:paraId="1FFFBDF9">
            <w:pPr>
              <w:keepNext/>
              <w:spacing w:line="360" w:lineRule="auto"/>
              <w:jc w:val="center"/>
              <w:rPr>
                <w:rFonts w:hint="eastAsia" w:ascii="宋体" w:hAnsi="宋体" w:cs="宋体"/>
                <w:color w:val="auto"/>
                <w:szCs w:val="21"/>
                <w:highlight w:val="none"/>
              </w:rPr>
            </w:pPr>
          </w:p>
        </w:tc>
        <w:tc>
          <w:tcPr>
            <w:tcW w:w="502" w:type="pct"/>
            <w:noWrap w:val="0"/>
            <w:vAlign w:val="center"/>
          </w:tcPr>
          <w:p w14:paraId="7C5095CE">
            <w:pPr>
              <w:keepNext/>
              <w:spacing w:line="360" w:lineRule="auto"/>
              <w:jc w:val="center"/>
              <w:rPr>
                <w:rFonts w:hint="eastAsia" w:ascii="宋体" w:hAnsi="宋体" w:cs="宋体"/>
                <w:color w:val="auto"/>
                <w:szCs w:val="21"/>
                <w:highlight w:val="none"/>
              </w:rPr>
            </w:pPr>
          </w:p>
        </w:tc>
        <w:tc>
          <w:tcPr>
            <w:tcW w:w="1279" w:type="pct"/>
            <w:noWrap w:val="0"/>
            <w:vAlign w:val="center"/>
          </w:tcPr>
          <w:p w14:paraId="6C72BFC5">
            <w:pPr>
              <w:keepNext/>
              <w:spacing w:line="360" w:lineRule="auto"/>
              <w:jc w:val="center"/>
              <w:rPr>
                <w:rFonts w:hint="eastAsia" w:ascii="宋体" w:hAnsi="宋体" w:cs="宋体"/>
                <w:color w:val="auto"/>
                <w:szCs w:val="21"/>
                <w:highlight w:val="none"/>
              </w:rPr>
            </w:pPr>
          </w:p>
        </w:tc>
        <w:tc>
          <w:tcPr>
            <w:tcW w:w="1153" w:type="pct"/>
            <w:noWrap w:val="0"/>
            <w:vAlign w:val="top"/>
          </w:tcPr>
          <w:p w14:paraId="53AEDCE0">
            <w:pPr>
              <w:keepNext/>
              <w:spacing w:line="360" w:lineRule="auto"/>
              <w:jc w:val="center"/>
              <w:rPr>
                <w:rFonts w:hint="eastAsia" w:ascii="宋体" w:hAnsi="宋体" w:cs="宋体"/>
                <w:color w:val="auto"/>
                <w:szCs w:val="21"/>
                <w:highlight w:val="none"/>
              </w:rPr>
            </w:pPr>
          </w:p>
        </w:tc>
      </w:tr>
      <w:tr w14:paraId="47231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5328B9A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31E138C1">
            <w:pPr>
              <w:keepNext/>
              <w:spacing w:line="360" w:lineRule="auto"/>
              <w:jc w:val="center"/>
              <w:rPr>
                <w:rFonts w:hint="eastAsia" w:ascii="宋体" w:hAnsi="宋体" w:cs="宋体"/>
                <w:color w:val="auto"/>
                <w:szCs w:val="21"/>
                <w:highlight w:val="none"/>
              </w:rPr>
            </w:pPr>
          </w:p>
        </w:tc>
        <w:tc>
          <w:tcPr>
            <w:tcW w:w="502" w:type="pct"/>
            <w:noWrap w:val="0"/>
            <w:vAlign w:val="center"/>
          </w:tcPr>
          <w:p w14:paraId="484A43F3">
            <w:pPr>
              <w:keepNext/>
              <w:spacing w:line="360" w:lineRule="auto"/>
              <w:jc w:val="center"/>
              <w:rPr>
                <w:rFonts w:hint="eastAsia" w:ascii="宋体" w:hAnsi="宋体" w:cs="宋体"/>
                <w:color w:val="auto"/>
                <w:szCs w:val="21"/>
                <w:highlight w:val="none"/>
              </w:rPr>
            </w:pPr>
          </w:p>
        </w:tc>
        <w:tc>
          <w:tcPr>
            <w:tcW w:w="502" w:type="pct"/>
            <w:noWrap w:val="0"/>
            <w:vAlign w:val="center"/>
          </w:tcPr>
          <w:p w14:paraId="02E5EF01">
            <w:pPr>
              <w:keepNext/>
              <w:spacing w:line="360" w:lineRule="auto"/>
              <w:jc w:val="center"/>
              <w:rPr>
                <w:rFonts w:hint="eastAsia" w:ascii="宋体" w:hAnsi="宋体" w:cs="宋体"/>
                <w:color w:val="auto"/>
                <w:szCs w:val="21"/>
                <w:highlight w:val="none"/>
              </w:rPr>
            </w:pPr>
          </w:p>
        </w:tc>
        <w:tc>
          <w:tcPr>
            <w:tcW w:w="1279" w:type="pct"/>
            <w:noWrap w:val="0"/>
            <w:vAlign w:val="center"/>
          </w:tcPr>
          <w:p w14:paraId="722704D9">
            <w:pPr>
              <w:keepNext/>
              <w:spacing w:line="360" w:lineRule="auto"/>
              <w:jc w:val="center"/>
              <w:rPr>
                <w:rFonts w:hint="eastAsia" w:ascii="宋体" w:hAnsi="宋体" w:cs="宋体"/>
                <w:color w:val="auto"/>
                <w:szCs w:val="21"/>
                <w:highlight w:val="none"/>
              </w:rPr>
            </w:pPr>
          </w:p>
        </w:tc>
        <w:tc>
          <w:tcPr>
            <w:tcW w:w="1153" w:type="pct"/>
            <w:noWrap w:val="0"/>
            <w:vAlign w:val="top"/>
          </w:tcPr>
          <w:p w14:paraId="26EECF96">
            <w:pPr>
              <w:keepNext/>
              <w:spacing w:line="360" w:lineRule="auto"/>
              <w:jc w:val="center"/>
              <w:rPr>
                <w:rFonts w:hint="eastAsia" w:ascii="宋体" w:hAnsi="宋体" w:cs="宋体"/>
                <w:color w:val="auto"/>
                <w:szCs w:val="21"/>
                <w:highlight w:val="none"/>
              </w:rPr>
            </w:pPr>
          </w:p>
        </w:tc>
      </w:tr>
      <w:tr w14:paraId="41B8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FEEA0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01CCD73A">
            <w:pPr>
              <w:keepNext/>
              <w:spacing w:line="360" w:lineRule="auto"/>
              <w:jc w:val="center"/>
              <w:rPr>
                <w:rFonts w:hint="eastAsia" w:ascii="宋体" w:hAnsi="宋体" w:cs="宋体"/>
                <w:color w:val="auto"/>
                <w:szCs w:val="21"/>
                <w:highlight w:val="none"/>
              </w:rPr>
            </w:pPr>
          </w:p>
        </w:tc>
        <w:tc>
          <w:tcPr>
            <w:tcW w:w="502" w:type="pct"/>
            <w:noWrap w:val="0"/>
            <w:vAlign w:val="center"/>
          </w:tcPr>
          <w:p w14:paraId="4EA3235A">
            <w:pPr>
              <w:keepNext/>
              <w:spacing w:line="360" w:lineRule="auto"/>
              <w:jc w:val="center"/>
              <w:rPr>
                <w:rFonts w:hint="eastAsia" w:ascii="宋体" w:hAnsi="宋体" w:cs="宋体"/>
                <w:color w:val="auto"/>
                <w:szCs w:val="21"/>
                <w:highlight w:val="none"/>
              </w:rPr>
            </w:pPr>
          </w:p>
        </w:tc>
        <w:tc>
          <w:tcPr>
            <w:tcW w:w="502" w:type="pct"/>
            <w:noWrap w:val="0"/>
            <w:vAlign w:val="center"/>
          </w:tcPr>
          <w:p w14:paraId="193088A8">
            <w:pPr>
              <w:keepNext/>
              <w:spacing w:line="360" w:lineRule="auto"/>
              <w:jc w:val="center"/>
              <w:rPr>
                <w:rFonts w:hint="eastAsia" w:ascii="宋体" w:hAnsi="宋体" w:cs="宋体"/>
                <w:color w:val="auto"/>
                <w:szCs w:val="21"/>
                <w:highlight w:val="none"/>
              </w:rPr>
            </w:pPr>
          </w:p>
        </w:tc>
        <w:tc>
          <w:tcPr>
            <w:tcW w:w="1279" w:type="pct"/>
            <w:noWrap w:val="0"/>
            <w:vAlign w:val="center"/>
          </w:tcPr>
          <w:p w14:paraId="584369A0">
            <w:pPr>
              <w:keepNext/>
              <w:spacing w:line="360" w:lineRule="auto"/>
              <w:jc w:val="center"/>
              <w:rPr>
                <w:rFonts w:hint="eastAsia" w:ascii="宋体" w:hAnsi="宋体" w:cs="宋体"/>
                <w:color w:val="auto"/>
                <w:szCs w:val="21"/>
                <w:highlight w:val="none"/>
              </w:rPr>
            </w:pPr>
          </w:p>
        </w:tc>
        <w:tc>
          <w:tcPr>
            <w:tcW w:w="1153" w:type="pct"/>
            <w:noWrap w:val="0"/>
            <w:vAlign w:val="top"/>
          </w:tcPr>
          <w:p w14:paraId="1965CEEC">
            <w:pPr>
              <w:keepNext/>
              <w:spacing w:line="360" w:lineRule="auto"/>
              <w:jc w:val="center"/>
              <w:rPr>
                <w:rFonts w:hint="eastAsia" w:ascii="宋体" w:hAnsi="宋体" w:cs="宋体"/>
                <w:color w:val="auto"/>
                <w:szCs w:val="21"/>
                <w:highlight w:val="none"/>
              </w:rPr>
            </w:pPr>
          </w:p>
        </w:tc>
      </w:tr>
      <w:tr w14:paraId="77106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A4242B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46C9A317">
            <w:pPr>
              <w:keepNext/>
              <w:spacing w:line="360" w:lineRule="auto"/>
              <w:jc w:val="center"/>
              <w:rPr>
                <w:rFonts w:hint="eastAsia" w:ascii="宋体" w:hAnsi="宋体" w:cs="宋体"/>
                <w:color w:val="auto"/>
                <w:szCs w:val="21"/>
                <w:highlight w:val="none"/>
              </w:rPr>
            </w:pPr>
          </w:p>
        </w:tc>
        <w:tc>
          <w:tcPr>
            <w:tcW w:w="502" w:type="pct"/>
            <w:noWrap w:val="0"/>
            <w:vAlign w:val="center"/>
          </w:tcPr>
          <w:p w14:paraId="6116E869">
            <w:pPr>
              <w:keepNext/>
              <w:spacing w:line="360" w:lineRule="auto"/>
              <w:jc w:val="center"/>
              <w:rPr>
                <w:rFonts w:hint="eastAsia" w:ascii="宋体" w:hAnsi="宋体" w:cs="宋体"/>
                <w:color w:val="auto"/>
                <w:szCs w:val="21"/>
                <w:highlight w:val="none"/>
              </w:rPr>
            </w:pPr>
          </w:p>
        </w:tc>
        <w:tc>
          <w:tcPr>
            <w:tcW w:w="502" w:type="pct"/>
            <w:noWrap w:val="0"/>
            <w:vAlign w:val="center"/>
          </w:tcPr>
          <w:p w14:paraId="61EBCA35">
            <w:pPr>
              <w:keepNext/>
              <w:spacing w:line="360" w:lineRule="auto"/>
              <w:jc w:val="center"/>
              <w:rPr>
                <w:rFonts w:hint="eastAsia" w:ascii="宋体" w:hAnsi="宋体" w:cs="宋体"/>
                <w:color w:val="auto"/>
                <w:szCs w:val="21"/>
                <w:highlight w:val="none"/>
              </w:rPr>
            </w:pPr>
          </w:p>
        </w:tc>
        <w:tc>
          <w:tcPr>
            <w:tcW w:w="1279" w:type="pct"/>
            <w:noWrap w:val="0"/>
            <w:vAlign w:val="center"/>
          </w:tcPr>
          <w:p w14:paraId="77DAC006">
            <w:pPr>
              <w:keepNext/>
              <w:spacing w:line="360" w:lineRule="auto"/>
              <w:jc w:val="center"/>
              <w:rPr>
                <w:rFonts w:hint="eastAsia" w:ascii="宋体" w:hAnsi="宋体" w:cs="宋体"/>
                <w:color w:val="auto"/>
                <w:szCs w:val="21"/>
                <w:highlight w:val="none"/>
              </w:rPr>
            </w:pPr>
          </w:p>
        </w:tc>
        <w:tc>
          <w:tcPr>
            <w:tcW w:w="1153" w:type="pct"/>
            <w:noWrap w:val="0"/>
            <w:vAlign w:val="top"/>
          </w:tcPr>
          <w:p w14:paraId="0E65A0F5">
            <w:pPr>
              <w:keepNext/>
              <w:spacing w:line="360" w:lineRule="auto"/>
              <w:jc w:val="center"/>
              <w:rPr>
                <w:rFonts w:hint="eastAsia" w:ascii="宋体" w:hAnsi="宋体" w:cs="宋体"/>
                <w:color w:val="auto"/>
                <w:szCs w:val="21"/>
                <w:highlight w:val="none"/>
              </w:rPr>
            </w:pPr>
          </w:p>
        </w:tc>
      </w:tr>
      <w:tr w14:paraId="56C26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3723039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3FB5C962">
            <w:pPr>
              <w:keepNext/>
              <w:spacing w:line="360" w:lineRule="auto"/>
              <w:jc w:val="center"/>
              <w:rPr>
                <w:rFonts w:hint="eastAsia" w:ascii="宋体" w:hAnsi="宋体" w:cs="宋体"/>
                <w:color w:val="auto"/>
                <w:szCs w:val="21"/>
                <w:highlight w:val="none"/>
              </w:rPr>
            </w:pPr>
          </w:p>
        </w:tc>
        <w:tc>
          <w:tcPr>
            <w:tcW w:w="502" w:type="pct"/>
            <w:noWrap w:val="0"/>
            <w:vAlign w:val="center"/>
          </w:tcPr>
          <w:p w14:paraId="29895437">
            <w:pPr>
              <w:keepNext/>
              <w:spacing w:line="360" w:lineRule="auto"/>
              <w:jc w:val="center"/>
              <w:rPr>
                <w:rFonts w:hint="eastAsia" w:ascii="宋体" w:hAnsi="宋体" w:cs="宋体"/>
                <w:color w:val="auto"/>
                <w:szCs w:val="21"/>
                <w:highlight w:val="none"/>
              </w:rPr>
            </w:pPr>
          </w:p>
        </w:tc>
        <w:tc>
          <w:tcPr>
            <w:tcW w:w="502" w:type="pct"/>
            <w:noWrap w:val="0"/>
            <w:vAlign w:val="center"/>
          </w:tcPr>
          <w:p w14:paraId="2E2D3F64">
            <w:pPr>
              <w:keepNext/>
              <w:spacing w:line="360" w:lineRule="auto"/>
              <w:jc w:val="center"/>
              <w:rPr>
                <w:rFonts w:hint="eastAsia" w:ascii="宋体" w:hAnsi="宋体" w:cs="宋体"/>
                <w:color w:val="auto"/>
                <w:szCs w:val="21"/>
                <w:highlight w:val="none"/>
              </w:rPr>
            </w:pPr>
          </w:p>
        </w:tc>
        <w:tc>
          <w:tcPr>
            <w:tcW w:w="1279" w:type="pct"/>
            <w:noWrap w:val="0"/>
            <w:vAlign w:val="center"/>
          </w:tcPr>
          <w:p w14:paraId="67A4A472">
            <w:pPr>
              <w:keepNext/>
              <w:spacing w:line="360" w:lineRule="auto"/>
              <w:jc w:val="center"/>
              <w:rPr>
                <w:rFonts w:hint="eastAsia" w:ascii="宋体" w:hAnsi="宋体" w:cs="宋体"/>
                <w:color w:val="auto"/>
                <w:szCs w:val="21"/>
                <w:highlight w:val="none"/>
              </w:rPr>
            </w:pPr>
          </w:p>
        </w:tc>
        <w:tc>
          <w:tcPr>
            <w:tcW w:w="1153" w:type="pct"/>
            <w:noWrap w:val="0"/>
            <w:vAlign w:val="top"/>
          </w:tcPr>
          <w:p w14:paraId="01312A46">
            <w:pPr>
              <w:keepNext/>
              <w:spacing w:line="360" w:lineRule="auto"/>
              <w:jc w:val="center"/>
              <w:rPr>
                <w:rFonts w:hint="eastAsia" w:ascii="宋体" w:hAnsi="宋体" w:cs="宋体"/>
                <w:color w:val="auto"/>
                <w:szCs w:val="21"/>
                <w:highlight w:val="none"/>
              </w:rPr>
            </w:pPr>
          </w:p>
        </w:tc>
      </w:tr>
      <w:tr w14:paraId="50D78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0764FEDA">
            <w:pPr>
              <w:keepNext/>
              <w:spacing w:line="360" w:lineRule="auto"/>
              <w:jc w:val="center"/>
              <w:rPr>
                <w:rFonts w:hint="eastAsia" w:ascii="宋体" w:hAnsi="宋体" w:cs="宋体"/>
                <w:color w:val="auto"/>
                <w:szCs w:val="21"/>
                <w:highlight w:val="none"/>
              </w:rPr>
            </w:pPr>
          </w:p>
        </w:tc>
        <w:tc>
          <w:tcPr>
            <w:tcW w:w="627" w:type="pct"/>
            <w:tcBorders>
              <w:bottom w:val="nil"/>
            </w:tcBorders>
            <w:noWrap w:val="0"/>
            <w:vAlign w:val="center"/>
          </w:tcPr>
          <w:p w14:paraId="46315E2F">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14:paraId="42C0C31E">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14:paraId="384675C1">
            <w:pPr>
              <w:keepNext/>
              <w:spacing w:line="360" w:lineRule="auto"/>
              <w:jc w:val="center"/>
              <w:rPr>
                <w:rFonts w:hint="eastAsia" w:ascii="宋体" w:hAnsi="宋体" w:cs="宋体"/>
                <w:color w:val="auto"/>
                <w:szCs w:val="21"/>
                <w:highlight w:val="none"/>
              </w:rPr>
            </w:pPr>
          </w:p>
        </w:tc>
        <w:tc>
          <w:tcPr>
            <w:tcW w:w="1279" w:type="pct"/>
            <w:tcBorders>
              <w:bottom w:val="nil"/>
            </w:tcBorders>
            <w:noWrap w:val="0"/>
            <w:vAlign w:val="center"/>
          </w:tcPr>
          <w:p w14:paraId="2FD63511">
            <w:pPr>
              <w:keepNext/>
              <w:spacing w:line="360" w:lineRule="auto"/>
              <w:jc w:val="center"/>
              <w:rPr>
                <w:rFonts w:hint="eastAsia" w:ascii="宋体" w:hAnsi="宋体" w:cs="宋体"/>
                <w:color w:val="auto"/>
                <w:szCs w:val="21"/>
                <w:highlight w:val="none"/>
              </w:rPr>
            </w:pPr>
          </w:p>
        </w:tc>
        <w:tc>
          <w:tcPr>
            <w:tcW w:w="1153" w:type="pct"/>
            <w:tcBorders>
              <w:bottom w:val="nil"/>
            </w:tcBorders>
            <w:noWrap w:val="0"/>
            <w:vAlign w:val="top"/>
          </w:tcPr>
          <w:p w14:paraId="5A518A6E">
            <w:pPr>
              <w:keepNext/>
              <w:spacing w:line="360" w:lineRule="auto"/>
              <w:jc w:val="center"/>
              <w:rPr>
                <w:rFonts w:hint="eastAsia" w:ascii="宋体" w:hAnsi="宋体" w:cs="宋体"/>
                <w:color w:val="auto"/>
                <w:szCs w:val="21"/>
                <w:highlight w:val="none"/>
              </w:rPr>
            </w:pPr>
          </w:p>
        </w:tc>
      </w:tr>
      <w:tr w14:paraId="64F64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5F620AD4">
            <w:pPr>
              <w:keepNext/>
              <w:spacing w:line="360" w:lineRule="auto"/>
              <w:jc w:val="center"/>
              <w:rPr>
                <w:rFonts w:hint="eastAsia" w:ascii="宋体" w:hAnsi="宋体" w:cs="宋体"/>
                <w:color w:val="auto"/>
                <w:szCs w:val="21"/>
                <w:highlight w:val="none"/>
              </w:rPr>
            </w:pPr>
          </w:p>
        </w:tc>
        <w:tc>
          <w:tcPr>
            <w:tcW w:w="627" w:type="pct"/>
            <w:noWrap w:val="0"/>
            <w:vAlign w:val="center"/>
          </w:tcPr>
          <w:p w14:paraId="5B5148C1">
            <w:pPr>
              <w:keepNext/>
              <w:spacing w:line="360" w:lineRule="auto"/>
              <w:jc w:val="center"/>
              <w:rPr>
                <w:rFonts w:hint="eastAsia" w:ascii="宋体" w:hAnsi="宋体" w:cs="宋体"/>
                <w:color w:val="auto"/>
                <w:szCs w:val="21"/>
                <w:highlight w:val="none"/>
              </w:rPr>
            </w:pPr>
          </w:p>
        </w:tc>
        <w:tc>
          <w:tcPr>
            <w:tcW w:w="502" w:type="pct"/>
            <w:noWrap w:val="0"/>
            <w:vAlign w:val="center"/>
          </w:tcPr>
          <w:p w14:paraId="4124E40E">
            <w:pPr>
              <w:keepNext/>
              <w:spacing w:line="360" w:lineRule="auto"/>
              <w:jc w:val="center"/>
              <w:rPr>
                <w:rFonts w:hint="eastAsia" w:ascii="宋体" w:hAnsi="宋体" w:cs="宋体"/>
                <w:color w:val="auto"/>
                <w:szCs w:val="21"/>
                <w:highlight w:val="none"/>
              </w:rPr>
            </w:pPr>
          </w:p>
        </w:tc>
        <w:tc>
          <w:tcPr>
            <w:tcW w:w="502" w:type="pct"/>
            <w:noWrap w:val="0"/>
            <w:vAlign w:val="center"/>
          </w:tcPr>
          <w:p w14:paraId="2DC12958">
            <w:pPr>
              <w:keepNext/>
              <w:spacing w:line="360" w:lineRule="auto"/>
              <w:jc w:val="center"/>
              <w:rPr>
                <w:rFonts w:hint="eastAsia" w:ascii="宋体" w:hAnsi="宋体" w:cs="宋体"/>
                <w:color w:val="auto"/>
                <w:szCs w:val="21"/>
                <w:highlight w:val="none"/>
              </w:rPr>
            </w:pPr>
          </w:p>
        </w:tc>
        <w:tc>
          <w:tcPr>
            <w:tcW w:w="1279" w:type="pct"/>
            <w:noWrap w:val="0"/>
            <w:vAlign w:val="center"/>
          </w:tcPr>
          <w:p w14:paraId="6CF7CF59">
            <w:pPr>
              <w:keepNext/>
              <w:spacing w:line="360" w:lineRule="auto"/>
              <w:jc w:val="center"/>
              <w:rPr>
                <w:rFonts w:hint="eastAsia" w:ascii="宋体" w:hAnsi="宋体" w:cs="宋体"/>
                <w:color w:val="auto"/>
                <w:szCs w:val="21"/>
                <w:highlight w:val="none"/>
              </w:rPr>
            </w:pPr>
          </w:p>
        </w:tc>
        <w:tc>
          <w:tcPr>
            <w:tcW w:w="1153" w:type="pct"/>
            <w:noWrap w:val="0"/>
            <w:vAlign w:val="top"/>
          </w:tcPr>
          <w:p w14:paraId="3CA6D89F">
            <w:pPr>
              <w:keepNext/>
              <w:spacing w:line="360" w:lineRule="auto"/>
              <w:jc w:val="center"/>
              <w:rPr>
                <w:rFonts w:hint="eastAsia" w:ascii="宋体" w:hAnsi="宋体" w:cs="宋体"/>
                <w:color w:val="auto"/>
                <w:szCs w:val="21"/>
                <w:highlight w:val="none"/>
              </w:rPr>
            </w:pPr>
          </w:p>
        </w:tc>
      </w:tr>
      <w:tr w14:paraId="5EB87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61C5E269">
            <w:pPr>
              <w:keepNext/>
              <w:spacing w:line="360" w:lineRule="auto"/>
              <w:jc w:val="center"/>
              <w:rPr>
                <w:rFonts w:hint="eastAsia" w:ascii="宋体" w:hAnsi="宋体" w:cs="宋体"/>
                <w:color w:val="auto"/>
                <w:szCs w:val="21"/>
                <w:highlight w:val="none"/>
              </w:rPr>
            </w:pPr>
          </w:p>
        </w:tc>
        <w:tc>
          <w:tcPr>
            <w:tcW w:w="627" w:type="pct"/>
            <w:noWrap w:val="0"/>
            <w:vAlign w:val="center"/>
          </w:tcPr>
          <w:p w14:paraId="667C1F78">
            <w:pPr>
              <w:keepNext/>
              <w:spacing w:line="360" w:lineRule="auto"/>
              <w:jc w:val="center"/>
              <w:rPr>
                <w:rFonts w:hint="eastAsia" w:ascii="宋体" w:hAnsi="宋体" w:cs="宋体"/>
                <w:color w:val="auto"/>
                <w:szCs w:val="21"/>
                <w:highlight w:val="none"/>
              </w:rPr>
            </w:pPr>
          </w:p>
        </w:tc>
        <w:tc>
          <w:tcPr>
            <w:tcW w:w="502" w:type="pct"/>
            <w:noWrap w:val="0"/>
            <w:vAlign w:val="center"/>
          </w:tcPr>
          <w:p w14:paraId="2BA4BFE2">
            <w:pPr>
              <w:keepNext/>
              <w:spacing w:line="360" w:lineRule="auto"/>
              <w:jc w:val="center"/>
              <w:rPr>
                <w:rFonts w:hint="eastAsia" w:ascii="宋体" w:hAnsi="宋体" w:cs="宋体"/>
                <w:color w:val="auto"/>
                <w:szCs w:val="21"/>
                <w:highlight w:val="none"/>
              </w:rPr>
            </w:pPr>
          </w:p>
        </w:tc>
        <w:tc>
          <w:tcPr>
            <w:tcW w:w="502" w:type="pct"/>
            <w:noWrap w:val="0"/>
            <w:vAlign w:val="center"/>
          </w:tcPr>
          <w:p w14:paraId="5DADE257">
            <w:pPr>
              <w:keepNext/>
              <w:spacing w:line="360" w:lineRule="auto"/>
              <w:jc w:val="center"/>
              <w:rPr>
                <w:rFonts w:hint="eastAsia" w:ascii="宋体" w:hAnsi="宋体" w:cs="宋体"/>
                <w:color w:val="auto"/>
                <w:szCs w:val="21"/>
                <w:highlight w:val="none"/>
              </w:rPr>
            </w:pPr>
          </w:p>
        </w:tc>
        <w:tc>
          <w:tcPr>
            <w:tcW w:w="1279" w:type="pct"/>
            <w:noWrap w:val="0"/>
            <w:vAlign w:val="center"/>
          </w:tcPr>
          <w:p w14:paraId="5A2BC691">
            <w:pPr>
              <w:keepNext/>
              <w:spacing w:line="360" w:lineRule="auto"/>
              <w:jc w:val="center"/>
              <w:rPr>
                <w:rFonts w:hint="eastAsia" w:ascii="宋体" w:hAnsi="宋体" w:cs="宋体"/>
                <w:color w:val="auto"/>
                <w:szCs w:val="21"/>
                <w:highlight w:val="none"/>
              </w:rPr>
            </w:pPr>
          </w:p>
        </w:tc>
        <w:tc>
          <w:tcPr>
            <w:tcW w:w="1153" w:type="pct"/>
            <w:noWrap w:val="0"/>
            <w:vAlign w:val="top"/>
          </w:tcPr>
          <w:p w14:paraId="02E3B604">
            <w:pPr>
              <w:keepNext/>
              <w:spacing w:line="360" w:lineRule="auto"/>
              <w:jc w:val="center"/>
              <w:rPr>
                <w:rFonts w:hint="eastAsia" w:ascii="宋体" w:hAnsi="宋体" w:cs="宋体"/>
                <w:color w:val="auto"/>
                <w:szCs w:val="21"/>
                <w:highlight w:val="none"/>
              </w:rPr>
            </w:pPr>
          </w:p>
        </w:tc>
      </w:tr>
      <w:tr w14:paraId="4CBD1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9ACF9F1">
            <w:pPr>
              <w:keepNext/>
              <w:spacing w:line="360" w:lineRule="auto"/>
              <w:jc w:val="center"/>
              <w:rPr>
                <w:rFonts w:hint="eastAsia" w:ascii="宋体" w:hAnsi="宋体" w:cs="宋体"/>
                <w:color w:val="auto"/>
                <w:szCs w:val="21"/>
                <w:highlight w:val="none"/>
              </w:rPr>
            </w:pPr>
          </w:p>
        </w:tc>
        <w:tc>
          <w:tcPr>
            <w:tcW w:w="627" w:type="pct"/>
            <w:noWrap w:val="0"/>
            <w:vAlign w:val="center"/>
          </w:tcPr>
          <w:p w14:paraId="1A147310">
            <w:pPr>
              <w:keepNext/>
              <w:spacing w:line="360" w:lineRule="auto"/>
              <w:jc w:val="center"/>
              <w:rPr>
                <w:rFonts w:hint="eastAsia" w:ascii="宋体" w:hAnsi="宋体" w:cs="宋体"/>
                <w:color w:val="auto"/>
                <w:szCs w:val="21"/>
                <w:highlight w:val="none"/>
              </w:rPr>
            </w:pPr>
          </w:p>
        </w:tc>
        <w:tc>
          <w:tcPr>
            <w:tcW w:w="502" w:type="pct"/>
            <w:noWrap w:val="0"/>
            <w:vAlign w:val="center"/>
          </w:tcPr>
          <w:p w14:paraId="796C48FC">
            <w:pPr>
              <w:keepNext/>
              <w:spacing w:line="360" w:lineRule="auto"/>
              <w:jc w:val="center"/>
              <w:rPr>
                <w:rFonts w:hint="eastAsia" w:ascii="宋体" w:hAnsi="宋体" w:cs="宋体"/>
                <w:color w:val="auto"/>
                <w:szCs w:val="21"/>
                <w:highlight w:val="none"/>
              </w:rPr>
            </w:pPr>
          </w:p>
        </w:tc>
        <w:tc>
          <w:tcPr>
            <w:tcW w:w="502" w:type="pct"/>
            <w:noWrap w:val="0"/>
            <w:vAlign w:val="center"/>
          </w:tcPr>
          <w:p w14:paraId="1C79DADC">
            <w:pPr>
              <w:keepNext/>
              <w:spacing w:line="360" w:lineRule="auto"/>
              <w:jc w:val="center"/>
              <w:rPr>
                <w:rFonts w:hint="eastAsia" w:ascii="宋体" w:hAnsi="宋体" w:cs="宋体"/>
                <w:color w:val="auto"/>
                <w:szCs w:val="21"/>
                <w:highlight w:val="none"/>
              </w:rPr>
            </w:pPr>
          </w:p>
        </w:tc>
        <w:tc>
          <w:tcPr>
            <w:tcW w:w="1279" w:type="pct"/>
            <w:noWrap w:val="0"/>
            <w:vAlign w:val="center"/>
          </w:tcPr>
          <w:p w14:paraId="5132C435">
            <w:pPr>
              <w:keepNext/>
              <w:spacing w:line="360" w:lineRule="auto"/>
              <w:jc w:val="center"/>
              <w:rPr>
                <w:rFonts w:hint="eastAsia" w:ascii="宋体" w:hAnsi="宋体" w:cs="宋体"/>
                <w:color w:val="auto"/>
                <w:szCs w:val="21"/>
                <w:highlight w:val="none"/>
              </w:rPr>
            </w:pPr>
          </w:p>
        </w:tc>
        <w:tc>
          <w:tcPr>
            <w:tcW w:w="1153" w:type="pct"/>
            <w:noWrap w:val="0"/>
            <w:vAlign w:val="top"/>
          </w:tcPr>
          <w:p w14:paraId="4DB8174E">
            <w:pPr>
              <w:keepNext/>
              <w:spacing w:line="360" w:lineRule="auto"/>
              <w:jc w:val="center"/>
              <w:rPr>
                <w:rFonts w:hint="eastAsia" w:ascii="宋体" w:hAnsi="宋体" w:cs="宋体"/>
                <w:color w:val="auto"/>
                <w:szCs w:val="21"/>
                <w:highlight w:val="none"/>
              </w:rPr>
            </w:pPr>
          </w:p>
        </w:tc>
      </w:tr>
      <w:tr w14:paraId="75375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396D0EDA">
            <w:pPr>
              <w:keepNext/>
              <w:spacing w:line="360" w:lineRule="auto"/>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2B7605BC">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61F2570D">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3ACE2BBF">
            <w:pPr>
              <w:keepNext/>
              <w:spacing w:line="360" w:lineRule="auto"/>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7A59031F">
            <w:pPr>
              <w:keepNext/>
              <w:spacing w:line="360" w:lineRule="auto"/>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110755E9">
            <w:pPr>
              <w:keepNext/>
              <w:spacing w:line="360" w:lineRule="auto"/>
              <w:jc w:val="center"/>
              <w:rPr>
                <w:rFonts w:hint="eastAsia" w:ascii="宋体" w:hAnsi="宋体" w:cs="宋体"/>
                <w:color w:val="auto"/>
                <w:szCs w:val="21"/>
                <w:highlight w:val="none"/>
              </w:rPr>
            </w:pPr>
          </w:p>
        </w:tc>
      </w:tr>
    </w:tbl>
    <w:p w14:paraId="59A222EF">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345" w:name="_Toc95223493"/>
      <w:r>
        <w:rPr>
          <w:rFonts w:hint="eastAsia" w:ascii="宋体" w:hAnsi="宋体" w:cs="宋体"/>
          <w:bCs/>
          <w:color w:val="auto"/>
          <w:sz w:val="24"/>
          <w:highlight w:val="none"/>
        </w:rPr>
        <w:t>附</w:t>
      </w:r>
      <w:bookmarkStart w:id="1346" w:name="_Toc296503229"/>
      <w:bookmarkStart w:id="1347" w:name="_Toc296891269"/>
      <w:bookmarkStart w:id="1348" w:name="_Toc296891057"/>
      <w:bookmarkStart w:id="1349" w:name="_Toc296347228"/>
      <w:bookmarkStart w:id="1350" w:name="_Toc296944568"/>
      <w:bookmarkStart w:id="1351" w:name="_Toc296346730"/>
      <w:r>
        <w:rPr>
          <w:rFonts w:hint="eastAsia" w:ascii="宋体" w:hAnsi="宋体" w:cs="宋体"/>
          <w:bCs/>
          <w:color w:val="auto"/>
          <w:sz w:val="24"/>
          <w:highlight w:val="none"/>
        </w:rPr>
        <w:t>件7：分包人主要施工管理人员表</w:t>
      </w:r>
      <w:bookmarkEnd w:id="1345"/>
    </w:p>
    <w:bookmarkEnd w:id="1346"/>
    <w:bookmarkEnd w:id="1347"/>
    <w:bookmarkEnd w:id="1348"/>
    <w:bookmarkEnd w:id="1349"/>
    <w:bookmarkEnd w:id="1350"/>
    <w:bookmarkEnd w:id="1351"/>
    <w:p w14:paraId="2F277397">
      <w:pPr>
        <w:spacing w:before="120" w:beforeLines="50" w:after="120" w:afterLines="50" w:line="360" w:lineRule="auto"/>
        <w:jc w:val="center"/>
        <w:rPr>
          <w:rFonts w:hint="eastAsia" w:ascii="宋体" w:hAnsi="宋体" w:cs="宋体"/>
          <w:b/>
          <w:color w:val="auto"/>
          <w:szCs w:val="21"/>
          <w:highlight w:val="none"/>
        </w:rPr>
      </w:pPr>
      <w:bookmarkStart w:id="1352" w:name="_Toc95223494"/>
      <w:bookmarkStart w:id="1353" w:name="_Toc179"/>
      <w:bookmarkStart w:id="1354" w:name="_Toc22101"/>
      <w:r>
        <w:rPr>
          <w:rFonts w:hint="eastAsia" w:ascii="宋体" w:hAnsi="宋体" w:cs="宋体"/>
          <w:b/>
          <w:color w:val="auto"/>
          <w:szCs w:val="21"/>
          <w:highlight w:val="none"/>
        </w:rPr>
        <w:t>分包人主要施工管理人员表</w:t>
      </w:r>
      <w:bookmarkEnd w:id="1352"/>
      <w:bookmarkEnd w:id="1353"/>
      <w:bookmarkEnd w:id="1354"/>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14:paraId="07D44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noWrap w:val="0"/>
            <w:vAlign w:val="center"/>
          </w:tcPr>
          <w:p w14:paraId="4D85E43B">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41" w:type="pct"/>
            <w:tcBorders>
              <w:top w:val="single" w:color="auto" w:sz="12" w:space="0"/>
              <w:bottom w:val="double" w:color="auto" w:sz="6" w:space="0"/>
            </w:tcBorders>
            <w:noWrap w:val="0"/>
            <w:vAlign w:val="center"/>
          </w:tcPr>
          <w:p w14:paraId="09049D65">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13" w:type="pct"/>
            <w:tcBorders>
              <w:top w:val="single" w:color="auto" w:sz="12" w:space="0"/>
              <w:bottom w:val="double" w:color="auto" w:sz="6" w:space="0"/>
            </w:tcBorders>
            <w:noWrap w:val="0"/>
            <w:vAlign w:val="center"/>
          </w:tcPr>
          <w:p w14:paraId="64045EE5">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374" w:type="pct"/>
            <w:tcBorders>
              <w:top w:val="single" w:color="auto" w:sz="12" w:space="0"/>
              <w:bottom w:val="double" w:color="auto" w:sz="6" w:space="0"/>
            </w:tcBorders>
            <w:noWrap w:val="0"/>
            <w:vAlign w:val="center"/>
          </w:tcPr>
          <w:p w14:paraId="087BA0E0">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730" w:type="pct"/>
            <w:tcBorders>
              <w:top w:val="single" w:color="auto" w:sz="12" w:space="0"/>
              <w:bottom w:val="double" w:color="auto" w:sz="6" w:space="0"/>
            </w:tcBorders>
            <w:noWrap w:val="0"/>
            <w:vAlign w:val="center"/>
          </w:tcPr>
          <w:p w14:paraId="7134429C">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896" w:type="pct"/>
            <w:tcBorders>
              <w:top w:val="single" w:color="auto" w:sz="12" w:space="0"/>
              <w:bottom w:val="double" w:color="auto" w:sz="6" w:space="0"/>
            </w:tcBorders>
            <w:noWrap w:val="0"/>
            <w:vAlign w:val="center"/>
          </w:tcPr>
          <w:p w14:paraId="30007B1D">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6F412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7D01744D">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896" w:type="pct"/>
            <w:tcBorders>
              <w:top w:val="double" w:color="auto" w:sz="6" w:space="0"/>
            </w:tcBorders>
            <w:noWrap w:val="0"/>
            <w:vAlign w:val="top"/>
          </w:tcPr>
          <w:p w14:paraId="314E7F7E">
            <w:pPr>
              <w:keepNext/>
              <w:spacing w:line="360" w:lineRule="auto"/>
              <w:rPr>
                <w:rFonts w:hint="eastAsia" w:ascii="宋体" w:hAnsi="宋体" w:cs="宋体"/>
                <w:color w:val="auto"/>
                <w:szCs w:val="21"/>
                <w:highlight w:val="none"/>
              </w:rPr>
            </w:pPr>
          </w:p>
        </w:tc>
      </w:tr>
      <w:tr w14:paraId="518F5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3E1C5EA3">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41" w:type="pct"/>
            <w:tcBorders>
              <w:top w:val="nil"/>
            </w:tcBorders>
            <w:noWrap w:val="0"/>
            <w:vAlign w:val="center"/>
          </w:tcPr>
          <w:p w14:paraId="36C131AD">
            <w:pPr>
              <w:keepNext/>
              <w:spacing w:line="360" w:lineRule="auto"/>
              <w:rPr>
                <w:rFonts w:hint="eastAsia" w:ascii="宋体" w:hAnsi="宋体" w:cs="宋体"/>
                <w:color w:val="auto"/>
                <w:szCs w:val="21"/>
                <w:highlight w:val="none"/>
              </w:rPr>
            </w:pPr>
          </w:p>
        </w:tc>
        <w:tc>
          <w:tcPr>
            <w:tcW w:w="513" w:type="pct"/>
            <w:tcBorders>
              <w:top w:val="nil"/>
            </w:tcBorders>
            <w:noWrap w:val="0"/>
            <w:vAlign w:val="center"/>
          </w:tcPr>
          <w:p w14:paraId="228CEDDA">
            <w:pPr>
              <w:keepNext/>
              <w:spacing w:line="360" w:lineRule="auto"/>
              <w:rPr>
                <w:rFonts w:hint="eastAsia" w:ascii="宋体" w:hAnsi="宋体" w:cs="宋体"/>
                <w:color w:val="auto"/>
                <w:szCs w:val="21"/>
                <w:highlight w:val="none"/>
              </w:rPr>
            </w:pPr>
          </w:p>
        </w:tc>
        <w:tc>
          <w:tcPr>
            <w:tcW w:w="374" w:type="pct"/>
            <w:tcBorders>
              <w:top w:val="nil"/>
            </w:tcBorders>
            <w:noWrap w:val="0"/>
            <w:vAlign w:val="center"/>
          </w:tcPr>
          <w:p w14:paraId="1C9A600A">
            <w:pPr>
              <w:keepNext/>
              <w:spacing w:line="360" w:lineRule="auto"/>
              <w:rPr>
                <w:rFonts w:hint="eastAsia" w:ascii="宋体" w:hAnsi="宋体" w:cs="宋体"/>
                <w:color w:val="auto"/>
                <w:szCs w:val="21"/>
                <w:highlight w:val="none"/>
              </w:rPr>
            </w:pPr>
          </w:p>
        </w:tc>
        <w:tc>
          <w:tcPr>
            <w:tcW w:w="1730" w:type="pct"/>
            <w:tcBorders>
              <w:top w:val="nil"/>
            </w:tcBorders>
            <w:noWrap w:val="0"/>
            <w:vAlign w:val="center"/>
          </w:tcPr>
          <w:p w14:paraId="4D29D72C">
            <w:pPr>
              <w:keepNext/>
              <w:spacing w:line="360" w:lineRule="auto"/>
              <w:rPr>
                <w:rFonts w:hint="eastAsia" w:ascii="宋体" w:hAnsi="宋体" w:cs="宋体"/>
                <w:color w:val="auto"/>
                <w:szCs w:val="21"/>
                <w:highlight w:val="none"/>
              </w:rPr>
            </w:pPr>
          </w:p>
        </w:tc>
        <w:tc>
          <w:tcPr>
            <w:tcW w:w="896" w:type="pct"/>
            <w:tcBorders>
              <w:top w:val="nil"/>
            </w:tcBorders>
            <w:noWrap w:val="0"/>
            <w:vAlign w:val="top"/>
          </w:tcPr>
          <w:p w14:paraId="73BF92F6">
            <w:pPr>
              <w:keepNext/>
              <w:spacing w:line="360" w:lineRule="auto"/>
              <w:rPr>
                <w:rFonts w:hint="eastAsia" w:ascii="宋体" w:hAnsi="宋体" w:cs="宋体"/>
                <w:color w:val="auto"/>
                <w:szCs w:val="21"/>
                <w:highlight w:val="none"/>
              </w:rPr>
            </w:pPr>
          </w:p>
        </w:tc>
      </w:tr>
      <w:tr w14:paraId="276C3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noWrap w:val="0"/>
            <w:vAlign w:val="center"/>
          </w:tcPr>
          <w:p w14:paraId="41574BDB">
            <w:pPr>
              <w:keepNext/>
              <w:spacing w:line="360" w:lineRule="auto"/>
              <w:rPr>
                <w:rFonts w:hint="eastAsia" w:ascii="宋体" w:hAnsi="宋体" w:cs="宋体"/>
                <w:color w:val="auto"/>
                <w:szCs w:val="21"/>
                <w:highlight w:val="none"/>
              </w:rPr>
            </w:pPr>
          </w:p>
        </w:tc>
        <w:tc>
          <w:tcPr>
            <w:tcW w:w="641" w:type="pct"/>
            <w:noWrap w:val="0"/>
            <w:vAlign w:val="center"/>
          </w:tcPr>
          <w:p w14:paraId="5D9C9E2F">
            <w:pPr>
              <w:keepNext/>
              <w:spacing w:line="360" w:lineRule="auto"/>
              <w:rPr>
                <w:rFonts w:hint="eastAsia" w:ascii="宋体" w:hAnsi="宋体" w:cs="宋体"/>
                <w:color w:val="auto"/>
                <w:szCs w:val="21"/>
                <w:highlight w:val="none"/>
              </w:rPr>
            </w:pPr>
          </w:p>
        </w:tc>
        <w:tc>
          <w:tcPr>
            <w:tcW w:w="513" w:type="pct"/>
            <w:noWrap w:val="0"/>
            <w:vAlign w:val="center"/>
          </w:tcPr>
          <w:p w14:paraId="231B37F9">
            <w:pPr>
              <w:keepNext/>
              <w:spacing w:line="360" w:lineRule="auto"/>
              <w:rPr>
                <w:rFonts w:hint="eastAsia" w:ascii="宋体" w:hAnsi="宋体" w:cs="宋体"/>
                <w:color w:val="auto"/>
                <w:szCs w:val="21"/>
                <w:highlight w:val="none"/>
              </w:rPr>
            </w:pPr>
          </w:p>
        </w:tc>
        <w:tc>
          <w:tcPr>
            <w:tcW w:w="374" w:type="pct"/>
            <w:noWrap w:val="0"/>
            <w:vAlign w:val="center"/>
          </w:tcPr>
          <w:p w14:paraId="550B18C1">
            <w:pPr>
              <w:keepNext/>
              <w:spacing w:line="360" w:lineRule="auto"/>
              <w:rPr>
                <w:rFonts w:hint="eastAsia" w:ascii="宋体" w:hAnsi="宋体" w:cs="宋体"/>
                <w:color w:val="auto"/>
                <w:szCs w:val="21"/>
                <w:highlight w:val="none"/>
              </w:rPr>
            </w:pPr>
          </w:p>
        </w:tc>
        <w:tc>
          <w:tcPr>
            <w:tcW w:w="1730" w:type="pct"/>
            <w:noWrap w:val="0"/>
            <w:vAlign w:val="center"/>
          </w:tcPr>
          <w:p w14:paraId="5F6B02CD">
            <w:pPr>
              <w:keepNext/>
              <w:spacing w:line="360" w:lineRule="auto"/>
              <w:rPr>
                <w:rFonts w:hint="eastAsia" w:ascii="宋体" w:hAnsi="宋体" w:cs="宋体"/>
                <w:color w:val="auto"/>
                <w:szCs w:val="21"/>
                <w:highlight w:val="none"/>
              </w:rPr>
            </w:pPr>
          </w:p>
        </w:tc>
        <w:tc>
          <w:tcPr>
            <w:tcW w:w="896" w:type="pct"/>
            <w:noWrap w:val="0"/>
            <w:vAlign w:val="top"/>
          </w:tcPr>
          <w:p w14:paraId="1B8A0F55">
            <w:pPr>
              <w:keepNext/>
              <w:spacing w:line="360" w:lineRule="auto"/>
              <w:rPr>
                <w:rFonts w:hint="eastAsia" w:ascii="宋体" w:hAnsi="宋体" w:cs="宋体"/>
                <w:color w:val="auto"/>
                <w:szCs w:val="21"/>
                <w:highlight w:val="none"/>
              </w:rPr>
            </w:pPr>
          </w:p>
        </w:tc>
      </w:tr>
      <w:tr w14:paraId="1E06B2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23767E40">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41" w:type="pct"/>
            <w:noWrap w:val="0"/>
            <w:vAlign w:val="center"/>
          </w:tcPr>
          <w:p w14:paraId="48FBA69B">
            <w:pPr>
              <w:keepNext/>
              <w:spacing w:line="360" w:lineRule="auto"/>
              <w:rPr>
                <w:rFonts w:hint="eastAsia" w:ascii="宋体" w:hAnsi="宋体" w:cs="宋体"/>
                <w:color w:val="auto"/>
                <w:szCs w:val="21"/>
                <w:highlight w:val="none"/>
              </w:rPr>
            </w:pPr>
          </w:p>
        </w:tc>
        <w:tc>
          <w:tcPr>
            <w:tcW w:w="513" w:type="pct"/>
            <w:noWrap w:val="0"/>
            <w:vAlign w:val="center"/>
          </w:tcPr>
          <w:p w14:paraId="160FDE75">
            <w:pPr>
              <w:keepNext/>
              <w:spacing w:line="360" w:lineRule="auto"/>
              <w:rPr>
                <w:rFonts w:hint="eastAsia" w:ascii="宋体" w:hAnsi="宋体" w:cs="宋体"/>
                <w:color w:val="auto"/>
                <w:szCs w:val="21"/>
                <w:highlight w:val="none"/>
              </w:rPr>
            </w:pPr>
          </w:p>
        </w:tc>
        <w:tc>
          <w:tcPr>
            <w:tcW w:w="374" w:type="pct"/>
            <w:noWrap w:val="0"/>
            <w:vAlign w:val="center"/>
          </w:tcPr>
          <w:p w14:paraId="188B4344">
            <w:pPr>
              <w:keepNext/>
              <w:spacing w:line="360" w:lineRule="auto"/>
              <w:rPr>
                <w:rFonts w:hint="eastAsia" w:ascii="宋体" w:hAnsi="宋体" w:cs="宋体"/>
                <w:color w:val="auto"/>
                <w:szCs w:val="21"/>
                <w:highlight w:val="none"/>
              </w:rPr>
            </w:pPr>
          </w:p>
        </w:tc>
        <w:tc>
          <w:tcPr>
            <w:tcW w:w="1730" w:type="pct"/>
            <w:noWrap w:val="0"/>
            <w:vAlign w:val="center"/>
          </w:tcPr>
          <w:p w14:paraId="3C42ED35">
            <w:pPr>
              <w:keepNext/>
              <w:spacing w:line="360" w:lineRule="auto"/>
              <w:rPr>
                <w:rFonts w:hint="eastAsia" w:ascii="宋体" w:hAnsi="宋体" w:cs="宋体"/>
                <w:color w:val="auto"/>
                <w:szCs w:val="21"/>
                <w:highlight w:val="none"/>
              </w:rPr>
            </w:pPr>
          </w:p>
        </w:tc>
        <w:tc>
          <w:tcPr>
            <w:tcW w:w="896" w:type="pct"/>
            <w:noWrap w:val="0"/>
            <w:vAlign w:val="top"/>
          </w:tcPr>
          <w:p w14:paraId="0152D1A6">
            <w:pPr>
              <w:keepNext/>
              <w:spacing w:line="360" w:lineRule="auto"/>
              <w:rPr>
                <w:rFonts w:hint="eastAsia" w:ascii="宋体" w:hAnsi="宋体" w:cs="宋体"/>
                <w:color w:val="auto"/>
                <w:szCs w:val="21"/>
                <w:highlight w:val="none"/>
              </w:rPr>
            </w:pPr>
          </w:p>
        </w:tc>
      </w:tr>
      <w:tr w14:paraId="2D20B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5425A991">
            <w:pPr>
              <w:keepNext/>
              <w:spacing w:line="360" w:lineRule="auto"/>
              <w:rPr>
                <w:rFonts w:hint="eastAsia" w:ascii="宋体" w:hAnsi="宋体" w:cs="宋体"/>
                <w:color w:val="auto"/>
                <w:szCs w:val="21"/>
                <w:highlight w:val="none"/>
              </w:rPr>
            </w:pPr>
          </w:p>
        </w:tc>
        <w:tc>
          <w:tcPr>
            <w:tcW w:w="641" w:type="pct"/>
            <w:noWrap w:val="0"/>
            <w:vAlign w:val="center"/>
          </w:tcPr>
          <w:p w14:paraId="64AD8CA5">
            <w:pPr>
              <w:keepNext/>
              <w:spacing w:line="360" w:lineRule="auto"/>
              <w:rPr>
                <w:rFonts w:hint="eastAsia" w:ascii="宋体" w:hAnsi="宋体" w:cs="宋体"/>
                <w:color w:val="auto"/>
                <w:szCs w:val="21"/>
                <w:highlight w:val="none"/>
              </w:rPr>
            </w:pPr>
          </w:p>
        </w:tc>
        <w:tc>
          <w:tcPr>
            <w:tcW w:w="513" w:type="pct"/>
            <w:noWrap w:val="0"/>
            <w:vAlign w:val="center"/>
          </w:tcPr>
          <w:p w14:paraId="394A3BB7">
            <w:pPr>
              <w:keepNext/>
              <w:spacing w:line="360" w:lineRule="auto"/>
              <w:rPr>
                <w:rFonts w:hint="eastAsia" w:ascii="宋体" w:hAnsi="宋体" w:cs="宋体"/>
                <w:color w:val="auto"/>
                <w:szCs w:val="21"/>
                <w:highlight w:val="none"/>
              </w:rPr>
            </w:pPr>
          </w:p>
        </w:tc>
        <w:tc>
          <w:tcPr>
            <w:tcW w:w="374" w:type="pct"/>
            <w:noWrap w:val="0"/>
            <w:vAlign w:val="center"/>
          </w:tcPr>
          <w:p w14:paraId="66BC437B">
            <w:pPr>
              <w:keepNext/>
              <w:spacing w:line="360" w:lineRule="auto"/>
              <w:rPr>
                <w:rFonts w:hint="eastAsia" w:ascii="宋体" w:hAnsi="宋体" w:cs="宋体"/>
                <w:color w:val="auto"/>
                <w:szCs w:val="21"/>
                <w:highlight w:val="none"/>
              </w:rPr>
            </w:pPr>
          </w:p>
        </w:tc>
        <w:tc>
          <w:tcPr>
            <w:tcW w:w="1730" w:type="pct"/>
            <w:noWrap w:val="0"/>
            <w:vAlign w:val="center"/>
          </w:tcPr>
          <w:p w14:paraId="3C106609">
            <w:pPr>
              <w:keepNext/>
              <w:spacing w:line="360" w:lineRule="auto"/>
              <w:rPr>
                <w:rFonts w:hint="eastAsia" w:ascii="宋体" w:hAnsi="宋体" w:cs="宋体"/>
                <w:color w:val="auto"/>
                <w:szCs w:val="21"/>
                <w:highlight w:val="none"/>
              </w:rPr>
            </w:pPr>
          </w:p>
        </w:tc>
        <w:tc>
          <w:tcPr>
            <w:tcW w:w="896" w:type="pct"/>
            <w:noWrap w:val="0"/>
            <w:vAlign w:val="top"/>
          </w:tcPr>
          <w:p w14:paraId="4AD81F1F">
            <w:pPr>
              <w:keepNext/>
              <w:spacing w:line="360" w:lineRule="auto"/>
              <w:rPr>
                <w:rFonts w:hint="eastAsia" w:ascii="宋体" w:hAnsi="宋体" w:cs="宋体"/>
                <w:color w:val="auto"/>
                <w:szCs w:val="21"/>
                <w:highlight w:val="none"/>
              </w:rPr>
            </w:pPr>
          </w:p>
        </w:tc>
      </w:tr>
      <w:tr w14:paraId="36E2FB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1BD18BDC">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896" w:type="pct"/>
            <w:noWrap w:val="0"/>
            <w:vAlign w:val="top"/>
          </w:tcPr>
          <w:p w14:paraId="43EFB028">
            <w:pPr>
              <w:keepNext/>
              <w:spacing w:line="360" w:lineRule="auto"/>
              <w:rPr>
                <w:rFonts w:hint="eastAsia" w:ascii="宋体" w:hAnsi="宋体" w:cs="宋体"/>
                <w:color w:val="auto"/>
                <w:szCs w:val="21"/>
                <w:highlight w:val="none"/>
              </w:rPr>
            </w:pPr>
          </w:p>
        </w:tc>
      </w:tr>
      <w:tr w14:paraId="6C27F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47E2E62">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项目经理</w:t>
            </w:r>
          </w:p>
        </w:tc>
        <w:tc>
          <w:tcPr>
            <w:tcW w:w="641" w:type="pct"/>
            <w:noWrap w:val="0"/>
            <w:vAlign w:val="center"/>
          </w:tcPr>
          <w:p w14:paraId="7E3A334C">
            <w:pPr>
              <w:keepNext/>
              <w:spacing w:line="360" w:lineRule="auto"/>
              <w:rPr>
                <w:rFonts w:hint="eastAsia" w:ascii="宋体" w:hAnsi="宋体" w:cs="宋体"/>
                <w:color w:val="auto"/>
                <w:szCs w:val="21"/>
                <w:highlight w:val="none"/>
              </w:rPr>
            </w:pPr>
          </w:p>
        </w:tc>
        <w:tc>
          <w:tcPr>
            <w:tcW w:w="513" w:type="pct"/>
            <w:noWrap w:val="0"/>
            <w:vAlign w:val="center"/>
          </w:tcPr>
          <w:p w14:paraId="474863C2">
            <w:pPr>
              <w:keepNext/>
              <w:spacing w:line="360" w:lineRule="auto"/>
              <w:rPr>
                <w:rFonts w:hint="eastAsia" w:ascii="宋体" w:hAnsi="宋体" w:cs="宋体"/>
                <w:color w:val="auto"/>
                <w:szCs w:val="21"/>
                <w:highlight w:val="none"/>
              </w:rPr>
            </w:pPr>
          </w:p>
        </w:tc>
        <w:tc>
          <w:tcPr>
            <w:tcW w:w="374" w:type="pct"/>
            <w:noWrap w:val="0"/>
            <w:vAlign w:val="center"/>
          </w:tcPr>
          <w:p w14:paraId="598BE7A9">
            <w:pPr>
              <w:keepNext/>
              <w:spacing w:line="360" w:lineRule="auto"/>
              <w:rPr>
                <w:rFonts w:hint="eastAsia" w:ascii="宋体" w:hAnsi="宋体" w:cs="宋体"/>
                <w:color w:val="auto"/>
                <w:szCs w:val="21"/>
                <w:highlight w:val="none"/>
              </w:rPr>
            </w:pPr>
          </w:p>
        </w:tc>
        <w:tc>
          <w:tcPr>
            <w:tcW w:w="1730" w:type="pct"/>
            <w:noWrap w:val="0"/>
            <w:vAlign w:val="center"/>
          </w:tcPr>
          <w:p w14:paraId="1B0824B1">
            <w:pPr>
              <w:keepNext/>
              <w:spacing w:line="360" w:lineRule="auto"/>
              <w:rPr>
                <w:rFonts w:hint="eastAsia" w:ascii="宋体" w:hAnsi="宋体" w:cs="宋体"/>
                <w:color w:val="auto"/>
                <w:szCs w:val="21"/>
                <w:highlight w:val="none"/>
              </w:rPr>
            </w:pPr>
          </w:p>
        </w:tc>
        <w:tc>
          <w:tcPr>
            <w:tcW w:w="896" w:type="pct"/>
            <w:noWrap w:val="0"/>
            <w:vAlign w:val="top"/>
          </w:tcPr>
          <w:p w14:paraId="40F1EADF">
            <w:pPr>
              <w:keepNext/>
              <w:spacing w:line="360" w:lineRule="auto"/>
              <w:rPr>
                <w:rFonts w:hint="eastAsia" w:ascii="宋体" w:hAnsi="宋体" w:cs="宋体"/>
                <w:color w:val="auto"/>
                <w:szCs w:val="21"/>
                <w:highlight w:val="none"/>
              </w:rPr>
            </w:pPr>
          </w:p>
        </w:tc>
      </w:tr>
      <w:tr w14:paraId="2A74B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42767D3E">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项目副经理</w:t>
            </w:r>
          </w:p>
        </w:tc>
        <w:tc>
          <w:tcPr>
            <w:tcW w:w="641" w:type="pct"/>
            <w:noWrap w:val="0"/>
            <w:vAlign w:val="center"/>
          </w:tcPr>
          <w:p w14:paraId="1F3795F3">
            <w:pPr>
              <w:keepNext/>
              <w:spacing w:line="360" w:lineRule="auto"/>
              <w:rPr>
                <w:rFonts w:hint="eastAsia" w:ascii="宋体" w:hAnsi="宋体" w:cs="宋体"/>
                <w:color w:val="auto"/>
                <w:szCs w:val="21"/>
                <w:highlight w:val="none"/>
              </w:rPr>
            </w:pPr>
          </w:p>
        </w:tc>
        <w:tc>
          <w:tcPr>
            <w:tcW w:w="513" w:type="pct"/>
            <w:noWrap w:val="0"/>
            <w:vAlign w:val="center"/>
          </w:tcPr>
          <w:p w14:paraId="2316A955">
            <w:pPr>
              <w:keepNext/>
              <w:spacing w:line="360" w:lineRule="auto"/>
              <w:rPr>
                <w:rFonts w:hint="eastAsia" w:ascii="宋体" w:hAnsi="宋体" w:cs="宋体"/>
                <w:color w:val="auto"/>
                <w:szCs w:val="21"/>
                <w:highlight w:val="none"/>
              </w:rPr>
            </w:pPr>
          </w:p>
        </w:tc>
        <w:tc>
          <w:tcPr>
            <w:tcW w:w="374" w:type="pct"/>
            <w:noWrap w:val="0"/>
            <w:vAlign w:val="center"/>
          </w:tcPr>
          <w:p w14:paraId="3E0C7612">
            <w:pPr>
              <w:keepNext/>
              <w:spacing w:line="360" w:lineRule="auto"/>
              <w:rPr>
                <w:rFonts w:hint="eastAsia" w:ascii="宋体" w:hAnsi="宋体" w:cs="宋体"/>
                <w:color w:val="auto"/>
                <w:szCs w:val="21"/>
                <w:highlight w:val="none"/>
              </w:rPr>
            </w:pPr>
          </w:p>
        </w:tc>
        <w:tc>
          <w:tcPr>
            <w:tcW w:w="1730" w:type="pct"/>
            <w:noWrap w:val="0"/>
            <w:vAlign w:val="center"/>
          </w:tcPr>
          <w:p w14:paraId="32873A58">
            <w:pPr>
              <w:keepNext/>
              <w:spacing w:line="360" w:lineRule="auto"/>
              <w:rPr>
                <w:rFonts w:hint="eastAsia" w:ascii="宋体" w:hAnsi="宋体" w:cs="宋体"/>
                <w:color w:val="auto"/>
                <w:szCs w:val="21"/>
                <w:highlight w:val="none"/>
              </w:rPr>
            </w:pPr>
          </w:p>
        </w:tc>
        <w:tc>
          <w:tcPr>
            <w:tcW w:w="896" w:type="pct"/>
            <w:noWrap w:val="0"/>
            <w:vAlign w:val="top"/>
          </w:tcPr>
          <w:p w14:paraId="7B2F3F15">
            <w:pPr>
              <w:keepNext/>
              <w:spacing w:line="360" w:lineRule="auto"/>
              <w:rPr>
                <w:rFonts w:hint="eastAsia" w:ascii="宋体" w:hAnsi="宋体" w:cs="宋体"/>
                <w:color w:val="auto"/>
                <w:szCs w:val="21"/>
                <w:highlight w:val="none"/>
              </w:rPr>
            </w:pPr>
          </w:p>
        </w:tc>
      </w:tr>
      <w:tr w14:paraId="49FD6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352CD50A">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项目技术负责人</w:t>
            </w:r>
          </w:p>
        </w:tc>
        <w:tc>
          <w:tcPr>
            <w:tcW w:w="641" w:type="pct"/>
            <w:noWrap w:val="0"/>
            <w:vAlign w:val="center"/>
          </w:tcPr>
          <w:p w14:paraId="6199E16A">
            <w:pPr>
              <w:keepNext/>
              <w:spacing w:line="360" w:lineRule="auto"/>
              <w:rPr>
                <w:rFonts w:hint="eastAsia" w:ascii="宋体" w:hAnsi="宋体" w:cs="宋体"/>
                <w:color w:val="auto"/>
                <w:szCs w:val="21"/>
                <w:highlight w:val="none"/>
              </w:rPr>
            </w:pPr>
          </w:p>
        </w:tc>
        <w:tc>
          <w:tcPr>
            <w:tcW w:w="513" w:type="pct"/>
            <w:noWrap w:val="0"/>
            <w:vAlign w:val="center"/>
          </w:tcPr>
          <w:p w14:paraId="15C06BD0">
            <w:pPr>
              <w:keepNext/>
              <w:spacing w:line="360" w:lineRule="auto"/>
              <w:rPr>
                <w:rFonts w:hint="eastAsia" w:ascii="宋体" w:hAnsi="宋体" w:cs="宋体"/>
                <w:color w:val="auto"/>
                <w:szCs w:val="21"/>
                <w:highlight w:val="none"/>
              </w:rPr>
            </w:pPr>
          </w:p>
        </w:tc>
        <w:tc>
          <w:tcPr>
            <w:tcW w:w="374" w:type="pct"/>
            <w:noWrap w:val="0"/>
            <w:vAlign w:val="center"/>
          </w:tcPr>
          <w:p w14:paraId="71DE9856">
            <w:pPr>
              <w:keepNext/>
              <w:spacing w:line="360" w:lineRule="auto"/>
              <w:rPr>
                <w:rFonts w:hint="eastAsia" w:ascii="宋体" w:hAnsi="宋体" w:cs="宋体"/>
                <w:color w:val="auto"/>
                <w:szCs w:val="21"/>
                <w:highlight w:val="none"/>
              </w:rPr>
            </w:pPr>
          </w:p>
        </w:tc>
        <w:tc>
          <w:tcPr>
            <w:tcW w:w="1730" w:type="pct"/>
            <w:noWrap w:val="0"/>
            <w:vAlign w:val="center"/>
          </w:tcPr>
          <w:p w14:paraId="27E59CF9">
            <w:pPr>
              <w:keepNext/>
              <w:spacing w:line="360" w:lineRule="auto"/>
              <w:rPr>
                <w:rFonts w:hint="eastAsia" w:ascii="宋体" w:hAnsi="宋体" w:cs="宋体"/>
                <w:color w:val="auto"/>
                <w:szCs w:val="21"/>
                <w:highlight w:val="none"/>
              </w:rPr>
            </w:pPr>
          </w:p>
        </w:tc>
        <w:tc>
          <w:tcPr>
            <w:tcW w:w="896" w:type="pct"/>
            <w:noWrap w:val="0"/>
            <w:vAlign w:val="top"/>
          </w:tcPr>
          <w:p w14:paraId="0A7DA91D">
            <w:pPr>
              <w:keepNext/>
              <w:spacing w:line="360" w:lineRule="auto"/>
              <w:rPr>
                <w:rFonts w:hint="eastAsia" w:ascii="宋体" w:hAnsi="宋体" w:cs="宋体"/>
                <w:color w:val="auto"/>
                <w:szCs w:val="21"/>
                <w:highlight w:val="none"/>
              </w:rPr>
            </w:pPr>
          </w:p>
        </w:tc>
      </w:tr>
      <w:tr w14:paraId="0D0D9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41326F56">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施工员</w:t>
            </w:r>
          </w:p>
        </w:tc>
        <w:tc>
          <w:tcPr>
            <w:tcW w:w="641" w:type="pct"/>
            <w:noWrap w:val="0"/>
            <w:vAlign w:val="center"/>
          </w:tcPr>
          <w:p w14:paraId="1874AE3C">
            <w:pPr>
              <w:keepNext/>
              <w:spacing w:line="360" w:lineRule="auto"/>
              <w:rPr>
                <w:rFonts w:hint="eastAsia" w:ascii="宋体" w:hAnsi="宋体" w:cs="宋体"/>
                <w:color w:val="auto"/>
                <w:szCs w:val="21"/>
                <w:highlight w:val="none"/>
              </w:rPr>
            </w:pPr>
          </w:p>
        </w:tc>
        <w:tc>
          <w:tcPr>
            <w:tcW w:w="513" w:type="pct"/>
            <w:noWrap w:val="0"/>
            <w:vAlign w:val="center"/>
          </w:tcPr>
          <w:p w14:paraId="1C1D106B">
            <w:pPr>
              <w:keepNext/>
              <w:spacing w:line="360" w:lineRule="auto"/>
              <w:rPr>
                <w:rFonts w:hint="eastAsia" w:ascii="宋体" w:hAnsi="宋体" w:cs="宋体"/>
                <w:color w:val="auto"/>
                <w:szCs w:val="21"/>
                <w:highlight w:val="none"/>
              </w:rPr>
            </w:pPr>
          </w:p>
        </w:tc>
        <w:tc>
          <w:tcPr>
            <w:tcW w:w="374" w:type="pct"/>
            <w:noWrap w:val="0"/>
            <w:vAlign w:val="center"/>
          </w:tcPr>
          <w:p w14:paraId="5723B7CA">
            <w:pPr>
              <w:keepNext/>
              <w:spacing w:line="360" w:lineRule="auto"/>
              <w:rPr>
                <w:rFonts w:hint="eastAsia" w:ascii="宋体" w:hAnsi="宋体" w:cs="宋体"/>
                <w:color w:val="auto"/>
                <w:szCs w:val="21"/>
                <w:highlight w:val="none"/>
              </w:rPr>
            </w:pPr>
          </w:p>
        </w:tc>
        <w:tc>
          <w:tcPr>
            <w:tcW w:w="1730" w:type="pct"/>
            <w:noWrap w:val="0"/>
            <w:vAlign w:val="center"/>
          </w:tcPr>
          <w:p w14:paraId="04DB15CF">
            <w:pPr>
              <w:keepNext/>
              <w:spacing w:line="360" w:lineRule="auto"/>
              <w:rPr>
                <w:rFonts w:hint="eastAsia" w:ascii="宋体" w:hAnsi="宋体" w:cs="宋体"/>
                <w:color w:val="auto"/>
                <w:szCs w:val="21"/>
                <w:highlight w:val="none"/>
              </w:rPr>
            </w:pPr>
          </w:p>
        </w:tc>
        <w:tc>
          <w:tcPr>
            <w:tcW w:w="896" w:type="pct"/>
            <w:noWrap w:val="0"/>
            <w:vAlign w:val="top"/>
          </w:tcPr>
          <w:p w14:paraId="6AF42CDE">
            <w:pPr>
              <w:keepNext/>
              <w:spacing w:line="360" w:lineRule="auto"/>
              <w:rPr>
                <w:rFonts w:hint="eastAsia" w:ascii="宋体" w:hAnsi="宋体" w:cs="宋体"/>
                <w:color w:val="auto"/>
                <w:szCs w:val="21"/>
                <w:highlight w:val="none"/>
              </w:rPr>
            </w:pPr>
          </w:p>
        </w:tc>
      </w:tr>
      <w:tr w14:paraId="07B12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73CA7B32">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质检员（质量员）</w:t>
            </w:r>
          </w:p>
        </w:tc>
        <w:tc>
          <w:tcPr>
            <w:tcW w:w="641" w:type="pct"/>
            <w:noWrap w:val="0"/>
            <w:vAlign w:val="center"/>
          </w:tcPr>
          <w:p w14:paraId="47F8C842">
            <w:pPr>
              <w:keepNext/>
              <w:spacing w:line="360" w:lineRule="auto"/>
              <w:rPr>
                <w:rFonts w:hint="eastAsia" w:ascii="宋体" w:hAnsi="宋体" w:cs="宋体"/>
                <w:color w:val="auto"/>
                <w:szCs w:val="21"/>
                <w:highlight w:val="none"/>
              </w:rPr>
            </w:pPr>
          </w:p>
        </w:tc>
        <w:tc>
          <w:tcPr>
            <w:tcW w:w="513" w:type="pct"/>
            <w:noWrap w:val="0"/>
            <w:vAlign w:val="center"/>
          </w:tcPr>
          <w:p w14:paraId="59A644FC">
            <w:pPr>
              <w:keepNext/>
              <w:spacing w:line="360" w:lineRule="auto"/>
              <w:rPr>
                <w:rFonts w:hint="eastAsia" w:ascii="宋体" w:hAnsi="宋体" w:cs="宋体"/>
                <w:color w:val="auto"/>
                <w:szCs w:val="21"/>
                <w:highlight w:val="none"/>
              </w:rPr>
            </w:pPr>
          </w:p>
        </w:tc>
        <w:tc>
          <w:tcPr>
            <w:tcW w:w="374" w:type="pct"/>
            <w:noWrap w:val="0"/>
            <w:vAlign w:val="center"/>
          </w:tcPr>
          <w:p w14:paraId="627EF852">
            <w:pPr>
              <w:keepNext/>
              <w:spacing w:line="360" w:lineRule="auto"/>
              <w:rPr>
                <w:rFonts w:hint="eastAsia" w:ascii="宋体" w:hAnsi="宋体" w:cs="宋体"/>
                <w:color w:val="auto"/>
                <w:szCs w:val="21"/>
                <w:highlight w:val="none"/>
              </w:rPr>
            </w:pPr>
          </w:p>
        </w:tc>
        <w:tc>
          <w:tcPr>
            <w:tcW w:w="1730" w:type="pct"/>
            <w:noWrap w:val="0"/>
            <w:vAlign w:val="center"/>
          </w:tcPr>
          <w:p w14:paraId="6AEC10FE">
            <w:pPr>
              <w:keepNext/>
              <w:spacing w:line="360" w:lineRule="auto"/>
              <w:rPr>
                <w:rFonts w:hint="eastAsia" w:ascii="宋体" w:hAnsi="宋体" w:cs="宋体"/>
                <w:color w:val="auto"/>
                <w:szCs w:val="21"/>
                <w:highlight w:val="none"/>
              </w:rPr>
            </w:pPr>
          </w:p>
        </w:tc>
        <w:tc>
          <w:tcPr>
            <w:tcW w:w="896" w:type="pct"/>
            <w:noWrap w:val="0"/>
            <w:vAlign w:val="top"/>
          </w:tcPr>
          <w:p w14:paraId="624EADAE">
            <w:pPr>
              <w:keepNext/>
              <w:spacing w:line="360" w:lineRule="auto"/>
              <w:rPr>
                <w:rFonts w:hint="eastAsia" w:ascii="宋体" w:hAnsi="宋体" w:cs="宋体"/>
                <w:color w:val="auto"/>
                <w:szCs w:val="21"/>
                <w:highlight w:val="none"/>
              </w:rPr>
            </w:pPr>
          </w:p>
        </w:tc>
      </w:tr>
      <w:tr w14:paraId="6C5FB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B1D4448">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安全员</w:t>
            </w:r>
          </w:p>
        </w:tc>
        <w:tc>
          <w:tcPr>
            <w:tcW w:w="641" w:type="pct"/>
            <w:noWrap w:val="0"/>
            <w:vAlign w:val="center"/>
          </w:tcPr>
          <w:p w14:paraId="4F5612BC">
            <w:pPr>
              <w:keepNext/>
              <w:spacing w:line="360" w:lineRule="auto"/>
              <w:rPr>
                <w:rFonts w:hint="eastAsia" w:ascii="宋体" w:hAnsi="宋体" w:cs="宋体"/>
                <w:color w:val="auto"/>
                <w:szCs w:val="21"/>
                <w:highlight w:val="none"/>
              </w:rPr>
            </w:pPr>
          </w:p>
        </w:tc>
        <w:tc>
          <w:tcPr>
            <w:tcW w:w="513" w:type="pct"/>
            <w:noWrap w:val="0"/>
            <w:vAlign w:val="center"/>
          </w:tcPr>
          <w:p w14:paraId="747038D9">
            <w:pPr>
              <w:keepNext/>
              <w:spacing w:line="360" w:lineRule="auto"/>
              <w:rPr>
                <w:rFonts w:hint="eastAsia" w:ascii="宋体" w:hAnsi="宋体" w:cs="宋体"/>
                <w:color w:val="auto"/>
                <w:szCs w:val="21"/>
                <w:highlight w:val="none"/>
              </w:rPr>
            </w:pPr>
          </w:p>
        </w:tc>
        <w:tc>
          <w:tcPr>
            <w:tcW w:w="374" w:type="pct"/>
            <w:noWrap w:val="0"/>
            <w:vAlign w:val="center"/>
          </w:tcPr>
          <w:p w14:paraId="094012B2">
            <w:pPr>
              <w:keepNext/>
              <w:spacing w:line="360" w:lineRule="auto"/>
              <w:rPr>
                <w:rFonts w:hint="eastAsia" w:ascii="宋体" w:hAnsi="宋体" w:cs="宋体"/>
                <w:color w:val="auto"/>
                <w:szCs w:val="21"/>
                <w:highlight w:val="none"/>
              </w:rPr>
            </w:pPr>
          </w:p>
        </w:tc>
        <w:tc>
          <w:tcPr>
            <w:tcW w:w="1730" w:type="pct"/>
            <w:noWrap w:val="0"/>
            <w:vAlign w:val="center"/>
          </w:tcPr>
          <w:p w14:paraId="309A2252">
            <w:pPr>
              <w:keepNext/>
              <w:spacing w:line="360" w:lineRule="auto"/>
              <w:rPr>
                <w:rFonts w:hint="eastAsia" w:ascii="宋体" w:hAnsi="宋体" w:cs="宋体"/>
                <w:color w:val="auto"/>
                <w:szCs w:val="21"/>
                <w:highlight w:val="none"/>
              </w:rPr>
            </w:pPr>
          </w:p>
        </w:tc>
        <w:tc>
          <w:tcPr>
            <w:tcW w:w="896" w:type="pct"/>
            <w:noWrap w:val="0"/>
            <w:vAlign w:val="top"/>
          </w:tcPr>
          <w:p w14:paraId="370179E3">
            <w:pPr>
              <w:keepNext/>
              <w:spacing w:line="360" w:lineRule="auto"/>
              <w:rPr>
                <w:rFonts w:hint="eastAsia" w:ascii="宋体" w:hAnsi="宋体" w:cs="宋体"/>
                <w:color w:val="auto"/>
                <w:szCs w:val="21"/>
                <w:highlight w:val="none"/>
              </w:rPr>
            </w:pPr>
          </w:p>
        </w:tc>
      </w:tr>
      <w:tr w14:paraId="22FEC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D171104">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资料员</w:t>
            </w:r>
          </w:p>
        </w:tc>
        <w:tc>
          <w:tcPr>
            <w:tcW w:w="641" w:type="pct"/>
            <w:noWrap w:val="0"/>
            <w:vAlign w:val="center"/>
          </w:tcPr>
          <w:p w14:paraId="3D2447CF">
            <w:pPr>
              <w:keepNext/>
              <w:spacing w:line="360" w:lineRule="auto"/>
              <w:rPr>
                <w:rFonts w:hint="eastAsia" w:ascii="宋体" w:hAnsi="宋体" w:cs="宋体"/>
                <w:color w:val="auto"/>
                <w:szCs w:val="21"/>
                <w:highlight w:val="none"/>
              </w:rPr>
            </w:pPr>
          </w:p>
        </w:tc>
        <w:tc>
          <w:tcPr>
            <w:tcW w:w="513" w:type="pct"/>
            <w:noWrap w:val="0"/>
            <w:vAlign w:val="center"/>
          </w:tcPr>
          <w:p w14:paraId="541AF425">
            <w:pPr>
              <w:keepNext/>
              <w:spacing w:line="360" w:lineRule="auto"/>
              <w:rPr>
                <w:rFonts w:hint="eastAsia" w:ascii="宋体" w:hAnsi="宋体" w:cs="宋体"/>
                <w:color w:val="auto"/>
                <w:szCs w:val="21"/>
                <w:highlight w:val="none"/>
              </w:rPr>
            </w:pPr>
          </w:p>
        </w:tc>
        <w:tc>
          <w:tcPr>
            <w:tcW w:w="374" w:type="pct"/>
            <w:noWrap w:val="0"/>
            <w:vAlign w:val="center"/>
          </w:tcPr>
          <w:p w14:paraId="50D5BCAC">
            <w:pPr>
              <w:keepNext/>
              <w:spacing w:line="360" w:lineRule="auto"/>
              <w:rPr>
                <w:rFonts w:hint="eastAsia" w:ascii="宋体" w:hAnsi="宋体" w:cs="宋体"/>
                <w:color w:val="auto"/>
                <w:szCs w:val="21"/>
                <w:highlight w:val="none"/>
              </w:rPr>
            </w:pPr>
          </w:p>
        </w:tc>
        <w:tc>
          <w:tcPr>
            <w:tcW w:w="1730" w:type="pct"/>
            <w:noWrap w:val="0"/>
            <w:vAlign w:val="center"/>
          </w:tcPr>
          <w:p w14:paraId="60F048A5">
            <w:pPr>
              <w:keepNext/>
              <w:spacing w:line="360" w:lineRule="auto"/>
              <w:rPr>
                <w:rFonts w:hint="eastAsia" w:ascii="宋体" w:hAnsi="宋体" w:cs="宋体"/>
                <w:color w:val="auto"/>
                <w:szCs w:val="21"/>
                <w:highlight w:val="none"/>
              </w:rPr>
            </w:pPr>
          </w:p>
        </w:tc>
        <w:tc>
          <w:tcPr>
            <w:tcW w:w="896" w:type="pct"/>
            <w:noWrap w:val="0"/>
            <w:vAlign w:val="top"/>
          </w:tcPr>
          <w:p w14:paraId="1C0358C3">
            <w:pPr>
              <w:keepNext/>
              <w:spacing w:line="360" w:lineRule="auto"/>
              <w:rPr>
                <w:rFonts w:hint="eastAsia" w:ascii="宋体" w:hAnsi="宋体" w:cs="宋体"/>
                <w:color w:val="auto"/>
                <w:szCs w:val="21"/>
                <w:highlight w:val="none"/>
              </w:rPr>
            </w:pPr>
          </w:p>
        </w:tc>
      </w:tr>
      <w:tr w14:paraId="7BCA7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noWrap w:val="0"/>
            <w:vAlign w:val="center"/>
          </w:tcPr>
          <w:p w14:paraId="1E64ED93">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41" w:type="pct"/>
            <w:noWrap w:val="0"/>
            <w:vAlign w:val="center"/>
          </w:tcPr>
          <w:p w14:paraId="57CCC275">
            <w:pPr>
              <w:keepNext/>
              <w:spacing w:line="360" w:lineRule="auto"/>
              <w:rPr>
                <w:rFonts w:hint="eastAsia" w:ascii="宋体" w:hAnsi="宋体" w:cs="宋体"/>
                <w:color w:val="auto"/>
                <w:szCs w:val="21"/>
                <w:highlight w:val="none"/>
              </w:rPr>
            </w:pPr>
          </w:p>
        </w:tc>
        <w:tc>
          <w:tcPr>
            <w:tcW w:w="513" w:type="pct"/>
            <w:noWrap w:val="0"/>
            <w:vAlign w:val="center"/>
          </w:tcPr>
          <w:p w14:paraId="0A8F86F3">
            <w:pPr>
              <w:keepNext/>
              <w:spacing w:line="360" w:lineRule="auto"/>
              <w:rPr>
                <w:rFonts w:hint="eastAsia" w:ascii="宋体" w:hAnsi="宋体" w:cs="宋体"/>
                <w:color w:val="auto"/>
                <w:szCs w:val="21"/>
                <w:highlight w:val="none"/>
              </w:rPr>
            </w:pPr>
          </w:p>
        </w:tc>
        <w:tc>
          <w:tcPr>
            <w:tcW w:w="374" w:type="pct"/>
            <w:noWrap w:val="0"/>
            <w:vAlign w:val="center"/>
          </w:tcPr>
          <w:p w14:paraId="4C6ED0EA">
            <w:pPr>
              <w:keepNext/>
              <w:spacing w:line="360" w:lineRule="auto"/>
              <w:rPr>
                <w:rFonts w:hint="eastAsia" w:ascii="宋体" w:hAnsi="宋体" w:cs="宋体"/>
                <w:color w:val="auto"/>
                <w:szCs w:val="21"/>
                <w:highlight w:val="none"/>
              </w:rPr>
            </w:pPr>
          </w:p>
        </w:tc>
        <w:tc>
          <w:tcPr>
            <w:tcW w:w="1730" w:type="pct"/>
            <w:noWrap w:val="0"/>
            <w:vAlign w:val="center"/>
          </w:tcPr>
          <w:p w14:paraId="09A0F842">
            <w:pPr>
              <w:keepNext/>
              <w:spacing w:line="360" w:lineRule="auto"/>
              <w:rPr>
                <w:rFonts w:hint="eastAsia" w:ascii="宋体" w:hAnsi="宋体" w:cs="宋体"/>
                <w:color w:val="auto"/>
                <w:szCs w:val="21"/>
                <w:highlight w:val="none"/>
              </w:rPr>
            </w:pPr>
          </w:p>
        </w:tc>
        <w:tc>
          <w:tcPr>
            <w:tcW w:w="896" w:type="pct"/>
            <w:noWrap w:val="0"/>
            <w:vAlign w:val="top"/>
          </w:tcPr>
          <w:p w14:paraId="6CB952BB">
            <w:pPr>
              <w:keepNext/>
              <w:spacing w:line="360" w:lineRule="auto"/>
              <w:rPr>
                <w:rFonts w:hint="eastAsia" w:ascii="宋体" w:hAnsi="宋体" w:cs="宋体"/>
                <w:color w:val="auto"/>
                <w:szCs w:val="21"/>
                <w:highlight w:val="none"/>
              </w:rPr>
            </w:pPr>
          </w:p>
        </w:tc>
      </w:tr>
      <w:tr w14:paraId="47183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348D6509">
            <w:pPr>
              <w:keepNext/>
              <w:spacing w:line="360" w:lineRule="auto"/>
              <w:rPr>
                <w:rFonts w:hint="eastAsia" w:ascii="宋体" w:hAnsi="宋体" w:cs="宋体"/>
                <w:color w:val="auto"/>
                <w:szCs w:val="21"/>
                <w:highlight w:val="none"/>
              </w:rPr>
            </w:pPr>
          </w:p>
        </w:tc>
        <w:tc>
          <w:tcPr>
            <w:tcW w:w="641" w:type="pct"/>
            <w:tcBorders>
              <w:bottom w:val="nil"/>
            </w:tcBorders>
            <w:noWrap w:val="0"/>
            <w:vAlign w:val="center"/>
          </w:tcPr>
          <w:p w14:paraId="37FD612F">
            <w:pPr>
              <w:keepNext/>
              <w:spacing w:line="360" w:lineRule="auto"/>
              <w:rPr>
                <w:rFonts w:hint="eastAsia" w:ascii="宋体" w:hAnsi="宋体" w:cs="宋体"/>
                <w:color w:val="auto"/>
                <w:szCs w:val="21"/>
                <w:highlight w:val="none"/>
              </w:rPr>
            </w:pPr>
          </w:p>
        </w:tc>
        <w:tc>
          <w:tcPr>
            <w:tcW w:w="513" w:type="pct"/>
            <w:tcBorders>
              <w:bottom w:val="nil"/>
            </w:tcBorders>
            <w:noWrap w:val="0"/>
            <w:vAlign w:val="center"/>
          </w:tcPr>
          <w:p w14:paraId="30933DEE">
            <w:pPr>
              <w:keepNext/>
              <w:spacing w:line="360" w:lineRule="auto"/>
              <w:rPr>
                <w:rFonts w:hint="eastAsia" w:ascii="宋体" w:hAnsi="宋体" w:cs="宋体"/>
                <w:color w:val="auto"/>
                <w:szCs w:val="21"/>
                <w:highlight w:val="none"/>
              </w:rPr>
            </w:pPr>
          </w:p>
        </w:tc>
        <w:tc>
          <w:tcPr>
            <w:tcW w:w="374" w:type="pct"/>
            <w:tcBorders>
              <w:bottom w:val="nil"/>
            </w:tcBorders>
            <w:noWrap w:val="0"/>
            <w:vAlign w:val="center"/>
          </w:tcPr>
          <w:p w14:paraId="77CF99DF">
            <w:pPr>
              <w:keepNext/>
              <w:spacing w:line="360" w:lineRule="auto"/>
              <w:rPr>
                <w:rFonts w:hint="eastAsia" w:ascii="宋体" w:hAnsi="宋体" w:cs="宋体"/>
                <w:color w:val="auto"/>
                <w:szCs w:val="21"/>
                <w:highlight w:val="none"/>
              </w:rPr>
            </w:pPr>
          </w:p>
        </w:tc>
        <w:tc>
          <w:tcPr>
            <w:tcW w:w="1730" w:type="pct"/>
            <w:tcBorders>
              <w:bottom w:val="nil"/>
            </w:tcBorders>
            <w:noWrap w:val="0"/>
            <w:vAlign w:val="center"/>
          </w:tcPr>
          <w:p w14:paraId="4693244F">
            <w:pPr>
              <w:keepNext/>
              <w:spacing w:line="360" w:lineRule="auto"/>
              <w:rPr>
                <w:rFonts w:hint="eastAsia" w:ascii="宋体" w:hAnsi="宋体" w:cs="宋体"/>
                <w:color w:val="auto"/>
                <w:szCs w:val="21"/>
                <w:highlight w:val="none"/>
              </w:rPr>
            </w:pPr>
          </w:p>
        </w:tc>
        <w:tc>
          <w:tcPr>
            <w:tcW w:w="896" w:type="pct"/>
            <w:tcBorders>
              <w:bottom w:val="nil"/>
            </w:tcBorders>
            <w:noWrap w:val="0"/>
            <w:vAlign w:val="top"/>
          </w:tcPr>
          <w:p w14:paraId="75D3F25A">
            <w:pPr>
              <w:keepNext/>
              <w:spacing w:line="360" w:lineRule="auto"/>
              <w:rPr>
                <w:rFonts w:hint="eastAsia" w:ascii="宋体" w:hAnsi="宋体" w:cs="宋体"/>
                <w:color w:val="auto"/>
                <w:szCs w:val="21"/>
                <w:highlight w:val="none"/>
              </w:rPr>
            </w:pPr>
          </w:p>
        </w:tc>
      </w:tr>
      <w:tr w14:paraId="6624C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6006E6BD">
            <w:pPr>
              <w:keepNext/>
              <w:spacing w:line="360" w:lineRule="auto"/>
              <w:rPr>
                <w:rFonts w:hint="eastAsia" w:ascii="宋体" w:hAnsi="宋体" w:cs="宋体"/>
                <w:color w:val="auto"/>
                <w:szCs w:val="21"/>
                <w:highlight w:val="none"/>
              </w:rPr>
            </w:pPr>
          </w:p>
        </w:tc>
        <w:tc>
          <w:tcPr>
            <w:tcW w:w="641" w:type="pct"/>
            <w:noWrap w:val="0"/>
            <w:vAlign w:val="center"/>
          </w:tcPr>
          <w:p w14:paraId="5671B29F">
            <w:pPr>
              <w:keepNext/>
              <w:spacing w:line="360" w:lineRule="auto"/>
              <w:rPr>
                <w:rFonts w:hint="eastAsia" w:ascii="宋体" w:hAnsi="宋体" w:cs="宋体"/>
                <w:color w:val="auto"/>
                <w:szCs w:val="21"/>
                <w:highlight w:val="none"/>
              </w:rPr>
            </w:pPr>
          </w:p>
        </w:tc>
        <w:tc>
          <w:tcPr>
            <w:tcW w:w="513" w:type="pct"/>
            <w:noWrap w:val="0"/>
            <w:vAlign w:val="center"/>
          </w:tcPr>
          <w:p w14:paraId="7F90312A">
            <w:pPr>
              <w:keepNext/>
              <w:spacing w:line="360" w:lineRule="auto"/>
              <w:rPr>
                <w:rFonts w:hint="eastAsia" w:ascii="宋体" w:hAnsi="宋体" w:cs="宋体"/>
                <w:color w:val="auto"/>
                <w:szCs w:val="21"/>
                <w:highlight w:val="none"/>
              </w:rPr>
            </w:pPr>
          </w:p>
        </w:tc>
        <w:tc>
          <w:tcPr>
            <w:tcW w:w="374" w:type="pct"/>
            <w:noWrap w:val="0"/>
            <w:vAlign w:val="center"/>
          </w:tcPr>
          <w:p w14:paraId="63FC298C">
            <w:pPr>
              <w:keepNext/>
              <w:spacing w:line="360" w:lineRule="auto"/>
              <w:rPr>
                <w:rFonts w:hint="eastAsia" w:ascii="宋体" w:hAnsi="宋体" w:cs="宋体"/>
                <w:color w:val="auto"/>
                <w:szCs w:val="21"/>
                <w:highlight w:val="none"/>
              </w:rPr>
            </w:pPr>
          </w:p>
        </w:tc>
        <w:tc>
          <w:tcPr>
            <w:tcW w:w="1730" w:type="pct"/>
            <w:noWrap w:val="0"/>
            <w:vAlign w:val="center"/>
          </w:tcPr>
          <w:p w14:paraId="7DCDBAE5">
            <w:pPr>
              <w:keepNext/>
              <w:spacing w:line="360" w:lineRule="auto"/>
              <w:rPr>
                <w:rFonts w:hint="eastAsia" w:ascii="宋体" w:hAnsi="宋体" w:cs="宋体"/>
                <w:color w:val="auto"/>
                <w:szCs w:val="21"/>
                <w:highlight w:val="none"/>
              </w:rPr>
            </w:pPr>
          </w:p>
        </w:tc>
        <w:tc>
          <w:tcPr>
            <w:tcW w:w="896" w:type="pct"/>
            <w:noWrap w:val="0"/>
            <w:vAlign w:val="top"/>
          </w:tcPr>
          <w:p w14:paraId="1FEAD805">
            <w:pPr>
              <w:keepNext/>
              <w:spacing w:line="360" w:lineRule="auto"/>
              <w:rPr>
                <w:rFonts w:hint="eastAsia" w:ascii="宋体" w:hAnsi="宋体" w:cs="宋体"/>
                <w:color w:val="auto"/>
                <w:szCs w:val="21"/>
                <w:highlight w:val="none"/>
              </w:rPr>
            </w:pPr>
          </w:p>
        </w:tc>
      </w:tr>
      <w:tr w14:paraId="18C6A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44A84AD9">
            <w:pPr>
              <w:keepNext/>
              <w:spacing w:line="360" w:lineRule="auto"/>
              <w:rPr>
                <w:rFonts w:hint="eastAsia" w:ascii="宋体" w:hAnsi="宋体" w:cs="宋体"/>
                <w:color w:val="auto"/>
                <w:szCs w:val="21"/>
                <w:highlight w:val="none"/>
              </w:rPr>
            </w:pPr>
          </w:p>
        </w:tc>
        <w:tc>
          <w:tcPr>
            <w:tcW w:w="641" w:type="pct"/>
            <w:noWrap w:val="0"/>
            <w:vAlign w:val="center"/>
          </w:tcPr>
          <w:p w14:paraId="5E80FF14">
            <w:pPr>
              <w:keepNext/>
              <w:spacing w:line="360" w:lineRule="auto"/>
              <w:rPr>
                <w:rFonts w:hint="eastAsia" w:ascii="宋体" w:hAnsi="宋体" w:cs="宋体"/>
                <w:color w:val="auto"/>
                <w:szCs w:val="21"/>
                <w:highlight w:val="none"/>
              </w:rPr>
            </w:pPr>
          </w:p>
        </w:tc>
        <w:tc>
          <w:tcPr>
            <w:tcW w:w="513" w:type="pct"/>
            <w:noWrap w:val="0"/>
            <w:vAlign w:val="center"/>
          </w:tcPr>
          <w:p w14:paraId="14F6450D">
            <w:pPr>
              <w:keepNext/>
              <w:spacing w:line="360" w:lineRule="auto"/>
              <w:rPr>
                <w:rFonts w:hint="eastAsia" w:ascii="宋体" w:hAnsi="宋体" w:cs="宋体"/>
                <w:color w:val="auto"/>
                <w:szCs w:val="21"/>
                <w:highlight w:val="none"/>
              </w:rPr>
            </w:pPr>
          </w:p>
        </w:tc>
        <w:tc>
          <w:tcPr>
            <w:tcW w:w="374" w:type="pct"/>
            <w:noWrap w:val="0"/>
            <w:vAlign w:val="center"/>
          </w:tcPr>
          <w:p w14:paraId="266974C3">
            <w:pPr>
              <w:keepNext/>
              <w:spacing w:line="360" w:lineRule="auto"/>
              <w:rPr>
                <w:rFonts w:hint="eastAsia" w:ascii="宋体" w:hAnsi="宋体" w:cs="宋体"/>
                <w:color w:val="auto"/>
                <w:szCs w:val="21"/>
                <w:highlight w:val="none"/>
              </w:rPr>
            </w:pPr>
          </w:p>
        </w:tc>
        <w:tc>
          <w:tcPr>
            <w:tcW w:w="1730" w:type="pct"/>
            <w:noWrap w:val="0"/>
            <w:vAlign w:val="center"/>
          </w:tcPr>
          <w:p w14:paraId="560B43BD">
            <w:pPr>
              <w:keepNext/>
              <w:spacing w:line="360" w:lineRule="auto"/>
              <w:rPr>
                <w:rFonts w:hint="eastAsia" w:ascii="宋体" w:hAnsi="宋体" w:cs="宋体"/>
                <w:color w:val="auto"/>
                <w:szCs w:val="21"/>
                <w:highlight w:val="none"/>
              </w:rPr>
            </w:pPr>
          </w:p>
        </w:tc>
        <w:tc>
          <w:tcPr>
            <w:tcW w:w="896" w:type="pct"/>
            <w:noWrap w:val="0"/>
            <w:vAlign w:val="top"/>
          </w:tcPr>
          <w:p w14:paraId="2ABB5219">
            <w:pPr>
              <w:keepNext/>
              <w:spacing w:line="360" w:lineRule="auto"/>
              <w:rPr>
                <w:rFonts w:hint="eastAsia" w:ascii="宋体" w:hAnsi="宋体" w:cs="宋体"/>
                <w:color w:val="auto"/>
                <w:szCs w:val="21"/>
                <w:highlight w:val="none"/>
              </w:rPr>
            </w:pPr>
          </w:p>
        </w:tc>
      </w:tr>
      <w:tr w14:paraId="59E71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6C9EC67D">
            <w:pPr>
              <w:keepNext/>
              <w:spacing w:line="360" w:lineRule="auto"/>
              <w:rPr>
                <w:rFonts w:hint="eastAsia" w:ascii="宋体" w:hAnsi="宋体" w:cs="宋体"/>
                <w:color w:val="auto"/>
                <w:szCs w:val="21"/>
                <w:highlight w:val="none"/>
              </w:rPr>
            </w:pPr>
          </w:p>
        </w:tc>
        <w:tc>
          <w:tcPr>
            <w:tcW w:w="641" w:type="pct"/>
            <w:noWrap w:val="0"/>
            <w:vAlign w:val="center"/>
          </w:tcPr>
          <w:p w14:paraId="42336791">
            <w:pPr>
              <w:keepNext/>
              <w:spacing w:line="360" w:lineRule="auto"/>
              <w:rPr>
                <w:rFonts w:hint="eastAsia" w:ascii="宋体" w:hAnsi="宋体" w:cs="宋体"/>
                <w:color w:val="auto"/>
                <w:szCs w:val="21"/>
                <w:highlight w:val="none"/>
              </w:rPr>
            </w:pPr>
          </w:p>
        </w:tc>
        <w:tc>
          <w:tcPr>
            <w:tcW w:w="513" w:type="pct"/>
            <w:noWrap w:val="0"/>
            <w:vAlign w:val="center"/>
          </w:tcPr>
          <w:p w14:paraId="082F42A6">
            <w:pPr>
              <w:keepNext/>
              <w:spacing w:line="360" w:lineRule="auto"/>
              <w:rPr>
                <w:rFonts w:hint="eastAsia" w:ascii="宋体" w:hAnsi="宋体" w:cs="宋体"/>
                <w:color w:val="auto"/>
                <w:szCs w:val="21"/>
                <w:highlight w:val="none"/>
              </w:rPr>
            </w:pPr>
          </w:p>
        </w:tc>
        <w:tc>
          <w:tcPr>
            <w:tcW w:w="374" w:type="pct"/>
            <w:noWrap w:val="0"/>
            <w:vAlign w:val="center"/>
          </w:tcPr>
          <w:p w14:paraId="4353B4AF">
            <w:pPr>
              <w:keepNext/>
              <w:spacing w:line="360" w:lineRule="auto"/>
              <w:rPr>
                <w:rFonts w:hint="eastAsia" w:ascii="宋体" w:hAnsi="宋体" w:cs="宋体"/>
                <w:color w:val="auto"/>
                <w:szCs w:val="21"/>
                <w:highlight w:val="none"/>
              </w:rPr>
            </w:pPr>
          </w:p>
        </w:tc>
        <w:tc>
          <w:tcPr>
            <w:tcW w:w="1730" w:type="pct"/>
            <w:noWrap w:val="0"/>
            <w:vAlign w:val="center"/>
          </w:tcPr>
          <w:p w14:paraId="769DECEC">
            <w:pPr>
              <w:keepNext/>
              <w:spacing w:line="360" w:lineRule="auto"/>
              <w:rPr>
                <w:rFonts w:hint="eastAsia" w:ascii="宋体" w:hAnsi="宋体" w:cs="宋体"/>
                <w:color w:val="auto"/>
                <w:szCs w:val="21"/>
                <w:highlight w:val="none"/>
              </w:rPr>
            </w:pPr>
          </w:p>
        </w:tc>
        <w:tc>
          <w:tcPr>
            <w:tcW w:w="896" w:type="pct"/>
            <w:noWrap w:val="0"/>
            <w:vAlign w:val="top"/>
          </w:tcPr>
          <w:p w14:paraId="32BE5E36">
            <w:pPr>
              <w:keepNext/>
              <w:spacing w:line="360" w:lineRule="auto"/>
              <w:rPr>
                <w:rFonts w:hint="eastAsia" w:ascii="宋体" w:hAnsi="宋体" w:cs="宋体"/>
                <w:color w:val="auto"/>
                <w:szCs w:val="21"/>
                <w:highlight w:val="none"/>
              </w:rPr>
            </w:pPr>
          </w:p>
        </w:tc>
      </w:tr>
      <w:tr w14:paraId="2821BC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noWrap w:val="0"/>
            <w:vAlign w:val="center"/>
          </w:tcPr>
          <w:p w14:paraId="545103D2">
            <w:pPr>
              <w:keepNext/>
              <w:spacing w:line="360" w:lineRule="auto"/>
              <w:rPr>
                <w:rFonts w:hint="eastAsia" w:ascii="宋体" w:hAnsi="宋体" w:cs="宋体"/>
                <w:color w:val="auto"/>
                <w:szCs w:val="21"/>
                <w:highlight w:val="none"/>
              </w:rPr>
            </w:pPr>
          </w:p>
        </w:tc>
        <w:tc>
          <w:tcPr>
            <w:tcW w:w="641" w:type="pct"/>
            <w:tcBorders>
              <w:bottom w:val="single" w:color="auto" w:sz="12" w:space="0"/>
            </w:tcBorders>
            <w:noWrap w:val="0"/>
            <w:vAlign w:val="center"/>
          </w:tcPr>
          <w:p w14:paraId="5E0D6C05">
            <w:pPr>
              <w:keepNext/>
              <w:spacing w:line="360" w:lineRule="auto"/>
              <w:rPr>
                <w:rFonts w:hint="eastAsia" w:ascii="宋体" w:hAnsi="宋体" w:cs="宋体"/>
                <w:color w:val="auto"/>
                <w:szCs w:val="21"/>
                <w:highlight w:val="none"/>
              </w:rPr>
            </w:pPr>
          </w:p>
        </w:tc>
        <w:tc>
          <w:tcPr>
            <w:tcW w:w="513" w:type="pct"/>
            <w:tcBorders>
              <w:bottom w:val="single" w:color="auto" w:sz="12" w:space="0"/>
            </w:tcBorders>
            <w:noWrap w:val="0"/>
            <w:vAlign w:val="center"/>
          </w:tcPr>
          <w:p w14:paraId="7E9A49A2">
            <w:pPr>
              <w:keepNext/>
              <w:spacing w:line="360" w:lineRule="auto"/>
              <w:rPr>
                <w:rFonts w:hint="eastAsia" w:ascii="宋体" w:hAnsi="宋体" w:cs="宋体"/>
                <w:color w:val="auto"/>
                <w:szCs w:val="21"/>
                <w:highlight w:val="none"/>
              </w:rPr>
            </w:pPr>
          </w:p>
        </w:tc>
        <w:tc>
          <w:tcPr>
            <w:tcW w:w="374" w:type="pct"/>
            <w:tcBorders>
              <w:bottom w:val="single" w:color="auto" w:sz="12" w:space="0"/>
            </w:tcBorders>
            <w:noWrap w:val="0"/>
            <w:vAlign w:val="center"/>
          </w:tcPr>
          <w:p w14:paraId="33C24F51">
            <w:pPr>
              <w:keepNext/>
              <w:spacing w:line="360" w:lineRule="auto"/>
              <w:rPr>
                <w:rFonts w:hint="eastAsia" w:ascii="宋体" w:hAnsi="宋体" w:cs="宋体"/>
                <w:color w:val="auto"/>
                <w:szCs w:val="21"/>
                <w:highlight w:val="none"/>
              </w:rPr>
            </w:pPr>
          </w:p>
        </w:tc>
        <w:tc>
          <w:tcPr>
            <w:tcW w:w="1730" w:type="pct"/>
            <w:tcBorders>
              <w:bottom w:val="single" w:color="auto" w:sz="12" w:space="0"/>
            </w:tcBorders>
            <w:noWrap w:val="0"/>
            <w:vAlign w:val="center"/>
          </w:tcPr>
          <w:p w14:paraId="1A5D9AB1">
            <w:pPr>
              <w:keepNext/>
              <w:spacing w:line="360" w:lineRule="auto"/>
              <w:rPr>
                <w:rFonts w:hint="eastAsia" w:ascii="宋体" w:hAnsi="宋体" w:cs="宋体"/>
                <w:color w:val="auto"/>
                <w:szCs w:val="21"/>
                <w:highlight w:val="none"/>
              </w:rPr>
            </w:pPr>
          </w:p>
        </w:tc>
        <w:tc>
          <w:tcPr>
            <w:tcW w:w="896" w:type="pct"/>
            <w:tcBorders>
              <w:bottom w:val="single" w:color="auto" w:sz="12" w:space="0"/>
            </w:tcBorders>
            <w:noWrap w:val="0"/>
            <w:vAlign w:val="top"/>
          </w:tcPr>
          <w:p w14:paraId="35A70780">
            <w:pPr>
              <w:keepNext/>
              <w:spacing w:line="360" w:lineRule="auto"/>
              <w:rPr>
                <w:rFonts w:hint="eastAsia" w:ascii="宋体" w:hAnsi="宋体" w:cs="宋体"/>
                <w:color w:val="auto"/>
                <w:szCs w:val="21"/>
                <w:highlight w:val="none"/>
              </w:rPr>
            </w:pPr>
          </w:p>
        </w:tc>
      </w:tr>
    </w:tbl>
    <w:p w14:paraId="4EE3798C">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355" w:name="_Toc25726"/>
      <w:bookmarkStart w:id="1356" w:name="_Toc7655"/>
      <w:bookmarkStart w:id="1357" w:name="_Toc95223495"/>
      <w:r>
        <w:rPr>
          <w:rFonts w:hint="eastAsia" w:ascii="宋体" w:hAnsi="宋体" w:cs="宋体"/>
          <w:bCs/>
          <w:color w:val="auto"/>
          <w:sz w:val="24"/>
          <w:highlight w:val="none"/>
        </w:rPr>
        <w:t>附</w:t>
      </w:r>
      <w:bookmarkStart w:id="1358" w:name="_Toc296891059"/>
      <w:bookmarkStart w:id="1359" w:name="_Toc296346732"/>
      <w:bookmarkStart w:id="1360" w:name="_Toc296891271"/>
      <w:bookmarkStart w:id="1361" w:name="_Toc296944570"/>
      <w:bookmarkStart w:id="1362" w:name="_Toc296347230"/>
      <w:bookmarkStart w:id="1363" w:name="_Toc296503231"/>
      <w:r>
        <w:rPr>
          <w:rFonts w:hint="eastAsia" w:ascii="宋体" w:hAnsi="宋体" w:cs="宋体"/>
          <w:bCs/>
          <w:color w:val="auto"/>
          <w:sz w:val="24"/>
          <w:highlight w:val="none"/>
        </w:rPr>
        <w:t>件8：廉政协议</w:t>
      </w:r>
      <w:bookmarkEnd w:id="1355"/>
      <w:bookmarkEnd w:id="1356"/>
      <w:bookmarkEnd w:id="1357"/>
    </w:p>
    <w:bookmarkEnd w:id="1358"/>
    <w:bookmarkEnd w:id="1359"/>
    <w:bookmarkEnd w:id="1360"/>
    <w:bookmarkEnd w:id="1361"/>
    <w:bookmarkEnd w:id="1362"/>
    <w:bookmarkEnd w:id="1363"/>
    <w:p w14:paraId="40860943">
      <w:pPr>
        <w:widowControl/>
        <w:spacing w:line="360" w:lineRule="auto"/>
        <w:ind w:firstLine="641"/>
        <w:jc w:val="center"/>
        <w:rPr>
          <w:rFonts w:hint="eastAsia" w:ascii="宋体" w:hAnsi="宋体" w:cs="宋体"/>
          <w:b/>
          <w:bCs/>
          <w:color w:val="auto"/>
          <w:kern w:val="0"/>
          <w:sz w:val="32"/>
          <w:szCs w:val="32"/>
          <w:highlight w:val="none"/>
        </w:rPr>
      </w:pPr>
      <w:bookmarkStart w:id="1364" w:name="_Toc95223496"/>
      <w:bookmarkStart w:id="1365" w:name="_Toc9808"/>
      <w:bookmarkStart w:id="1366" w:name="_Toc7607"/>
      <w:r>
        <w:rPr>
          <w:rFonts w:hint="eastAsia" w:ascii="宋体" w:hAnsi="宋体" w:cs="宋体"/>
          <w:b/>
          <w:bCs/>
          <w:color w:val="auto"/>
          <w:kern w:val="0"/>
          <w:sz w:val="32"/>
          <w:szCs w:val="32"/>
          <w:highlight w:val="none"/>
        </w:rPr>
        <w:t>廉 政 协 议</w:t>
      </w:r>
      <w:bookmarkEnd w:id="1364"/>
      <w:bookmarkEnd w:id="1365"/>
      <w:bookmarkEnd w:id="1366"/>
    </w:p>
    <w:p w14:paraId="2590614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740371DB">
      <w:pPr>
        <w:widowControl/>
        <w:spacing w:line="360" w:lineRule="auto"/>
        <w:ind w:firstLine="420" w:firstLineChars="200"/>
        <w:jc w:val="left"/>
        <w:rPr>
          <w:rFonts w:hint="eastAsia" w:ascii="宋体" w:hAnsi="宋体" w:cs="宋体"/>
          <w:color w:val="auto"/>
          <w:kern w:val="0"/>
          <w:szCs w:val="21"/>
          <w:highlight w:val="none"/>
        </w:rPr>
      </w:pPr>
      <w:bookmarkStart w:id="1367" w:name="_Toc95223497"/>
      <w:bookmarkStart w:id="1368" w:name="_Toc9888"/>
      <w:bookmarkStart w:id="1369" w:name="_Toc21306"/>
      <w:r>
        <w:rPr>
          <w:rFonts w:hint="eastAsia" w:ascii="宋体" w:hAnsi="宋体" w:cs="宋体"/>
          <w:color w:val="auto"/>
          <w:kern w:val="0"/>
          <w:szCs w:val="21"/>
          <w:highlight w:val="none"/>
        </w:rPr>
        <w:t>第一条 甲乙双方的权利和义务</w:t>
      </w:r>
      <w:bookmarkEnd w:id="1367"/>
      <w:bookmarkEnd w:id="1368"/>
      <w:bookmarkEnd w:id="1369"/>
    </w:p>
    <w:p w14:paraId="11CA19E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A3B775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68CDC96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72991EB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4AD802B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3C5DABFE">
      <w:pPr>
        <w:widowControl/>
        <w:spacing w:line="360" w:lineRule="auto"/>
        <w:ind w:firstLine="420" w:firstLineChars="200"/>
        <w:jc w:val="left"/>
        <w:rPr>
          <w:rFonts w:hint="eastAsia" w:ascii="宋体" w:hAnsi="宋体" w:cs="宋体"/>
          <w:color w:val="auto"/>
          <w:kern w:val="0"/>
          <w:szCs w:val="21"/>
          <w:highlight w:val="none"/>
        </w:rPr>
      </w:pPr>
      <w:bookmarkStart w:id="1370" w:name="_Toc95223498"/>
      <w:bookmarkStart w:id="1371" w:name="_Toc3866"/>
      <w:bookmarkStart w:id="1372" w:name="_Toc1917"/>
      <w:r>
        <w:rPr>
          <w:rFonts w:hint="eastAsia" w:ascii="宋体" w:hAnsi="宋体" w:cs="宋体"/>
          <w:color w:val="auto"/>
          <w:kern w:val="0"/>
          <w:szCs w:val="21"/>
          <w:highlight w:val="none"/>
        </w:rPr>
        <w:t>第二条 甲方的义务</w:t>
      </w:r>
      <w:bookmarkEnd w:id="1370"/>
      <w:bookmarkEnd w:id="1371"/>
      <w:bookmarkEnd w:id="1372"/>
    </w:p>
    <w:p w14:paraId="33CB1012">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31F7C06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04BEF1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45B6E8C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52B0E1C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5193854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0A3EFE1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7679F78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1A8486FB">
      <w:pPr>
        <w:widowControl/>
        <w:spacing w:line="360" w:lineRule="auto"/>
        <w:ind w:firstLine="420" w:firstLineChars="200"/>
        <w:jc w:val="left"/>
        <w:rPr>
          <w:rFonts w:hint="eastAsia" w:ascii="宋体" w:hAnsi="宋体" w:cs="宋体"/>
          <w:color w:val="auto"/>
          <w:kern w:val="0"/>
          <w:szCs w:val="21"/>
          <w:highlight w:val="none"/>
        </w:rPr>
      </w:pPr>
      <w:bookmarkStart w:id="1373" w:name="_Toc10556"/>
      <w:bookmarkStart w:id="1374" w:name="_Toc95223499"/>
      <w:bookmarkStart w:id="1375" w:name="_Toc20831"/>
      <w:r>
        <w:rPr>
          <w:rFonts w:hint="eastAsia" w:ascii="宋体" w:hAnsi="宋体" w:cs="宋体"/>
          <w:color w:val="auto"/>
          <w:kern w:val="0"/>
          <w:szCs w:val="21"/>
          <w:highlight w:val="none"/>
        </w:rPr>
        <w:t>第三条 乙方的义务</w:t>
      </w:r>
      <w:bookmarkEnd w:id="1373"/>
      <w:bookmarkEnd w:id="1374"/>
      <w:bookmarkEnd w:id="1375"/>
    </w:p>
    <w:p w14:paraId="46866626">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7ED6251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0689C9B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1A2A2D6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24FDB4A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30ED042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7A50799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31209CB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1096A740">
      <w:pPr>
        <w:widowControl/>
        <w:spacing w:line="360" w:lineRule="auto"/>
        <w:ind w:firstLine="420" w:firstLineChars="200"/>
        <w:jc w:val="left"/>
        <w:rPr>
          <w:rFonts w:hint="eastAsia" w:ascii="宋体" w:hAnsi="宋体" w:cs="宋体"/>
          <w:color w:val="auto"/>
          <w:kern w:val="0"/>
          <w:szCs w:val="21"/>
          <w:highlight w:val="none"/>
        </w:rPr>
      </w:pPr>
      <w:bookmarkStart w:id="1376" w:name="_Toc95223500"/>
      <w:bookmarkStart w:id="1377" w:name="_Toc14507"/>
      <w:bookmarkStart w:id="1378" w:name="_Toc2198"/>
      <w:r>
        <w:rPr>
          <w:rFonts w:hint="eastAsia" w:ascii="宋体" w:hAnsi="宋体" w:cs="宋体"/>
          <w:color w:val="auto"/>
          <w:kern w:val="0"/>
          <w:szCs w:val="21"/>
          <w:highlight w:val="none"/>
        </w:rPr>
        <w:t>第四条 违约责任</w:t>
      </w:r>
      <w:bookmarkEnd w:id="1376"/>
      <w:bookmarkEnd w:id="1377"/>
      <w:bookmarkEnd w:id="1378"/>
    </w:p>
    <w:p w14:paraId="147D812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6EBF1F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BB7C44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602267A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7BA94F8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45C7159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00BBB1B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7D68AA6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33253E5A">
      <w:pPr>
        <w:widowControl/>
        <w:spacing w:line="360" w:lineRule="auto"/>
        <w:ind w:firstLine="420" w:firstLineChars="200"/>
        <w:jc w:val="left"/>
        <w:rPr>
          <w:rFonts w:hint="eastAsia" w:ascii="宋体" w:hAnsi="宋体" w:cs="宋体"/>
          <w:color w:val="auto"/>
          <w:kern w:val="0"/>
          <w:szCs w:val="21"/>
          <w:highlight w:val="none"/>
        </w:rPr>
      </w:pPr>
      <w:bookmarkStart w:id="1379" w:name="_Toc2334"/>
      <w:bookmarkStart w:id="1380" w:name="_Toc95223501"/>
      <w:bookmarkStart w:id="1381" w:name="_Toc10228"/>
      <w:r>
        <w:rPr>
          <w:rFonts w:hint="eastAsia" w:ascii="宋体" w:hAnsi="宋体" w:cs="宋体"/>
          <w:color w:val="auto"/>
          <w:kern w:val="0"/>
          <w:szCs w:val="21"/>
          <w:highlight w:val="none"/>
        </w:rPr>
        <w:t>第五条 双方约定</w:t>
      </w:r>
      <w:bookmarkEnd w:id="1379"/>
      <w:bookmarkEnd w:id="1380"/>
      <w:bookmarkEnd w:id="1381"/>
    </w:p>
    <w:p w14:paraId="374EB58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09D41CBE">
      <w:pPr>
        <w:widowControl/>
        <w:spacing w:line="360" w:lineRule="auto"/>
        <w:ind w:firstLine="420" w:firstLineChars="200"/>
        <w:jc w:val="left"/>
        <w:rPr>
          <w:rFonts w:hint="eastAsia" w:ascii="宋体" w:hAnsi="宋体" w:cs="宋体"/>
          <w:color w:val="auto"/>
          <w:kern w:val="0"/>
          <w:szCs w:val="21"/>
          <w:highlight w:val="none"/>
        </w:rPr>
      </w:pPr>
      <w:bookmarkStart w:id="1382" w:name="_Toc17717"/>
      <w:bookmarkStart w:id="1383" w:name="_Toc95223502"/>
      <w:bookmarkStart w:id="1384" w:name="_Toc32140"/>
      <w:r>
        <w:rPr>
          <w:rFonts w:hint="eastAsia" w:ascii="宋体" w:hAnsi="宋体" w:cs="宋体"/>
          <w:color w:val="auto"/>
          <w:kern w:val="0"/>
          <w:szCs w:val="21"/>
          <w:highlight w:val="none"/>
        </w:rPr>
        <w:t>第六条  本协议有效期为甲乙双方签署之日起至合同终止。</w:t>
      </w:r>
      <w:bookmarkEnd w:id="1382"/>
      <w:bookmarkEnd w:id="1383"/>
      <w:bookmarkEnd w:id="1384"/>
      <w:r>
        <w:rPr>
          <w:rFonts w:hint="eastAsia" w:ascii="宋体" w:hAnsi="宋体" w:cs="宋体"/>
          <w:color w:val="auto"/>
          <w:kern w:val="0"/>
          <w:szCs w:val="21"/>
          <w:highlight w:val="none"/>
        </w:rPr>
        <w:t xml:space="preserve">  </w:t>
      </w:r>
    </w:p>
    <w:p w14:paraId="5159B106">
      <w:pPr>
        <w:widowControl/>
        <w:spacing w:line="360" w:lineRule="auto"/>
        <w:ind w:firstLine="420" w:firstLineChars="200"/>
        <w:jc w:val="left"/>
        <w:rPr>
          <w:rFonts w:hint="eastAsia" w:ascii="宋体" w:hAnsi="宋体" w:cs="宋体"/>
          <w:color w:val="auto"/>
          <w:kern w:val="0"/>
          <w:szCs w:val="21"/>
          <w:highlight w:val="none"/>
        </w:rPr>
      </w:pPr>
      <w:bookmarkStart w:id="1385" w:name="_Toc95223503"/>
      <w:bookmarkStart w:id="1386" w:name="_Toc24032"/>
      <w:bookmarkStart w:id="1387" w:name="_Toc1871"/>
      <w:r>
        <w:rPr>
          <w:rFonts w:hint="eastAsia" w:ascii="宋体" w:hAnsi="宋体" w:cs="宋体"/>
          <w:color w:val="auto"/>
          <w:kern w:val="0"/>
          <w:szCs w:val="21"/>
          <w:highlight w:val="none"/>
        </w:rPr>
        <w:t>第七条  本协议作为合同的附件，与本合同具有同等法律效力。</w:t>
      </w:r>
      <w:bookmarkEnd w:id="1385"/>
      <w:bookmarkEnd w:id="1386"/>
      <w:bookmarkEnd w:id="1387"/>
    </w:p>
    <w:p w14:paraId="0616D2F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75D3C02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7D22098F">
      <w:pPr>
        <w:widowControl/>
        <w:spacing w:line="360" w:lineRule="auto"/>
        <w:ind w:firstLine="420" w:firstLineChars="200"/>
        <w:jc w:val="left"/>
        <w:rPr>
          <w:rFonts w:hint="eastAsia" w:ascii="宋体" w:hAnsi="宋体" w:cs="宋体"/>
          <w:color w:val="auto"/>
          <w:kern w:val="0"/>
          <w:szCs w:val="21"/>
          <w:highlight w:val="none"/>
        </w:rPr>
      </w:pPr>
    </w:p>
    <w:p w14:paraId="06D6035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50526D4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439D680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6765BF0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79BF1999">
      <w:pPr>
        <w:widowControl/>
        <w:spacing w:line="360" w:lineRule="auto"/>
        <w:ind w:firstLine="420" w:firstLineChars="200"/>
        <w:jc w:val="left"/>
        <w:rPr>
          <w:rFonts w:hint="eastAsia" w:ascii="宋体" w:hAnsi="宋体" w:cs="宋体"/>
          <w:color w:val="auto"/>
          <w:kern w:val="0"/>
          <w:szCs w:val="21"/>
          <w:highlight w:val="none"/>
        </w:rPr>
      </w:pPr>
    </w:p>
    <w:p w14:paraId="228FBAE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390F02F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230E84B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21B5368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078BA16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6CF0D0A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302BB20C">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1388" w:name="_Toc95223504"/>
      <w:r>
        <w:rPr>
          <w:rFonts w:hint="eastAsia" w:ascii="宋体" w:hAnsi="宋体" w:cs="宋体"/>
          <w:bCs/>
          <w:color w:val="auto"/>
          <w:sz w:val="24"/>
          <w:highlight w:val="none"/>
        </w:rPr>
        <w:t>附件9：履约保证金</w:t>
      </w:r>
      <w:bookmarkEnd w:id="1388"/>
    </w:p>
    <w:p w14:paraId="4BA25419">
      <w:pPr>
        <w:adjustRightInd w:val="0"/>
        <w:snapToGrid w:val="0"/>
        <w:spacing w:line="360" w:lineRule="auto"/>
        <w:jc w:val="center"/>
        <w:rPr>
          <w:rFonts w:hint="eastAsia" w:ascii="宋体" w:hAnsi="宋体" w:cs="宋体"/>
          <w:b/>
          <w:bCs/>
          <w:color w:val="auto"/>
          <w:sz w:val="32"/>
          <w:szCs w:val="32"/>
          <w:highlight w:val="none"/>
        </w:rPr>
      </w:pPr>
      <w:bookmarkStart w:id="1389" w:name="_Toc8655"/>
      <w:bookmarkStart w:id="1390" w:name="_Toc25855"/>
      <w:bookmarkStart w:id="1391" w:name="_Toc95223505"/>
      <w:r>
        <w:rPr>
          <w:rFonts w:hint="eastAsia" w:ascii="宋体" w:hAnsi="宋体" w:cs="宋体"/>
          <w:b/>
          <w:bCs/>
          <w:color w:val="auto"/>
          <w:sz w:val="32"/>
          <w:szCs w:val="32"/>
          <w:highlight w:val="none"/>
        </w:rPr>
        <w:t>履约保函示范文本</w:t>
      </w:r>
      <w:bookmarkEnd w:id="1389"/>
      <w:bookmarkEnd w:id="1390"/>
      <w:bookmarkEnd w:id="1391"/>
    </w:p>
    <w:p w14:paraId="4D748CA5">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0D081489">
      <w:pPr>
        <w:adjustRightInd w:val="0"/>
        <w:snapToGrid w:val="0"/>
        <w:spacing w:line="360" w:lineRule="auto"/>
        <w:rPr>
          <w:rFonts w:hint="eastAsia" w:ascii="宋体" w:hAnsi="宋体" w:cs="宋体"/>
          <w:color w:val="auto"/>
          <w:szCs w:val="21"/>
          <w:highlight w:val="none"/>
        </w:rPr>
      </w:pPr>
    </w:p>
    <w:p w14:paraId="44466CF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487E7C6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F42236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0FA1DA3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2D2B0C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4FC9C6BD">
      <w:pPr>
        <w:adjustRightInd w:val="0"/>
        <w:snapToGrid w:val="0"/>
        <w:spacing w:line="360" w:lineRule="auto"/>
        <w:ind w:firstLine="480"/>
        <w:rPr>
          <w:rFonts w:hint="eastAsia" w:ascii="宋体" w:hAnsi="宋体" w:cs="宋体"/>
          <w:color w:val="auto"/>
          <w:szCs w:val="21"/>
          <w:highlight w:val="none"/>
        </w:rPr>
      </w:pPr>
      <w:bookmarkStart w:id="1392"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392"/>
    <w:p w14:paraId="2FACF0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1E87FA3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1CD183A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1DBDD26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5AD788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D3369E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393" w:name="_Hlk40303486"/>
      <w:r>
        <w:rPr>
          <w:rFonts w:hint="eastAsia" w:ascii="宋体" w:hAnsi="宋体" w:cs="宋体"/>
          <w:color w:val="auto"/>
          <w:szCs w:val="21"/>
          <w:highlight w:val="none"/>
        </w:rPr>
        <w:t>受益人发出的书面付款通知应由其法定代表人（负责人）或授权代理人签字并加盖公章。</w:t>
      </w:r>
      <w:bookmarkEnd w:id="1393"/>
    </w:p>
    <w:p w14:paraId="3C7930E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65554AD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10A59B31">
      <w:pPr>
        <w:adjustRightInd w:val="0"/>
        <w:snapToGrid w:val="0"/>
        <w:spacing w:line="360" w:lineRule="auto"/>
        <w:ind w:firstLine="420" w:firstLineChars="200"/>
        <w:rPr>
          <w:rFonts w:hint="eastAsia" w:ascii="宋体" w:hAnsi="宋体" w:cs="宋体"/>
          <w:color w:val="auto"/>
          <w:szCs w:val="21"/>
          <w:highlight w:val="none"/>
        </w:rPr>
      </w:pPr>
      <w:bookmarkStart w:id="1394" w:name="_Hlk40303383"/>
      <w:bookmarkStart w:id="1395" w:name="_Hlk40354981"/>
      <w:r>
        <w:rPr>
          <w:rFonts w:hint="eastAsia" w:ascii="宋体" w:hAnsi="宋体" w:cs="宋体"/>
          <w:color w:val="auto"/>
          <w:szCs w:val="21"/>
          <w:highlight w:val="none"/>
        </w:rPr>
        <w:t xml:space="preserve">七、本保函项下的义务和责任均在保函有效期到期后自动消灭。 </w:t>
      </w:r>
    </w:p>
    <w:p w14:paraId="79F0056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394"/>
      <w:r>
        <w:rPr>
          <w:rFonts w:hint="eastAsia" w:ascii="宋体" w:hAnsi="宋体" w:cs="宋体"/>
          <w:color w:val="auto"/>
          <w:szCs w:val="21"/>
          <w:highlight w:val="none"/>
        </w:rPr>
        <w:t xml:space="preserve">由受益人所在地人民法院管辖。 </w:t>
      </w:r>
    </w:p>
    <w:bookmarkEnd w:id="1395"/>
    <w:p w14:paraId="606F953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1BE32BB6">
      <w:pPr>
        <w:adjustRightInd w:val="0"/>
        <w:snapToGrid w:val="0"/>
        <w:spacing w:line="360" w:lineRule="auto"/>
        <w:ind w:firstLine="420" w:firstLineChars="200"/>
        <w:rPr>
          <w:rFonts w:hint="eastAsia" w:ascii="宋体" w:hAnsi="宋体" w:cs="宋体"/>
          <w:color w:val="auto"/>
          <w:szCs w:val="21"/>
          <w:highlight w:val="none"/>
        </w:rPr>
      </w:pPr>
    </w:p>
    <w:p w14:paraId="595B90AD">
      <w:pPr>
        <w:adjustRightInd w:val="0"/>
        <w:snapToGrid w:val="0"/>
        <w:spacing w:line="360" w:lineRule="auto"/>
        <w:ind w:firstLine="420" w:firstLineChars="200"/>
        <w:rPr>
          <w:rFonts w:hint="eastAsia" w:ascii="宋体" w:hAnsi="宋体" w:cs="宋体"/>
          <w:color w:val="auto"/>
          <w:szCs w:val="21"/>
          <w:highlight w:val="none"/>
        </w:rPr>
      </w:pPr>
    </w:p>
    <w:p w14:paraId="32128C8F">
      <w:pPr>
        <w:adjustRightInd w:val="0"/>
        <w:snapToGrid w:val="0"/>
        <w:spacing w:line="360" w:lineRule="auto"/>
        <w:ind w:firstLine="420" w:firstLineChars="200"/>
        <w:rPr>
          <w:rFonts w:hint="eastAsia" w:ascii="宋体" w:hAnsi="宋体" w:cs="宋体"/>
          <w:color w:val="auto"/>
          <w:szCs w:val="21"/>
          <w:highlight w:val="none"/>
        </w:rPr>
      </w:pPr>
    </w:p>
    <w:p w14:paraId="7E0D0A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1466BC4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585E4E1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193D9E3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1DF86A2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512CD214">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73531959">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71FE705">
      <w:pPr>
        <w:spacing w:line="360" w:lineRule="auto"/>
        <w:ind w:left="1329" w:hanging="1329" w:hangingChars="633"/>
        <w:rPr>
          <w:rFonts w:hint="eastAsia" w:ascii="宋体" w:hAnsi="宋体" w:cs="宋体"/>
          <w:color w:val="auto"/>
          <w:szCs w:val="21"/>
          <w:highlight w:val="none"/>
        </w:rPr>
      </w:pPr>
    </w:p>
    <w:p w14:paraId="3330BEE4">
      <w:pPr>
        <w:pStyle w:val="19"/>
        <w:rPr>
          <w:rFonts w:hint="eastAsia"/>
          <w:color w:val="auto"/>
          <w:highlight w:val="none"/>
        </w:rPr>
      </w:pPr>
    </w:p>
    <w:p w14:paraId="423E121C">
      <w:pPr>
        <w:rPr>
          <w:rFonts w:hint="eastAsia"/>
          <w:color w:val="auto"/>
          <w:highlight w:val="none"/>
        </w:rPr>
      </w:pPr>
    </w:p>
    <w:p w14:paraId="77A0FA79">
      <w:pPr>
        <w:pStyle w:val="19"/>
        <w:rPr>
          <w:rFonts w:hint="eastAsia"/>
          <w:color w:val="auto"/>
          <w:highlight w:val="none"/>
        </w:rPr>
      </w:pPr>
    </w:p>
    <w:p w14:paraId="64BFB4D4">
      <w:pPr>
        <w:rPr>
          <w:rFonts w:hint="eastAsia"/>
          <w:color w:val="auto"/>
          <w:highlight w:val="none"/>
        </w:rPr>
      </w:pPr>
    </w:p>
    <w:p w14:paraId="10DCD9CB">
      <w:pPr>
        <w:pStyle w:val="19"/>
        <w:rPr>
          <w:rFonts w:hint="eastAsia"/>
          <w:color w:val="auto"/>
          <w:highlight w:val="none"/>
        </w:rPr>
      </w:pPr>
    </w:p>
    <w:p w14:paraId="689BED66">
      <w:pPr>
        <w:rPr>
          <w:rFonts w:hint="eastAsia"/>
          <w:color w:val="auto"/>
          <w:highlight w:val="none"/>
        </w:rPr>
      </w:pPr>
    </w:p>
    <w:p w14:paraId="4DFA81F7">
      <w:pPr>
        <w:pStyle w:val="19"/>
        <w:rPr>
          <w:rFonts w:hint="eastAsia"/>
          <w:color w:val="auto"/>
          <w:highlight w:val="none"/>
        </w:rPr>
      </w:pPr>
    </w:p>
    <w:p w14:paraId="6BBE0DA8">
      <w:pPr>
        <w:rPr>
          <w:rFonts w:hint="eastAsia"/>
          <w:color w:val="auto"/>
          <w:highlight w:val="none"/>
        </w:rPr>
      </w:pPr>
    </w:p>
    <w:p w14:paraId="60FBDB93">
      <w:pPr>
        <w:pStyle w:val="19"/>
        <w:rPr>
          <w:rFonts w:hint="eastAsia"/>
          <w:color w:val="auto"/>
          <w:highlight w:val="none"/>
        </w:rPr>
      </w:pPr>
    </w:p>
    <w:p w14:paraId="2BA4EE48">
      <w:pPr>
        <w:rPr>
          <w:rFonts w:hint="eastAsia"/>
          <w:color w:val="auto"/>
          <w:highlight w:val="none"/>
        </w:rPr>
      </w:pPr>
    </w:p>
    <w:p w14:paraId="7EE14299">
      <w:pPr>
        <w:pStyle w:val="19"/>
        <w:rPr>
          <w:rFonts w:hint="eastAsia"/>
          <w:color w:val="auto"/>
          <w:highlight w:val="none"/>
        </w:rPr>
      </w:pPr>
    </w:p>
    <w:p w14:paraId="70162F19">
      <w:pPr>
        <w:rPr>
          <w:rFonts w:hint="eastAsia"/>
          <w:color w:val="auto"/>
          <w:highlight w:val="none"/>
        </w:rPr>
      </w:pPr>
    </w:p>
    <w:p w14:paraId="59854C0F">
      <w:pPr>
        <w:pStyle w:val="19"/>
        <w:rPr>
          <w:rFonts w:hint="eastAsia"/>
          <w:color w:val="auto"/>
          <w:highlight w:val="none"/>
        </w:rPr>
      </w:pPr>
    </w:p>
    <w:p w14:paraId="009101C2">
      <w:pPr>
        <w:rPr>
          <w:rFonts w:hint="eastAsia"/>
          <w:color w:val="auto"/>
          <w:highlight w:val="none"/>
        </w:rPr>
      </w:pPr>
    </w:p>
    <w:p w14:paraId="1CAC03BC">
      <w:pPr>
        <w:pStyle w:val="19"/>
        <w:rPr>
          <w:rFonts w:hint="eastAsia"/>
          <w:color w:val="auto"/>
          <w:highlight w:val="none"/>
        </w:rPr>
      </w:pPr>
    </w:p>
    <w:p w14:paraId="3B5790F8">
      <w:pPr>
        <w:rPr>
          <w:rFonts w:hint="eastAsia"/>
          <w:color w:val="auto"/>
          <w:highlight w:val="none"/>
        </w:rPr>
      </w:pPr>
    </w:p>
    <w:p w14:paraId="477E54CC">
      <w:pPr>
        <w:pStyle w:val="19"/>
        <w:rPr>
          <w:rFonts w:hint="eastAsia"/>
          <w:color w:val="auto"/>
          <w:highlight w:val="none"/>
        </w:rPr>
      </w:pPr>
    </w:p>
    <w:p w14:paraId="0AED8D13">
      <w:pPr>
        <w:rPr>
          <w:rFonts w:hint="eastAsia"/>
          <w:color w:val="auto"/>
          <w:highlight w:val="none"/>
        </w:rPr>
      </w:pPr>
    </w:p>
    <w:p w14:paraId="21BF3944">
      <w:pPr>
        <w:pStyle w:val="19"/>
        <w:rPr>
          <w:rFonts w:hint="eastAsia"/>
          <w:color w:val="auto"/>
          <w:highlight w:val="none"/>
        </w:rPr>
      </w:pPr>
    </w:p>
    <w:p w14:paraId="4F93DE06">
      <w:pPr>
        <w:rPr>
          <w:rFonts w:hint="eastAsia"/>
          <w:color w:val="auto"/>
          <w:highlight w:val="none"/>
        </w:rPr>
      </w:pPr>
    </w:p>
    <w:p w14:paraId="3528439A">
      <w:pPr>
        <w:pStyle w:val="19"/>
        <w:rPr>
          <w:rFonts w:hint="eastAsia"/>
          <w:color w:val="auto"/>
          <w:highlight w:val="none"/>
        </w:rPr>
      </w:pPr>
    </w:p>
    <w:p w14:paraId="47821492">
      <w:pPr>
        <w:rPr>
          <w:rFonts w:hint="eastAsia"/>
          <w:color w:val="auto"/>
          <w:highlight w:val="none"/>
        </w:rPr>
      </w:pPr>
    </w:p>
    <w:p w14:paraId="69414A8A">
      <w:pPr>
        <w:pStyle w:val="19"/>
        <w:rPr>
          <w:rFonts w:hint="eastAsia"/>
          <w:color w:val="auto"/>
          <w:highlight w:val="none"/>
        </w:rPr>
      </w:pPr>
    </w:p>
    <w:p w14:paraId="49302331">
      <w:pPr>
        <w:pStyle w:val="19"/>
        <w:ind w:left="0" w:leftChars="0" w:firstLine="0" w:firstLineChars="0"/>
        <w:rPr>
          <w:rFonts w:hint="eastAsia"/>
          <w:color w:val="auto"/>
          <w:highlight w:val="none"/>
        </w:rPr>
      </w:pPr>
    </w:p>
    <w:p w14:paraId="451CE080">
      <w:pPr>
        <w:pStyle w:val="19"/>
        <w:rPr>
          <w:rFonts w:hint="eastAsia"/>
          <w:color w:val="auto"/>
          <w:highlight w:val="none"/>
        </w:rPr>
      </w:pPr>
    </w:p>
    <w:p w14:paraId="211E47D7">
      <w:pPr>
        <w:rPr>
          <w:rFonts w:hint="eastAsia"/>
          <w:color w:val="auto"/>
          <w:highlight w:val="none"/>
        </w:rPr>
      </w:pPr>
    </w:p>
    <w:p w14:paraId="77958A14">
      <w:pPr>
        <w:pStyle w:val="19"/>
        <w:rPr>
          <w:rFonts w:hint="eastAsia"/>
          <w:color w:val="auto"/>
          <w:highlight w:val="none"/>
        </w:rPr>
      </w:pPr>
    </w:p>
    <w:p w14:paraId="3CE9366A">
      <w:pPr>
        <w:rPr>
          <w:rFonts w:hint="eastAsia"/>
          <w:color w:val="auto"/>
          <w:highlight w:val="none"/>
        </w:rPr>
      </w:pPr>
    </w:p>
    <w:p w14:paraId="78DC39F6">
      <w:pPr>
        <w:pStyle w:val="19"/>
        <w:rPr>
          <w:rFonts w:hint="eastAsia"/>
          <w:color w:val="auto"/>
          <w:highlight w:val="none"/>
        </w:rPr>
      </w:pPr>
    </w:p>
    <w:p w14:paraId="55D9595A">
      <w:pPr>
        <w:rPr>
          <w:rFonts w:hint="eastAsia"/>
          <w:color w:val="auto"/>
          <w:highlight w:val="none"/>
        </w:rPr>
      </w:pPr>
    </w:p>
    <w:p w14:paraId="0BFC3D6F">
      <w:pPr>
        <w:pStyle w:val="19"/>
        <w:rPr>
          <w:rFonts w:hint="eastAsia"/>
          <w:color w:val="auto"/>
          <w:highlight w:val="none"/>
        </w:rPr>
      </w:pPr>
    </w:p>
    <w:p w14:paraId="6781FB3F">
      <w:pPr>
        <w:rPr>
          <w:rFonts w:hint="eastAsia"/>
          <w:color w:val="auto"/>
          <w:highlight w:val="none"/>
        </w:rPr>
      </w:pPr>
    </w:p>
    <w:p w14:paraId="03275D6F">
      <w:pPr>
        <w:pStyle w:val="19"/>
        <w:rPr>
          <w:rFonts w:hint="eastAsia"/>
          <w:color w:val="auto"/>
          <w:highlight w:val="none"/>
        </w:rPr>
      </w:pPr>
    </w:p>
    <w:p w14:paraId="316CFC20">
      <w:pPr>
        <w:spacing w:line="360" w:lineRule="auto"/>
        <w:rPr>
          <w:rFonts w:hint="eastAsia" w:ascii="宋体" w:hAnsi="宋体" w:cs="宋体"/>
          <w:color w:val="auto"/>
          <w:szCs w:val="21"/>
          <w:highlight w:val="none"/>
        </w:rPr>
      </w:pPr>
    </w:p>
    <w:p w14:paraId="7F744706">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1396" w:name="_Toc95223508"/>
    </w:p>
    <w:p w14:paraId="4CDCDA3F">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1397" w:name="_Toc296347232"/>
      <w:bookmarkStart w:id="1398" w:name="_Toc296891273"/>
      <w:bookmarkStart w:id="1399" w:name="_Toc296891061"/>
      <w:bookmarkStart w:id="1400" w:name="_Toc296503233"/>
      <w:bookmarkStart w:id="1401" w:name="_Toc296944572"/>
      <w:bookmarkStart w:id="1402" w:name="_Toc296346734"/>
      <w:r>
        <w:rPr>
          <w:rFonts w:hint="eastAsia" w:ascii="宋体" w:hAnsi="宋体" w:cs="宋体"/>
          <w:bCs/>
          <w:color w:val="auto"/>
          <w:sz w:val="24"/>
          <w:highlight w:val="none"/>
        </w:rPr>
        <w:t>件10：支付担保</w:t>
      </w:r>
      <w:bookmarkEnd w:id="1396"/>
      <w:bookmarkEnd w:id="1397"/>
      <w:bookmarkEnd w:id="1398"/>
      <w:bookmarkEnd w:id="1399"/>
      <w:bookmarkEnd w:id="1400"/>
      <w:bookmarkEnd w:id="1401"/>
      <w:bookmarkEnd w:id="1402"/>
    </w:p>
    <w:p w14:paraId="5C5D3350">
      <w:pPr>
        <w:adjustRightInd w:val="0"/>
        <w:snapToGrid w:val="0"/>
        <w:spacing w:line="360" w:lineRule="auto"/>
        <w:jc w:val="center"/>
        <w:rPr>
          <w:rFonts w:hint="eastAsia" w:ascii="宋体" w:hAnsi="宋体" w:cs="宋体"/>
          <w:b/>
          <w:bCs/>
          <w:color w:val="auto"/>
          <w:sz w:val="32"/>
          <w:szCs w:val="32"/>
          <w:highlight w:val="none"/>
        </w:rPr>
      </w:pPr>
      <w:bookmarkStart w:id="1403" w:name="_Toc95223509"/>
      <w:bookmarkStart w:id="1404" w:name="_Toc8319"/>
      <w:bookmarkStart w:id="1405" w:name="_Toc3562"/>
      <w:r>
        <w:rPr>
          <w:rFonts w:hint="eastAsia" w:ascii="宋体" w:hAnsi="宋体" w:cs="宋体"/>
          <w:b/>
          <w:bCs/>
          <w:color w:val="auto"/>
          <w:sz w:val="32"/>
          <w:szCs w:val="32"/>
          <w:highlight w:val="none"/>
        </w:rPr>
        <w:t>支付保函示范文本</w:t>
      </w:r>
      <w:bookmarkEnd w:id="1403"/>
      <w:bookmarkEnd w:id="1404"/>
      <w:bookmarkEnd w:id="1405"/>
    </w:p>
    <w:p w14:paraId="4329EB40">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2BAF33AA">
      <w:pPr>
        <w:adjustRightInd w:val="0"/>
        <w:snapToGrid w:val="0"/>
        <w:spacing w:line="360" w:lineRule="auto"/>
        <w:rPr>
          <w:rFonts w:hint="eastAsia" w:ascii="宋体" w:hAnsi="宋体" w:cs="宋体"/>
          <w:color w:val="auto"/>
          <w:szCs w:val="21"/>
          <w:highlight w:val="none"/>
        </w:rPr>
      </w:pPr>
    </w:p>
    <w:p w14:paraId="65D367D6">
      <w:pPr>
        <w:adjustRightInd w:val="0"/>
        <w:snapToGrid w:val="0"/>
        <w:spacing w:line="360" w:lineRule="auto"/>
        <w:rPr>
          <w:rFonts w:hint="eastAsia" w:ascii="宋体" w:hAnsi="宋体" w:cs="宋体"/>
          <w:color w:val="auto"/>
          <w:szCs w:val="21"/>
          <w:highlight w:val="none"/>
        </w:rPr>
      </w:pPr>
      <w:bookmarkStart w:id="1406" w:name="_Hlk40355074"/>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bookmarkEnd w:id="1406"/>
    <w:p w14:paraId="133E124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1B15D02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一、本保函担保范围：申请人未履行基础合同约定的工程款支付义务，应当向受益人承担的违约责任和赔偿因此造成的损失、利息、律师费、诉讼费用等实现债权的费用。</w:t>
      </w:r>
    </w:p>
    <w:p w14:paraId="5B893E2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40A418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三、本保函有效期自开立之日起至基础合同约定的除工程质量保修金以外的全部工程结算款项支付之日后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14:paraId="1FBE7CAA">
      <w:pPr>
        <w:adjustRightInd w:val="0"/>
        <w:snapToGrid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p w14:paraId="7FFE276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5F86054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0549D95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719B3DF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48E452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A2C3F8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受益人发出的书面付款通知应由其法定代表人（负责人）或授权代理人签字并加盖公章。</w:t>
      </w:r>
    </w:p>
    <w:p w14:paraId="03640AA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五、本保函项下的权利不得转让，不得设定担保。受益人未经开立人书面同意转让本保函或其项下任何权利，对开立人不发生法律效力。 </w:t>
      </w:r>
    </w:p>
    <w:p w14:paraId="0D62C31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六、本保函项下的基础交易不成立、不生效、无效、被撤销、被解除，不影响本保函的独立有效。</w:t>
      </w:r>
    </w:p>
    <w:p w14:paraId="5EEDFA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七、本保函项下的义务和责任均在保函有效期到期后自动消灭。 </w:t>
      </w:r>
    </w:p>
    <w:p w14:paraId="5A8AD8C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八、本保函适用的法律为中华人民共和国法律，因本保函产生的纠纷案件，由申请人所在地人民法院管辖。 </w:t>
      </w:r>
    </w:p>
    <w:p w14:paraId="08F50D1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4AAE5866">
      <w:pPr>
        <w:adjustRightInd w:val="0"/>
        <w:snapToGrid w:val="0"/>
        <w:spacing w:line="360" w:lineRule="auto"/>
        <w:ind w:firstLine="420" w:firstLineChars="200"/>
        <w:rPr>
          <w:rFonts w:hint="eastAsia" w:ascii="宋体" w:hAnsi="宋体" w:cs="宋体"/>
          <w:color w:val="auto"/>
          <w:szCs w:val="21"/>
          <w:highlight w:val="none"/>
        </w:rPr>
      </w:pPr>
    </w:p>
    <w:p w14:paraId="5DDCA604">
      <w:pPr>
        <w:adjustRightInd w:val="0"/>
        <w:snapToGrid w:val="0"/>
        <w:spacing w:line="360" w:lineRule="auto"/>
        <w:ind w:firstLine="420" w:firstLineChars="200"/>
        <w:rPr>
          <w:rFonts w:hint="eastAsia" w:ascii="宋体" w:hAnsi="宋体" w:cs="宋体"/>
          <w:color w:val="auto"/>
          <w:szCs w:val="21"/>
          <w:highlight w:val="none"/>
        </w:rPr>
      </w:pPr>
    </w:p>
    <w:p w14:paraId="680E296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0A5694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06C0BF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C00805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4A4C25B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17CD53FF">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2FA975C0">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E3736B7">
      <w:pPr>
        <w:adjustRightInd w:val="0"/>
        <w:snapToGrid w:val="0"/>
        <w:spacing w:line="360" w:lineRule="auto"/>
        <w:rPr>
          <w:rFonts w:hint="eastAsia" w:ascii="宋体" w:hAnsi="宋体" w:cs="宋体"/>
          <w:color w:val="auto"/>
          <w:szCs w:val="21"/>
          <w:highlight w:val="none"/>
        </w:rPr>
      </w:pPr>
    </w:p>
    <w:p w14:paraId="272981BB">
      <w:pPr>
        <w:adjustRightInd w:val="0"/>
        <w:snapToGrid w:val="0"/>
        <w:spacing w:line="360" w:lineRule="auto"/>
        <w:rPr>
          <w:rFonts w:hint="eastAsia" w:ascii="宋体" w:hAnsi="宋体" w:cs="宋体"/>
          <w:color w:val="auto"/>
          <w:szCs w:val="21"/>
          <w:highlight w:val="none"/>
        </w:rPr>
      </w:pPr>
    </w:p>
    <w:p w14:paraId="2FC57401">
      <w:pPr>
        <w:adjustRightInd w:val="0"/>
        <w:snapToGrid w:val="0"/>
        <w:spacing w:line="360" w:lineRule="auto"/>
        <w:rPr>
          <w:rFonts w:hint="eastAsia" w:ascii="宋体" w:hAnsi="宋体" w:cs="宋体"/>
          <w:color w:val="auto"/>
          <w:szCs w:val="21"/>
          <w:highlight w:val="none"/>
        </w:rPr>
      </w:pPr>
    </w:p>
    <w:p w14:paraId="6F65BE94">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1407" w:name="_Toc95223510"/>
      <w:r>
        <w:rPr>
          <w:rFonts w:hint="eastAsia" w:ascii="宋体" w:hAnsi="宋体" w:cs="宋体"/>
          <w:bCs/>
          <w:color w:val="auto"/>
          <w:sz w:val="24"/>
          <w:highlight w:val="none"/>
        </w:rPr>
        <w:t>附件11：暂估价一览表</w:t>
      </w:r>
      <w:bookmarkEnd w:id="1407"/>
    </w:p>
    <w:p w14:paraId="43A45403">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2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D4DC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E6579A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4473CEBE">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04E6B4FB">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C3F397A">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79A64B5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6B73638D">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72E5265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3D8A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125C5BA5">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09F688AE">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66926758">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73CAFCCB">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561F8915">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70C97900">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0FBDE9EB">
            <w:pPr>
              <w:keepNext/>
              <w:spacing w:line="440" w:lineRule="exact"/>
              <w:rPr>
                <w:rFonts w:hint="eastAsia" w:ascii="宋体" w:hAnsi="宋体" w:cs="宋体"/>
                <w:color w:val="auto"/>
                <w:szCs w:val="21"/>
                <w:highlight w:val="none"/>
              </w:rPr>
            </w:pPr>
          </w:p>
        </w:tc>
      </w:tr>
      <w:tr w14:paraId="34A1D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330D88CC">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53553A4A">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2E8A051D">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33E026A7">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21CE7208">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623CFB95">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391108B5">
            <w:pPr>
              <w:keepNext/>
              <w:spacing w:line="440" w:lineRule="exact"/>
              <w:rPr>
                <w:rFonts w:hint="eastAsia" w:ascii="宋体" w:hAnsi="宋体" w:cs="宋体"/>
                <w:color w:val="auto"/>
                <w:szCs w:val="21"/>
                <w:highlight w:val="none"/>
              </w:rPr>
            </w:pPr>
          </w:p>
        </w:tc>
      </w:tr>
      <w:tr w14:paraId="74F1C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4C4CEC0">
            <w:pPr>
              <w:keepNext/>
              <w:spacing w:line="440" w:lineRule="exact"/>
              <w:rPr>
                <w:rFonts w:hint="eastAsia" w:ascii="宋体" w:hAnsi="宋体" w:cs="宋体"/>
                <w:color w:val="auto"/>
                <w:szCs w:val="21"/>
                <w:highlight w:val="none"/>
              </w:rPr>
            </w:pPr>
          </w:p>
        </w:tc>
        <w:tc>
          <w:tcPr>
            <w:tcW w:w="1984" w:type="dxa"/>
            <w:noWrap w:val="0"/>
            <w:vAlign w:val="top"/>
          </w:tcPr>
          <w:p w14:paraId="1AE7D10A">
            <w:pPr>
              <w:keepNext/>
              <w:spacing w:line="440" w:lineRule="exact"/>
              <w:rPr>
                <w:rFonts w:hint="eastAsia" w:ascii="宋体" w:hAnsi="宋体" w:cs="宋体"/>
                <w:color w:val="auto"/>
                <w:szCs w:val="21"/>
                <w:highlight w:val="none"/>
              </w:rPr>
            </w:pPr>
          </w:p>
        </w:tc>
        <w:tc>
          <w:tcPr>
            <w:tcW w:w="851" w:type="dxa"/>
            <w:noWrap w:val="0"/>
            <w:vAlign w:val="top"/>
          </w:tcPr>
          <w:p w14:paraId="55863426">
            <w:pPr>
              <w:keepNext/>
              <w:spacing w:line="440" w:lineRule="exact"/>
              <w:rPr>
                <w:rFonts w:hint="eastAsia" w:ascii="宋体" w:hAnsi="宋体" w:cs="宋体"/>
                <w:color w:val="auto"/>
                <w:szCs w:val="21"/>
                <w:highlight w:val="none"/>
              </w:rPr>
            </w:pPr>
          </w:p>
        </w:tc>
        <w:tc>
          <w:tcPr>
            <w:tcW w:w="774" w:type="dxa"/>
            <w:noWrap w:val="0"/>
            <w:vAlign w:val="top"/>
          </w:tcPr>
          <w:p w14:paraId="110140C2">
            <w:pPr>
              <w:keepNext/>
              <w:spacing w:line="440" w:lineRule="exact"/>
              <w:rPr>
                <w:rFonts w:hint="eastAsia" w:ascii="宋体" w:hAnsi="宋体" w:cs="宋体"/>
                <w:color w:val="auto"/>
                <w:szCs w:val="21"/>
                <w:highlight w:val="none"/>
              </w:rPr>
            </w:pPr>
          </w:p>
        </w:tc>
        <w:tc>
          <w:tcPr>
            <w:tcW w:w="1352" w:type="dxa"/>
            <w:noWrap w:val="0"/>
            <w:vAlign w:val="top"/>
          </w:tcPr>
          <w:p w14:paraId="407EBC60">
            <w:pPr>
              <w:keepNext/>
              <w:spacing w:line="440" w:lineRule="exact"/>
              <w:rPr>
                <w:rFonts w:hint="eastAsia" w:ascii="宋体" w:hAnsi="宋体" w:cs="宋体"/>
                <w:color w:val="auto"/>
                <w:szCs w:val="21"/>
                <w:highlight w:val="none"/>
              </w:rPr>
            </w:pPr>
          </w:p>
        </w:tc>
        <w:tc>
          <w:tcPr>
            <w:tcW w:w="1418" w:type="dxa"/>
            <w:noWrap w:val="0"/>
            <w:vAlign w:val="top"/>
          </w:tcPr>
          <w:p w14:paraId="133BEE82">
            <w:pPr>
              <w:keepNext/>
              <w:spacing w:line="440" w:lineRule="exact"/>
              <w:rPr>
                <w:rFonts w:hint="eastAsia" w:ascii="宋体" w:hAnsi="宋体" w:cs="宋体"/>
                <w:color w:val="auto"/>
                <w:szCs w:val="21"/>
                <w:highlight w:val="none"/>
              </w:rPr>
            </w:pPr>
          </w:p>
        </w:tc>
        <w:tc>
          <w:tcPr>
            <w:tcW w:w="1701" w:type="dxa"/>
            <w:noWrap w:val="0"/>
            <w:vAlign w:val="top"/>
          </w:tcPr>
          <w:p w14:paraId="69B5A2C3">
            <w:pPr>
              <w:keepNext/>
              <w:spacing w:line="440" w:lineRule="exact"/>
              <w:rPr>
                <w:rFonts w:hint="eastAsia" w:ascii="宋体" w:hAnsi="宋体" w:cs="宋体"/>
                <w:color w:val="auto"/>
                <w:szCs w:val="21"/>
                <w:highlight w:val="none"/>
              </w:rPr>
            </w:pPr>
          </w:p>
        </w:tc>
      </w:tr>
      <w:tr w14:paraId="102834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874C62">
            <w:pPr>
              <w:keepNext/>
              <w:spacing w:line="440" w:lineRule="exact"/>
              <w:rPr>
                <w:rFonts w:hint="eastAsia" w:ascii="宋体" w:hAnsi="宋体" w:cs="宋体"/>
                <w:color w:val="auto"/>
                <w:szCs w:val="21"/>
                <w:highlight w:val="none"/>
              </w:rPr>
            </w:pPr>
          </w:p>
        </w:tc>
        <w:tc>
          <w:tcPr>
            <w:tcW w:w="1984" w:type="dxa"/>
            <w:noWrap w:val="0"/>
            <w:vAlign w:val="top"/>
          </w:tcPr>
          <w:p w14:paraId="00CC3E99">
            <w:pPr>
              <w:keepNext/>
              <w:spacing w:line="440" w:lineRule="exact"/>
              <w:rPr>
                <w:rFonts w:hint="eastAsia" w:ascii="宋体" w:hAnsi="宋体" w:cs="宋体"/>
                <w:color w:val="auto"/>
                <w:szCs w:val="21"/>
                <w:highlight w:val="none"/>
              </w:rPr>
            </w:pPr>
          </w:p>
        </w:tc>
        <w:tc>
          <w:tcPr>
            <w:tcW w:w="851" w:type="dxa"/>
            <w:noWrap w:val="0"/>
            <w:vAlign w:val="top"/>
          </w:tcPr>
          <w:p w14:paraId="44BA0903">
            <w:pPr>
              <w:keepNext/>
              <w:spacing w:line="440" w:lineRule="exact"/>
              <w:rPr>
                <w:rFonts w:hint="eastAsia" w:ascii="宋体" w:hAnsi="宋体" w:cs="宋体"/>
                <w:color w:val="auto"/>
                <w:szCs w:val="21"/>
                <w:highlight w:val="none"/>
              </w:rPr>
            </w:pPr>
          </w:p>
        </w:tc>
        <w:tc>
          <w:tcPr>
            <w:tcW w:w="774" w:type="dxa"/>
            <w:noWrap w:val="0"/>
            <w:vAlign w:val="top"/>
          </w:tcPr>
          <w:p w14:paraId="6B962B81">
            <w:pPr>
              <w:keepNext/>
              <w:spacing w:line="440" w:lineRule="exact"/>
              <w:rPr>
                <w:rFonts w:hint="eastAsia" w:ascii="宋体" w:hAnsi="宋体" w:cs="宋体"/>
                <w:color w:val="auto"/>
                <w:szCs w:val="21"/>
                <w:highlight w:val="none"/>
              </w:rPr>
            </w:pPr>
          </w:p>
        </w:tc>
        <w:tc>
          <w:tcPr>
            <w:tcW w:w="1352" w:type="dxa"/>
            <w:noWrap w:val="0"/>
            <w:vAlign w:val="top"/>
          </w:tcPr>
          <w:p w14:paraId="7F90F391">
            <w:pPr>
              <w:keepNext/>
              <w:spacing w:line="440" w:lineRule="exact"/>
              <w:rPr>
                <w:rFonts w:hint="eastAsia" w:ascii="宋体" w:hAnsi="宋体" w:cs="宋体"/>
                <w:color w:val="auto"/>
                <w:szCs w:val="21"/>
                <w:highlight w:val="none"/>
              </w:rPr>
            </w:pPr>
          </w:p>
        </w:tc>
        <w:tc>
          <w:tcPr>
            <w:tcW w:w="1418" w:type="dxa"/>
            <w:noWrap w:val="0"/>
            <w:vAlign w:val="top"/>
          </w:tcPr>
          <w:p w14:paraId="10C04991">
            <w:pPr>
              <w:keepNext/>
              <w:spacing w:line="440" w:lineRule="exact"/>
              <w:rPr>
                <w:rFonts w:hint="eastAsia" w:ascii="宋体" w:hAnsi="宋体" w:cs="宋体"/>
                <w:color w:val="auto"/>
                <w:szCs w:val="21"/>
                <w:highlight w:val="none"/>
              </w:rPr>
            </w:pPr>
          </w:p>
        </w:tc>
        <w:tc>
          <w:tcPr>
            <w:tcW w:w="1701" w:type="dxa"/>
            <w:noWrap w:val="0"/>
            <w:vAlign w:val="top"/>
          </w:tcPr>
          <w:p w14:paraId="5A74FE25">
            <w:pPr>
              <w:keepNext/>
              <w:spacing w:line="440" w:lineRule="exact"/>
              <w:rPr>
                <w:rFonts w:hint="eastAsia" w:ascii="宋体" w:hAnsi="宋体" w:cs="宋体"/>
                <w:color w:val="auto"/>
                <w:szCs w:val="21"/>
                <w:highlight w:val="none"/>
              </w:rPr>
            </w:pPr>
          </w:p>
        </w:tc>
      </w:tr>
      <w:tr w14:paraId="3C1FD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483C8C36">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223E188C">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6006C37A">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0241ED88">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643CA21C">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6F20D4E4">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0185CC13">
            <w:pPr>
              <w:keepNext/>
              <w:spacing w:line="440" w:lineRule="exact"/>
              <w:rPr>
                <w:rFonts w:hint="eastAsia" w:ascii="宋体" w:hAnsi="宋体" w:cs="宋体"/>
                <w:color w:val="auto"/>
                <w:szCs w:val="21"/>
                <w:highlight w:val="none"/>
              </w:rPr>
            </w:pPr>
          </w:p>
        </w:tc>
      </w:tr>
    </w:tbl>
    <w:p w14:paraId="7B3DC446">
      <w:pPr>
        <w:spacing w:before="120" w:beforeLines="50" w:after="120" w:afterLines="50" w:line="440" w:lineRule="exact"/>
        <w:rPr>
          <w:rFonts w:hint="eastAsia" w:ascii="宋体" w:hAnsi="宋体" w:cs="宋体"/>
          <w:color w:val="auto"/>
          <w:szCs w:val="21"/>
          <w:highlight w:val="none"/>
        </w:rPr>
      </w:pPr>
    </w:p>
    <w:p w14:paraId="69B93CA6">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2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34EED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05D1B3D2">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C9CD8DA">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574A3799">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2C3CBF97">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8AF7FFB">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6427AEA">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7B17C6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4F5C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4CF4B484">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77F643C7">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78C6CDF3">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4BC32DEF">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38912E83">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37BCF13F">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7FBBD489">
            <w:pPr>
              <w:keepNext/>
              <w:spacing w:line="440" w:lineRule="exact"/>
              <w:rPr>
                <w:rFonts w:hint="eastAsia" w:ascii="宋体" w:hAnsi="宋体" w:cs="宋体"/>
                <w:color w:val="auto"/>
                <w:szCs w:val="21"/>
                <w:highlight w:val="none"/>
              </w:rPr>
            </w:pPr>
          </w:p>
        </w:tc>
      </w:tr>
      <w:tr w14:paraId="00EC8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5764F8F">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7CE180D9">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052797F2">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4922FB3B">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1AEEB251">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1C5C8B69">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1AFEED21">
            <w:pPr>
              <w:keepNext/>
              <w:spacing w:line="440" w:lineRule="exact"/>
              <w:rPr>
                <w:rFonts w:hint="eastAsia" w:ascii="宋体" w:hAnsi="宋体" w:cs="宋体"/>
                <w:color w:val="auto"/>
                <w:szCs w:val="21"/>
                <w:highlight w:val="none"/>
              </w:rPr>
            </w:pPr>
          </w:p>
        </w:tc>
      </w:tr>
      <w:tr w14:paraId="1A645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FE6097">
            <w:pPr>
              <w:keepNext/>
              <w:spacing w:line="440" w:lineRule="exact"/>
              <w:rPr>
                <w:rFonts w:hint="eastAsia" w:ascii="宋体" w:hAnsi="宋体" w:cs="宋体"/>
                <w:color w:val="auto"/>
                <w:szCs w:val="21"/>
                <w:highlight w:val="none"/>
              </w:rPr>
            </w:pPr>
          </w:p>
        </w:tc>
        <w:tc>
          <w:tcPr>
            <w:tcW w:w="1984" w:type="dxa"/>
            <w:noWrap w:val="0"/>
            <w:vAlign w:val="top"/>
          </w:tcPr>
          <w:p w14:paraId="63302958">
            <w:pPr>
              <w:keepNext/>
              <w:spacing w:line="440" w:lineRule="exact"/>
              <w:rPr>
                <w:rFonts w:hint="eastAsia" w:ascii="宋体" w:hAnsi="宋体" w:cs="宋体"/>
                <w:color w:val="auto"/>
                <w:szCs w:val="21"/>
                <w:highlight w:val="none"/>
              </w:rPr>
            </w:pPr>
          </w:p>
        </w:tc>
        <w:tc>
          <w:tcPr>
            <w:tcW w:w="851" w:type="dxa"/>
            <w:noWrap w:val="0"/>
            <w:vAlign w:val="top"/>
          </w:tcPr>
          <w:p w14:paraId="23778B24">
            <w:pPr>
              <w:keepNext/>
              <w:spacing w:line="440" w:lineRule="exact"/>
              <w:rPr>
                <w:rFonts w:hint="eastAsia" w:ascii="宋体" w:hAnsi="宋体" w:cs="宋体"/>
                <w:color w:val="auto"/>
                <w:szCs w:val="21"/>
                <w:highlight w:val="none"/>
              </w:rPr>
            </w:pPr>
          </w:p>
        </w:tc>
        <w:tc>
          <w:tcPr>
            <w:tcW w:w="774" w:type="dxa"/>
            <w:noWrap w:val="0"/>
            <w:vAlign w:val="top"/>
          </w:tcPr>
          <w:p w14:paraId="1BF77C80">
            <w:pPr>
              <w:keepNext/>
              <w:spacing w:line="440" w:lineRule="exact"/>
              <w:rPr>
                <w:rFonts w:hint="eastAsia" w:ascii="宋体" w:hAnsi="宋体" w:cs="宋体"/>
                <w:color w:val="auto"/>
                <w:szCs w:val="21"/>
                <w:highlight w:val="none"/>
              </w:rPr>
            </w:pPr>
          </w:p>
        </w:tc>
        <w:tc>
          <w:tcPr>
            <w:tcW w:w="1352" w:type="dxa"/>
            <w:noWrap w:val="0"/>
            <w:vAlign w:val="top"/>
          </w:tcPr>
          <w:p w14:paraId="452A5ADF">
            <w:pPr>
              <w:keepNext/>
              <w:spacing w:line="440" w:lineRule="exact"/>
              <w:rPr>
                <w:rFonts w:hint="eastAsia" w:ascii="宋体" w:hAnsi="宋体" w:cs="宋体"/>
                <w:color w:val="auto"/>
                <w:szCs w:val="21"/>
                <w:highlight w:val="none"/>
              </w:rPr>
            </w:pPr>
          </w:p>
        </w:tc>
        <w:tc>
          <w:tcPr>
            <w:tcW w:w="1418" w:type="dxa"/>
            <w:noWrap w:val="0"/>
            <w:vAlign w:val="top"/>
          </w:tcPr>
          <w:p w14:paraId="4DAAFB9A">
            <w:pPr>
              <w:keepNext/>
              <w:spacing w:line="440" w:lineRule="exact"/>
              <w:rPr>
                <w:rFonts w:hint="eastAsia" w:ascii="宋体" w:hAnsi="宋体" w:cs="宋体"/>
                <w:color w:val="auto"/>
                <w:szCs w:val="21"/>
                <w:highlight w:val="none"/>
              </w:rPr>
            </w:pPr>
          </w:p>
        </w:tc>
        <w:tc>
          <w:tcPr>
            <w:tcW w:w="1701" w:type="dxa"/>
            <w:noWrap w:val="0"/>
            <w:vAlign w:val="top"/>
          </w:tcPr>
          <w:p w14:paraId="3F0E3501">
            <w:pPr>
              <w:keepNext/>
              <w:spacing w:line="440" w:lineRule="exact"/>
              <w:rPr>
                <w:rFonts w:hint="eastAsia" w:ascii="宋体" w:hAnsi="宋体" w:cs="宋体"/>
                <w:color w:val="auto"/>
                <w:szCs w:val="21"/>
                <w:highlight w:val="none"/>
              </w:rPr>
            </w:pPr>
          </w:p>
        </w:tc>
      </w:tr>
      <w:tr w14:paraId="3FD0A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A2A248F">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364EF246">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64E16399">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219B0965">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669587A0">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5BFAE07F">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2F6802A9">
            <w:pPr>
              <w:keepNext/>
              <w:spacing w:line="440" w:lineRule="exact"/>
              <w:rPr>
                <w:rFonts w:hint="eastAsia" w:ascii="宋体" w:hAnsi="宋体" w:cs="宋体"/>
                <w:color w:val="auto"/>
                <w:szCs w:val="21"/>
                <w:highlight w:val="none"/>
              </w:rPr>
            </w:pPr>
          </w:p>
        </w:tc>
      </w:tr>
    </w:tbl>
    <w:p w14:paraId="7B57B84B">
      <w:pPr>
        <w:spacing w:line="440" w:lineRule="exact"/>
        <w:rPr>
          <w:rFonts w:hint="eastAsia" w:ascii="宋体" w:hAnsi="宋体" w:cs="宋体"/>
          <w:color w:val="auto"/>
          <w:szCs w:val="21"/>
          <w:highlight w:val="none"/>
        </w:rPr>
      </w:pPr>
    </w:p>
    <w:p w14:paraId="1A7ED0A8">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20"/>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617C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3045732">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7CA15069">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2BA9D536">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C382E73">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705CCAA1">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150A0AA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2CBF30A3">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4547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5D409843">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32EB4551">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308C3367">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31EDF2D1">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4A8B58CB">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5204476A">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40926D2A">
            <w:pPr>
              <w:keepNext/>
              <w:spacing w:line="440" w:lineRule="exact"/>
              <w:rPr>
                <w:rFonts w:hint="eastAsia" w:ascii="宋体" w:hAnsi="宋体" w:cs="宋体"/>
                <w:color w:val="auto"/>
                <w:szCs w:val="21"/>
                <w:highlight w:val="none"/>
              </w:rPr>
            </w:pPr>
          </w:p>
        </w:tc>
      </w:tr>
      <w:tr w14:paraId="3F55B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2D5AD1F">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4F7FBF84">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29E2BE05">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6FFA6A08">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210E66BD">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6D680307">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28F61F55">
            <w:pPr>
              <w:keepNext/>
              <w:spacing w:line="440" w:lineRule="exact"/>
              <w:rPr>
                <w:rFonts w:hint="eastAsia" w:ascii="宋体" w:hAnsi="宋体" w:cs="宋体"/>
                <w:color w:val="auto"/>
                <w:szCs w:val="21"/>
                <w:highlight w:val="none"/>
              </w:rPr>
            </w:pPr>
          </w:p>
        </w:tc>
      </w:tr>
      <w:tr w14:paraId="1C8BC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F7B2F61">
            <w:pPr>
              <w:keepNext/>
              <w:spacing w:line="440" w:lineRule="exact"/>
              <w:rPr>
                <w:rFonts w:hint="eastAsia" w:ascii="宋体" w:hAnsi="宋体" w:cs="宋体"/>
                <w:color w:val="auto"/>
                <w:szCs w:val="21"/>
                <w:highlight w:val="none"/>
              </w:rPr>
            </w:pPr>
          </w:p>
        </w:tc>
        <w:tc>
          <w:tcPr>
            <w:tcW w:w="1984" w:type="dxa"/>
            <w:noWrap w:val="0"/>
            <w:vAlign w:val="top"/>
          </w:tcPr>
          <w:p w14:paraId="75117236">
            <w:pPr>
              <w:keepNext/>
              <w:spacing w:line="440" w:lineRule="exact"/>
              <w:rPr>
                <w:rFonts w:hint="eastAsia" w:ascii="宋体" w:hAnsi="宋体" w:cs="宋体"/>
                <w:color w:val="auto"/>
                <w:szCs w:val="21"/>
                <w:highlight w:val="none"/>
              </w:rPr>
            </w:pPr>
          </w:p>
        </w:tc>
        <w:tc>
          <w:tcPr>
            <w:tcW w:w="851" w:type="dxa"/>
            <w:noWrap w:val="0"/>
            <w:vAlign w:val="top"/>
          </w:tcPr>
          <w:p w14:paraId="6E308C3A">
            <w:pPr>
              <w:keepNext/>
              <w:spacing w:line="440" w:lineRule="exact"/>
              <w:rPr>
                <w:rFonts w:hint="eastAsia" w:ascii="宋体" w:hAnsi="宋体" w:cs="宋体"/>
                <w:color w:val="auto"/>
                <w:szCs w:val="21"/>
                <w:highlight w:val="none"/>
              </w:rPr>
            </w:pPr>
          </w:p>
        </w:tc>
        <w:tc>
          <w:tcPr>
            <w:tcW w:w="774" w:type="dxa"/>
            <w:noWrap w:val="0"/>
            <w:vAlign w:val="top"/>
          </w:tcPr>
          <w:p w14:paraId="40293686">
            <w:pPr>
              <w:keepNext/>
              <w:spacing w:line="440" w:lineRule="exact"/>
              <w:rPr>
                <w:rFonts w:hint="eastAsia" w:ascii="宋体" w:hAnsi="宋体" w:cs="宋体"/>
                <w:color w:val="auto"/>
                <w:szCs w:val="21"/>
                <w:highlight w:val="none"/>
              </w:rPr>
            </w:pPr>
          </w:p>
        </w:tc>
        <w:tc>
          <w:tcPr>
            <w:tcW w:w="1352" w:type="dxa"/>
            <w:noWrap w:val="0"/>
            <w:vAlign w:val="top"/>
          </w:tcPr>
          <w:p w14:paraId="71A7FBC8">
            <w:pPr>
              <w:keepNext/>
              <w:spacing w:line="440" w:lineRule="exact"/>
              <w:rPr>
                <w:rFonts w:hint="eastAsia" w:ascii="宋体" w:hAnsi="宋体" w:cs="宋体"/>
                <w:color w:val="auto"/>
                <w:szCs w:val="21"/>
                <w:highlight w:val="none"/>
              </w:rPr>
            </w:pPr>
          </w:p>
        </w:tc>
        <w:tc>
          <w:tcPr>
            <w:tcW w:w="1418" w:type="dxa"/>
            <w:noWrap w:val="0"/>
            <w:vAlign w:val="top"/>
          </w:tcPr>
          <w:p w14:paraId="4CAC89A8">
            <w:pPr>
              <w:keepNext/>
              <w:spacing w:line="440" w:lineRule="exact"/>
              <w:rPr>
                <w:rFonts w:hint="eastAsia" w:ascii="宋体" w:hAnsi="宋体" w:cs="宋体"/>
                <w:color w:val="auto"/>
                <w:szCs w:val="21"/>
                <w:highlight w:val="none"/>
              </w:rPr>
            </w:pPr>
          </w:p>
        </w:tc>
        <w:tc>
          <w:tcPr>
            <w:tcW w:w="1701" w:type="dxa"/>
            <w:noWrap w:val="0"/>
            <w:vAlign w:val="top"/>
          </w:tcPr>
          <w:p w14:paraId="3B3C3504">
            <w:pPr>
              <w:keepNext/>
              <w:spacing w:line="440" w:lineRule="exact"/>
              <w:rPr>
                <w:rFonts w:hint="eastAsia" w:ascii="宋体" w:hAnsi="宋体" w:cs="宋体"/>
                <w:color w:val="auto"/>
                <w:szCs w:val="21"/>
                <w:highlight w:val="none"/>
              </w:rPr>
            </w:pPr>
          </w:p>
        </w:tc>
      </w:tr>
      <w:tr w14:paraId="6BC14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0874F247">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1F7F6F53">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6FE81197">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6571F0EB">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33B2C637">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3D8F89D1">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3649C111">
            <w:pPr>
              <w:keepNext/>
              <w:spacing w:line="440" w:lineRule="exact"/>
              <w:rPr>
                <w:rFonts w:hint="eastAsia" w:ascii="宋体" w:hAnsi="宋体" w:cs="宋体"/>
                <w:color w:val="auto"/>
                <w:szCs w:val="21"/>
                <w:highlight w:val="none"/>
              </w:rPr>
            </w:pPr>
          </w:p>
        </w:tc>
      </w:tr>
    </w:tbl>
    <w:p w14:paraId="63D133AC">
      <w:pPr>
        <w:rPr>
          <w:rFonts w:hint="eastAsia" w:ascii="宋体" w:hAnsi="宋体" w:cs="宋体"/>
          <w:color w:val="auto"/>
          <w:szCs w:val="21"/>
          <w:highlight w:val="none"/>
        </w:rPr>
      </w:pPr>
    </w:p>
    <w:p w14:paraId="190E0A4A">
      <w:pPr>
        <w:rPr>
          <w:rFonts w:hint="eastAsia" w:ascii="宋体" w:hAnsi="宋体" w:cs="宋体"/>
          <w:color w:val="auto"/>
          <w:szCs w:val="22"/>
          <w:highlight w:val="none"/>
        </w:rPr>
      </w:pPr>
    </w:p>
    <w:p w14:paraId="4D29CB3A">
      <w:pPr>
        <w:rPr>
          <w:rFonts w:hint="eastAsia" w:ascii="宋体" w:hAnsi="宋体" w:cs="宋体"/>
          <w:color w:val="auto"/>
          <w:szCs w:val="22"/>
          <w:highlight w:val="none"/>
        </w:rPr>
      </w:pPr>
    </w:p>
    <w:p w14:paraId="16D85144">
      <w:pPr>
        <w:keepNext/>
        <w:keepLines/>
        <w:spacing w:before="120" w:after="120" w:line="360" w:lineRule="auto"/>
        <w:jc w:val="left"/>
        <w:outlineLvl w:val="2"/>
        <w:rPr>
          <w:rFonts w:hint="eastAsia" w:ascii="宋体" w:hAnsi="宋体" w:cs="宋体"/>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61CAE3A1">
      <w:pPr>
        <w:keepNext/>
        <w:keepLines/>
        <w:spacing w:before="120" w:after="120" w:line="360" w:lineRule="auto"/>
        <w:jc w:val="left"/>
        <w:outlineLvl w:val="2"/>
        <w:rPr>
          <w:rFonts w:hint="eastAsia" w:ascii="宋体" w:hAnsi="宋体" w:cs="宋体"/>
          <w:bCs/>
          <w:color w:val="auto"/>
          <w:sz w:val="24"/>
          <w:highlight w:val="none"/>
        </w:rPr>
      </w:pPr>
      <w:bookmarkStart w:id="1408" w:name="_Toc95223511"/>
      <w:r>
        <w:rPr>
          <w:rFonts w:hint="eastAsia" w:ascii="宋体" w:hAnsi="宋体" w:cs="宋体"/>
          <w:bCs/>
          <w:color w:val="auto"/>
          <w:sz w:val="24"/>
          <w:highlight w:val="none"/>
        </w:rPr>
        <w:t>附件12：安全生产合同</w:t>
      </w:r>
      <w:bookmarkEnd w:id="1408"/>
    </w:p>
    <w:p w14:paraId="0CE27165">
      <w:pPr>
        <w:adjustRightInd w:val="0"/>
        <w:snapToGrid w:val="0"/>
        <w:spacing w:line="360" w:lineRule="auto"/>
        <w:jc w:val="center"/>
        <w:rPr>
          <w:rFonts w:hint="eastAsia" w:ascii="宋体" w:hAnsi="宋体" w:cs="宋体"/>
          <w:b/>
          <w:color w:val="auto"/>
          <w:sz w:val="32"/>
          <w:szCs w:val="32"/>
          <w:highlight w:val="none"/>
        </w:rPr>
      </w:pPr>
      <w:bookmarkStart w:id="1409" w:name="_Toc16956"/>
      <w:bookmarkStart w:id="1410" w:name="_Toc95223512"/>
      <w:bookmarkStart w:id="1411" w:name="_Toc32439"/>
      <w:r>
        <w:rPr>
          <w:rFonts w:hint="eastAsia" w:ascii="宋体" w:hAnsi="宋体" w:cs="宋体"/>
          <w:b/>
          <w:color w:val="auto"/>
          <w:sz w:val="32"/>
          <w:szCs w:val="32"/>
          <w:highlight w:val="none"/>
        </w:rPr>
        <w:t>安全生产合同</w:t>
      </w:r>
      <w:bookmarkEnd w:id="1409"/>
      <w:bookmarkEnd w:id="1410"/>
      <w:bookmarkEnd w:id="1411"/>
    </w:p>
    <w:p w14:paraId="114BFA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34D682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B429D4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4AEE64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76C3AD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586098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5190D83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6AB681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3AFCFA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6481F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5A8711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63B109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6641CF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79B17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03E21C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206A9E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072B64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38AF54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048DA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627D2E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039B7F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41FE36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12AF6D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1667D46C">
      <w:pPr>
        <w:spacing w:line="360" w:lineRule="auto"/>
        <w:rPr>
          <w:rFonts w:hint="eastAsia" w:ascii="宋体" w:hAnsi="宋体" w:cs="宋体"/>
          <w:color w:val="auto"/>
          <w:szCs w:val="21"/>
          <w:highlight w:val="none"/>
        </w:rPr>
      </w:pPr>
    </w:p>
    <w:p w14:paraId="08E311BE">
      <w:pPr>
        <w:spacing w:line="360" w:lineRule="auto"/>
        <w:rPr>
          <w:rFonts w:hint="eastAsia" w:ascii="宋体" w:hAnsi="宋体" w:cs="宋体"/>
          <w:color w:val="auto"/>
          <w:szCs w:val="21"/>
          <w:highlight w:val="none"/>
        </w:rPr>
      </w:pPr>
    </w:p>
    <w:p w14:paraId="4C9DF57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5258999A">
      <w:pPr>
        <w:spacing w:line="360" w:lineRule="auto"/>
        <w:rPr>
          <w:rFonts w:hint="eastAsia" w:ascii="宋体" w:hAnsi="宋体" w:cs="宋体"/>
          <w:color w:val="auto"/>
          <w:szCs w:val="21"/>
          <w:highlight w:val="none"/>
        </w:rPr>
      </w:pPr>
    </w:p>
    <w:p w14:paraId="7D5F542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2E0E3424">
      <w:pPr>
        <w:spacing w:line="360" w:lineRule="auto"/>
        <w:rPr>
          <w:rFonts w:hint="eastAsia" w:ascii="宋体" w:hAnsi="宋体" w:cs="宋体"/>
          <w:color w:val="auto"/>
          <w:szCs w:val="21"/>
          <w:highlight w:val="none"/>
        </w:rPr>
      </w:pPr>
    </w:p>
    <w:p w14:paraId="440A7A1B">
      <w:pPr>
        <w:spacing w:line="360" w:lineRule="auto"/>
        <w:ind w:firstLine="840"/>
        <w:rPr>
          <w:rFonts w:ascii="宋体" w:hAnsi="宋体" w:cs="宋体"/>
          <w:bCs/>
          <w:color w:val="auto"/>
          <w:kern w:val="44"/>
          <w:sz w:val="32"/>
          <w:szCs w:val="44"/>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C3572FC">
      <w:pPr>
        <w:rPr>
          <w:rFonts w:ascii="宋体" w:hAnsi="宋体" w:cs="宋体"/>
          <w:color w:val="auto"/>
          <w:sz w:val="32"/>
          <w:szCs w:val="44"/>
          <w:highlight w:val="none"/>
        </w:rPr>
      </w:pPr>
    </w:p>
    <w:p w14:paraId="220D0FE8">
      <w:pPr>
        <w:rPr>
          <w:rFonts w:ascii="宋体" w:hAnsi="宋体" w:cs="宋体"/>
          <w:color w:val="auto"/>
          <w:sz w:val="32"/>
          <w:szCs w:val="44"/>
          <w:highlight w:val="none"/>
        </w:rPr>
      </w:pPr>
    </w:p>
    <w:p w14:paraId="4932744A">
      <w:pPr>
        <w:tabs>
          <w:tab w:val="left" w:pos="2820"/>
        </w:tabs>
        <w:outlineLvl w:val="2"/>
        <w:rPr>
          <w:rFonts w:hint="eastAsia" w:ascii="宋体" w:hAnsi="宋体" w:cs="宋体"/>
          <w:color w:val="auto"/>
          <w:sz w:val="32"/>
          <w:szCs w:val="44"/>
          <w:highlight w:val="none"/>
        </w:rPr>
      </w:pPr>
      <w:r>
        <w:rPr>
          <w:rFonts w:hint="eastAsia" w:ascii="宋体" w:hAnsi="宋体" w:cs="宋体"/>
          <w:color w:val="auto"/>
          <w:sz w:val="32"/>
          <w:szCs w:val="44"/>
          <w:highlight w:val="none"/>
        </w:rPr>
        <w:br w:type="page"/>
      </w:r>
      <w:bookmarkStart w:id="1412" w:name="_Toc95223513"/>
      <w:r>
        <w:rPr>
          <w:rFonts w:hint="eastAsia" w:ascii="宋体" w:hAnsi="宋体" w:cs="宋体"/>
          <w:bCs/>
          <w:color w:val="auto"/>
          <w:sz w:val="24"/>
          <w:highlight w:val="none"/>
        </w:rPr>
        <w:t>附件14：项目经理质量终身责任制承诺</w:t>
      </w:r>
      <w:bookmarkEnd w:id="1412"/>
    </w:p>
    <w:p w14:paraId="7DF0F511">
      <w:pPr>
        <w:adjustRightInd w:val="0"/>
        <w:snapToGrid w:val="0"/>
        <w:spacing w:line="360" w:lineRule="auto"/>
        <w:jc w:val="center"/>
        <w:rPr>
          <w:rFonts w:hint="eastAsia" w:ascii="宋体" w:hAnsi="宋体" w:cs="宋体"/>
          <w:b/>
          <w:color w:val="auto"/>
          <w:sz w:val="32"/>
          <w:szCs w:val="32"/>
          <w:highlight w:val="none"/>
        </w:rPr>
      </w:pPr>
      <w:bookmarkStart w:id="1413" w:name="_Toc20282"/>
      <w:bookmarkStart w:id="1414" w:name="_Toc19059"/>
      <w:bookmarkStart w:id="1415" w:name="_Toc95223514"/>
      <w:r>
        <w:rPr>
          <w:rFonts w:hint="eastAsia" w:ascii="宋体" w:hAnsi="宋体" w:cs="宋体"/>
          <w:b/>
          <w:color w:val="auto"/>
          <w:sz w:val="32"/>
          <w:szCs w:val="32"/>
          <w:highlight w:val="none"/>
        </w:rPr>
        <w:t>项目经理质量终身责任制承诺</w:t>
      </w:r>
      <w:bookmarkEnd w:id="1413"/>
      <w:bookmarkEnd w:id="1414"/>
      <w:bookmarkEnd w:id="1415"/>
    </w:p>
    <w:p w14:paraId="3C2A3965">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66EB75CD">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728428C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5C821444">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10A38DA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42E2B8FE">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3A838A3D">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35C2E256">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2654756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698F6487">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CCB144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01665633">
      <w:pPr>
        <w:spacing w:line="360" w:lineRule="auto"/>
        <w:ind w:left="359" w:leftChars="171" w:firstLine="720" w:firstLineChars="300"/>
        <w:rPr>
          <w:rFonts w:hint="eastAsia" w:ascii="宋体" w:hAnsi="宋体" w:cs="宋体"/>
          <w:bCs/>
          <w:color w:val="auto"/>
          <w:sz w:val="24"/>
          <w:szCs w:val="21"/>
          <w:highlight w:val="none"/>
        </w:rPr>
      </w:pPr>
    </w:p>
    <w:p w14:paraId="08633504">
      <w:pPr>
        <w:spacing w:line="360" w:lineRule="auto"/>
        <w:ind w:left="359" w:leftChars="171" w:firstLine="720" w:firstLineChars="300"/>
        <w:rPr>
          <w:rFonts w:hint="eastAsia" w:ascii="宋体" w:hAnsi="宋体" w:cs="宋体"/>
          <w:bCs/>
          <w:color w:val="auto"/>
          <w:sz w:val="24"/>
          <w:szCs w:val="21"/>
          <w:highlight w:val="none"/>
        </w:rPr>
      </w:pPr>
    </w:p>
    <w:p w14:paraId="0DA46D7A">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22282235">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00AB9EE9">
      <w:pPr>
        <w:pStyle w:val="19"/>
        <w:rPr>
          <w:rFonts w:hint="eastAsia"/>
          <w:color w:val="auto"/>
          <w:highlight w:val="none"/>
        </w:rPr>
      </w:pPr>
    </w:p>
    <w:p w14:paraId="0D92E9BE">
      <w:pPr>
        <w:ind w:firstLine="630"/>
        <w:rPr>
          <w:rFonts w:hint="eastAsia"/>
          <w:color w:val="auto"/>
          <w:highlight w:val="none"/>
        </w:rPr>
      </w:pPr>
    </w:p>
    <w:p w14:paraId="0D81CF33">
      <w:pPr>
        <w:pStyle w:val="19"/>
        <w:rPr>
          <w:rFonts w:hint="eastAsia"/>
          <w:color w:val="auto"/>
          <w:highlight w:val="none"/>
        </w:rPr>
      </w:pPr>
    </w:p>
    <w:p w14:paraId="5F2930D4">
      <w:pPr>
        <w:ind w:firstLine="630"/>
        <w:rPr>
          <w:rFonts w:hint="eastAsia"/>
          <w:color w:val="auto"/>
          <w:highlight w:val="none"/>
        </w:rPr>
      </w:pPr>
    </w:p>
    <w:p w14:paraId="571FDE49">
      <w:pPr>
        <w:pStyle w:val="19"/>
        <w:ind w:left="0" w:leftChars="0" w:firstLine="0" w:firstLineChars="0"/>
        <w:outlineLvl w:val="2"/>
        <w:rPr>
          <w:rFonts w:hint="eastAsia"/>
          <w:color w:val="auto"/>
          <w:highlight w:val="none"/>
        </w:rPr>
      </w:pPr>
      <w:r>
        <w:rPr>
          <w:rFonts w:hint="eastAsia"/>
          <w:color w:val="auto"/>
          <w:highlight w:val="none"/>
        </w:rPr>
        <w:t>其他需要补充的材料</w:t>
      </w:r>
    </w:p>
    <w:p w14:paraId="1063AAD0">
      <w:pPr>
        <w:pStyle w:val="19"/>
        <w:ind w:left="0" w:leftChars="0" w:firstLine="0" w:firstLineChars="0"/>
        <w:jc w:val="center"/>
        <w:outlineLvl w:val="0"/>
        <w:rPr>
          <w:rFonts w:hint="eastAsia"/>
          <w:color w:val="auto"/>
          <w:highlight w:val="none"/>
        </w:rPr>
      </w:pPr>
      <w:r>
        <w:rPr>
          <w:rFonts w:hint="eastAsia" w:ascii="宋体" w:hAnsi="宋体" w:cs="宋体"/>
          <w:color w:val="auto"/>
          <w:szCs w:val="21"/>
          <w:highlight w:val="none"/>
        </w:rPr>
        <w:br w:type="page"/>
      </w:r>
      <w:bookmarkStart w:id="1416" w:name="_Toc95223515"/>
      <w:bookmarkStart w:id="1417" w:name="_Toc4767"/>
      <w:r>
        <w:rPr>
          <w:rFonts w:hint="eastAsia" w:ascii="宋体" w:hAnsi="宋体" w:cs="宋体"/>
          <w:bCs/>
          <w:color w:val="auto"/>
          <w:kern w:val="44"/>
          <w:sz w:val="36"/>
          <w:szCs w:val="36"/>
          <w:highlight w:val="none"/>
        </w:rPr>
        <w:t>第六章  工程量清单</w:t>
      </w:r>
      <w:bookmarkEnd w:id="1416"/>
      <w:bookmarkEnd w:id="1417"/>
    </w:p>
    <w:p w14:paraId="32A635DD">
      <w:pPr>
        <w:keepNext/>
        <w:keepLines/>
        <w:adjustRightInd w:val="0"/>
        <w:snapToGrid w:val="0"/>
        <w:spacing w:line="480" w:lineRule="auto"/>
        <w:outlineLvl w:val="1"/>
        <w:rPr>
          <w:rFonts w:hint="eastAsia" w:ascii="宋体" w:hAnsi="宋体" w:cs="宋体"/>
          <w:b/>
          <w:bCs/>
          <w:color w:val="auto"/>
          <w:sz w:val="32"/>
          <w:szCs w:val="32"/>
          <w:highlight w:val="none"/>
        </w:rPr>
      </w:pPr>
      <w:bookmarkStart w:id="1418" w:name="_Toc95223516"/>
      <w:bookmarkStart w:id="1419" w:name="_Toc1620"/>
      <w:r>
        <w:rPr>
          <w:rFonts w:hint="eastAsia" w:ascii="宋体" w:hAnsi="宋体" w:cs="宋体"/>
          <w:b/>
          <w:bCs/>
          <w:color w:val="auto"/>
          <w:sz w:val="32"/>
          <w:szCs w:val="32"/>
          <w:highlight w:val="none"/>
        </w:rPr>
        <w:t>1. 计价依据</w:t>
      </w:r>
      <w:bookmarkEnd w:id="1418"/>
      <w:bookmarkEnd w:id="1419"/>
    </w:p>
    <w:p w14:paraId="36DDA17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163EB81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20"/>
        <w:tblW w:w="4751" w:type="pct"/>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5"/>
        <w:gridCol w:w="3254"/>
        <w:gridCol w:w="2395"/>
        <w:gridCol w:w="2267"/>
      </w:tblGrid>
      <w:tr w14:paraId="3DE49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restart"/>
            <w:tcBorders>
              <w:top w:val="single" w:color="auto" w:sz="4" w:space="0"/>
              <w:left w:val="single" w:color="auto" w:sz="4" w:space="0"/>
              <w:bottom w:val="single" w:color="auto" w:sz="4" w:space="0"/>
              <w:right w:val="single" w:color="auto" w:sz="4" w:space="0"/>
            </w:tcBorders>
            <w:noWrap w:val="0"/>
            <w:vAlign w:val="center"/>
          </w:tcPr>
          <w:p w14:paraId="0E90BDDD">
            <w:pPr>
              <w:adjustRightInd w:val="0"/>
              <w:snapToGrid w:val="0"/>
              <w:spacing w:line="360" w:lineRule="auto"/>
              <w:jc w:val="center"/>
              <w:rPr>
                <w:color w:val="auto"/>
                <w:kern w:val="0"/>
                <w:sz w:val="24"/>
                <w:highlight w:val="none"/>
              </w:rPr>
            </w:pPr>
            <w:r>
              <w:rPr>
                <w:rFonts w:hint="eastAsia"/>
                <w:color w:val="auto"/>
                <w:kern w:val="0"/>
                <w:sz w:val="24"/>
                <w:highlight w:val="none"/>
              </w:rPr>
              <w:t>项目名称</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345620D4">
            <w:pPr>
              <w:adjustRightInd w:val="0"/>
              <w:snapToGrid w:val="0"/>
              <w:spacing w:line="360" w:lineRule="auto"/>
              <w:jc w:val="center"/>
              <w:rPr>
                <w:color w:val="auto"/>
                <w:kern w:val="0"/>
                <w:sz w:val="24"/>
                <w:highlight w:val="none"/>
              </w:rPr>
            </w:pPr>
            <w:r>
              <w:rPr>
                <w:rFonts w:hint="eastAsia"/>
                <w:color w:val="auto"/>
                <w:kern w:val="0"/>
                <w:sz w:val="24"/>
                <w:highlight w:val="none"/>
              </w:rPr>
              <w:t>计费基础</w:t>
            </w:r>
          </w:p>
        </w:tc>
        <w:tc>
          <w:tcPr>
            <w:tcW w:w="2372" w:type="pct"/>
            <w:gridSpan w:val="2"/>
            <w:tcBorders>
              <w:top w:val="single" w:color="auto" w:sz="4" w:space="0"/>
              <w:left w:val="single" w:color="auto" w:sz="4" w:space="0"/>
              <w:bottom w:val="single" w:color="auto" w:sz="4" w:space="0"/>
              <w:right w:val="single" w:color="auto" w:sz="4" w:space="0"/>
            </w:tcBorders>
            <w:noWrap w:val="0"/>
            <w:vAlign w:val="center"/>
          </w:tcPr>
          <w:p w14:paraId="53D62162">
            <w:pPr>
              <w:adjustRightInd w:val="0"/>
              <w:snapToGrid w:val="0"/>
              <w:spacing w:line="360" w:lineRule="auto"/>
              <w:jc w:val="center"/>
              <w:rPr>
                <w:color w:val="auto"/>
                <w:kern w:val="0"/>
                <w:sz w:val="24"/>
                <w:highlight w:val="none"/>
              </w:rPr>
            </w:pPr>
            <w:r>
              <w:rPr>
                <w:rFonts w:hint="eastAsia"/>
                <w:color w:val="auto"/>
                <w:kern w:val="0"/>
                <w:sz w:val="24"/>
                <w:highlight w:val="none"/>
              </w:rPr>
              <w:t>费率（%）</w:t>
            </w:r>
          </w:p>
        </w:tc>
      </w:tr>
      <w:tr w14:paraId="39656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continue"/>
            <w:tcBorders>
              <w:top w:val="single" w:color="auto" w:sz="4" w:space="0"/>
              <w:left w:val="single" w:color="auto" w:sz="4" w:space="0"/>
              <w:bottom w:val="single" w:color="auto" w:sz="4" w:space="0"/>
              <w:right w:val="single" w:color="auto" w:sz="4" w:space="0"/>
            </w:tcBorders>
            <w:noWrap w:val="0"/>
            <w:vAlign w:val="center"/>
          </w:tcPr>
          <w:p w14:paraId="7CDF1CEF">
            <w:pPr>
              <w:widowControl/>
              <w:snapToGrid w:val="0"/>
              <w:spacing w:line="360" w:lineRule="auto"/>
              <w:jc w:val="center"/>
              <w:rPr>
                <w:color w:val="auto"/>
                <w:kern w:val="0"/>
                <w:sz w:val="24"/>
                <w:highlight w:val="none"/>
              </w:rPr>
            </w:pP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7226878E">
            <w:pPr>
              <w:widowControl/>
              <w:snapToGrid w:val="0"/>
              <w:spacing w:line="360" w:lineRule="auto"/>
              <w:jc w:val="center"/>
              <w:rPr>
                <w:color w:val="auto"/>
                <w:kern w:val="0"/>
                <w:sz w:val="24"/>
                <w:highlight w:val="none"/>
              </w:rPr>
            </w:pPr>
          </w:p>
        </w:tc>
        <w:tc>
          <w:tcPr>
            <w:tcW w:w="1218" w:type="pct"/>
            <w:vMerge w:val="restart"/>
            <w:tcBorders>
              <w:top w:val="single" w:color="auto" w:sz="4" w:space="0"/>
              <w:left w:val="single" w:color="auto" w:sz="4" w:space="0"/>
              <w:bottom w:val="single" w:color="000000" w:sz="4" w:space="0"/>
              <w:right w:val="single" w:color="auto" w:sz="4" w:space="0"/>
            </w:tcBorders>
            <w:noWrap w:val="0"/>
            <w:vAlign w:val="center"/>
          </w:tcPr>
          <w:p w14:paraId="7A425476">
            <w:pPr>
              <w:adjustRightInd w:val="0"/>
              <w:snapToGrid w:val="0"/>
              <w:spacing w:line="360" w:lineRule="auto"/>
              <w:jc w:val="center"/>
              <w:rPr>
                <w:color w:val="auto"/>
                <w:kern w:val="0"/>
                <w:sz w:val="24"/>
                <w:highlight w:val="none"/>
              </w:rPr>
            </w:pPr>
            <w:r>
              <w:rPr>
                <w:rFonts w:hint="eastAsia"/>
                <w:color w:val="auto"/>
                <w:kern w:val="0"/>
                <w:sz w:val="24"/>
                <w:highlight w:val="none"/>
              </w:rPr>
              <w:t>建筑工程</w:t>
            </w:r>
          </w:p>
        </w:tc>
        <w:tc>
          <w:tcPr>
            <w:tcW w:w="1154" w:type="pct"/>
            <w:vMerge w:val="restart"/>
            <w:tcBorders>
              <w:top w:val="single" w:color="auto" w:sz="4" w:space="0"/>
              <w:left w:val="single" w:color="auto" w:sz="4" w:space="0"/>
              <w:right w:val="single" w:color="auto" w:sz="4" w:space="0"/>
            </w:tcBorders>
            <w:noWrap w:val="0"/>
            <w:vAlign w:val="center"/>
          </w:tcPr>
          <w:p w14:paraId="00859AAB">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市政公用工程</w:t>
            </w:r>
          </w:p>
        </w:tc>
      </w:tr>
      <w:tr w14:paraId="61B9C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74" w:type="pct"/>
            <w:vMerge w:val="continue"/>
            <w:tcBorders>
              <w:top w:val="single" w:color="000000" w:sz="4" w:space="0"/>
              <w:left w:val="single" w:color="auto" w:sz="4" w:space="0"/>
              <w:bottom w:val="single" w:color="auto" w:sz="4" w:space="0"/>
              <w:right w:val="single" w:color="auto" w:sz="4" w:space="0"/>
            </w:tcBorders>
            <w:noWrap w:val="0"/>
            <w:vAlign w:val="center"/>
          </w:tcPr>
          <w:p w14:paraId="5EEA71F1">
            <w:pPr>
              <w:widowControl/>
              <w:snapToGrid w:val="0"/>
              <w:spacing w:line="360" w:lineRule="auto"/>
              <w:jc w:val="center"/>
              <w:rPr>
                <w:color w:val="auto"/>
                <w:kern w:val="0"/>
                <w:sz w:val="24"/>
                <w:highlight w:val="none"/>
              </w:rPr>
            </w:pPr>
          </w:p>
        </w:tc>
        <w:tc>
          <w:tcPr>
            <w:tcW w:w="1655" w:type="pct"/>
            <w:vMerge w:val="continue"/>
            <w:tcBorders>
              <w:top w:val="single" w:color="000000" w:sz="4" w:space="0"/>
              <w:left w:val="single" w:color="auto" w:sz="4" w:space="0"/>
              <w:bottom w:val="single" w:color="auto" w:sz="4" w:space="0"/>
              <w:right w:val="single" w:color="auto" w:sz="4" w:space="0"/>
            </w:tcBorders>
            <w:noWrap w:val="0"/>
            <w:vAlign w:val="center"/>
          </w:tcPr>
          <w:p w14:paraId="7990A069">
            <w:pPr>
              <w:widowControl/>
              <w:snapToGrid w:val="0"/>
              <w:spacing w:line="360" w:lineRule="auto"/>
              <w:jc w:val="center"/>
              <w:rPr>
                <w:color w:val="auto"/>
                <w:kern w:val="0"/>
                <w:sz w:val="24"/>
                <w:highlight w:val="none"/>
              </w:rPr>
            </w:pPr>
          </w:p>
        </w:tc>
        <w:tc>
          <w:tcPr>
            <w:tcW w:w="1218" w:type="pct"/>
            <w:vMerge w:val="continue"/>
            <w:tcBorders>
              <w:top w:val="single" w:color="000000" w:sz="4" w:space="0"/>
              <w:left w:val="single" w:color="auto" w:sz="4" w:space="0"/>
              <w:bottom w:val="single" w:color="auto" w:sz="4" w:space="0"/>
              <w:right w:val="single" w:color="auto" w:sz="4" w:space="0"/>
            </w:tcBorders>
            <w:noWrap w:val="0"/>
            <w:vAlign w:val="center"/>
          </w:tcPr>
          <w:p w14:paraId="756C818F">
            <w:pPr>
              <w:adjustRightInd w:val="0"/>
              <w:snapToGrid w:val="0"/>
              <w:spacing w:line="360" w:lineRule="auto"/>
              <w:jc w:val="center"/>
              <w:rPr>
                <w:color w:val="auto"/>
                <w:kern w:val="0"/>
                <w:sz w:val="24"/>
                <w:highlight w:val="none"/>
              </w:rPr>
            </w:pPr>
          </w:p>
        </w:tc>
        <w:tc>
          <w:tcPr>
            <w:tcW w:w="1154" w:type="pct"/>
            <w:vMerge w:val="continue"/>
            <w:tcBorders>
              <w:left w:val="single" w:color="auto" w:sz="4" w:space="0"/>
              <w:bottom w:val="single" w:color="auto" w:sz="4" w:space="0"/>
              <w:right w:val="single" w:color="auto" w:sz="4" w:space="0"/>
            </w:tcBorders>
            <w:noWrap w:val="0"/>
            <w:vAlign w:val="center"/>
          </w:tcPr>
          <w:p w14:paraId="14AFF62A">
            <w:pPr>
              <w:adjustRightInd w:val="0"/>
              <w:snapToGrid w:val="0"/>
              <w:spacing w:line="360" w:lineRule="auto"/>
              <w:jc w:val="center"/>
              <w:rPr>
                <w:color w:val="auto"/>
                <w:kern w:val="0"/>
                <w:sz w:val="24"/>
                <w:highlight w:val="none"/>
              </w:rPr>
            </w:pPr>
          </w:p>
        </w:tc>
      </w:tr>
      <w:tr w14:paraId="6466D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000000" w:sz="4" w:space="0"/>
              <w:right w:val="single" w:color="auto" w:sz="4" w:space="0"/>
            </w:tcBorders>
            <w:noWrap w:val="0"/>
            <w:vAlign w:val="center"/>
          </w:tcPr>
          <w:p w14:paraId="7B1D63B5">
            <w:pPr>
              <w:adjustRightInd w:val="0"/>
              <w:snapToGrid w:val="0"/>
              <w:spacing w:line="360" w:lineRule="auto"/>
              <w:jc w:val="center"/>
              <w:rPr>
                <w:color w:val="auto"/>
                <w:kern w:val="0"/>
                <w:sz w:val="24"/>
                <w:highlight w:val="none"/>
              </w:rPr>
            </w:pPr>
            <w:r>
              <w:rPr>
                <w:rFonts w:hint="eastAsia"/>
                <w:color w:val="auto"/>
                <w:kern w:val="0"/>
                <w:sz w:val="24"/>
                <w:highlight w:val="none"/>
              </w:rPr>
              <w:t>环境保护费</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75A7A430">
            <w:pPr>
              <w:adjustRightInd w:val="0"/>
              <w:snapToGrid w:val="0"/>
              <w:spacing w:line="360" w:lineRule="auto"/>
              <w:jc w:val="center"/>
              <w:rPr>
                <w:color w:val="auto"/>
                <w:kern w:val="0"/>
                <w:sz w:val="24"/>
                <w:highlight w:val="none"/>
              </w:rPr>
            </w:pPr>
            <w:r>
              <w:rPr>
                <w:rFonts w:hint="eastAsia"/>
                <w:color w:val="auto"/>
                <w:kern w:val="0"/>
                <w:sz w:val="24"/>
                <w:highlight w:val="none"/>
              </w:rPr>
              <w:t>定额人工费+定额机械费</w:t>
            </w:r>
          </w:p>
        </w:tc>
        <w:tc>
          <w:tcPr>
            <w:tcW w:w="1218" w:type="pct"/>
            <w:tcBorders>
              <w:top w:val="single" w:color="auto" w:sz="4" w:space="0"/>
              <w:left w:val="single" w:color="auto" w:sz="4" w:space="0"/>
              <w:bottom w:val="single" w:color="auto" w:sz="4" w:space="0"/>
              <w:right w:val="single" w:color="auto" w:sz="4" w:space="0"/>
            </w:tcBorders>
            <w:noWrap w:val="0"/>
            <w:vAlign w:val="center"/>
          </w:tcPr>
          <w:p w14:paraId="4CBF8F3C">
            <w:pPr>
              <w:adjustRightInd w:val="0"/>
              <w:snapToGrid w:val="0"/>
              <w:spacing w:line="360" w:lineRule="auto"/>
              <w:jc w:val="center"/>
              <w:rPr>
                <w:color w:val="auto"/>
                <w:kern w:val="0"/>
                <w:sz w:val="24"/>
                <w:highlight w:val="none"/>
              </w:rPr>
            </w:pPr>
            <w:r>
              <w:rPr>
                <w:rFonts w:hint="eastAsia"/>
                <w:color w:val="auto"/>
                <w:kern w:val="0"/>
                <w:sz w:val="24"/>
                <w:highlight w:val="none"/>
              </w:rPr>
              <w:t>3.28</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053BE18D">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3.57</w:t>
            </w:r>
          </w:p>
        </w:tc>
      </w:tr>
      <w:tr w14:paraId="244C3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04F4B762">
            <w:pPr>
              <w:adjustRightInd w:val="0"/>
              <w:snapToGrid w:val="0"/>
              <w:spacing w:line="360" w:lineRule="auto"/>
              <w:jc w:val="center"/>
              <w:rPr>
                <w:color w:val="auto"/>
                <w:kern w:val="0"/>
                <w:sz w:val="24"/>
                <w:highlight w:val="none"/>
              </w:rPr>
            </w:pPr>
            <w:r>
              <w:rPr>
                <w:rFonts w:hint="eastAsia"/>
                <w:color w:val="auto"/>
                <w:kern w:val="0"/>
                <w:sz w:val="24"/>
                <w:highlight w:val="none"/>
              </w:rPr>
              <w:t>文明施工费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51AE65D5">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00F7F6AA">
            <w:pPr>
              <w:adjustRightInd w:val="0"/>
              <w:snapToGrid w:val="0"/>
              <w:spacing w:line="360" w:lineRule="auto"/>
              <w:jc w:val="center"/>
              <w:rPr>
                <w:color w:val="auto"/>
                <w:kern w:val="0"/>
                <w:sz w:val="24"/>
                <w:highlight w:val="none"/>
              </w:rPr>
            </w:pPr>
            <w:r>
              <w:rPr>
                <w:rFonts w:hint="eastAsia"/>
                <w:color w:val="auto"/>
                <w:kern w:val="0"/>
                <w:sz w:val="24"/>
                <w:highlight w:val="none"/>
              </w:rPr>
              <w:t>5.12</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199041C5">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7.33</w:t>
            </w:r>
          </w:p>
        </w:tc>
      </w:tr>
      <w:tr w14:paraId="0C502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3269BC91">
            <w:pPr>
              <w:adjustRightInd w:val="0"/>
              <w:snapToGrid w:val="0"/>
              <w:spacing w:line="360" w:lineRule="auto"/>
              <w:jc w:val="center"/>
              <w:rPr>
                <w:color w:val="auto"/>
                <w:kern w:val="0"/>
                <w:sz w:val="24"/>
                <w:highlight w:val="none"/>
              </w:rPr>
            </w:pPr>
            <w:r>
              <w:rPr>
                <w:rFonts w:hint="eastAsia"/>
                <w:color w:val="auto"/>
                <w:kern w:val="0"/>
                <w:sz w:val="24"/>
                <w:highlight w:val="none"/>
              </w:rPr>
              <w:t>安全施工费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4DF62851">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7668366E">
            <w:pPr>
              <w:adjustRightInd w:val="0"/>
              <w:snapToGrid w:val="0"/>
              <w:spacing w:line="360" w:lineRule="auto"/>
              <w:jc w:val="center"/>
              <w:rPr>
                <w:color w:val="auto"/>
                <w:kern w:val="0"/>
                <w:sz w:val="24"/>
                <w:highlight w:val="none"/>
              </w:rPr>
            </w:pPr>
            <w:r>
              <w:rPr>
                <w:rFonts w:hint="eastAsia"/>
                <w:color w:val="auto"/>
                <w:kern w:val="0"/>
                <w:sz w:val="24"/>
                <w:highlight w:val="none"/>
              </w:rPr>
              <w:t>4.13</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1E31C494">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5.28</w:t>
            </w:r>
          </w:p>
        </w:tc>
      </w:tr>
      <w:tr w14:paraId="450DA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677C165D">
            <w:pPr>
              <w:adjustRightInd w:val="0"/>
              <w:snapToGrid w:val="0"/>
              <w:spacing w:line="360" w:lineRule="auto"/>
              <w:jc w:val="center"/>
              <w:rPr>
                <w:color w:val="auto"/>
                <w:kern w:val="0"/>
                <w:sz w:val="24"/>
                <w:highlight w:val="none"/>
              </w:rPr>
            </w:pPr>
            <w:r>
              <w:rPr>
                <w:rFonts w:hint="eastAsia"/>
                <w:color w:val="auto"/>
                <w:kern w:val="0"/>
                <w:sz w:val="24"/>
                <w:highlight w:val="none"/>
              </w:rPr>
              <w:t>临时设施费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0A182FD3">
            <w:pPr>
              <w:widowControl/>
              <w:snapToGrid w:val="0"/>
              <w:spacing w:line="360" w:lineRule="auto"/>
              <w:jc w:val="center"/>
              <w:rPr>
                <w:color w:val="auto"/>
                <w:kern w:val="0"/>
                <w:sz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2ACBCE77">
            <w:pPr>
              <w:adjustRightInd w:val="0"/>
              <w:snapToGrid w:val="0"/>
              <w:spacing w:line="360" w:lineRule="auto"/>
              <w:jc w:val="center"/>
              <w:rPr>
                <w:color w:val="auto"/>
                <w:kern w:val="0"/>
                <w:sz w:val="24"/>
                <w:highlight w:val="none"/>
              </w:rPr>
            </w:pPr>
            <w:r>
              <w:rPr>
                <w:rFonts w:hint="eastAsia"/>
                <w:color w:val="auto"/>
                <w:kern w:val="0"/>
                <w:sz w:val="24"/>
                <w:highlight w:val="none"/>
              </w:rPr>
              <w:t>8.10</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3BE1E822">
            <w:pPr>
              <w:adjustRightInd w:val="0"/>
              <w:snapToGrid w:val="0"/>
              <w:spacing w:line="360" w:lineRule="auto"/>
              <w:jc w:val="center"/>
              <w:rPr>
                <w:rFonts w:eastAsia="仿宋"/>
                <w:color w:val="auto"/>
                <w:kern w:val="0"/>
                <w:sz w:val="24"/>
                <w:highlight w:val="none"/>
              </w:rPr>
            </w:pPr>
            <w:r>
              <w:rPr>
                <w:rFonts w:hint="eastAsia"/>
                <w:color w:val="auto"/>
                <w:kern w:val="0"/>
                <w:sz w:val="24"/>
                <w:highlight w:val="none"/>
              </w:rPr>
              <w:t>9.99</w:t>
            </w:r>
          </w:p>
        </w:tc>
      </w:tr>
    </w:tbl>
    <w:p w14:paraId="17CC09C2">
      <w:pPr>
        <w:pStyle w:val="19"/>
        <w:ind w:left="0" w:leftChars="0" w:firstLine="0" w:firstLineChars="0"/>
        <w:rPr>
          <w:rFonts w:hint="eastAsia"/>
          <w:color w:val="auto"/>
          <w:highlight w:val="none"/>
        </w:rPr>
      </w:pPr>
    </w:p>
    <w:p w14:paraId="5C35F963">
      <w:pPr>
        <w:keepNext/>
        <w:keepLines/>
        <w:adjustRightInd w:val="0"/>
        <w:snapToGrid w:val="0"/>
        <w:spacing w:line="480" w:lineRule="exact"/>
        <w:outlineLvl w:val="1"/>
        <w:rPr>
          <w:rFonts w:hint="eastAsia" w:ascii="宋体" w:hAnsi="宋体" w:cs="宋体"/>
          <w:b/>
          <w:bCs/>
          <w:color w:val="auto"/>
          <w:sz w:val="32"/>
          <w:szCs w:val="32"/>
          <w:highlight w:val="none"/>
        </w:rPr>
      </w:pPr>
      <w:bookmarkStart w:id="1420" w:name="_Toc7039"/>
      <w:bookmarkStart w:id="1421" w:name="_Toc95223517"/>
      <w:r>
        <w:rPr>
          <w:rFonts w:hint="eastAsia" w:ascii="宋体" w:hAnsi="宋体" w:cs="宋体"/>
          <w:b/>
          <w:bCs/>
          <w:color w:val="auto"/>
          <w:sz w:val="32"/>
          <w:szCs w:val="32"/>
          <w:highlight w:val="none"/>
        </w:rPr>
        <w:t>2. 工程造价确定</w:t>
      </w:r>
      <w:bookmarkEnd w:id="1420"/>
      <w:bookmarkEnd w:id="1421"/>
    </w:p>
    <w:p w14:paraId="6E78EC4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本项目采用工程量清单计价。</w:t>
      </w:r>
    </w:p>
    <w:p w14:paraId="23900B2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7660CDA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017D0D2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33AD25F4">
      <w:pPr>
        <w:keepNext/>
        <w:keepLines/>
        <w:adjustRightInd w:val="0"/>
        <w:snapToGrid w:val="0"/>
        <w:spacing w:line="360" w:lineRule="auto"/>
        <w:outlineLvl w:val="1"/>
        <w:rPr>
          <w:rFonts w:hint="eastAsia" w:ascii="宋体" w:hAnsi="宋体" w:cs="宋体"/>
          <w:b/>
          <w:bCs/>
          <w:color w:val="auto"/>
          <w:sz w:val="32"/>
          <w:szCs w:val="32"/>
          <w:highlight w:val="none"/>
        </w:rPr>
      </w:pPr>
      <w:bookmarkStart w:id="1422" w:name="_Toc19788"/>
      <w:bookmarkStart w:id="1423" w:name="_Toc95223518"/>
      <w:r>
        <w:rPr>
          <w:rFonts w:hint="eastAsia" w:ascii="宋体" w:hAnsi="宋体" w:cs="宋体"/>
          <w:b/>
          <w:bCs/>
          <w:color w:val="auto"/>
          <w:sz w:val="32"/>
          <w:szCs w:val="32"/>
          <w:highlight w:val="none"/>
        </w:rPr>
        <w:t>3. 招标工程量清单编制要求</w:t>
      </w:r>
      <w:bookmarkEnd w:id="1422"/>
      <w:bookmarkEnd w:id="1423"/>
    </w:p>
    <w:p w14:paraId="4F1A515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7A31DDA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264ADA3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47CCFEC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14:paraId="042E87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47E7CDE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6CA307A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1FE1DC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23E4DF5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00F688A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0C3B9AF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1E08C3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357A75E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1B05BB21">
      <w:pPr>
        <w:keepNext/>
        <w:keepLines/>
        <w:adjustRightInd w:val="0"/>
        <w:snapToGrid w:val="0"/>
        <w:spacing w:line="360" w:lineRule="auto"/>
        <w:outlineLvl w:val="1"/>
        <w:rPr>
          <w:rFonts w:hint="eastAsia" w:ascii="宋体" w:hAnsi="宋体" w:cs="宋体"/>
          <w:b/>
          <w:bCs/>
          <w:color w:val="auto"/>
          <w:sz w:val="32"/>
          <w:szCs w:val="32"/>
          <w:highlight w:val="none"/>
        </w:rPr>
      </w:pPr>
      <w:bookmarkStart w:id="1424" w:name="_Toc23910"/>
      <w:bookmarkStart w:id="1425" w:name="_Toc95223519"/>
      <w:r>
        <w:rPr>
          <w:rFonts w:hint="eastAsia" w:ascii="宋体" w:hAnsi="宋体" w:cs="宋体"/>
          <w:b/>
          <w:bCs/>
          <w:color w:val="auto"/>
          <w:sz w:val="32"/>
          <w:szCs w:val="32"/>
          <w:highlight w:val="none"/>
        </w:rPr>
        <w:t>4. 最高投标限价编制要求</w:t>
      </w:r>
      <w:bookmarkEnd w:id="1424"/>
      <w:bookmarkEnd w:id="1425"/>
    </w:p>
    <w:p w14:paraId="08F5EAA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14:paraId="6A5DA1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26D43A9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70C6FA4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242D746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3076BE1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（5）《关于发布《安徽省建设工程计价依据动态调整(第1期)》的公告》（安徽省住房和城乡建设厅公告第51号）</w:t>
      </w:r>
    </w:p>
    <w:p w14:paraId="163FAB0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579EFF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359BEC3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2975F6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2639F0E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期</w:t>
      </w:r>
      <w:r>
        <w:rPr>
          <w:rFonts w:hint="eastAsia" w:ascii="宋体" w:hAnsi="宋体" w:cs="宋体"/>
          <w:color w:val="auto"/>
          <w:szCs w:val="21"/>
          <w:highlight w:val="none"/>
        </w:rPr>
        <w:t>）；</w:t>
      </w:r>
    </w:p>
    <w:p w14:paraId="05A3B7F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73F3FA4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5E8665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0BC2A8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219B0A1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分部分项工程费按本招标文件的分部分项工程量清单的特征描述及有关要求，结合第4.1款编制依据确定。</w:t>
      </w:r>
    </w:p>
    <w:p w14:paraId="717B226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261AD78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5863258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69EA2B4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66D85B3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7C84B6E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2D48044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3D79045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31BBC7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 其他项目费用应按照下列规定计价:</w:t>
      </w:r>
    </w:p>
    <w:p w14:paraId="03AC99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152771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4B3A7E0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6929055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17FE92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 税金（增值税）按税金项目清单，结合第4.1款编制依据的要求编制，不得降低标准。</w:t>
      </w:r>
    </w:p>
    <w:p w14:paraId="0B2EEEA3">
      <w:pPr>
        <w:keepNext/>
        <w:keepLines/>
        <w:adjustRightInd w:val="0"/>
        <w:snapToGrid w:val="0"/>
        <w:spacing w:line="360" w:lineRule="auto"/>
        <w:outlineLvl w:val="1"/>
        <w:rPr>
          <w:rFonts w:hint="eastAsia" w:ascii="宋体" w:hAnsi="宋体" w:cs="宋体"/>
          <w:b/>
          <w:bCs/>
          <w:color w:val="auto"/>
          <w:sz w:val="32"/>
          <w:szCs w:val="32"/>
          <w:highlight w:val="none"/>
        </w:rPr>
      </w:pPr>
      <w:bookmarkStart w:id="1426" w:name="_Toc4166"/>
      <w:bookmarkStart w:id="1427" w:name="_Toc95223520"/>
      <w:r>
        <w:rPr>
          <w:rFonts w:hint="eastAsia" w:ascii="宋体" w:hAnsi="宋体" w:cs="宋体"/>
          <w:b/>
          <w:bCs/>
          <w:color w:val="auto"/>
          <w:sz w:val="32"/>
          <w:szCs w:val="32"/>
          <w:highlight w:val="none"/>
        </w:rPr>
        <w:t>5. 投标报价参考编制要求</w:t>
      </w:r>
      <w:bookmarkEnd w:id="1426"/>
      <w:bookmarkEnd w:id="1427"/>
    </w:p>
    <w:p w14:paraId="369E168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14:paraId="74C4E48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5256409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40E4890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14:paraId="2557E39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0B47A5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（5）《关于发布《安徽省建设工程计价依据动态调整(第1期)》的公告》（安徽省住房和城乡建设厅公告第51号）</w:t>
      </w:r>
    </w:p>
    <w:p w14:paraId="60FCCD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14:paraId="29D0167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4C978A2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21EB058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552E8E3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r>
        <w:rPr>
          <w:rFonts w:hint="eastAsia" w:ascii="仿宋_GB2312" w:hAnsi="仿宋_GB2312" w:eastAsia="仿宋_GB2312" w:cs="仿宋_GB2312"/>
          <w:color w:val="auto"/>
          <w:sz w:val="28"/>
          <w:szCs w:val="28"/>
          <w:highlight w:val="none"/>
          <w:lang w:eastAsia="zh-CN"/>
        </w:rPr>
        <w:t>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期</w:t>
      </w:r>
      <w:r>
        <w:rPr>
          <w:rFonts w:hint="eastAsia" w:ascii="宋体" w:hAnsi="宋体" w:cs="宋体"/>
          <w:color w:val="auto"/>
          <w:szCs w:val="21"/>
          <w:highlight w:val="none"/>
        </w:rPr>
        <w:t>）；</w:t>
      </w:r>
    </w:p>
    <w:p w14:paraId="541CB32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14:paraId="196E653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14:paraId="313C390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02EA577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7CEB212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391E549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283ECE4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7F6D10F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09F6269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49B1520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29EFC8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2F47D4C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5464E9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14CE69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14:paraId="62838B2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1679607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7056775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10D5408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1CD6CAEE">
      <w:pPr>
        <w:adjustRightInd w:val="0"/>
        <w:snapToGrid w:val="0"/>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7C006AD6">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2458CDC0">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72F45C16">
      <w:pPr>
        <w:keepNext/>
        <w:keepLines/>
        <w:adjustRightInd w:val="0"/>
        <w:snapToGrid w:val="0"/>
        <w:spacing w:line="360" w:lineRule="auto"/>
        <w:outlineLvl w:val="1"/>
        <w:rPr>
          <w:rFonts w:hint="eastAsia" w:ascii="宋体" w:hAnsi="宋体" w:cs="宋体"/>
          <w:b/>
          <w:bCs/>
          <w:color w:val="auto"/>
          <w:sz w:val="32"/>
          <w:szCs w:val="32"/>
          <w:highlight w:val="none"/>
        </w:rPr>
      </w:pPr>
      <w:bookmarkStart w:id="1428" w:name="_Toc4881"/>
      <w:bookmarkStart w:id="1429" w:name="_Toc95223521"/>
      <w:r>
        <w:rPr>
          <w:rFonts w:hint="eastAsia" w:ascii="宋体" w:hAnsi="宋体" w:cs="宋体"/>
          <w:b/>
          <w:bCs/>
          <w:color w:val="auto"/>
          <w:sz w:val="32"/>
          <w:szCs w:val="32"/>
          <w:highlight w:val="none"/>
        </w:rPr>
        <w:t>6. 工程量清单</w:t>
      </w:r>
      <w:bookmarkEnd w:id="1428"/>
      <w:bookmarkEnd w:id="1429"/>
    </w:p>
    <w:p w14:paraId="6B547709">
      <w:pPr>
        <w:adjustRightInd w:val="0"/>
        <w:snapToGrid w:val="0"/>
        <w:spacing w:line="360" w:lineRule="auto"/>
        <w:ind w:firstLine="840" w:firstLineChars="400"/>
        <w:rPr>
          <w:rFonts w:hint="eastAsia" w:ascii="宋体" w:hAnsi="宋体" w:cs="宋体"/>
          <w:bCs/>
          <w:color w:val="auto"/>
          <w:kern w:val="44"/>
          <w:sz w:val="32"/>
          <w:szCs w:val="44"/>
          <w:highlight w:val="none"/>
        </w:rPr>
      </w:pPr>
      <w:r>
        <w:rPr>
          <w:rFonts w:hint="eastAsia" w:ascii="宋体" w:hAnsi="宋体" w:cs="宋体"/>
          <w:color w:val="auto"/>
          <w:szCs w:val="21"/>
          <w:highlight w:val="none"/>
        </w:rPr>
        <w:t>另册。</w:t>
      </w:r>
    </w:p>
    <w:p w14:paraId="0DEAFC4D">
      <w:pPr>
        <w:rPr>
          <w:rFonts w:hint="eastAsia" w:ascii="宋体" w:hAnsi="宋体" w:cs="宋体"/>
          <w:b/>
          <w:color w:val="auto"/>
          <w:highlight w:val="none"/>
        </w:rPr>
      </w:pPr>
    </w:p>
    <w:p w14:paraId="593AB1C2">
      <w:pPr>
        <w:rPr>
          <w:rFonts w:hint="eastAsia" w:ascii="宋体" w:hAnsi="宋体" w:cs="宋体"/>
          <w:b/>
          <w:color w:val="auto"/>
          <w:highlight w:val="none"/>
        </w:rPr>
      </w:pPr>
    </w:p>
    <w:p w14:paraId="1C58F457">
      <w:pPr>
        <w:rPr>
          <w:rFonts w:hint="eastAsia" w:ascii="宋体" w:hAnsi="宋体" w:cs="宋体"/>
          <w:b/>
          <w:color w:val="auto"/>
          <w:highlight w:val="none"/>
        </w:rPr>
      </w:pPr>
    </w:p>
    <w:p w14:paraId="014B6AFB">
      <w:pPr>
        <w:rPr>
          <w:rFonts w:hint="eastAsia" w:ascii="宋体" w:hAnsi="宋体" w:cs="宋体"/>
          <w:b/>
          <w:color w:val="auto"/>
          <w:highlight w:val="none"/>
        </w:rPr>
      </w:pPr>
    </w:p>
    <w:p w14:paraId="65342684">
      <w:pPr>
        <w:rPr>
          <w:rFonts w:hint="eastAsia" w:ascii="宋体" w:hAnsi="宋体" w:cs="宋体"/>
          <w:b/>
          <w:color w:val="auto"/>
          <w:highlight w:val="none"/>
        </w:rPr>
      </w:pPr>
    </w:p>
    <w:p w14:paraId="4F7F16F0">
      <w:pPr>
        <w:rPr>
          <w:rFonts w:hint="eastAsia" w:ascii="宋体" w:hAnsi="宋体" w:cs="宋体"/>
          <w:b/>
          <w:color w:val="auto"/>
          <w:highlight w:val="none"/>
        </w:rPr>
      </w:pPr>
    </w:p>
    <w:p w14:paraId="6CA408F6">
      <w:pPr>
        <w:keepNext/>
        <w:keepLines/>
        <w:spacing w:line="360" w:lineRule="auto"/>
        <w:jc w:val="center"/>
        <w:outlineLvl w:val="0"/>
        <w:rPr>
          <w:rFonts w:ascii="宋体" w:hAnsi="宋体" w:cs="宋体"/>
          <w:b/>
          <w:bCs/>
          <w:color w:val="auto"/>
          <w:kern w:val="44"/>
          <w:sz w:val="32"/>
          <w:szCs w:val="44"/>
          <w:highlight w:val="none"/>
        </w:rPr>
        <w:sectPr>
          <w:headerReference r:id="rId6" w:type="default"/>
          <w:pgSz w:w="11910" w:h="16840"/>
          <w:pgMar w:top="1060" w:right="660" w:bottom="1020" w:left="1120" w:header="0" w:footer="833" w:gutter="0"/>
          <w:cols w:space="720" w:num="1"/>
        </w:sectPr>
      </w:pPr>
      <w:bookmarkStart w:id="1430" w:name="_Toc95223522"/>
    </w:p>
    <w:p w14:paraId="7A52439A">
      <w:pPr>
        <w:keepNext/>
        <w:keepLines/>
        <w:spacing w:line="360" w:lineRule="auto"/>
        <w:jc w:val="center"/>
        <w:outlineLvl w:val="0"/>
        <w:rPr>
          <w:rFonts w:hint="eastAsia" w:ascii="宋体" w:hAnsi="宋体" w:cs="宋体"/>
          <w:b/>
          <w:bCs/>
          <w:color w:val="auto"/>
          <w:kern w:val="44"/>
          <w:sz w:val="32"/>
          <w:szCs w:val="44"/>
          <w:highlight w:val="none"/>
        </w:rPr>
      </w:pPr>
      <w:r>
        <w:rPr>
          <w:rFonts w:hint="eastAsia" w:ascii="宋体" w:hAnsi="宋体" w:cs="宋体"/>
          <w:b/>
          <w:bCs/>
          <w:color w:val="auto"/>
          <w:kern w:val="44"/>
          <w:sz w:val="32"/>
          <w:szCs w:val="44"/>
          <w:highlight w:val="none"/>
        </w:rPr>
        <w:t xml:space="preserve">第七章 </w:t>
      </w:r>
      <w:bookmarkStart w:id="1431" w:name="_Toc10656"/>
      <w:r>
        <w:rPr>
          <w:rFonts w:hint="eastAsia" w:ascii="宋体" w:hAnsi="宋体" w:cs="宋体"/>
          <w:b/>
          <w:bCs/>
          <w:color w:val="auto"/>
          <w:kern w:val="44"/>
          <w:sz w:val="32"/>
          <w:szCs w:val="44"/>
          <w:highlight w:val="none"/>
        </w:rPr>
        <w:t>图  纸</w:t>
      </w:r>
      <w:bookmarkEnd w:id="1430"/>
      <w:bookmarkEnd w:id="1431"/>
    </w:p>
    <w:p w14:paraId="38FC76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图纸已经审查合格，设计深度符合施工要求。技术标准符合国家、行业以及地方标准、规范和规程，具体内容见下表。</w:t>
      </w:r>
    </w:p>
    <w:p w14:paraId="2B0823BB">
      <w:pPr>
        <w:keepNext/>
        <w:keepLines/>
        <w:adjustRightInd w:val="0"/>
        <w:snapToGrid w:val="0"/>
        <w:spacing w:before="120" w:after="120" w:line="360" w:lineRule="auto"/>
        <w:outlineLvl w:val="1"/>
        <w:rPr>
          <w:rFonts w:hint="eastAsia" w:ascii="宋体" w:hAnsi="宋体" w:cs="宋体"/>
          <w:bCs/>
          <w:color w:val="auto"/>
          <w:szCs w:val="21"/>
          <w:highlight w:val="none"/>
        </w:rPr>
      </w:pPr>
      <w:bookmarkStart w:id="1432" w:name="_Toc30096"/>
      <w:bookmarkStart w:id="1433" w:name="_Toc95223523"/>
      <w:r>
        <w:rPr>
          <w:rFonts w:hint="eastAsia" w:ascii="宋体" w:hAnsi="宋体" w:cs="宋体"/>
          <w:bCs/>
          <w:color w:val="auto"/>
          <w:szCs w:val="21"/>
          <w:highlight w:val="none"/>
        </w:rPr>
        <w:t>1</w:t>
      </w:r>
      <w:r>
        <w:rPr>
          <w:rFonts w:hint="eastAsia" w:ascii="宋体" w:hAnsi="宋体" w:cs="宋体"/>
          <w:color w:val="auto"/>
          <w:sz w:val="24"/>
          <w:szCs w:val="21"/>
          <w:highlight w:val="none"/>
        </w:rPr>
        <w:t>.</w:t>
      </w:r>
      <w:r>
        <w:rPr>
          <w:rFonts w:hint="eastAsia" w:ascii="宋体" w:hAnsi="宋体" w:cs="宋体"/>
          <w:bCs/>
          <w:color w:val="auto"/>
          <w:szCs w:val="21"/>
          <w:highlight w:val="none"/>
        </w:rPr>
        <w:t>图纸目录（表6-1）</w:t>
      </w:r>
      <w:bookmarkEnd w:id="1432"/>
      <w:bookmarkEnd w:id="1433"/>
    </w:p>
    <w:p w14:paraId="7D3CCAD3">
      <w:pPr>
        <w:rPr>
          <w:rFonts w:hint="eastAsia" w:ascii="宋体" w:hAnsi="宋体" w:cs="宋体"/>
          <w:color w:val="auto"/>
          <w:highlight w:val="none"/>
        </w:rPr>
      </w:pPr>
    </w:p>
    <w:tbl>
      <w:tblPr>
        <w:tblStyle w:val="20"/>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160"/>
        <w:gridCol w:w="1344"/>
        <w:gridCol w:w="1588"/>
        <w:gridCol w:w="1588"/>
        <w:gridCol w:w="1589"/>
      </w:tblGrid>
      <w:tr w14:paraId="54DA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center"/>
          </w:tcPr>
          <w:p w14:paraId="55BCC966">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2160" w:type="dxa"/>
            <w:noWrap w:val="0"/>
            <w:vAlign w:val="center"/>
          </w:tcPr>
          <w:p w14:paraId="591CE09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图名</w:t>
            </w:r>
          </w:p>
        </w:tc>
        <w:tc>
          <w:tcPr>
            <w:tcW w:w="1344" w:type="dxa"/>
            <w:noWrap w:val="0"/>
            <w:vAlign w:val="center"/>
          </w:tcPr>
          <w:p w14:paraId="7257A29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图号</w:t>
            </w:r>
          </w:p>
        </w:tc>
        <w:tc>
          <w:tcPr>
            <w:tcW w:w="1588" w:type="dxa"/>
            <w:noWrap w:val="0"/>
            <w:vAlign w:val="center"/>
          </w:tcPr>
          <w:p w14:paraId="4C6D366D">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版本</w:t>
            </w:r>
          </w:p>
        </w:tc>
        <w:tc>
          <w:tcPr>
            <w:tcW w:w="1588" w:type="dxa"/>
            <w:noWrap w:val="0"/>
            <w:vAlign w:val="center"/>
          </w:tcPr>
          <w:p w14:paraId="7B21A9DF">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出图日期</w:t>
            </w:r>
          </w:p>
        </w:tc>
        <w:tc>
          <w:tcPr>
            <w:tcW w:w="1589" w:type="dxa"/>
            <w:noWrap w:val="0"/>
            <w:vAlign w:val="center"/>
          </w:tcPr>
          <w:p w14:paraId="4E588FC5">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备注</w:t>
            </w:r>
          </w:p>
        </w:tc>
      </w:tr>
      <w:tr w14:paraId="67B9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19A93AC1">
            <w:pPr>
              <w:rPr>
                <w:rFonts w:hint="eastAsia" w:ascii="宋体" w:hAnsi="宋体" w:cs="宋体"/>
                <w:color w:val="auto"/>
                <w:highlight w:val="none"/>
              </w:rPr>
            </w:pPr>
          </w:p>
        </w:tc>
        <w:tc>
          <w:tcPr>
            <w:tcW w:w="2160" w:type="dxa"/>
            <w:noWrap w:val="0"/>
            <w:vAlign w:val="top"/>
          </w:tcPr>
          <w:p w14:paraId="0219A2B9">
            <w:pPr>
              <w:keepNext/>
              <w:keepLines/>
              <w:spacing w:before="120" w:after="120" w:line="360" w:lineRule="auto"/>
              <w:jc w:val="left"/>
              <w:outlineLvl w:val="2"/>
              <w:rPr>
                <w:rFonts w:hint="eastAsia" w:ascii="宋体" w:hAnsi="宋体" w:cs="宋体"/>
                <w:bCs/>
                <w:color w:val="auto"/>
                <w:sz w:val="24"/>
                <w:highlight w:val="none"/>
              </w:rPr>
            </w:pPr>
          </w:p>
        </w:tc>
        <w:tc>
          <w:tcPr>
            <w:tcW w:w="1344" w:type="dxa"/>
            <w:noWrap w:val="0"/>
            <w:vAlign w:val="top"/>
          </w:tcPr>
          <w:p w14:paraId="5A2E3EE5">
            <w:pPr>
              <w:rPr>
                <w:rFonts w:hint="eastAsia" w:ascii="宋体" w:hAnsi="宋体" w:cs="宋体"/>
                <w:color w:val="auto"/>
                <w:highlight w:val="none"/>
              </w:rPr>
            </w:pPr>
          </w:p>
        </w:tc>
        <w:tc>
          <w:tcPr>
            <w:tcW w:w="1588" w:type="dxa"/>
            <w:noWrap w:val="0"/>
            <w:vAlign w:val="top"/>
          </w:tcPr>
          <w:p w14:paraId="4CF29779">
            <w:pPr>
              <w:rPr>
                <w:rFonts w:hint="eastAsia" w:ascii="宋体" w:hAnsi="宋体" w:cs="宋体"/>
                <w:color w:val="auto"/>
                <w:highlight w:val="none"/>
              </w:rPr>
            </w:pPr>
          </w:p>
        </w:tc>
        <w:tc>
          <w:tcPr>
            <w:tcW w:w="1588" w:type="dxa"/>
            <w:noWrap w:val="0"/>
            <w:vAlign w:val="top"/>
          </w:tcPr>
          <w:p w14:paraId="1AB384A8">
            <w:pPr>
              <w:rPr>
                <w:rFonts w:hint="eastAsia" w:ascii="宋体" w:hAnsi="宋体" w:cs="宋体"/>
                <w:color w:val="auto"/>
                <w:highlight w:val="none"/>
              </w:rPr>
            </w:pPr>
          </w:p>
        </w:tc>
        <w:tc>
          <w:tcPr>
            <w:tcW w:w="1589" w:type="dxa"/>
            <w:noWrap w:val="0"/>
            <w:vAlign w:val="top"/>
          </w:tcPr>
          <w:p w14:paraId="0D366BB6">
            <w:pPr>
              <w:rPr>
                <w:rFonts w:hint="eastAsia" w:ascii="宋体" w:hAnsi="宋体" w:cs="宋体"/>
                <w:color w:val="auto"/>
                <w:highlight w:val="none"/>
              </w:rPr>
            </w:pPr>
          </w:p>
        </w:tc>
      </w:tr>
      <w:tr w14:paraId="5020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515F1AC6">
            <w:pPr>
              <w:spacing w:line="360" w:lineRule="auto"/>
              <w:ind w:firstLine="420" w:firstLineChars="200"/>
              <w:rPr>
                <w:rFonts w:hint="eastAsia" w:ascii="宋体" w:hAnsi="宋体" w:cs="宋体"/>
                <w:color w:val="auto"/>
                <w:highlight w:val="none"/>
              </w:rPr>
            </w:pPr>
          </w:p>
        </w:tc>
        <w:tc>
          <w:tcPr>
            <w:tcW w:w="2160" w:type="dxa"/>
            <w:noWrap w:val="0"/>
            <w:vAlign w:val="top"/>
          </w:tcPr>
          <w:p w14:paraId="1E8EC113">
            <w:pPr>
              <w:rPr>
                <w:rFonts w:hint="eastAsia" w:ascii="宋体" w:hAnsi="宋体" w:cs="宋体"/>
                <w:color w:val="auto"/>
                <w:highlight w:val="none"/>
              </w:rPr>
            </w:pPr>
          </w:p>
        </w:tc>
        <w:tc>
          <w:tcPr>
            <w:tcW w:w="1344" w:type="dxa"/>
            <w:noWrap w:val="0"/>
            <w:vAlign w:val="top"/>
          </w:tcPr>
          <w:p w14:paraId="27249E18">
            <w:pPr>
              <w:rPr>
                <w:rFonts w:hint="eastAsia" w:ascii="宋体" w:hAnsi="宋体" w:cs="宋体"/>
                <w:color w:val="auto"/>
                <w:highlight w:val="none"/>
              </w:rPr>
            </w:pPr>
          </w:p>
        </w:tc>
        <w:tc>
          <w:tcPr>
            <w:tcW w:w="1588" w:type="dxa"/>
            <w:noWrap w:val="0"/>
            <w:vAlign w:val="top"/>
          </w:tcPr>
          <w:p w14:paraId="45EF1F84">
            <w:pPr>
              <w:rPr>
                <w:rFonts w:hint="eastAsia" w:ascii="宋体" w:hAnsi="宋体" w:cs="宋体"/>
                <w:color w:val="auto"/>
                <w:highlight w:val="none"/>
              </w:rPr>
            </w:pPr>
          </w:p>
        </w:tc>
        <w:tc>
          <w:tcPr>
            <w:tcW w:w="1588" w:type="dxa"/>
            <w:noWrap w:val="0"/>
            <w:vAlign w:val="top"/>
          </w:tcPr>
          <w:p w14:paraId="27DFE35E">
            <w:pPr>
              <w:rPr>
                <w:rFonts w:hint="eastAsia" w:ascii="宋体" w:hAnsi="宋体" w:cs="宋体"/>
                <w:color w:val="auto"/>
                <w:highlight w:val="none"/>
              </w:rPr>
            </w:pPr>
          </w:p>
        </w:tc>
        <w:tc>
          <w:tcPr>
            <w:tcW w:w="1589" w:type="dxa"/>
            <w:noWrap w:val="0"/>
            <w:vAlign w:val="top"/>
          </w:tcPr>
          <w:p w14:paraId="4C6087B3">
            <w:pPr>
              <w:rPr>
                <w:rFonts w:hint="eastAsia" w:ascii="宋体" w:hAnsi="宋体" w:cs="宋体"/>
                <w:color w:val="auto"/>
                <w:highlight w:val="none"/>
              </w:rPr>
            </w:pPr>
          </w:p>
        </w:tc>
      </w:tr>
      <w:tr w14:paraId="73B5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5FDD352F">
            <w:pPr>
              <w:rPr>
                <w:rFonts w:hint="eastAsia" w:ascii="宋体" w:hAnsi="宋体" w:cs="宋体"/>
                <w:color w:val="auto"/>
                <w:highlight w:val="none"/>
              </w:rPr>
            </w:pPr>
          </w:p>
        </w:tc>
        <w:tc>
          <w:tcPr>
            <w:tcW w:w="2160" w:type="dxa"/>
            <w:noWrap w:val="0"/>
            <w:vAlign w:val="top"/>
          </w:tcPr>
          <w:p w14:paraId="76234A0A">
            <w:pPr>
              <w:rPr>
                <w:rFonts w:hint="eastAsia" w:ascii="宋体" w:hAnsi="宋体" w:cs="宋体"/>
                <w:color w:val="auto"/>
                <w:highlight w:val="none"/>
              </w:rPr>
            </w:pPr>
          </w:p>
        </w:tc>
        <w:tc>
          <w:tcPr>
            <w:tcW w:w="1344" w:type="dxa"/>
            <w:noWrap w:val="0"/>
            <w:vAlign w:val="top"/>
          </w:tcPr>
          <w:p w14:paraId="44AFA083">
            <w:pPr>
              <w:rPr>
                <w:rFonts w:hint="eastAsia" w:ascii="宋体" w:hAnsi="宋体" w:cs="宋体"/>
                <w:color w:val="auto"/>
                <w:highlight w:val="none"/>
              </w:rPr>
            </w:pPr>
          </w:p>
        </w:tc>
        <w:tc>
          <w:tcPr>
            <w:tcW w:w="1588" w:type="dxa"/>
            <w:noWrap w:val="0"/>
            <w:vAlign w:val="top"/>
          </w:tcPr>
          <w:p w14:paraId="178D32E4">
            <w:pPr>
              <w:rPr>
                <w:rFonts w:hint="eastAsia" w:ascii="宋体" w:hAnsi="宋体" w:cs="宋体"/>
                <w:color w:val="auto"/>
                <w:highlight w:val="none"/>
              </w:rPr>
            </w:pPr>
          </w:p>
        </w:tc>
        <w:tc>
          <w:tcPr>
            <w:tcW w:w="1588" w:type="dxa"/>
            <w:noWrap w:val="0"/>
            <w:vAlign w:val="top"/>
          </w:tcPr>
          <w:p w14:paraId="5517C570">
            <w:pPr>
              <w:rPr>
                <w:rFonts w:hint="eastAsia" w:ascii="宋体" w:hAnsi="宋体" w:cs="宋体"/>
                <w:color w:val="auto"/>
                <w:highlight w:val="none"/>
              </w:rPr>
            </w:pPr>
          </w:p>
        </w:tc>
        <w:tc>
          <w:tcPr>
            <w:tcW w:w="1589" w:type="dxa"/>
            <w:noWrap w:val="0"/>
            <w:vAlign w:val="top"/>
          </w:tcPr>
          <w:p w14:paraId="234ADE8A">
            <w:pPr>
              <w:rPr>
                <w:rFonts w:hint="eastAsia" w:ascii="宋体" w:hAnsi="宋体" w:cs="宋体"/>
                <w:color w:val="auto"/>
                <w:highlight w:val="none"/>
              </w:rPr>
            </w:pPr>
          </w:p>
        </w:tc>
      </w:tr>
      <w:tr w14:paraId="35A7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3E1F137B">
            <w:pPr>
              <w:rPr>
                <w:rFonts w:hint="eastAsia" w:ascii="宋体" w:hAnsi="宋体" w:cs="宋体"/>
                <w:color w:val="auto"/>
                <w:highlight w:val="none"/>
              </w:rPr>
            </w:pPr>
          </w:p>
        </w:tc>
        <w:tc>
          <w:tcPr>
            <w:tcW w:w="2160" w:type="dxa"/>
            <w:noWrap w:val="0"/>
            <w:vAlign w:val="top"/>
          </w:tcPr>
          <w:p w14:paraId="637D80BB">
            <w:pPr>
              <w:rPr>
                <w:rFonts w:hint="eastAsia" w:ascii="宋体" w:hAnsi="宋体" w:cs="宋体"/>
                <w:color w:val="auto"/>
                <w:highlight w:val="none"/>
              </w:rPr>
            </w:pPr>
          </w:p>
        </w:tc>
        <w:tc>
          <w:tcPr>
            <w:tcW w:w="1344" w:type="dxa"/>
            <w:noWrap w:val="0"/>
            <w:vAlign w:val="top"/>
          </w:tcPr>
          <w:p w14:paraId="108A3BE4">
            <w:pPr>
              <w:rPr>
                <w:rFonts w:hint="eastAsia" w:ascii="宋体" w:hAnsi="宋体" w:cs="宋体"/>
                <w:color w:val="auto"/>
                <w:highlight w:val="none"/>
              </w:rPr>
            </w:pPr>
          </w:p>
        </w:tc>
        <w:tc>
          <w:tcPr>
            <w:tcW w:w="1588" w:type="dxa"/>
            <w:noWrap w:val="0"/>
            <w:vAlign w:val="top"/>
          </w:tcPr>
          <w:p w14:paraId="3406A196">
            <w:pPr>
              <w:rPr>
                <w:rFonts w:hint="eastAsia" w:ascii="宋体" w:hAnsi="宋体" w:cs="宋体"/>
                <w:color w:val="auto"/>
                <w:highlight w:val="none"/>
              </w:rPr>
            </w:pPr>
          </w:p>
        </w:tc>
        <w:tc>
          <w:tcPr>
            <w:tcW w:w="1588" w:type="dxa"/>
            <w:noWrap w:val="0"/>
            <w:vAlign w:val="top"/>
          </w:tcPr>
          <w:p w14:paraId="3A6B4D96">
            <w:pPr>
              <w:rPr>
                <w:rFonts w:hint="eastAsia" w:ascii="宋体" w:hAnsi="宋体" w:cs="宋体"/>
                <w:color w:val="auto"/>
                <w:highlight w:val="none"/>
              </w:rPr>
            </w:pPr>
          </w:p>
        </w:tc>
        <w:tc>
          <w:tcPr>
            <w:tcW w:w="1589" w:type="dxa"/>
            <w:noWrap w:val="0"/>
            <w:vAlign w:val="top"/>
          </w:tcPr>
          <w:p w14:paraId="01D88FBA">
            <w:pPr>
              <w:rPr>
                <w:rFonts w:hint="eastAsia" w:ascii="宋体" w:hAnsi="宋体" w:cs="宋体"/>
                <w:color w:val="auto"/>
                <w:highlight w:val="none"/>
              </w:rPr>
            </w:pPr>
          </w:p>
        </w:tc>
      </w:tr>
      <w:tr w14:paraId="69CA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7C14020C">
            <w:pPr>
              <w:rPr>
                <w:rFonts w:hint="eastAsia" w:ascii="宋体" w:hAnsi="宋体" w:cs="宋体"/>
                <w:color w:val="auto"/>
                <w:highlight w:val="none"/>
              </w:rPr>
            </w:pPr>
          </w:p>
        </w:tc>
        <w:tc>
          <w:tcPr>
            <w:tcW w:w="2160" w:type="dxa"/>
            <w:noWrap w:val="0"/>
            <w:vAlign w:val="top"/>
          </w:tcPr>
          <w:p w14:paraId="55B9B2DD">
            <w:pPr>
              <w:rPr>
                <w:rFonts w:hint="eastAsia" w:ascii="宋体" w:hAnsi="宋体" w:cs="宋体"/>
                <w:color w:val="auto"/>
                <w:highlight w:val="none"/>
              </w:rPr>
            </w:pPr>
          </w:p>
        </w:tc>
        <w:tc>
          <w:tcPr>
            <w:tcW w:w="1344" w:type="dxa"/>
            <w:noWrap w:val="0"/>
            <w:vAlign w:val="top"/>
          </w:tcPr>
          <w:p w14:paraId="1CCFF469">
            <w:pPr>
              <w:rPr>
                <w:rFonts w:hint="eastAsia" w:ascii="宋体" w:hAnsi="宋体" w:cs="宋体"/>
                <w:color w:val="auto"/>
                <w:highlight w:val="none"/>
              </w:rPr>
            </w:pPr>
          </w:p>
        </w:tc>
        <w:tc>
          <w:tcPr>
            <w:tcW w:w="1588" w:type="dxa"/>
            <w:noWrap w:val="0"/>
            <w:vAlign w:val="top"/>
          </w:tcPr>
          <w:p w14:paraId="5F76324B">
            <w:pPr>
              <w:rPr>
                <w:rFonts w:hint="eastAsia" w:ascii="宋体" w:hAnsi="宋体" w:cs="宋体"/>
                <w:color w:val="auto"/>
                <w:highlight w:val="none"/>
              </w:rPr>
            </w:pPr>
          </w:p>
        </w:tc>
        <w:tc>
          <w:tcPr>
            <w:tcW w:w="1588" w:type="dxa"/>
            <w:noWrap w:val="0"/>
            <w:vAlign w:val="top"/>
          </w:tcPr>
          <w:p w14:paraId="30AC7C8A">
            <w:pPr>
              <w:rPr>
                <w:rFonts w:hint="eastAsia" w:ascii="宋体" w:hAnsi="宋体" w:cs="宋体"/>
                <w:color w:val="auto"/>
                <w:highlight w:val="none"/>
              </w:rPr>
            </w:pPr>
          </w:p>
        </w:tc>
        <w:tc>
          <w:tcPr>
            <w:tcW w:w="1589" w:type="dxa"/>
            <w:noWrap w:val="0"/>
            <w:vAlign w:val="top"/>
          </w:tcPr>
          <w:p w14:paraId="33101C6F">
            <w:pPr>
              <w:rPr>
                <w:rFonts w:hint="eastAsia" w:ascii="宋体" w:hAnsi="宋体" w:cs="宋体"/>
                <w:color w:val="auto"/>
                <w:highlight w:val="none"/>
              </w:rPr>
            </w:pPr>
          </w:p>
        </w:tc>
      </w:tr>
      <w:tr w14:paraId="2F34E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587DF9DB">
            <w:pPr>
              <w:rPr>
                <w:rFonts w:hint="eastAsia" w:ascii="宋体" w:hAnsi="宋体" w:cs="宋体"/>
                <w:color w:val="auto"/>
                <w:highlight w:val="none"/>
              </w:rPr>
            </w:pPr>
          </w:p>
        </w:tc>
        <w:tc>
          <w:tcPr>
            <w:tcW w:w="2160" w:type="dxa"/>
            <w:noWrap w:val="0"/>
            <w:vAlign w:val="top"/>
          </w:tcPr>
          <w:p w14:paraId="68C7AC8D">
            <w:pPr>
              <w:rPr>
                <w:rFonts w:hint="eastAsia" w:ascii="宋体" w:hAnsi="宋体" w:cs="宋体"/>
                <w:color w:val="auto"/>
                <w:highlight w:val="none"/>
              </w:rPr>
            </w:pPr>
          </w:p>
        </w:tc>
        <w:tc>
          <w:tcPr>
            <w:tcW w:w="1344" w:type="dxa"/>
            <w:noWrap w:val="0"/>
            <w:vAlign w:val="top"/>
          </w:tcPr>
          <w:p w14:paraId="1EF26FC8">
            <w:pPr>
              <w:rPr>
                <w:rFonts w:hint="eastAsia" w:ascii="宋体" w:hAnsi="宋体" w:cs="宋体"/>
                <w:color w:val="auto"/>
                <w:highlight w:val="none"/>
              </w:rPr>
            </w:pPr>
          </w:p>
        </w:tc>
        <w:tc>
          <w:tcPr>
            <w:tcW w:w="1588" w:type="dxa"/>
            <w:noWrap w:val="0"/>
            <w:vAlign w:val="top"/>
          </w:tcPr>
          <w:p w14:paraId="11663711">
            <w:pPr>
              <w:rPr>
                <w:rFonts w:hint="eastAsia" w:ascii="宋体" w:hAnsi="宋体" w:cs="宋体"/>
                <w:color w:val="auto"/>
                <w:highlight w:val="none"/>
              </w:rPr>
            </w:pPr>
          </w:p>
        </w:tc>
        <w:tc>
          <w:tcPr>
            <w:tcW w:w="1588" w:type="dxa"/>
            <w:noWrap w:val="0"/>
            <w:vAlign w:val="top"/>
          </w:tcPr>
          <w:p w14:paraId="3F878446">
            <w:pPr>
              <w:rPr>
                <w:rFonts w:hint="eastAsia" w:ascii="宋体" w:hAnsi="宋体" w:cs="宋体"/>
                <w:color w:val="auto"/>
                <w:highlight w:val="none"/>
              </w:rPr>
            </w:pPr>
          </w:p>
        </w:tc>
        <w:tc>
          <w:tcPr>
            <w:tcW w:w="1589" w:type="dxa"/>
            <w:noWrap w:val="0"/>
            <w:vAlign w:val="top"/>
          </w:tcPr>
          <w:p w14:paraId="5030F8B2">
            <w:pPr>
              <w:rPr>
                <w:rFonts w:hint="eastAsia" w:ascii="宋体" w:hAnsi="宋体" w:cs="宋体"/>
                <w:color w:val="auto"/>
                <w:highlight w:val="none"/>
              </w:rPr>
            </w:pPr>
          </w:p>
        </w:tc>
      </w:tr>
      <w:tr w14:paraId="644D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52F04D63">
            <w:pPr>
              <w:rPr>
                <w:rFonts w:hint="eastAsia" w:ascii="宋体" w:hAnsi="宋体" w:cs="宋体"/>
                <w:color w:val="auto"/>
                <w:highlight w:val="none"/>
              </w:rPr>
            </w:pPr>
          </w:p>
        </w:tc>
        <w:tc>
          <w:tcPr>
            <w:tcW w:w="2160" w:type="dxa"/>
            <w:noWrap w:val="0"/>
            <w:vAlign w:val="top"/>
          </w:tcPr>
          <w:p w14:paraId="033EE3EA">
            <w:pPr>
              <w:rPr>
                <w:rFonts w:hint="eastAsia" w:ascii="宋体" w:hAnsi="宋体" w:cs="宋体"/>
                <w:color w:val="auto"/>
                <w:highlight w:val="none"/>
              </w:rPr>
            </w:pPr>
          </w:p>
        </w:tc>
        <w:tc>
          <w:tcPr>
            <w:tcW w:w="1344" w:type="dxa"/>
            <w:noWrap w:val="0"/>
            <w:vAlign w:val="top"/>
          </w:tcPr>
          <w:p w14:paraId="41F02F83">
            <w:pPr>
              <w:rPr>
                <w:rFonts w:hint="eastAsia" w:ascii="宋体" w:hAnsi="宋体" w:cs="宋体"/>
                <w:color w:val="auto"/>
                <w:highlight w:val="none"/>
              </w:rPr>
            </w:pPr>
          </w:p>
        </w:tc>
        <w:tc>
          <w:tcPr>
            <w:tcW w:w="1588" w:type="dxa"/>
            <w:noWrap w:val="0"/>
            <w:vAlign w:val="top"/>
          </w:tcPr>
          <w:p w14:paraId="241A510D">
            <w:pPr>
              <w:rPr>
                <w:rFonts w:hint="eastAsia" w:ascii="宋体" w:hAnsi="宋体" w:cs="宋体"/>
                <w:color w:val="auto"/>
                <w:highlight w:val="none"/>
              </w:rPr>
            </w:pPr>
          </w:p>
        </w:tc>
        <w:tc>
          <w:tcPr>
            <w:tcW w:w="1588" w:type="dxa"/>
            <w:noWrap w:val="0"/>
            <w:vAlign w:val="top"/>
          </w:tcPr>
          <w:p w14:paraId="1EBDE286">
            <w:pPr>
              <w:rPr>
                <w:rFonts w:hint="eastAsia" w:ascii="宋体" w:hAnsi="宋体" w:cs="宋体"/>
                <w:color w:val="auto"/>
                <w:highlight w:val="none"/>
              </w:rPr>
            </w:pPr>
          </w:p>
        </w:tc>
        <w:tc>
          <w:tcPr>
            <w:tcW w:w="1589" w:type="dxa"/>
            <w:noWrap w:val="0"/>
            <w:vAlign w:val="top"/>
          </w:tcPr>
          <w:p w14:paraId="6C74135E">
            <w:pPr>
              <w:rPr>
                <w:rFonts w:hint="eastAsia" w:ascii="宋体" w:hAnsi="宋体" w:cs="宋体"/>
                <w:color w:val="auto"/>
                <w:highlight w:val="none"/>
              </w:rPr>
            </w:pPr>
          </w:p>
        </w:tc>
      </w:tr>
      <w:tr w14:paraId="27E75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1CF90A39">
            <w:pPr>
              <w:rPr>
                <w:rFonts w:hint="eastAsia" w:ascii="宋体" w:hAnsi="宋体" w:cs="宋体"/>
                <w:color w:val="auto"/>
                <w:highlight w:val="none"/>
              </w:rPr>
            </w:pPr>
          </w:p>
        </w:tc>
        <w:tc>
          <w:tcPr>
            <w:tcW w:w="2160" w:type="dxa"/>
            <w:noWrap w:val="0"/>
            <w:vAlign w:val="top"/>
          </w:tcPr>
          <w:p w14:paraId="6C623562">
            <w:pPr>
              <w:rPr>
                <w:rFonts w:hint="eastAsia" w:ascii="宋体" w:hAnsi="宋体" w:cs="宋体"/>
                <w:color w:val="auto"/>
                <w:highlight w:val="none"/>
              </w:rPr>
            </w:pPr>
          </w:p>
        </w:tc>
        <w:tc>
          <w:tcPr>
            <w:tcW w:w="1344" w:type="dxa"/>
            <w:noWrap w:val="0"/>
            <w:vAlign w:val="top"/>
          </w:tcPr>
          <w:p w14:paraId="647110B0">
            <w:pPr>
              <w:rPr>
                <w:rFonts w:hint="eastAsia" w:ascii="宋体" w:hAnsi="宋体" w:cs="宋体"/>
                <w:color w:val="auto"/>
                <w:highlight w:val="none"/>
              </w:rPr>
            </w:pPr>
          </w:p>
        </w:tc>
        <w:tc>
          <w:tcPr>
            <w:tcW w:w="1588" w:type="dxa"/>
            <w:noWrap w:val="0"/>
            <w:vAlign w:val="top"/>
          </w:tcPr>
          <w:p w14:paraId="634CF880">
            <w:pPr>
              <w:rPr>
                <w:rFonts w:hint="eastAsia" w:ascii="宋体" w:hAnsi="宋体" w:cs="宋体"/>
                <w:color w:val="auto"/>
                <w:highlight w:val="none"/>
              </w:rPr>
            </w:pPr>
          </w:p>
        </w:tc>
        <w:tc>
          <w:tcPr>
            <w:tcW w:w="1588" w:type="dxa"/>
            <w:noWrap w:val="0"/>
            <w:vAlign w:val="top"/>
          </w:tcPr>
          <w:p w14:paraId="39D3612A">
            <w:pPr>
              <w:rPr>
                <w:rFonts w:hint="eastAsia" w:ascii="宋体" w:hAnsi="宋体" w:cs="宋体"/>
                <w:color w:val="auto"/>
                <w:highlight w:val="none"/>
              </w:rPr>
            </w:pPr>
          </w:p>
        </w:tc>
        <w:tc>
          <w:tcPr>
            <w:tcW w:w="1589" w:type="dxa"/>
            <w:noWrap w:val="0"/>
            <w:vAlign w:val="top"/>
          </w:tcPr>
          <w:p w14:paraId="4AC43399">
            <w:pPr>
              <w:rPr>
                <w:rFonts w:hint="eastAsia" w:ascii="宋体" w:hAnsi="宋体" w:cs="宋体"/>
                <w:color w:val="auto"/>
                <w:highlight w:val="none"/>
              </w:rPr>
            </w:pPr>
          </w:p>
        </w:tc>
      </w:tr>
      <w:tr w14:paraId="2A0D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6559EB84">
            <w:pPr>
              <w:rPr>
                <w:rFonts w:hint="eastAsia" w:ascii="宋体" w:hAnsi="宋体" w:cs="宋体"/>
                <w:color w:val="auto"/>
                <w:highlight w:val="none"/>
              </w:rPr>
            </w:pPr>
          </w:p>
        </w:tc>
        <w:tc>
          <w:tcPr>
            <w:tcW w:w="2160" w:type="dxa"/>
            <w:noWrap w:val="0"/>
            <w:vAlign w:val="top"/>
          </w:tcPr>
          <w:p w14:paraId="47242227">
            <w:pPr>
              <w:rPr>
                <w:rFonts w:hint="eastAsia" w:ascii="宋体" w:hAnsi="宋体" w:cs="宋体"/>
                <w:color w:val="auto"/>
                <w:highlight w:val="none"/>
              </w:rPr>
            </w:pPr>
          </w:p>
        </w:tc>
        <w:tc>
          <w:tcPr>
            <w:tcW w:w="1344" w:type="dxa"/>
            <w:noWrap w:val="0"/>
            <w:vAlign w:val="top"/>
          </w:tcPr>
          <w:p w14:paraId="4AE67C11">
            <w:pPr>
              <w:rPr>
                <w:rFonts w:hint="eastAsia" w:ascii="宋体" w:hAnsi="宋体" w:cs="宋体"/>
                <w:color w:val="auto"/>
                <w:highlight w:val="none"/>
              </w:rPr>
            </w:pPr>
          </w:p>
        </w:tc>
        <w:tc>
          <w:tcPr>
            <w:tcW w:w="1588" w:type="dxa"/>
            <w:noWrap w:val="0"/>
            <w:vAlign w:val="top"/>
          </w:tcPr>
          <w:p w14:paraId="6738A39A">
            <w:pPr>
              <w:rPr>
                <w:rFonts w:hint="eastAsia" w:ascii="宋体" w:hAnsi="宋体" w:cs="宋体"/>
                <w:color w:val="auto"/>
                <w:highlight w:val="none"/>
              </w:rPr>
            </w:pPr>
          </w:p>
        </w:tc>
        <w:tc>
          <w:tcPr>
            <w:tcW w:w="1588" w:type="dxa"/>
            <w:noWrap w:val="0"/>
            <w:vAlign w:val="top"/>
          </w:tcPr>
          <w:p w14:paraId="6E93ED43">
            <w:pPr>
              <w:rPr>
                <w:rFonts w:hint="eastAsia" w:ascii="宋体" w:hAnsi="宋体" w:cs="宋体"/>
                <w:color w:val="auto"/>
                <w:highlight w:val="none"/>
              </w:rPr>
            </w:pPr>
          </w:p>
        </w:tc>
        <w:tc>
          <w:tcPr>
            <w:tcW w:w="1589" w:type="dxa"/>
            <w:noWrap w:val="0"/>
            <w:vAlign w:val="top"/>
          </w:tcPr>
          <w:p w14:paraId="532E0CDA">
            <w:pPr>
              <w:rPr>
                <w:rFonts w:hint="eastAsia" w:ascii="宋体" w:hAnsi="宋体" w:cs="宋体"/>
                <w:color w:val="auto"/>
                <w:highlight w:val="none"/>
              </w:rPr>
            </w:pPr>
          </w:p>
        </w:tc>
      </w:tr>
      <w:tr w14:paraId="4B5D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1F765C8A">
            <w:pPr>
              <w:rPr>
                <w:rFonts w:hint="eastAsia" w:ascii="宋体" w:hAnsi="宋体" w:cs="宋体"/>
                <w:color w:val="auto"/>
                <w:highlight w:val="none"/>
              </w:rPr>
            </w:pPr>
          </w:p>
        </w:tc>
        <w:tc>
          <w:tcPr>
            <w:tcW w:w="2160" w:type="dxa"/>
            <w:noWrap w:val="0"/>
            <w:vAlign w:val="top"/>
          </w:tcPr>
          <w:p w14:paraId="10E8C436">
            <w:pPr>
              <w:rPr>
                <w:rFonts w:hint="eastAsia" w:ascii="宋体" w:hAnsi="宋体" w:cs="宋体"/>
                <w:color w:val="auto"/>
                <w:highlight w:val="none"/>
              </w:rPr>
            </w:pPr>
          </w:p>
        </w:tc>
        <w:tc>
          <w:tcPr>
            <w:tcW w:w="1344" w:type="dxa"/>
            <w:noWrap w:val="0"/>
            <w:vAlign w:val="top"/>
          </w:tcPr>
          <w:p w14:paraId="0BC865E2">
            <w:pPr>
              <w:rPr>
                <w:rFonts w:hint="eastAsia" w:ascii="宋体" w:hAnsi="宋体" w:cs="宋体"/>
                <w:color w:val="auto"/>
                <w:highlight w:val="none"/>
              </w:rPr>
            </w:pPr>
          </w:p>
        </w:tc>
        <w:tc>
          <w:tcPr>
            <w:tcW w:w="1588" w:type="dxa"/>
            <w:noWrap w:val="0"/>
            <w:vAlign w:val="top"/>
          </w:tcPr>
          <w:p w14:paraId="03069E29">
            <w:pPr>
              <w:rPr>
                <w:rFonts w:hint="eastAsia" w:ascii="宋体" w:hAnsi="宋体" w:cs="宋体"/>
                <w:color w:val="auto"/>
                <w:highlight w:val="none"/>
              </w:rPr>
            </w:pPr>
          </w:p>
        </w:tc>
        <w:tc>
          <w:tcPr>
            <w:tcW w:w="1588" w:type="dxa"/>
            <w:noWrap w:val="0"/>
            <w:vAlign w:val="top"/>
          </w:tcPr>
          <w:p w14:paraId="44CEB75D">
            <w:pPr>
              <w:rPr>
                <w:rFonts w:hint="eastAsia" w:ascii="宋体" w:hAnsi="宋体" w:cs="宋体"/>
                <w:color w:val="auto"/>
                <w:highlight w:val="none"/>
              </w:rPr>
            </w:pPr>
          </w:p>
        </w:tc>
        <w:tc>
          <w:tcPr>
            <w:tcW w:w="1589" w:type="dxa"/>
            <w:noWrap w:val="0"/>
            <w:vAlign w:val="top"/>
          </w:tcPr>
          <w:p w14:paraId="6F32A620">
            <w:pPr>
              <w:rPr>
                <w:rFonts w:hint="eastAsia" w:ascii="宋体" w:hAnsi="宋体" w:cs="宋体"/>
                <w:color w:val="auto"/>
                <w:highlight w:val="none"/>
              </w:rPr>
            </w:pPr>
          </w:p>
        </w:tc>
      </w:tr>
    </w:tbl>
    <w:p w14:paraId="02B3EBFE">
      <w:pPr>
        <w:rPr>
          <w:rFonts w:hint="eastAsia" w:ascii="宋体" w:hAnsi="宋体" w:cs="宋体"/>
          <w:color w:val="auto"/>
          <w:highlight w:val="none"/>
        </w:rPr>
      </w:pPr>
    </w:p>
    <w:p w14:paraId="40F55C1F">
      <w:pPr>
        <w:outlineLvl w:val="1"/>
        <w:rPr>
          <w:rFonts w:hint="eastAsia" w:ascii="宋体" w:hAnsi="宋体" w:cs="宋体"/>
          <w:color w:val="auto"/>
          <w:highlight w:val="none"/>
        </w:rPr>
      </w:pPr>
      <w:bookmarkStart w:id="1434" w:name="_Toc23955"/>
      <w:bookmarkStart w:id="1435" w:name="_Toc95223524"/>
      <w:r>
        <w:rPr>
          <w:rFonts w:hint="eastAsia" w:ascii="宋体" w:hAnsi="宋体" w:cs="宋体"/>
          <w:color w:val="auto"/>
          <w:szCs w:val="21"/>
          <w:highlight w:val="none"/>
        </w:rPr>
        <w:t>2.图纸</w:t>
      </w:r>
      <w:r>
        <w:rPr>
          <w:rFonts w:hint="eastAsia" w:ascii="宋体" w:hAnsi="宋体" w:cs="宋体"/>
          <w:color w:val="auto"/>
          <w:highlight w:val="none"/>
        </w:rPr>
        <w:t>（另册）</w:t>
      </w:r>
      <w:bookmarkEnd w:id="1434"/>
      <w:bookmarkEnd w:id="1435"/>
    </w:p>
    <w:p w14:paraId="2D9D8C7A">
      <w:pPr>
        <w:rPr>
          <w:rFonts w:hint="eastAsia" w:ascii="宋体" w:hAnsi="宋体" w:cs="宋体"/>
          <w:color w:val="auto"/>
          <w:highlight w:val="none"/>
        </w:rPr>
      </w:pPr>
    </w:p>
    <w:p w14:paraId="792BB59E">
      <w:pPr>
        <w:pStyle w:val="2"/>
        <w:adjustRightInd w:val="0"/>
        <w:snapToGrid w:val="0"/>
        <w:spacing w:before="0" w:after="0" w:line="560" w:lineRule="exact"/>
        <w:jc w:val="center"/>
        <w:rPr>
          <w:rFonts w:hint="eastAsia" w:ascii="宋体" w:hAnsi="宋体" w:cs="宋体"/>
          <w:bCs w:val="0"/>
          <w:color w:val="auto"/>
          <w:sz w:val="32"/>
          <w:highlight w:val="none"/>
        </w:rPr>
      </w:pPr>
      <w:r>
        <w:rPr>
          <w:rFonts w:hint="eastAsia" w:ascii="宋体" w:hAnsi="宋体" w:cs="宋体"/>
          <w:b w:val="0"/>
          <w:bCs w:val="0"/>
          <w:color w:val="auto"/>
          <w:sz w:val="32"/>
          <w:highlight w:val="none"/>
        </w:rPr>
        <w:br w:type="page"/>
      </w:r>
      <w:bookmarkStart w:id="1436" w:name="_Toc95223525"/>
      <w:bookmarkStart w:id="1437" w:name="_Toc4608"/>
      <w:r>
        <w:rPr>
          <w:rFonts w:hint="eastAsia"/>
          <w:color w:val="auto"/>
          <w:highlight w:val="none"/>
        </w:rPr>
        <w:t>第八章  技术标准和要求</w:t>
      </w:r>
      <w:bookmarkEnd w:id="1436"/>
      <w:bookmarkEnd w:id="1437"/>
    </w:p>
    <w:p w14:paraId="56A64C58">
      <w:pPr>
        <w:spacing w:line="360" w:lineRule="auto"/>
        <w:outlineLvl w:val="1"/>
        <w:rPr>
          <w:rFonts w:hint="eastAsia" w:ascii="宋体" w:hAnsi="宋体" w:cs="宋体"/>
          <w:color w:val="auto"/>
          <w:highlight w:val="none"/>
        </w:rPr>
      </w:pPr>
      <w:bookmarkStart w:id="1438" w:name="_Toc95223526"/>
      <w:bookmarkStart w:id="1439" w:name="_Toc32647"/>
      <w:r>
        <w:rPr>
          <w:rFonts w:hint="eastAsia" w:ascii="宋体" w:hAnsi="宋体" w:cs="宋体"/>
          <w:bCs/>
          <w:color w:val="auto"/>
          <w:szCs w:val="21"/>
          <w:highlight w:val="none"/>
        </w:rPr>
        <w:t>1.</w:t>
      </w:r>
      <w:r>
        <w:rPr>
          <w:rFonts w:hint="eastAsia" w:ascii="宋体" w:hAnsi="宋体" w:cs="宋体"/>
          <w:b/>
          <w:color w:val="auto"/>
          <w:highlight w:val="none"/>
        </w:rPr>
        <w:t xml:space="preserve"> </w:t>
      </w:r>
      <w:r>
        <w:rPr>
          <w:rFonts w:hint="eastAsia" w:ascii="宋体" w:hAnsi="宋体" w:cs="宋体"/>
          <w:color w:val="auto"/>
          <w:highlight w:val="none"/>
        </w:rPr>
        <w:t>一般要求</w:t>
      </w:r>
      <w:bookmarkEnd w:id="1438"/>
      <w:bookmarkEnd w:id="1439"/>
    </w:p>
    <w:p w14:paraId="184A218D">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pPr>
      <w:r>
        <w:rPr>
          <w:rFonts w:hint="eastAsia" w:ascii="宋体" w:hAnsi="宋体" w:cs="宋体"/>
          <w:color w:val="auto"/>
          <w:highlight w:val="none"/>
        </w:rPr>
        <w:t xml:space="preserve"> </w:t>
      </w:r>
      <w:bookmarkStart w:id="1440" w:name="_Toc90403023"/>
      <w:bookmarkStart w:id="1441" w:name="_Toc510514523"/>
      <w:bookmarkStart w:id="1442" w:name="_Toc90480353"/>
      <w:bookmarkStart w:id="1443" w:name="_Toc109049676"/>
      <w:bookmarkStart w:id="1444" w:name="_Toc155151645"/>
      <w:r>
        <w:rPr>
          <w:rFonts w:hint="eastAsia" w:ascii="宋体" w:hAnsi="宋体" w:eastAsia="宋体" w:cs="宋体"/>
          <w:color w:val="auto"/>
          <w:sz w:val="28"/>
          <w:szCs w:val="28"/>
          <w:highlight w:val="none"/>
        </w:rPr>
        <w:t>主要设备技术规格书</w:t>
      </w:r>
    </w:p>
    <w:p w14:paraId="67DCA633">
      <w:pPr>
        <w:pStyle w:val="2"/>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国标主要标准</w:t>
      </w:r>
    </w:p>
    <w:bookmarkEnd w:id="1440"/>
    <w:bookmarkEnd w:id="1441"/>
    <w:bookmarkEnd w:id="1442"/>
    <w:bookmarkEnd w:id="1443"/>
    <w:bookmarkEnd w:id="1444"/>
    <w:tbl>
      <w:tblPr>
        <w:tblStyle w:val="21"/>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5996"/>
      </w:tblGrid>
      <w:tr w14:paraId="1F4E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736620F2">
            <w:pPr>
              <w:jc w:val="center"/>
              <w:rPr>
                <w:rFonts w:hint="eastAsia" w:hAnsi="宋体" w:cs="宋体"/>
                <w:b/>
                <w:bCs/>
                <w:caps/>
                <w:color w:val="auto"/>
                <w:kern w:val="0"/>
                <w:sz w:val="18"/>
                <w:szCs w:val="18"/>
                <w:highlight w:val="none"/>
              </w:rPr>
            </w:pPr>
            <w:bookmarkStart w:id="1445" w:name="_Toc411176403"/>
            <w:bookmarkStart w:id="1446" w:name="_Toc255074821"/>
            <w:bookmarkStart w:id="1447" w:name="_Toc351107787"/>
            <w:bookmarkStart w:id="1448" w:name="_Toc351107605"/>
            <w:bookmarkStart w:id="1449" w:name="_Toc253150285"/>
            <w:bookmarkStart w:id="1450" w:name="_Toc387646167"/>
            <w:bookmarkStart w:id="1451" w:name="_Toc428997264"/>
            <w:bookmarkStart w:id="1452" w:name="_Toc351107502"/>
            <w:r>
              <w:rPr>
                <w:rFonts w:hint="eastAsia" w:ascii="宋体" w:hAnsi="宋体" w:eastAsia="宋体" w:cs="宋体"/>
                <w:b/>
                <w:bCs/>
                <w:caps w:val="0"/>
                <w:color w:val="auto"/>
                <w:kern w:val="0"/>
                <w:sz w:val="18"/>
                <w:szCs w:val="18"/>
                <w:highlight w:val="none"/>
              </w:rPr>
              <w:t>标   准   号</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73E4646">
            <w:pPr>
              <w:jc w:val="center"/>
              <w:rPr>
                <w:rFonts w:hint="eastAsia" w:hAnsi="宋体" w:cs="宋体"/>
                <w:b/>
                <w:bCs/>
                <w:caps/>
                <w:color w:val="auto"/>
                <w:kern w:val="0"/>
                <w:sz w:val="18"/>
                <w:szCs w:val="18"/>
                <w:highlight w:val="none"/>
              </w:rPr>
            </w:pPr>
            <w:r>
              <w:rPr>
                <w:rFonts w:hint="eastAsia" w:ascii="宋体" w:hAnsi="宋体" w:eastAsia="宋体" w:cs="宋体"/>
                <w:b/>
                <w:bCs/>
                <w:caps w:val="0"/>
                <w:color w:val="auto"/>
                <w:kern w:val="0"/>
                <w:sz w:val="18"/>
                <w:szCs w:val="18"/>
                <w:highlight w:val="none"/>
              </w:rPr>
              <w:t>标  准  名  称</w:t>
            </w:r>
          </w:p>
        </w:tc>
      </w:tr>
      <w:tr w14:paraId="0255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10AB16FB">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18487.1-2015</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7ED5BCE">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电动车辆传导充电系统 第1部分：通用要求</w:t>
            </w:r>
          </w:p>
        </w:tc>
      </w:tr>
      <w:tr w14:paraId="013A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129164BD">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18487.1-2023</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A4E19AD">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电动车辆传导充电系统 第1部分：通用要求</w:t>
            </w:r>
          </w:p>
        </w:tc>
      </w:tr>
      <w:tr w14:paraId="6EDC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1EED6A31">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18487.2-2017</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3C13E54">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电动汽车传导充电系统　第2部分：非车载传导供电设备电磁兼容要求</w:t>
            </w:r>
          </w:p>
        </w:tc>
      </w:tr>
      <w:tr w14:paraId="5BF5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5B07F757">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27930-2023</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EE86466">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非车载传导式充电机与电动汽车之间的数字通信协议</w:t>
            </w:r>
          </w:p>
        </w:tc>
      </w:tr>
      <w:tr w14:paraId="1C29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6A14717A">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20234.1-2023</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CA7D789">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电动汽车传导充电用连接装置 第1部分：通用要求</w:t>
            </w:r>
          </w:p>
        </w:tc>
      </w:tr>
      <w:tr w14:paraId="7705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128983C3">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20234.3-2023</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F507527">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电动汽车传导充电用连接装置 第3部分：直流充电接口</w:t>
            </w:r>
          </w:p>
        </w:tc>
      </w:tr>
      <w:tr w14:paraId="5794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1A3A007C">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20234.4-2023</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75BC02E">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电动汽车传导充电用连接装置 第4部分大功率直流充电接口</w:t>
            </w:r>
          </w:p>
        </w:tc>
      </w:tr>
      <w:tr w14:paraId="22E2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230E654C">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NB/T 33001-2018</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9B3D4E1">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电动汽车非车载传导式充电机技术条件</w:t>
            </w:r>
          </w:p>
        </w:tc>
      </w:tr>
      <w:tr w14:paraId="3B68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1E8A5DF6">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NB/T 33008.1-2018</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C00A0E1">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电动汽车充电设备检验试验规范 第1部分：非车载充电机</w:t>
            </w:r>
          </w:p>
        </w:tc>
      </w:tr>
      <w:tr w14:paraId="309D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0BB8EDB7">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JJG 1149-2022</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A2F44FF">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电动汽车非车载充电机(试行)</w:t>
            </w:r>
          </w:p>
        </w:tc>
      </w:tr>
      <w:tr w14:paraId="6BFA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0FFD03F8">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2423.1-2008</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0856DA22">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电工电子产品环境试验　第2部分：试验方法　试验A：低温</w:t>
            </w:r>
          </w:p>
        </w:tc>
      </w:tr>
      <w:tr w14:paraId="576E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71D7DEED">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2423.2-2008</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4C39226">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电工电子产品环境试验　第2部分：试验方法　试验B：高温</w:t>
            </w:r>
          </w:p>
        </w:tc>
      </w:tr>
      <w:tr w14:paraId="3640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5FA3A6AE">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2423.3-2006</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433948ED">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电工电子产品环境试验  第2部分：试验方法 试验Cab：恒定湿热试验</w:t>
            </w:r>
          </w:p>
        </w:tc>
      </w:tr>
      <w:tr w14:paraId="7095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3160E8F7">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2423.4-2008</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746BE0E">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电工电子产品环境试验　第2部分：试验方法　试验Db：交变湿热（12h+12h循环）</w:t>
            </w:r>
          </w:p>
        </w:tc>
      </w:tr>
      <w:tr w14:paraId="6197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397A1EC5">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2423.17-2024</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5FA8CEB">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环境试验 第2部分：试验方法 试验Ka：盐雾</w:t>
            </w:r>
          </w:p>
        </w:tc>
      </w:tr>
      <w:tr w14:paraId="3739A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52E647F8">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2423.55-2023</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CC2ACB6">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环境试验 第2部分：试验方法 试验Eh：锤击试验</w:t>
            </w:r>
          </w:p>
        </w:tc>
      </w:tr>
      <w:tr w14:paraId="7017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020B47CE">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4208-2017</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72C23ED">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外壳防护等级（IP代码）</w:t>
            </w:r>
          </w:p>
        </w:tc>
      </w:tr>
      <w:tr w14:paraId="00B1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67949840">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4797.5-2017</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9135C4F">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环境条件分类 自然环境条件 降水和风</w:t>
            </w:r>
          </w:p>
        </w:tc>
      </w:tr>
      <w:tr w14:paraId="37C2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289BEB8F">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13384-2008</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441D8DF">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机电产品包装通用技术条件</w:t>
            </w:r>
          </w:p>
        </w:tc>
      </w:tr>
      <w:tr w14:paraId="1340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55348814">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13422-2013</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1FC66C04">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半导体电力变流器 电气试验方法</w:t>
            </w:r>
          </w:p>
        </w:tc>
      </w:tr>
      <w:tr w14:paraId="0A56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2DB6DB6A">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 17625.1-2016</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11085C0">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电磁兼容限值　波电流发射限值（设备每相输入电流≤16 A）</w:t>
            </w:r>
          </w:p>
        </w:tc>
      </w:tr>
      <w:tr w14:paraId="50F8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61AB1C6A">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GB/Z 17625.6-2016</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505D071">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电磁兼容限值对额定电流大于16 A的设备在低压供电系统中产生的谐波电流的限制</w:t>
            </w:r>
          </w:p>
        </w:tc>
      </w:tr>
      <w:tr w14:paraId="78E6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50CDEDA1">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17626.2-2018</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5E1D743">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电磁兼容试验和测量技术 静电放电抗扰度试验</w:t>
            </w:r>
          </w:p>
        </w:tc>
      </w:tr>
      <w:tr w14:paraId="370D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5658A506">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17626.3-2016</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8D721B6">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电磁兼容　试验和测量技术　射频电磁场辐射抗扰度试验</w:t>
            </w:r>
          </w:p>
        </w:tc>
      </w:tr>
      <w:tr w14:paraId="73A7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3199CE55">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17626.4-2018</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3EE9BA8">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电磁兼容　试验和测量技术　电快速瞬变脉冲群抗扰度试验</w:t>
            </w:r>
          </w:p>
        </w:tc>
      </w:tr>
      <w:tr w14:paraId="2E78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208F4E23">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17626.5-2019</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E405E6C">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电磁兼容　试验和测量技术　浪涌(冲击)抗扰度试验</w:t>
            </w:r>
          </w:p>
        </w:tc>
      </w:tr>
      <w:tr w14:paraId="4DA1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7ED2A752">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17626.11-2023</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E8CB4A5">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电磁兼容 试验和测量技术 第11部分：对每相输入电流小于或等于16 A设备的电压暂降、短时中断和电压变化抗扰度试验</w:t>
            </w:r>
          </w:p>
        </w:tc>
      </w:tr>
      <w:tr w14:paraId="763A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54769CAA">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19826-2014</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7138A27">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电力工程直流电源设备通用技术条件及安全要求</w:t>
            </w:r>
          </w:p>
        </w:tc>
      </w:tr>
      <w:tr w14:paraId="1A84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280E65C8">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29317-2012</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112AFC5">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电动汽车充换电设施术语</w:t>
            </w:r>
          </w:p>
        </w:tc>
      </w:tr>
      <w:tr w14:paraId="7F68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6992709A">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29316-2012</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7BA6316">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电动汽车充换电设施电能质量技术要求</w:t>
            </w:r>
          </w:p>
        </w:tc>
      </w:tr>
      <w:tr w14:paraId="4E82C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4EE335D1">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33708-2017</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C0180D7">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静止式直流电能表</w:t>
            </w:r>
          </w:p>
        </w:tc>
      </w:tr>
      <w:tr w14:paraId="47BD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55CDE0D5">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Q/GDW 1825-2013</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E6B6DAE">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直流电能表技术规范</w:t>
            </w:r>
          </w:p>
        </w:tc>
      </w:tr>
      <w:tr w14:paraId="60B5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7FE40F8E">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JJG 842-2017</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F3E5770">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电子式直流电能表检定规程</w:t>
            </w:r>
          </w:p>
        </w:tc>
      </w:tr>
      <w:tr w14:paraId="2D55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72BFB31E">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29318-2012</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466F2775">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电动汽车非车载充电机电能计量</w:t>
            </w:r>
          </w:p>
        </w:tc>
      </w:tr>
      <w:tr w14:paraId="6DBF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3094C4EF">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Q/GDW 1354-2013</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02AD7758">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智能电能表功能规范</w:t>
            </w:r>
          </w:p>
        </w:tc>
      </w:tr>
      <w:tr w14:paraId="6897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11059AEE">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Q/GDW 1364-2013</w:t>
            </w:r>
          </w:p>
        </w:tc>
        <w:tc>
          <w:tcPr>
            <w:tcW w:w="5996" w:type="dxa"/>
            <w:tcBorders>
              <w:top w:val="single" w:color="auto" w:sz="4" w:space="0"/>
              <w:left w:val="single" w:color="auto" w:sz="4" w:space="0"/>
              <w:bottom w:val="single" w:color="auto" w:sz="4" w:space="0"/>
              <w:right w:val="single" w:color="auto" w:sz="4" w:space="0"/>
            </w:tcBorders>
            <w:noWrap w:val="0"/>
            <w:vAlign w:val="top"/>
          </w:tcPr>
          <w:p w14:paraId="09A70101">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单相智能电能表技术规范</w:t>
            </w:r>
          </w:p>
        </w:tc>
      </w:tr>
      <w:tr w14:paraId="711A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019C2260">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JJG 1069-2011</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66B849E0">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直流分流器检定规程</w:t>
            </w:r>
          </w:p>
        </w:tc>
      </w:tr>
      <w:tr w14:paraId="3D82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2777CFB0">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DL/T 645-2007</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37A10F5F">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多功能电能表通信协议</w:t>
            </w:r>
          </w:p>
        </w:tc>
      </w:tr>
      <w:tr w14:paraId="765D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7BFE34EE">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50966-2024</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2EA87B72">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电动汽车充电站设计标准</w:t>
            </w:r>
          </w:p>
        </w:tc>
      </w:tr>
      <w:tr w14:paraId="344A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25B3B0BD">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51313-2018</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DEFE290">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电动汽车分散充电设施工程技术标准</w:t>
            </w:r>
          </w:p>
        </w:tc>
      </w:tr>
      <w:tr w14:paraId="5E70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071C1C78">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34658-2017</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78A7DCEE">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电动汽车非车载传导式充电机与电池管理系统之间的通信协议一致性测试</w:t>
            </w:r>
          </w:p>
        </w:tc>
      </w:tr>
      <w:tr w14:paraId="200F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51" w:type="dxa"/>
            <w:tcBorders>
              <w:top w:val="single" w:color="auto" w:sz="4" w:space="0"/>
              <w:left w:val="single" w:color="auto" w:sz="4" w:space="0"/>
              <w:bottom w:val="single" w:color="auto" w:sz="4" w:space="0"/>
              <w:right w:val="single" w:color="auto" w:sz="4" w:space="0"/>
            </w:tcBorders>
            <w:noWrap w:val="0"/>
            <w:vAlign w:val="center"/>
          </w:tcPr>
          <w:p w14:paraId="2EB5B7EE">
            <w:pPr>
              <w:jc w:val="cente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GB/T 34657-2017</w:t>
            </w:r>
          </w:p>
        </w:tc>
        <w:tc>
          <w:tcPr>
            <w:tcW w:w="5996" w:type="dxa"/>
            <w:tcBorders>
              <w:top w:val="single" w:color="auto" w:sz="4" w:space="0"/>
              <w:left w:val="single" w:color="auto" w:sz="4" w:space="0"/>
              <w:bottom w:val="single" w:color="auto" w:sz="4" w:space="0"/>
              <w:right w:val="single" w:color="auto" w:sz="4" w:space="0"/>
            </w:tcBorders>
            <w:noWrap w:val="0"/>
            <w:vAlign w:val="center"/>
          </w:tcPr>
          <w:p w14:paraId="567748CF">
            <w:pPr>
              <w:rPr>
                <w:rFonts w:hint="eastAsia" w:hAnsi="宋体" w:cs="宋体"/>
                <w:caps/>
                <w:color w:val="auto"/>
                <w:kern w:val="0"/>
                <w:sz w:val="18"/>
                <w:szCs w:val="18"/>
                <w:highlight w:val="none"/>
              </w:rPr>
            </w:pPr>
            <w:r>
              <w:rPr>
                <w:rFonts w:hint="eastAsia" w:ascii="宋体" w:hAnsi="宋体" w:eastAsia="宋体" w:cs="宋体"/>
                <w:caps w:val="0"/>
                <w:color w:val="auto"/>
                <w:kern w:val="0"/>
                <w:sz w:val="18"/>
                <w:szCs w:val="18"/>
                <w:highlight w:val="none"/>
              </w:rPr>
              <w:t>电动汽车传导充电互操作性测试规范 第1 部分：供电设备</w:t>
            </w:r>
          </w:p>
        </w:tc>
      </w:tr>
      <w:bookmarkEnd w:id="1445"/>
      <w:bookmarkEnd w:id="1446"/>
      <w:bookmarkEnd w:id="1447"/>
      <w:bookmarkEnd w:id="1448"/>
      <w:bookmarkEnd w:id="1449"/>
      <w:bookmarkEnd w:id="1450"/>
      <w:bookmarkEnd w:id="1451"/>
      <w:bookmarkEnd w:id="1452"/>
    </w:tbl>
    <w:p w14:paraId="4B31BF13">
      <w:pPr>
        <w:rPr>
          <w:rFonts w:hint="eastAsia" w:hAnsi="宋体" w:cs="宋体"/>
          <w:color w:val="auto"/>
          <w:highlight w:val="none"/>
        </w:rPr>
      </w:pPr>
    </w:p>
    <w:p w14:paraId="17B426D1">
      <w:pP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1"/>
          <w:szCs w:val="21"/>
          <w:highlight w:val="none"/>
        </w:rPr>
        <w:t>高压箱变技术要求</w:t>
      </w:r>
    </w:p>
    <w:p w14:paraId="548183C1">
      <w:pPr>
        <w:pStyle w:val="5"/>
        <w:rPr>
          <w:rFonts w:hint="eastAsia" w:hAnsi="宋体" w:cs="宋体"/>
          <w:color w:val="auto"/>
          <w:sz w:val="21"/>
          <w:szCs w:val="21"/>
          <w:highlight w:val="none"/>
        </w:rPr>
      </w:pPr>
      <w:r>
        <w:rPr>
          <w:rFonts w:hint="eastAsia" w:ascii="宋体" w:hAnsi="宋体" w:eastAsia="宋体" w:cs="宋体"/>
          <w:color w:val="auto"/>
          <w:sz w:val="21"/>
          <w:szCs w:val="21"/>
          <w:highlight w:val="none"/>
        </w:rPr>
        <w:t>基本要求</w:t>
      </w:r>
    </w:p>
    <w:p w14:paraId="5C742793">
      <w:pPr>
        <w:pStyle w:val="13"/>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箱变高压部分采用630A母线、带电指示装置及可靠的五防。</w:t>
      </w:r>
    </w:p>
    <w:p w14:paraId="34DB26B0">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变压器选用干式变压器</w:t>
      </w:r>
    </w:p>
    <w:p w14:paraId="1EAFF17F">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高、低压进出线均采用电缆进出线。</w:t>
      </w:r>
    </w:p>
    <w:p w14:paraId="42FE9C23">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具体设计由投标厂家根据使用需求配置确定，满足当地验收规范。</w:t>
      </w:r>
    </w:p>
    <w:p w14:paraId="264549CC">
      <w:pPr>
        <w:pStyle w:val="5"/>
        <w:rPr>
          <w:rFonts w:hint="eastAsia" w:hAnsi="宋体" w:cs="宋体"/>
          <w:color w:val="auto"/>
          <w:sz w:val="21"/>
          <w:szCs w:val="21"/>
          <w:highlight w:val="none"/>
        </w:rPr>
      </w:pPr>
      <w:r>
        <w:rPr>
          <w:rFonts w:hint="eastAsia" w:ascii="宋体" w:hAnsi="宋体" w:eastAsia="宋体" w:cs="宋体"/>
          <w:color w:val="auto"/>
          <w:sz w:val="21"/>
          <w:szCs w:val="21"/>
          <w:highlight w:val="none"/>
        </w:rPr>
        <w:t>高压柜要求</w:t>
      </w:r>
    </w:p>
    <w:p w14:paraId="59B81045">
      <w:pPr>
        <w:pStyle w:val="4"/>
        <w:tabs>
          <w:tab w:val="left" w:pos="525"/>
        </w:tabs>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进线开关选用断路器，安装微机保护装置，变压器出线可选用负荷开关/负荷开关熔断器组/断路器等。</w:t>
      </w:r>
    </w:p>
    <w:p w14:paraId="4E752FB5">
      <w:pPr>
        <w:pStyle w:val="4"/>
        <w:tabs>
          <w:tab w:val="left" w:pos="525"/>
        </w:tabs>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高压选用空气式绝缘开关设备，防护等级达到IP</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X。其额定参数，技术要求，型式试验项目和方式、标志、包装、运输、储存等要求、产品性能符合相关规定。</w:t>
      </w:r>
    </w:p>
    <w:p w14:paraId="4DB6E574">
      <w:pPr>
        <w:pStyle w:val="4"/>
        <w:tabs>
          <w:tab w:val="left" w:pos="525"/>
        </w:tabs>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柜铭牌标识清晰。内部安装的高压电器组件,如:断路器、负荷开关、互感器、避雷器等，均具有耐久而清晰的铭牌，铭牌安装在运行或检修时易于观察的位置。分合闸指示牌应清晰可见、易于观察，寿命同断路器和负荷开关。</w:t>
      </w:r>
    </w:p>
    <w:p w14:paraId="63B7A773">
      <w:pPr>
        <w:pStyle w:val="4"/>
        <w:tabs>
          <w:tab w:val="left" w:pos="525"/>
        </w:tabs>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高压开关柜内、外表面颜色应协调一致，柜门上均应有明显的带电警示标志</w:t>
      </w:r>
    </w:p>
    <w:p w14:paraId="51484C27">
      <w:pPr>
        <w:pStyle w:val="4"/>
        <w:tabs>
          <w:tab w:val="left" w:pos="525"/>
        </w:tabs>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高压柜应标出主回路的线路图，同时应注明操作程序和注意事项。信号灯及仪表的装设位置应易于观察和安全地更换。电缆室的高度应满足安装、试验、维修的要求。</w:t>
      </w:r>
    </w:p>
    <w:p w14:paraId="7B72FED9">
      <w:pPr>
        <w:pStyle w:val="4"/>
        <w:tabs>
          <w:tab w:val="left" w:pos="525"/>
        </w:tabs>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高压单元安装带电显示器，其安装位置应便于观察。</w:t>
      </w:r>
    </w:p>
    <w:p w14:paraId="1BEA8687">
      <w:pPr>
        <w:pStyle w:val="4"/>
        <w:tabs>
          <w:tab w:val="left" w:pos="525"/>
        </w:tabs>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电力电缆隔室与电缆沟连接处设置防止小动物进入的措施。</w:t>
      </w:r>
    </w:p>
    <w:p w14:paraId="60DAB579">
      <w:pPr>
        <w:pStyle w:val="4"/>
        <w:tabs>
          <w:tab w:val="left" w:pos="525"/>
        </w:tabs>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高压进出线方式采用电缆连接,高压电缆连接采用普通型压接螺栓连接，以利于验电、挂接地线。</w:t>
      </w:r>
    </w:p>
    <w:p w14:paraId="16BD106C">
      <w:pPr>
        <w:pStyle w:val="4"/>
        <w:tabs>
          <w:tab w:val="left" w:pos="525"/>
        </w:tabs>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箱变内高压母排规格满足设计要求。</w:t>
      </w:r>
    </w:p>
    <w:p w14:paraId="6649511B">
      <w:pPr>
        <w:pStyle w:val="5"/>
        <w:rPr>
          <w:rFonts w:hint="eastAsia" w:hAnsi="宋体" w:cs="宋体"/>
          <w:color w:val="auto"/>
          <w:sz w:val="21"/>
          <w:szCs w:val="21"/>
          <w:highlight w:val="none"/>
        </w:rPr>
      </w:pPr>
      <w:r>
        <w:rPr>
          <w:rFonts w:hint="eastAsia" w:ascii="宋体" w:hAnsi="宋体" w:eastAsia="宋体" w:cs="宋体"/>
          <w:color w:val="auto"/>
          <w:sz w:val="21"/>
          <w:szCs w:val="21"/>
          <w:highlight w:val="none"/>
        </w:rPr>
        <w:t>变压器要求</w:t>
      </w:r>
    </w:p>
    <w:p w14:paraId="319AFE2C">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10kV</w:t>
      </w:r>
      <w:r>
        <w:rPr>
          <w:rFonts w:hint="eastAsia" w:ascii="宋体" w:hAnsi="宋体" w:eastAsia="宋体" w:cs="宋体"/>
          <w:color w:val="auto"/>
          <w:szCs w:val="21"/>
          <w:highlight w:val="none"/>
        </w:rPr>
        <w:t>变压器选</w:t>
      </w:r>
      <w:r>
        <w:rPr>
          <w:rFonts w:hint="eastAsia" w:hAnsi="宋体" w:cs="宋体"/>
          <w:color w:val="auto"/>
          <w:szCs w:val="21"/>
          <w:highlight w:val="none"/>
        </w:rPr>
        <w:t>干</w:t>
      </w:r>
      <w:r>
        <w:rPr>
          <w:rFonts w:hint="eastAsia" w:ascii="宋体" w:hAnsi="宋体" w:eastAsia="宋体" w:cs="宋体"/>
          <w:color w:val="auto"/>
          <w:szCs w:val="21"/>
          <w:highlight w:val="none"/>
        </w:rPr>
        <w:t>式变压器，参数如下表所示：</w:t>
      </w:r>
    </w:p>
    <w:p w14:paraId="0A83F770">
      <w:pPr>
        <w:ind w:firstLine="420" w:firstLineChars="200"/>
        <w:rPr>
          <w:rFonts w:hint="eastAsia" w:cs="宋体"/>
          <w:color w:val="auto"/>
          <w:highlight w:val="none"/>
        </w:rPr>
      </w:pPr>
      <w:r>
        <w:rPr>
          <w:rFonts w:hint="eastAsia" w:cs="宋体"/>
          <w:color w:val="auto"/>
          <w:highlight w:val="none"/>
        </w:rPr>
        <w:t>变压器选用</w:t>
      </w:r>
      <w:r>
        <w:rPr>
          <w:rFonts w:cs="宋体"/>
          <w:color w:val="auto"/>
          <w:highlight w:val="none"/>
        </w:rPr>
        <w:t>SCB</w:t>
      </w:r>
      <w:r>
        <w:rPr>
          <w:rFonts w:hint="eastAsia" w:cs="宋体"/>
          <w:color w:val="auto"/>
          <w:highlight w:val="none"/>
        </w:rPr>
        <w:t>14系列干式变压器，参数如下表所示：</w:t>
      </w:r>
    </w:p>
    <w:tbl>
      <w:tblPr>
        <w:tblStyle w:val="20"/>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2932"/>
        <w:gridCol w:w="1085"/>
        <w:gridCol w:w="2961"/>
      </w:tblGrid>
      <w:tr w14:paraId="3090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noWrap w:val="0"/>
            <w:vAlign w:val="center"/>
          </w:tcPr>
          <w:p w14:paraId="246238CA">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序号</w:t>
            </w:r>
          </w:p>
        </w:tc>
        <w:tc>
          <w:tcPr>
            <w:tcW w:w="2932" w:type="dxa"/>
            <w:noWrap w:val="0"/>
            <w:vAlign w:val="center"/>
          </w:tcPr>
          <w:p w14:paraId="7D2ADDA5">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参数名称</w:t>
            </w:r>
          </w:p>
        </w:tc>
        <w:tc>
          <w:tcPr>
            <w:tcW w:w="1085" w:type="dxa"/>
            <w:noWrap w:val="0"/>
            <w:vAlign w:val="center"/>
          </w:tcPr>
          <w:p w14:paraId="2A530630">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单位</w:t>
            </w:r>
          </w:p>
        </w:tc>
        <w:tc>
          <w:tcPr>
            <w:tcW w:w="2961" w:type="dxa"/>
            <w:noWrap w:val="0"/>
            <w:vAlign w:val="center"/>
          </w:tcPr>
          <w:p w14:paraId="605B53A4">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参数</w:t>
            </w:r>
          </w:p>
        </w:tc>
      </w:tr>
      <w:tr w14:paraId="3CB7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noWrap w:val="0"/>
            <w:vAlign w:val="center"/>
          </w:tcPr>
          <w:p w14:paraId="4295FF1E">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1</w:t>
            </w:r>
          </w:p>
        </w:tc>
        <w:tc>
          <w:tcPr>
            <w:tcW w:w="2932" w:type="dxa"/>
            <w:noWrap w:val="0"/>
            <w:vAlign w:val="center"/>
          </w:tcPr>
          <w:p w14:paraId="5D926E05">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变压器容量</w:t>
            </w:r>
          </w:p>
        </w:tc>
        <w:tc>
          <w:tcPr>
            <w:tcW w:w="1085" w:type="dxa"/>
            <w:noWrap w:val="0"/>
            <w:vAlign w:val="center"/>
          </w:tcPr>
          <w:p w14:paraId="64110830">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kVA</w:t>
            </w:r>
          </w:p>
        </w:tc>
        <w:tc>
          <w:tcPr>
            <w:tcW w:w="2961" w:type="dxa"/>
            <w:noWrap w:val="0"/>
            <w:vAlign w:val="center"/>
          </w:tcPr>
          <w:p w14:paraId="461075F3">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根据实际方案确定</w:t>
            </w:r>
          </w:p>
        </w:tc>
      </w:tr>
      <w:tr w14:paraId="1508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noWrap w:val="0"/>
            <w:vAlign w:val="center"/>
          </w:tcPr>
          <w:p w14:paraId="470D10CC">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2</w:t>
            </w:r>
          </w:p>
        </w:tc>
        <w:tc>
          <w:tcPr>
            <w:tcW w:w="2932" w:type="dxa"/>
            <w:noWrap w:val="0"/>
            <w:vAlign w:val="center"/>
          </w:tcPr>
          <w:p w14:paraId="0215BDCA">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额定电压</w:t>
            </w:r>
          </w:p>
        </w:tc>
        <w:tc>
          <w:tcPr>
            <w:tcW w:w="1085" w:type="dxa"/>
            <w:noWrap w:val="0"/>
            <w:vAlign w:val="center"/>
          </w:tcPr>
          <w:p w14:paraId="3A7CAE12">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kV</w:t>
            </w:r>
          </w:p>
        </w:tc>
        <w:tc>
          <w:tcPr>
            <w:tcW w:w="2961" w:type="dxa"/>
            <w:noWrap w:val="0"/>
            <w:vAlign w:val="center"/>
          </w:tcPr>
          <w:p w14:paraId="3A702EAC">
            <w:pPr>
              <w:topLinePunct/>
              <w:adjustRightInd w:val="0"/>
              <w:snapToGrid w:val="0"/>
              <w:jc w:val="center"/>
              <w:rPr>
                <w:rFonts w:hint="eastAsia" w:hAnsi="宋体" w:cs="宋体"/>
                <w:color w:val="auto"/>
                <w:szCs w:val="20"/>
                <w:highlight w:val="none"/>
              </w:rPr>
            </w:pPr>
            <w:r>
              <w:rPr>
                <w:rFonts w:hAnsi="宋体" w:cs="宋体"/>
                <w:color w:val="auto"/>
                <w:szCs w:val="20"/>
                <w:highlight w:val="none"/>
              </w:rPr>
              <w:t>10</w:t>
            </w:r>
          </w:p>
        </w:tc>
      </w:tr>
      <w:tr w14:paraId="7F67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noWrap w:val="0"/>
            <w:vAlign w:val="center"/>
          </w:tcPr>
          <w:p w14:paraId="5DCCEF63">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3</w:t>
            </w:r>
          </w:p>
        </w:tc>
        <w:tc>
          <w:tcPr>
            <w:tcW w:w="2932" w:type="dxa"/>
            <w:noWrap w:val="0"/>
            <w:vAlign w:val="center"/>
          </w:tcPr>
          <w:p w14:paraId="7ABB6ABE">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最高工作电压</w:t>
            </w:r>
          </w:p>
        </w:tc>
        <w:tc>
          <w:tcPr>
            <w:tcW w:w="1085" w:type="dxa"/>
            <w:noWrap w:val="0"/>
            <w:vAlign w:val="center"/>
          </w:tcPr>
          <w:p w14:paraId="5C86848E">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kV</w:t>
            </w:r>
          </w:p>
        </w:tc>
        <w:tc>
          <w:tcPr>
            <w:tcW w:w="2961" w:type="dxa"/>
            <w:noWrap w:val="0"/>
            <w:vAlign w:val="center"/>
          </w:tcPr>
          <w:p w14:paraId="495BBBAE">
            <w:pPr>
              <w:topLinePunct/>
              <w:adjustRightInd w:val="0"/>
              <w:snapToGrid w:val="0"/>
              <w:jc w:val="center"/>
              <w:rPr>
                <w:rFonts w:hint="eastAsia" w:hAnsi="宋体" w:cs="宋体"/>
                <w:color w:val="auto"/>
                <w:szCs w:val="20"/>
                <w:highlight w:val="none"/>
              </w:rPr>
            </w:pPr>
            <w:r>
              <w:rPr>
                <w:rFonts w:hAnsi="宋体" w:cs="宋体"/>
                <w:color w:val="auto"/>
                <w:szCs w:val="20"/>
                <w:highlight w:val="none"/>
              </w:rPr>
              <w:t>12</w:t>
            </w:r>
          </w:p>
        </w:tc>
      </w:tr>
      <w:tr w14:paraId="6FE0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noWrap w:val="0"/>
            <w:vAlign w:val="center"/>
          </w:tcPr>
          <w:p w14:paraId="66D99E35">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4</w:t>
            </w:r>
          </w:p>
        </w:tc>
        <w:tc>
          <w:tcPr>
            <w:tcW w:w="2932" w:type="dxa"/>
            <w:noWrap w:val="0"/>
            <w:vAlign w:val="center"/>
          </w:tcPr>
          <w:p w14:paraId="6C63308F">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额定频率</w:t>
            </w:r>
          </w:p>
        </w:tc>
        <w:tc>
          <w:tcPr>
            <w:tcW w:w="1085" w:type="dxa"/>
            <w:noWrap w:val="0"/>
            <w:vAlign w:val="center"/>
          </w:tcPr>
          <w:p w14:paraId="2AF508CC">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Hz</w:t>
            </w:r>
          </w:p>
        </w:tc>
        <w:tc>
          <w:tcPr>
            <w:tcW w:w="2961" w:type="dxa"/>
            <w:noWrap w:val="0"/>
            <w:vAlign w:val="center"/>
          </w:tcPr>
          <w:p w14:paraId="4C83357F">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50</w:t>
            </w:r>
          </w:p>
        </w:tc>
      </w:tr>
      <w:tr w14:paraId="536B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noWrap w:val="0"/>
            <w:vAlign w:val="center"/>
          </w:tcPr>
          <w:p w14:paraId="6406AAF5">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5</w:t>
            </w:r>
          </w:p>
        </w:tc>
        <w:tc>
          <w:tcPr>
            <w:tcW w:w="2932" w:type="dxa"/>
            <w:noWrap w:val="0"/>
            <w:vAlign w:val="center"/>
          </w:tcPr>
          <w:p w14:paraId="1F92D229">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电压组合</w:t>
            </w:r>
          </w:p>
        </w:tc>
        <w:tc>
          <w:tcPr>
            <w:tcW w:w="1085" w:type="dxa"/>
            <w:noWrap w:val="0"/>
            <w:vAlign w:val="center"/>
          </w:tcPr>
          <w:p w14:paraId="310C7F69">
            <w:pPr>
              <w:topLinePunct/>
              <w:adjustRightInd w:val="0"/>
              <w:snapToGrid w:val="0"/>
              <w:jc w:val="center"/>
              <w:rPr>
                <w:rFonts w:hint="eastAsia" w:hAnsi="宋体" w:cs="宋体"/>
                <w:color w:val="auto"/>
                <w:szCs w:val="20"/>
                <w:highlight w:val="none"/>
              </w:rPr>
            </w:pPr>
          </w:p>
        </w:tc>
        <w:tc>
          <w:tcPr>
            <w:tcW w:w="2961" w:type="dxa"/>
            <w:noWrap w:val="0"/>
            <w:vAlign w:val="center"/>
          </w:tcPr>
          <w:p w14:paraId="440F98AA">
            <w:pPr>
              <w:topLinePunct/>
              <w:adjustRightInd w:val="0"/>
              <w:snapToGrid w:val="0"/>
              <w:jc w:val="center"/>
              <w:rPr>
                <w:rFonts w:hint="eastAsia" w:hAnsi="宋体" w:cs="宋体"/>
                <w:color w:val="auto"/>
                <w:szCs w:val="20"/>
                <w:highlight w:val="none"/>
              </w:rPr>
            </w:pPr>
            <w:r>
              <w:rPr>
                <w:rFonts w:hAnsi="宋体" w:cs="宋体"/>
                <w:color w:val="auto"/>
                <w:szCs w:val="20"/>
                <w:highlight w:val="none"/>
              </w:rPr>
              <w:t>10</w:t>
            </w:r>
            <w:r>
              <w:rPr>
                <w:rFonts w:hint="eastAsia" w:hAnsi="宋体" w:cs="宋体"/>
                <w:color w:val="auto"/>
                <w:szCs w:val="20"/>
                <w:highlight w:val="none"/>
              </w:rPr>
              <w:t>±2×2.5%/0.4kV</w:t>
            </w:r>
          </w:p>
        </w:tc>
      </w:tr>
      <w:tr w14:paraId="53C6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noWrap w:val="0"/>
            <w:vAlign w:val="center"/>
          </w:tcPr>
          <w:p w14:paraId="74116B7D">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6</w:t>
            </w:r>
          </w:p>
        </w:tc>
        <w:tc>
          <w:tcPr>
            <w:tcW w:w="2932" w:type="dxa"/>
            <w:noWrap w:val="0"/>
            <w:vAlign w:val="center"/>
          </w:tcPr>
          <w:p w14:paraId="7F879CA1">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连接组标号</w:t>
            </w:r>
          </w:p>
        </w:tc>
        <w:tc>
          <w:tcPr>
            <w:tcW w:w="1085" w:type="dxa"/>
            <w:noWrap w:val="0"/>
            <w:vAlign w:val="center"/>
          </w:tcPr>
          <w:p w14:paraId="04E4816E">
            <w:pPr>
              <w:topLinePunct/>
              <w:adjustRightInd w:val="0"/>
              <w:snapToGrid w:val="0"/>
              <w:jc w:val="center"/>
              <w:rPr>
                <w:rFonts w:hint="eastAsia" w:hAnsi="宋体" w:cs="宋体"/>
                <w:color w:val="auto"/>
                <w:szCs w:val="20"/>
                <w:highlight w:val="none"/>
              </w:rPr>
            </w:pPr>
          </w:p>
        </w:tc>
        <w:tc>
          <w:tcPr>
            <w:tcW w:w="2961" w:type="dxa"/>
            <w:noWrap w:val="0"/>
            <w:vAlign w:val="center"/>
          </w:tcPr>
          <w:p w14:paraId="1EA2C742">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Dyn11</w:t>
            </w:r>
          </w:p>
        </w:tc>
      </w:tr>
      <w:tr w14:paraId="6454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noWrap w:val="0"/>
            <w:vAlign w:val="center"/>
          </w:tcPr>
          <w:p w14:paraId="690C00B7">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7</w:t>
            </w:r>
          </w:p>
        </w:tc>
        <w:tc>
          <w:tcPr>
            <w:tcW w:w="2932" w:type="dxa"/>
            <w:noWrap w:val="0"/>
            <w:vAlign w:val="center"/>
          </w:tcPr>
          <w:p w14:paraId="41864353">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短路阻抗</w:t>
            </w:r>
          </w:p>
        </w:tc>
        <w:tc>
          <w:tcPr>
            <w:tcW w:w="1085" w:type="dxa"/>
            <w:noWrap w:val="0"/>
            <w:vAlign w:val="center"/>
          </w:tcPr>
          <w:p w14:paraId="660C951F">
            <w:pPr>
              <w:topLinePunct/>
              <w:adjustRightInd w:val="0"/>
              <w:snapToGrid w:val="0"/>
              <w:jc w:val="center"/>
              <w:rPr>
                <w:rFonts w:hint="eastAsia" w:hAnsi="宋体" w:cs="宋体"/>
                <w:color w:val="auto"/>
                <w:szCs w:val="20"/>
                <w:highlight w:val="none"/>
              </w:rPr>
            </w:pPr>
          </w:p>
        </w:tc>
        <w:tc>
          <w:tcPr>
            <w:tcW w:w="2961" w:type="dxa"/>
            <w:noWrap w:val="0"/>
            <w:vAlign w:val="center"/>
          </w:tcPr>
          <w:p w14:paraId="45CEA872">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按国标</w:t>
            </w:r>
          </w:p>
        </w:tc>
      </w:tr>
      <w:tr w14:paraId="778D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noWrap w:val="0"/>
            <w:vAlign w:val="center"/>
          </w:tcPr>
          <w:p w14:paraId="10BC1DD4">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8</w:t>
            </w:r>
          </w:p>
        </w:tc>
        <w:tc>
          <w:tcPr>
            <w:tcW w:w="2932" w:type="dxa"/>
            <w:noWrap w:val="0"/>
            <w:vAlign w:val="center"/>
          </w:tcPr>
          <w:p w14:paraId="3BE87A0E">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绝缘等级</w:t>
            </w:r>
          </w:p>
        </w:tc>
        <w:tc>
          <w:tcPr>
            <w:tcW w:w="1085" w:type="dxa"/>
            <w:noWrap w:val="0"/>
            <w:vAlign w:val="center"/>
          </w:tcPr>
          <w:p w14:paraId="502BE24F">
            <w:pPr>
              <w:topLinePunct/>
              <w:adjustRightInd w:val="0"/>
              <w:snapToGrid w:val="0"/>
              <w:jc w:val="center"/>
              <w:rPr>
                <w:rFonts w:hint="eastAsia" w:hAnsi="宋体" w:cs="宋体"/>
                <w:color w:val="auto"/>
                <w:szCs w:val="20"/>
                <w:highlight w:val="none"/>
              </w:rPr>
            </w:pPr>
          </w:p>
        </w:tc>
        <w:tc>
          <w:tcPr>
            <w:tcW w:w="2961" w:type="dxa"/>
            <w:noWrap w:val="0"/>
            <w:vAlign w:val="center"/>
          </w:tcPr>
          <w:p w14:paraId="11C5095B">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H</w:t>
            </w:r>
          </w:p>
        </w:tc>
      </w:tr>
      <w:tr w14:paraId="76E2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noWrap w:val="0"/>
            <w:vAlign w:val="center"/>
          </w:tcPr>
          <w:p w14:paraId="05762396">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9</w:t>
            </w:r>
          </w:p>
        </w:tc>
        <w:tc>
          <w:tcPr>
            <w:tcW w:w="2932" w:type="dxa"/>
            <w:noWrap w:val="0"/>
            <w:vAlign w:val="center"/>
          </w:tcPr>
          <w:p w14:paraId="275668D0">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最高温升</w:t>
            </w:r>
          </w:p>
        </w:tc>
        <w:tc>
          <w:tcPr>
            <w:tcW w:w="1085" w:type="dxa"/>
            <w:noWrap w:val="0"/>
            <w:vAlign w:val="center"/>
          </w:tcPr>
          <w:p w14:paraId="4AC58BD1">
            <w:pPr>
              <w:topLinePunct/>
              <w:adjustRightInd w:val="0"/>
              <w:snapToGrid w:val="0"/>
              <w:jc w:val="center"/>
              <w:rPr>
                <w:rFonts w:hint="eastAsia" w:hAnsi="宋体" w:cs="宋体"/>
                <w:color w:val="auto"/>
                <w:szCs w:val="20"/>
                <w:highlight w:val="none"/>
              </w:rPr>
            </w:pPr>
            <w:r>
              <w:rPr>
                <w:rFonts w:hint="eastAsia" w:hAnsi="宋体" w:cs="宋体"/>
                <w:color w:val="auto"/>
                <w:szCs w:val="20"/>
                <w:highlight w:val="none"/>
              </w:rPr>
              <w:t>K</w:t>
            </w:r>
          </w:p>
        </w:tc>
        <w:tc>
          <w:tcPr>
            <w:tcW w:w="2961" w:type="dxa"/>
            <w:noWrap w:val="0"/>
            <w:vAlign w:val="center"/>
          </w:tcPr>
          <w:p w14:paraId="0EE74D8A">
            <w:pPr>
              <w:topLinePunct/>
              <w:adjustRightInd w:val="0"/>
              <w:snapToGrid w:val="0"/>
              <w:jc w:val="center"/>
              <w:rPr>
                <w:rFonts w:hint="eastAsia" w:hAnsi="宋体" w:cs="宋体"/>
                <w:color w:val="auto"/>
                <w:szCs w:val="20"/>
                <w:highlight w:val="none"/>
              </w:rPr>
            </w:pPr>
            <w:r>
              <w:rPr>
                <w:rFonts w:hAnsi="宋体" w:cs="宋体"/>
                <w:color w:val="auto"/>
                <w:szCs w:val="20"/>
                <w:highlight w:val="none"/>
              </w:rPr>
              <w:t>125</w:t>
            </w:r>
          </w:p>
        </w:tc>
      </w:tr>
    </w:tbl>
    <w:p w14:paraId="59DF7927">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变压器室设置两道防护门，外防护门安装离心风机，确保温度过高情况下风机自动启动，降低变压器室温度。内隔网门装设行程开关，打开隔网时，为防止误入带电间隔，立即跳开变压器出线开关。</w:t>
      </w:r>
    </w:p>
    <w:p w14:paraId="3FB49910">
      <w:pPr>
        <w:pStyle w:val="5"/>
        <w:rPr>
          <w:rFonts w:hint="eastAsia" w:hAnsi="宋体" w:cs="宋体"/>
          <w:color w:val="auto"/>
          <w:sz w:val="21"/>
          <w:szCs w:val="21"/>
          <w:highlight w:val="none"/>
        </w:rPr>
      </w:pPr>
      <w:r>
        <w:rPr>
          <w:rFonts w:hint="eastAsia" w:ascii="宋体" w:hAnsi="宋体" w:eastAsia="宋体" w:cs="宋体"/>
          <w:color w:val="auto"/>
          <w:sz w:val="21"/>
          <w:szCs w:val="21"/>
          <w:highlight w:val="none"/>
        </w:rPr>
        <w:t>低压开关柜</w:t>
      </w:r>
    </w:p>
    <w:p w14:paraId="7F58D616">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柜体：选用低压固定柜柜型，防护等级： IP</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X，柜体进行可靠的防锈处理后，使用耐久性喷塑处理。</w:t>
      </w:r>
    </w:p>
    <w:p w14:paraId="466244E0">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柜体仪表门上安装指示灯、按钮、测量仪表等元器件，应排列整齐、层次分明、便于维修和拆装。</w:t>
      </w:r>
    </w:p>
    <w:p w14:paraId="01416C7A">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柜内配线：柜内配线采用聚氯乙烯绝缘电线，铜芯，可动部分过渡应柔软，并能承受住挠曲而不致疲劳损伤，柜内配线应有相应的线号。电流线采用2.5mm²，电压线采用1.5mm²，其他线采用1.0mm²。计量用电流线采用4mm²，电压线采用2.5mm²</w:t>
      </w:r>
    </w:p>
    <w:p w14:paraId="45D913FA">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端子排的设置：</w:t>
      </w:r>
    </w:p>
    <w:p w14:paraId="4B71FC8A">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1）端子排距屏顶及地面均不小于200mm，端子排间距不小于150mm。</w:t>
      </w:r>
    </w:p>
    <w:p w14:paraId="37046216">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2）端子排的设置应使运行、检修、调试方便，应考虑设备与端子排的位置对应。端子排导电部分为铜质，端子的选用应根据回路载流量和所接电缆截面确定。</w:t>
      </w:r>
    </w:p>
    <w:p w14:paraId="302D688C">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3）柜内应有安全接地构件，连接处应保证可靠接地并有明显接地标记。</w:t>
      </w:r>
    </w:p>
    <w:p w14:paraId="7CC80A18">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低压主进开关智能型框架断路器（电动操作）</w:t>
      </w:r>
    </w:p>
    <w:p w14:paraId="27695C13">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1）额定电压: 400V。</w:t>
      </w:r>
    </w:p>
    <w:p w14:paraId="15E5B6BF">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2）额定频率：50Hz。</w:t>
      </w:r>
    </w:p>
    <w:p w14:paraId="495F69C8">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3）额定电流:厂家提供。</w:t>
      </w:r>
    </w:p>
    <w:p w14:paraId="486D911D">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出线开关塑壳断路器（电动操作）</w:t>
      </w:r>
    </w:p>
    <w:p w14:paraId="0A085A1F">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1）额定电压: 400V。</w:t>
      </w:r>
    </w:p>
    <w:p w14:paraId="079FAE33">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2）额定频率：50Hz。</w:t>
      </w:r>
    </w:p>
    <w:p w14:paraId="3E2E90F8">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3）额定电流:厂家提供。</w:t>
      </w:r>
    </w:p>
    <w:p w14:paraId="155EAEF0">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计量：满足当地供电局计量验收要求。</w:t>
      </w:r>
    </w:p>
    <w:p w14:paraId="176B41D3">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无功补偿：</w:t>
      </w:r>
    </w:p>
    <w:p w14:paraId="1526278D">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1）低压采用智能自动投切无功补偿装置，补偿容量厂家提供。</w:t>
      </w:r>
    </w:p>
    <w:p w14:paraId="7A8DE0AB">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功补偿控制器可实时显示电网功率因数、电压、电流、有功功率、无功功率、电压总畸变率、频率等电参数（A、B、C三相）；设置参数中文提示，数字输入；控制程序支持等容/编码两种投切方式；具有自动补偿工作方式。</w:t>
      </w:r>
    </w:p>
    <w:p w14:paraId="1B0975C4">
      <w:pPr>
        <w:pStyle w:val="5"/>
        <w:rPr>
          <w:rFonts w:hint="eastAsia" w:hAnsi="宋体" w:cs="宋体"/>
          <w:color w:val="auto"/>
          <w:sz w:val="21"/>
          <w:szCs w:val="21"/>
          <w:highlight w:val="none"/>
        </w:rPr>
      </w:pPr>
      <w:r>
        <w:rPr>
          <w:rFonts w:hint="eastAsia" w:ascii="宋体" w:hAnsi="宋体" w:eastAsia="宋体" w:cs="宋体"/>
          <w:color w:val="auto"/>
          <w:sz w:val="21"/>
          <w:szCs w:val="21"/>
          <w:highlight w:val="none"/>
        </w:rPr>
        <w:t>箱体要求</w:t>
      </w:r>
    </w:p>
    <w:p w14:paraId="66898B17">
      <w:pPr>
        <w:pStyle w:val="4"/>
        <w:adjustRightInd w:val="0"/>
        <w:snapToGrid w:val="0"/>
        <w:spacing w:line="360" w:lineRule="auto"/>
        <w:ind w:firstLineChars="200"/>
        <w:rPr>
          <w:rFonts w:hint="eastAsia" w:ascii="宋体" w:hAnsi="宋体" w:eastAsia="宋体" w:cs="宋体"/>
          <w:color w:val="auto"/>
          <w:sz w:val="21"/>
          <w:szCs w:val="21"/>
          <w:highlight w:val="none"/>
        </w:rPr>
      </w:pPr>
      <w:bookmarkStart w:id="1453" w:name="_Hlk100663916"/>
      <w:r>
        <w:rPr>
          <w:rFonts w:hint="eastAsia" w:ascii="宋体" w:hAnsi="宋体" w:eastAsia="宋体" w:cs="宋体"/>
          <w:color w:val="auto"/>
          <w:sz w:val="21"/>
          <w:szCs w:val="21"/>
          <w:highlight w:val="none"/>
        </w:rPr>
        <w:t>箱体底座采用高精度焊接式结构。顶盖采用金属材质：环境适应性强，集成通风过滤功能，户外温度40℃整机输出不降功率；风道设计4道防水，封闭率100%；耐候性户外寿命≥20年；防护等级IP54；阻燃性能垂直燃烧级别可达V-0级。运行噪音满足25℃≤55dB，35℃≤65dB,40℃≤72dB。内部采用钢板及阻燃绝缘隔板严密分割成高压室、变压器室、低压室，各室防护等级为IP</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X。箱体外壳门板都采用1.5mm厚度及以上的优质冷轧钢板制作，箱体框架为组装式结构，外表无焊道，整机无外漏螺栓，立柱采用1.5mm厚度及以上的优质冷轧钢板制作。</w:t>
      </w:r>
    </w:p>
    <w:bookmarkEnd w:id="1453"/>
    <w:p w14:paraId="2834A863">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箱体满足水平加速度0.3（g），垂直加速度0.15（g）的抗震要求。</w:t>
      </w:r>
    </w:p>
    <w:p w14:paraId="752C4369">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箱变应具备结构稳定的设计，在 11 级风（28.5~32.6m/s） 工况条件下持续风吹 1 个小时，设备无可见异常变形，柜门保持正常的开启、关闭和锁固。</w:t>
      </w:r>
    </w:p>
    <w:p w14:paraId="0898AB06">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体采用冷轧钢板电弧喷锌工艺做为底层，锌丝纯度99.9%，锌层厚度&gt;100μm，在锌层上喷中涂漆，面漆为丙烯酸聚胺脂双组份面漆。金属材料经防腐处理后表面覆盖层应有牢固的附着力，并均匀一致。箱体底架槽钢必须经过喷砂、喷锌处理后，采用沥青漆重度防腐处理，保证壳体20年内不退色、不氧化、不粉化，40年不锈蚀。</w:t>
      </w:r>
    </w:p>
    <w:p w14:paraId="2DD29867">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箱体密封所采用的密封条必须是长寿命、高弹性产品，高压和低压的进出线电缆孔采用方便于密封的敲落孔并配有足够数量的密封胶圈。</w:t>
      </w:r>
    </w:p>
    <w:p w14:paraId="0F1C07AD">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体外壳必须设计足够的机械强度，在起吊、运输和隧道内搬运、安装时不会变形或损伤；箱变外壳必须设计有方便钩挂的吊装机构，并保证吊装机构与箱体重心的协调，不会导致吊装过程中箱变倾斜；设计的外壳形状应不易积尘、积水；尽量少用外露紧固件，以免螺钉穿通外壳使水导入壳内；对穿通外壳的孔，均应采取相应的密封措施；外壳应防水、防震、防腐、防尘、防电燃。</w:t>
      </w:r>
    </w:p>
    <w:p w14:paraId="11D15D4B">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门应向外开，开启角度大于100°，并设置定位装置。门有密封措施，并装有把手和暗锁，门的设计尺寸与所装设备的尺寸相配合。设门控自动开闭的照明设施。箱体顶盖应有明显散水坡度，不应小于5°，顶盖边沿应设有滴水沿，防止雨水回流进入箱体。</w:t>
      </w:r>
    </w:p>
    <w:p w14:paraId="2AE9B588">
      <w:pPr>
        <w:pStyle w:val="4"/>
        <w:adjustRightInd w:val="0"/>
        <w:snapToGrid w:val="0"/>
        <w:spacing w:line="360" w:lineRule="auto"/>
        <w:ind w:firstLineChars="200"/>
        <w:rPr>
          <w:rFonts w:hint="eastAsia" w:ascii="宋体" w:hAnsi="宋体" w:eastAsia="宋体" w:cs="宋体"/>
          <w:color w:val="auto"/>
          <w:sz w:val="21"/>
          <w:szCs w:val="21"/>
          <w:highlight w:val="none"/>
        </w:rPr>
      </w:pPr>
      <w:bookmarkStart w:id="1454" w:name="_Hlk100667513"/>
      <w:r>
        <w:rPr>
          <w:rFonts w:hint="eastAsia" w:ascii="宋体" w:hAnsi="宋体" w:eastAsia="宋体" w:cs="宋体"/>
          <w:color w:val="auto"/>
          <w:sz w:val="21"/>
          <w:szCs w:val="21"/>
          <w:highlight w:val="none"/>
        </w:rPr>
        <w:t>箱变内设置检修走廊，宽度≥700mm，预留下人井，检修走廊通道须配置LED照明灯，并保证足够的照度，方便箱体内部的检修和试验。</w:t>
      </w:r>
    </w:p>
    <w:bookmarkEnd w:id="1454"/>
    <w:p w14:paraId="2C55E59C">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变压器室采用通风结构，门板带有为防尘通风防水三级过滤门。</w:t>
      </w:r>
    </w:p>
    <w:p w14:paraId="436DEA87">
      <w:pPr>
        <w:pStyle w:val="4"/>
        <w:adjustRightInd w:val="0"/>
        <w:snapToGrid w:val="0"/>
        <w:spacing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箱式变电站的箱体应设专用接地导体，高低压接地贯通，该接地导体上应设有与接地网相连接的固定接地端子，箱变内部各个隔室接地端子数量不少于2个，箱变外部接地端子数量不少于四个，并应有明显的接地标志。接地端子为直径不小于12mm的钢质螺栓。箱式变电站的金属骨架，高压配电装置、低压配电装置和变压器室的金属支架均应有符合技术条件的接地端子，并与专用接地导体可靠地连接在一起，箱变的接地电阻阻值符合标准。</w:t>
      </w:r>
    </w:p>
    <w:p w14:paraId="729793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400kW一体式充电机技术要求</w:t>
      </w:r>
    </w:p>
    <w:tbl>
      <w:tblPr>
        <w:tblStyle w:val="20"/>
        <w:tblW w:w="8359" w:type="dxa"/>
        <w:jc w:val="center"/>
        <w:tblLayout w:type="fixed"/>
        <w:tblCellMar>
          <w:top w:w="0" w:type="dxa"/>
          <w:left w:w="108" w:type="dxa"/>
          <w:bottom w:w="0" w:type="dxa"/>
          <w:right w:w="108" w:type="dxa"/>
        </w:tblCellMar>
      </w:tblPr>
      <w:tblGrid>
        <w:gridCol w:w="1413"/>
        <w:gridCol w:w="6946"/>
      </w:tblGrid>
      <w:tr w14:paraId="03C14AA1">
        <w:tblPrEx>
          <w:tblCellMar>
            <w:top w:w="0" w:type="dxa"/>
            <w:left w:w="108" w:type="dxa"/>
            <w:bottom w:w="0" w:type="dxa"/>
            <w:right w:w="108" w:type="dxa"/>
          </w:tblCellMar>
        </w:tblPrEx>
        <w:trPr>
          <w:trHeight w:val="1113" w:hRule="atLeast"/>
          <w:jc w:val="center"/>
        </w:trPr>
        <w:tc>
          <w:tcPr>
            <w:tcW w:w="1413" w:type="dxa"/>
            <w:tcBorders>
              <w:top w:val="single" w:color="000000" w:sz="4" w:space="0"/>
              <w:left w:val="single" w:color="000000" w:sz="4" w:space="0"/>
              <w:bottom w:val="single" w:color="000000" w:sz="4" w:space="0"/>
              <w:right w:val="single" w:color="000000" w:sz="4" w:space="0"/>
            </w:tcBorders>
            <w:noWrap w:val="0"/>
            <w:vAlign w:val="center"/>
          </w:tcPr>
          <w:p w14:paraId="39300B99">
            <w:pPr>
              <w:widowControl/>
              <w:jc w:val="center"/>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400kW一体式直流充电机</w:t>
            </w:r>
          </w:p>
        </w:tc>
        <w:tc>
          <w:tcPr>
            <w:tcW w:w="6946" w:type="dxa"/>
            <w:tcBorders>
              <w:top w:val="single" w:color="000000" w:sz="4" w:space="0"/>
              <w:left w:val="single" w:color="000000" w:sz="4" w:space="0"/>
              <w:bottom w:val="single" w:color="000000" w:sz="4" w:space="0"/>
              <w:right w:val="single" w:color="000000" w:sz="4" w:space="0"/>
            </w:tcBorders>
            <w:noWrap w:val="0"/>
            <w:vAlign w:val="center"/>
          </w:tcPr>
          <w:p w14:paraId="1D6D6437">
            <w:pPr>
              <w:widowControl/>
              <w:jc w:val="left"/>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1、规格型号：400kW一体式直流充电机</w:t>
            </w:r>
            <w:r>
              <w:rPr>
                <w:rFonts w:hint="eastAsia" w:ascii="宋体" w:hAnsi="宋体" w:eastAsia="宋体" w:cs="宋体"/>
                <w:color w:val="auto"/>
                <w:szCs w:val="21"/>
                <w:highlight w:val="none"/>
                <w:lang w:bidi="ar"/>
              </w:rPr>
              <w:br w:type="textWrapping"/>
            </w:r>
            <w:r>
              <w:rPr>
                <w:rFonts w:hint="eastAsia" w:ascii="宋体" w:hAnsi="宋体" w:eastAsia="宋体" w:cs="宋体"/>
                <w:color w:val="auto"/>
                <w:szCs w:val="21"/>
                <w:highlight w:val="none"/>
                <w:lang w:bidi="ar"/>
              </w:rPr>
              <w:t xml:space="preserve">2、安装方式：落地式 </w:t>
            </w:r>
            <w:r>
              <w:rPr>
                <w:rFonts w:hint="eastAsia" w:ascii="宋体" w:hAnsi="宋体" w:eastAsia="宋体" w:cs="宋体"/>
                <w:color w:val="auto"/>
                <w:szCs w:val="21"/>
                <w:highlight w:val="none"/>
                <w:lang w:bidi="ar"/>
              </w:rPr>
              <w:br w:type="textWrapping"/>
            </w:r>
            <w:r>
              <w:rPr>
                <w:rFonts w:hint="eastAsia" w:ascii="宋体" w:hAnsi="宋体" w:eastAsia="宋体" w:cs="宋体"/>
                <w:color w:val="auto"/>
                <w:szCs w:val="21"/>
                <w:highlight w:val="none"/>
                <w:lang w:bidi="ar"/>
              </w:rPr>
              <w:t>3、具体详细参数：</w:t>
            </w:r>
          </w:p>
          <w:p w14:paraId="78E1A8E6">
            <w:pPr>
              <w:pStyle w:val="9"/>
              <w:spacing w:after="0"/>
              <w:rPr>
                <w:rFonts w:hint="eastAsia" w:ascii="宋体" w:hAnsi="宋体" w:cs="宋体"/>
                <w:color w:val="auto"/>
                <w:szCs w:val="21"/>
                <w:highlight w:val="none"/>
                <w:lang w:bidi="ar"/>
              </w:rPr>
            </w:pPr>
            <w:r>
              <w:rPr>
                <w:rFonts w:hint="eastAsia" w:ascii="宋体" w:hAnsi="宋体" w:eastAsia="宋体" w:cs="宋体"/>
                <w:color w:val="auto"/>
                <w:szCs w:val="21"/>
                <w:highlight w:val="none"/>
                <w:lang w:bidi="ar"/>
              </w:rPr>
              <w:t>（1）环境条件</w:t>
            </w:r>
          </w:p>
          <w:p w14:paraId="0E965768">
            <w:pPr>
              <w:pStyle w:val="9"/>
              <w:spacing w:after="0"/>
              <w:rPr>
                <w:rFonts w:hint="eastAsia" w:ascii="宋体" w:hAnsi="宋体" w:cs="宋体"/>
                <w:color w:val="auto"/>
                <w:szCs w:val="21"/>
                <w:highlight w:val="none"/>
                <w:lang w:bidi="ar"/>
              </w:rPr>
            </w:pPr>
            <w:r>
              <w:rPr>
                <w:rFonts w:hint="eastAsia" w:ascii="宋体" w:hAnsi="宋体" w:eastAsia="宋体" w:cs="宋体"/>
                <w:color w:val="auto"/>
                <w:szCs w:val="21"/>
                <w:highlight w:val="none"/>
                <w:lang w:bidi="ar"/>
              </w:rPr>
              <w:t>环境温度：-20℃～50℃；</w:t>
            </w:r>
          </w:p>
          <w:p w14:paraId="5A75BD4B">
            <w:pPr>
              <w:pStyle w:val="9"/>
              <w:spacing w:after="0"/>
              <w:rPr>
                <w:rFonts w:hint="eastAsia" w:ascii="宋体" w:hAnsi="宋体" w:cs="宋体"/>
                <w:color w:val="auto"/>
                <w:szCs w:val="21"/>
                <w:highlight w:val="none"/>
                <w:lang w:bidi="ar"/>
              </w:rPr>
            </w:pPr>
            <w:r>
              <w:rPr>
                <w:rFonts w:hint="eastAsia" w:ascii="宋体" w:hAnsi="宋体" w:eastAsia="宋体" w:cs="宋体"/>
                <w:color w:val="auto"/>
                <w:szCs w:val="21"/>
                <w:highlight w:val="none"/>
                <w:lang w:bidi="ar"/>
              </w:rPr>
              <w:t>相对湿度：5％～95％；</w:t>
            </w:r>
          </w:p>
          <w:p w14:paraId="43F90303">
            <w:pPr>
              <w:pStyle w:val="9"/>
              <w:spacing w:after="0"/>
              <w:rPr>
                <w:rFonts w:hint="eastAsia" w:ascii="宋体" w:hAnsi="宋体" w:cs="宋体"/>
                <w:color w:val="auto"/>
                <w:szCs w:val="21"/>
                <w:highlight w:val="none"/>
                <w:lang w:bidi="ar"/>
              </w:rPr>
            </w:pPr>
            <w:r>
              <w:rPr>
                <w:rFonts w:hint="eastAsia" w:ascii="宋体" w:hAnsi="宋体" w:eastAsia="宋体" w:cs="宋体"/>
                <w:color w:val="auto"/>
                <w:szCs w:val="21"/>
                <w:highlight w:val="none"/>
                <w:lang w:bidi="ar"/>
              </w:rPr>
              <w:t>海拔高度：≤2000m，2000m以上降额输出；</w:t>
            </w:r>
          </w:p>
          <w:p w14:paraId="0EDAB32D">
            <w:pPr>
              <w:pStyle w:val="9"/>
              <w:spacing w:after="0"/>
              <w:rPr>
                <w:rFonts w:hint="eastAsia" w:ascii="宋体" w:hAnsi="宋体" w:cs="宋体"/>
                <w:color w:val="auto"/>
                <w:szCs w:val="21"/>
                <w:highlight w:val="none"/>
                <w:lang w:bidi="ar"/>
              </w:rPr>
            </w:pPr>
            <w:r>
              <w:rPr>
                <w:rFonts w:hint="eastAsia" w:ascii="宋体" w:hAnsi="宋体" w:eastAsia="宋体" w:cs="宋体"/>
                <w:color w:val="auto"/>
                <w:szCs w:val="21"/>
                <w:highlight w:val="none"/>
                <w:lang w:bidi="ar"/>
              </w:rPr>
              <w:t>大气压强：80kPa～110kPa；</w:t>
            </w:r>
          </w:p>
          <w:p w14:paraId="3374D3C2">
            <w:pPr>
              <w:pStyle w:val="9"/>
              <w:spacing w:after="0"/>
              <w:rPr>
                <w:rFonts w:hint="eastAsia" w:ascii="宋体" w:hAnsi="宋体" w:cs="宋体"/>
                <w:color w:val="auto"/>
                <w:szCs w:val="21"/>
                <w:highlight w:val="none"/>
                <w:lang w:bidi="ar"/>
              </w:rPr>
            </w:pPr>
            <w:r>
              <w:rPr>
                <w:rFonts w:hint="eastAsia" w:ascii="宋体" w:hAnsi="宋体" w:eastAsia="宋体" w:cs="宋体"/>
                <w:color w:val="auto"/>
                <w:szCs w:val="21"/>
                <w:highlight w:val="none"/>
                <w:lang w:bidi="ar"/>
              </w:rPr>
              <w:t>（2）电源条件</w:t>
            </w:r>
          </w:p>
          <w:p w14:paraId="512EF5AC">
            <w:pPr>
              <w:pStyle w:val="9"/>
              <w:spacing w:after="0"/>
              <w:rPr>
                <w:rFonts w:hint="eastAsia" w:ascii="宋体" w:hAnsi="宋体" w:cs="宋体"/>
                <w:color w:val="auto"/>
                <w:szCs w:val="21"/>
                <w:highlight w:val="none"/>
                <w:lang w:bidi="ar"/>
              </w:rPr>
            </w:pPr>
            <w:r>
              <w:rPr>
                <w:rFonts w:hint="eastAsia" w:ascii="宋体" w:hAnsi="宋体" w:eastAsia="宋体" w:cs="宋体"/>
                <w:color w:val="auto"/>
                <w:szCs w:val="21"/>
                <w:highlight w:val="none"/>
                <w:lang w:bidi="ar"/>
              </w:rPr>
              <w:t>交流输入电压：380V±15％；</w:t>
            </w:r>
          </w:p>
          <w:p w14:paraId="22B1E66F">
            <w:pPr>
              <w:pStyle w:val="9"/>
              <w:spacing w:after="0"/>
              <w:rPr>
                <w:rFonts w:hint="eastAsia" w:ascii="宋体" w:hAnsi="宋体" w:cs="宋体"/>
                <w:color w:val="auto"/>
                <w:szCs w:val="21"/>
                <w:highlight w:val="none"/>
                <w:lang w:bidi="ar"/>
              </w:rPr>
            </w:pPr>
            <w:r>
              <w:rPr>
                <w:rFonts w:hint="eastAsia" w:ascii="宋体" w:hAnsi="宋体" w:eastAsia="宋体" w:cs="宋体"/>
                <w:color w:val="auto"/>
                <w:szCs w:val="21"/>
                <w:highlight w:val="none"/>
                <w:lang w:bidi="ar"/>
              </w:rPr>
              <w:t>交流电源频率：45HZ~65HZ。</w:t>
            </w:r>
          </w:p>
          <w:p w14:paraId="5C223D47">
            <w:pPr>
              <w:pStyle w:val="9"/>
              <w:spacing w:after="0"/>
              <w:rPr>
                <w:rFonts w:hint="eastAsia" w:ascii="宋体" w:hAnsi="宋体" w:cs="宋体"/>
                <w:color w:val="auto"/>
                <w:szCs w:val="21"/>
                <w:highlight w:val="none"/>
                <w:lang w:bidi="ar"/>
              </w:rPr>
            </w:pPr>
            <w:r>
              <w:rPr>
                <w:rFonts w:hint="eastAsia" w:ascii="宋体" w:hAnsi="宋体" w:eastAsia="宋体" w:cs="宋体"/>
                <w:color w:val="auto"/>
                <w:szCs w:val="21"/>
                <w:highlight w:val="none"/>
                <w:lang w:bidi="ar"/>
              </w:rPr>
              <w:t>（3）技术参数：</w:t>
            </w:r>
          </w:p>
          <w:p w14:paraId="3E659FAF">
            <w:pPr>
              <w:pStyle w:val="9"/>
              <w:spacing w:after="0"/>
              <w:rPr>
                <w:rFonts w:hint="eastAsia" w:ascii="宋体" w:hAnsi="宋体" w:cs="宋体"/>
                <w:color w:val="auto"/>
                <w:szCs w:val="21"/>
                <w:highlight w:val="none"/>
                <w:lang w:bidi="ar"/>
              </w:rPr>
            </w:pPr>
            <w:r>
              <w:rPr>
                <w:rFonts w:hint="eastAsia" w:ascii="宋体" w:hAnsi="宋体" w:eastAsia="宋体" w:cs="宋体"/>
                <w:color w:val="auto"/>
                <w:szCs w:val="21"/>
                <w:highlight w:val="none"/>
                <w:lang w:bidi="ar"/>
              </w:rPr>
              <w:t>直流输出电压：200V-1000V，连续可调，无明显电压断档点；</w:t>
            </w:r>
          </w:p>
          <w:p w14:paraId="4320FAA8">
            <w:pPr>
              <w:pStyle w:val="9"/>
              <w:spacing w:after="0"/>
              <w:rPr>
                <w:rFonts w:hint="eastAsia" w:ascii="宋体" w:hAnsi="宋体" w:cs="宋体"/>
                <w:color w:val="auto"/>
                <w:szCs w:val="21"/>
                <w:highlight w:val="none"/>
                <w:lang w:bidi="ar"/>
              </w:rPr>
            </w:pPr>
            <w:r>
              <w:rPr>
                <w:rFonts w:hint="eastAsia" w:ascii="宋体" w:hAnsi="宋体" w:eastAsia="宋体" w:cs="宋体"/>
                <w:color w:val="auto"/>
                <w:szCs w:val="21"/>
                <w:highlight w:val="none"/>
                <w:lang w:bidi="ar"/>
              </w:rPr>
              <w:t>恒功率段300V-1000V或更优，连续可调，无明显电压断档点。</w:t>
            </w:r>
          </w:p>
          <w:p w14:paraId="4F2839AA">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输入功率因数≥0.99</w:t>
            </w:r>
          </w:p>
          <w:p w14:paraId="5292E2F4">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充电模块功率≥40kW</w:t>
            </w:r>
          </w:p>
          <w:p w14:paraId="1E7C93C3">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辅助电源电压：12V/24V</w:t>
            </w:r>
          </w:p>
          <w:p w14:paraId="17A06F71">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电压设定误差≤±0.5%</w:t>
            </w:r>
          </w:p>
          <w:p w14:paraId="2FA9B416">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电流设定误差≤±0.3A（输出电流＜30A）</w:t>
            </w:r>
          </w:p>
          <w:p w14:paraId="2C318C08">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≤±1%（输出电流≥30A）</w:t>
            </w:r>
          </w:p>
          <w:p w14:paraId="2F9820D1">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稳压精度≤±0.5%</w:t>
            </w:r>
          </w:p>
          <w:p w14:paraId="55D66663">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稳流精度≤±0.5%</w:t>
            </w:r>
          </w:p>
          <w:p w14:paraId="4BF0C9BA">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纹波系数（峰值）≤±1%</w:t>
            </w:r>
          </w:p>
          <w:p w14:paraId="5C00698B">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输入冲击电流≤110%额定输入电流</w:t>
            </w:r>
          </w:p>
          <w:p w14:paraId="5674FB8C">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效率≥95%</w:t>
            </w:r>
          </w:p>
          <w:p w14:paraId="2EBC0200">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噪声≤65dB</w:t>
            </w:r>
          </w:p>
          <w:p w14:paraId="4D17146D">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显示屏≥7寸彩色触摸屏</w:t>
            </w:r>
          </w:p>
          <w:p w14:paraId="39FF0BE8">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谐波电流限值要求（THD）≤5%</w:t>
            </w:r>
          </w:p>
          <w:p w14:paraId="50473322">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（4）计量功能</w:t>
            </w:r>
          </w:p>
          <w:p w14:paraId="07392944">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充电机采用直流侧计量，应具有对每个充电接口输出电能进行计量的功能。电能计量装置应符合国家计量器具检定相关要求。精确度等级1.0级，电能计量装置具备1个RS485接口，通信协议遵循《DL/T 645-2007多功能电能表通信协议》技术要求。</w:t>
            </w:r>
          </w:p>
          <w:p w14:paraId="4A812399">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充电机须具备电表校验异常功能。当充电机的电表校验发生异常时，充电机应能进行告警。</w:t>
            </w:r>
          </w:p>
          <w:p w14:paraId="1BCF7562">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（5）充电方式</w:t>
            </w:r>
          </w:p>
          <w:p w14:paraId="07550E80">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充电机支持离线运行和联网运行，多种启动方式可选。离线支持刷卡、密码启动方式；小程序、刷卡启动方式。</w:t>
            </w:r>
          </w:p>
          <w:p w14:paraId="4F2BC953">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(6)防护等级：≥IP54</w:t>
            </w:r>
          </w:p>
          <w:p w14:paraId="7DCF0FA0">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（7）抗撞击：通过撞击元件调整相对高度获得50J或更高撞击能量施加与受施外壳表面，设备完好无损坏，满足IK10级。</w:t>
            </w:r>
          </w:p>
          <w:p w14:paraId="69DC24A6">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（8）耐候性：充电机内印刷线路板、接插件、充电模块、辅源等电路进行防潮湿、防霉变、防盐雾处理，关键器件充电模块、辅源采用全灌胶工艺。外壳具备防腐蚀保护，满足一级保护功能；</w:t>
            </w:r>
          </w:p>
          <w:p w14:paraId="79E18AC4">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（9）通讯传输：支持4G或以太网通讯，支持全网通，通讯模块信号/频段可上传，可从后台监控充电信号强度；</w:t>
            </w:r>
          </w:p>
          <w:p w14:paraId="7F21DB74">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（10）关键监测：在充电机的连接线自检中,出现连接异常,需要检出并切断功率电路，停止充电，并向后台系统报告检查异常；</w:t>
            </w:r>
          </w:p>
          <w:p w14:paraId="3FB3AEEF">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（11）远程紧急断电：充电系统支持紧急状态下平台远程下发断电指令，充电桩断开前端交流电源；</w:t>
            </w:r>
          </w:p>
          <w:p w14:paraId="64D18044">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（12）远程启动/停止充电：充电系统支持远程APP启动充电和停止充电操作；</w:t>
            </w:r>
          </w:p>
          <w:p w14:paraId="70AE2AEB">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13）故障存储功能：充电机储存4k条与充电车辆BMS交互报文，并且具备远程故障录波、远程获取日志功能，从云平台能够查询到故障前后电池、充电机电压、电流、SOC、温度、单体电池信息。出现疑似故障特征或实际发生故障时，自动记录故障前50条报文信息。；</w:t>
            </w:r>
          </w:p>
          <w:p w14:paraId="4F66B881">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（14）效率最优：充电机具备效率自主寻优功能，输出效率优先，通过自主寻优算法使充电模块工作在最佳效率点。</w:t>
            </w:r>
          </w:p>
          <w:p w14:paraId="1141513F">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（15）远程升级功能：充电设备具各7寸彩色显示触摸屏，可进行远程升级，信息显示清晰完整，易于辦认，亮度＞700尼帕；</w:t>
            </w:r>
          </w:p>
          <w:p w14:paraId="4C5B4FDB">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16）保护模型：充电机能够配合监控后台基于大数据分析创建电池过充、过压、过温、过流、数据异常等6多种保护模型。且充电机能够分别对保护模型进行使能设置，当触发使能的保护模型后，可主动告警并快速进行保护。</w:t>
            </w:r>
          </w:p>
          <w:p w14:paraId="2BC0291B">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（17）结构要求</w:t>
            </w:r>
          </w:p>
          <w:p w14:paraId="551D5EE8">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一体式直流充电机，基本构成包括：充电模块、配电单元、控制单元、人机交互单元、计量单元、充电接口等，充电机左、右、前开门，可支持靠墙安装。</w:t>
            </w:r>
          </w:p>
          <w:p w14:paraId="10FEE0AE">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（18）结构形式</w:t>
            </w:r>
          </w:p>
          <w:p w14:paraId="13CD8FCF">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一体式双枪直流充电机，柜体带有A、B两把枪，出线方式均为下出线。</w:t>
            </w:r>
          </w:p>
          <w:p w14:paraId="798BE419">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（19）外壳要求</w:t>
            </w:r>
          </w:p>
          <w:p w14:paraId="2AF59928">
            <w:pPr>
              <w:widowControl/>
              <w:textAlignment w:val="center"/>
              <w:rPr>
                <w:rFonts w:hint="eastAsia" w:hAnsi="宋体" w:cs="宋体"/>
                <w:color w:val="auto"/>
                <w:szCs w:val="21"/>
                <w:highlight w:val="none"/>
                <w:lang w:bidi="ar"/>
              </w:rPr>
            </w:pPr>
            <w:r>
              <w:rPr>
                <w:rFonts w:hint="eastAsia" w:ascii="宋体" w:hAnsi="宋体" w:eastAsia="宋体" w:cs="宋体"/>
                <w:color w:val="auto"/>
                <w:szCs w:val="21"/>
                <w:highlight w:val="none"/>
                <w:lang w:bidi="ar"/>
              </w:rPr>
              <w:t>充电机采用抗冲击力强、抗老化的材质，可靠性高，充电机钣金外壳和暴露在外的钣金支架、零件应采取双层防锈措施，非金属外壳也应具有防老化处理。</w:t>
            </w:r>
          </w:p>
        </w:tc>
      </w:tr>
    </w:tbl>
    <w:p w14:paraId="080DEDE4">
      <w:pPr>
        <w:rPr>
          <w:rFonts w:hint="eastAsia"/>
          <w:color w:val="auto"/>
          <w:highlight w:val="none"/>
        </w:rPr>
      </w:pPr>
    </w:p>
    <w:p w14:paraId="30A06B51">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功能要求</w:t>
      </w:r>
    </w:p>
    <w:p w14:paraId="043F4B95">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充电控制功能</w:t>
      </w:r>
    </w:p>
    <w:p w14:paraId="13D2B77A">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充电机应具备自动充电控制功能，可具备手动充电控制功能。充电机采用手动充电控制时，应具有明显的操作提示信息，仅限于专业人员在特殊情况下对充电机设备进行调试或维护时使用。</w:t>
      </w:r>
    </w:p>
    <w:p w14:paraId="685DB46A">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主动防护功能</w:t>
      </w:r>
    </w:p>
    <w:p w14:paraId="3B9ACF66">
      <w:pPr>
        <w:spacing w:line="360" w:lineRule="auto"/>
        <w:ind w:firstLine="420" w:firstLineChars="200"/>
        <w:rPr>
          <w:rFonts w:hint="eastAsia" w:hAnsi="宋体" w:cs="宋体"/>
          <w:b/>
          <w:bCs/>
          <w:color w:val="auto"/>
          <w:szCs w:val="21"/>
          <w:highlight w:val="none"/>
        </w:rPr>
      </w:pPr>
      <w:r>
        <w:rPr>
          <w:rFonts w:hint="eastAsia" w:ascii="宋体" w:hAnsi="宋体" w:eastAsia="宋体" w:cs="宋体"/>
          <w:color w:val="auto"/>
          <w:szCs w:val="21"/>
          <w:highlight w:val="none"/>
        </w:rPr>
        <w:t>主动防护项包括但不限于监测电动汽车BMS运行状态、电池特性参数及充电机主动和预警保护等，实现电动汽车充电过程的主动防护。</w:t>
      </w:r>
    </w:p>
    <w:p w14:paraId="48203D22">
      <w:pPr>
        <w:adjustRightInd w:val="0"/>
        <w:snapToGrid w:val="0"/>
        <w:spacing w:line="360" w:lineRule="auto"/>
        <w:ind w:firstLine="420" w:firstLineChars="200"/>
        <w:rPr>
          <w:rFonts w:hint="eastAsia" w:hAnsi="宋体" w:cs="宋体"/>
          <w:b/>
          <w:bCs/>
          <w:color w:val="auto"/>
          <w:szCs w:val="21"/>
          <w:highlight w:val="none"/>
        </w:rPr>
      </w:pPr>
      <w:r>
        <w:rPr>
          <w:rFonts w:hint="eastAsia" w:ascii="宋体" w:hAnsi="宋体" w:eastAsia="宋体" w:cs="宋体"/>
          <w:color w:val="auto"/>
          <w:szCs w:val="21"/>
          <w:highlight w:val="none"/>
        </w:rPr>
        <w:t>充电机直流输出回路应为每个充电接口单独配置防逆流装置，防逆流装置应安装在功率分配单元与充电接口之间，防止蓄电池电流倒灌。</w:t>
      </w:r>
    </w:p>
    <w:p w14:paraId="2FCD7AFF">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人机交互功能</w:t>
      </w:r>
    </w:p>
    <w:p w14:paraId="419E7F5E">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充电机显示下列状态信息：</w:t>
      </w:r>
    </w:p>
    <w:p w14:paraId="365C4AC2">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（1）充电机的运行状态指示：待机、插枪、充电、告警。</w:t>
      </w:r>
    </w:p>
    <w:p w14:paraId="32EC6EE1">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 xml:space="preserve">（2）具有手动充电控制功能的充电机应显示人工输入信息。 </w:t>
      </w:r>
    </w:p>
    <w:p w14:paraId="514927F8">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充电机显示下列信息：</w:t>
      </w:r>
    </w:p>
    <w:p w14:paraId="7CA6AFC1">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（1）电池当前荷电状态（state of charge, SOC）、充电电压、充电电流、充电功率；</w:t>
      </w:r>
    </w:p>
    <w:p w14:paraId="6A56D7C9">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（2）己充电时间、己充电电量、己充电金额。</w:t>
      </w:r>
    </w:p>
    <w:p w14:paraId="46378D99">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人性化设计功能</w:t>
      </w:r>
    </w:p>
    <w:p w14:paraId="6A82EFD4">
      <w:pPr>
        <w:adjustRightInd w:val="0"/>
        <w:snapToGrid w:val="0"/>
        <w:spacing w:line="360" w:lineRule="auto"/>
        <w:ind w:firstLine="420" w:firstLineChars="200"/>
        <w:rPr>
          <w:rFonts w:hint="eastAsia" w:hAnsi="宋体" w:cs="宋体"/>
          <w:b/>
          <w:bCs/>
          <w:color w:val="auto"/>
          <w:szCs w:val="21"/>
          <w:highlight w:val="none"/>
        </w:rPr>
      </w:pPr>
      <w:r>
        <w:rPr>
          <w:rFonts w:hint="eastAsia" w:ascii="宋体" w:hAnsi="宋体" w:eastAsia="宋体" w:cs="宋体"/>
          <w:color w:val="auto"/>
          <w:szCs w:val="21"/>
          <w:highlight w:val="none"/>
        </w:rPr>
        <w:t>人机交互界面的操作屏配备7寸触控屏，亮度大于500</w:t>
      </w:r>
      <w:r>
        <w:rPr>
          <w:rFonts w:hint="eastAsia" w:hAnsi="宋体" w:cs="宋体"/>
          <w:color w:val="auto"/>
          <w:szCs w:val="21"/>
          <w:highlight w:val="none"/>
        </w:rPr>
        <w:t>nit</w:t>
      </w:r>
      <w:r>
        <w:rPr>
          <w:rFonts w:hint="eastAsia" w:ascii="宋体" w:hAnsi="宋体" w:eastAsia="宋体" w:cs="宋体"/>
          <w:color w:val="auto"/>
          <w:szCs w:val="21"/>
          <w:highlight w:val="none"/>
        </w:rPr>
        <w:t>，触控灵敏，需要具备一定倾斜角不小于10°，且具备遮阳罩。</w:t>
      </w:r>
    </w:p>
    <w:p w14:paraId="15CB0919">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自动唤醒功能</w:t>
      </w:r>
    </w:p>
    <w:p w14:paraId="7FE4F27F">
      <w:pPr>
        <w:adjustRightInd w:val="0"/>
        <w:snapToGrid w:val="0"/>
        <w:spacing w:line="360" w:lineRule="auto"/>
        <w:ind w:firstLine="420" w:firstLineChars="200"/>
        <w:rPr>
          <w:rFonts w:hint="eastAsia" w:hAnsi="宋体" w:cs="宋体"/>
          <w:b/>
          <w:bCs/>
          <w:color w:val="auto"/>
          <w:szCs w:val="21"/>
          <w:highlight w:val="none"/>
        </w:rPr>
      </w:pPr>
      <w:r>
        <w:rPr>
          <w:rFonts w:hint="eastAsia" w:ascii="宋体" w:hAnsi="宋体" w:eastAsia="宋体" w:cs="宋体"/>
          <w:color w:val="auto"/>
          <w:szCs w:val="21"/>
          <w:highlight w:val="none"/>
        </w:rPr>
        <w:t>充电设备具备自动唤醒功能，待机时自动休眠模式，以減少设备损耗，点击屏幕或者充电枪插入车辆充电插座时，充电机可自动唤醒。</w:t>
      </w:r>
    </w:p>
    <w:p w14:paraId="33A73D99">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充电启动方式设定</w:t>
      </w:r>
    </w:p>
    <w:p w14:paraId="5C1F4D9E">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充电机支持离线运行和联网运行，多种启动方式可选。离线支持刷卡、密码、旋钮启动方式；小程序、刷卡启动方式。</w:t>
      </w:r>
    </w:p>
    <w:p w14:paraId="35AB9BD1">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充电模式和连接方式</w:t>
      </w:r>
    </w:p>
    <w:p w14:paraId="7B02375F">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充电机采用GB/T18487.1-2015附录B中规定的充电模式4和连接方式C对电动汽车进行充电。充电接口应满足GB/T20234.1-2015和 GB/T20234.3-2015的规定。</w:t>
      </w:r>
    </w:p>
    <w:p w14:paraId="0B96AFA4">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与电池管理系统通信功能</w:t>
      </w:r>
    </w:p>
    <w:p w14:paraId="1A3FC61B">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充电机应具有与电池管理系统通信的CAN接口，获得电池管理系统的充电参数和充电实时数据，通信协议应能满足 GB/T 27930-2015的规定。</w:t>
      </w:r>
    </w:p>
    <w:p w14:paraId="79C2B623">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掉电保存功能</w:t>
      </w:r>
    </w:p>
    <w:p w14:paraId="665680B7">
      <w:pPr>
        <w:adjustRightInd w:val="0"/>
        <w:snapToGrid w:val="0"/>
        <w:spacing w:line="360" w:lineRule="auto"/>
        <w:ind w:firstLine="420" w:firstLineChars="200"/>
        <w:rPr>
          <w:rFonts w:hint="eastAsia" w:hAnsi="宋体" w:cs="宋体"/>
          <w:b/>
          <w:bCs/>
          <w:color w:val="auto"/>
          <w:szCs w:val="21"/>
          <w:highlight w:val="none"/>
        </w:rPr>
      </w:pPr>
      <w:r>
        <w:rPr>
          <w:rFonts w:hint="eastAsia" w:ascii="宋体" w:hAnsi="宋体" w:eastAsia="宋体" w:cs="宋体"/>
          <w:color w:val="auto"/>
          <w:szCs w:val="21"/>
          <w:highlight w:val="none"/>
        </w:rPr>
        <w:t>充电设各应具备掉电记录锁存功能：在充电过程中，交流输入失电，充电机应能保存失电前的电能计量、故障异常报警、充电交易记录等信息，并在掉电恢复后，能将数据信息上传至上级监控系统或运营管理系统。</w:t>
      </w:r>
    </w:p>
    <w:p w14:paraId="4EA145B8">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主动防护过充设计</w:t>
      </w:r>
    </w:p>
    <w:p w14:paraId="057CBE6E">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具备主动监测电动汽车BMS运行状态、电池特性参数及充电机自身的运行状态等功能。通过输入输出保护、通信保护、充电过程保护、功能性保护方面内容，主动诊断并处理故障和异常，实现电动汽车充电过程的主动防护。</w:t>
      </w:r>
    </w:p>
    <w:p w14:paraId="42ADF481">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充电控制</w:t>
      </w:r>
    </w:p>
    <w:p w14:paraId="71430490">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VIN自动识别充电：通过插枪，自动识别车辆BMS传回的VIN码，集中控制器识别正确，自动启动充电或遵循后台设置的启动充电时间，自动启动；充电结束后，自动停止，充电未结束时，通过手机、PAD、PC等终端，可直接选择充电枪，终止充电。</w:t>
      </w:r>
    </w:p>
    <w:p w14:paraId="5C83701B">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2）定时充电功能：可以自动或手动设置充电时间，充分利用低谷电价，降低运营成本。</w:t>
      </w:r>
    </w:p>
    <w:p w14:paraId="4A1A8E81">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3）智能充电功能；区域组网，本地所有充电机协同，智能错峰充电。</w:t>
      </w:r>
    </w:p>
    <w:p w14:paraId="46C26155">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充电智能调控功能</w:t>
      </w:r>
    </w:p>
    <w:p w14:paraId="7CEEFE56">
      <w:pPr>
        <w:adjustRightInd w:val="0"/>
        <w:snapToGrid w:val="0"/>
        <w:spacing w:line="360" w:lineRule="auto"/>
        <w:ind w:firstLine="420" w:firstLineChars="200"/>
        <w:rPr>
          <w:rFonts w:hint="eastAsia" w:hAnsi="宋体" w:cs="宋体"/>
          <w:b/>
          <w:bCs/>
          <w:color w:val="auto"/>
          <w:szCs w:val="21"/>
          <w:highlight w:val="none"/>
        </w:rPr>
      </w:pPr>
      <w:r>
        <w:rPr>
          <w:rFonts w:hint="eastAsia" w:ascii="宋体" w:hAnsi="宋体" w:eastAsia="宋体" w:cs="宋体"/>
          <w:color w:val="auto"/>
          <w:szCs w:val="21"/>
          <w:highlight w:val="none"/>
        </w:rPr>
        <w:t>根据充电电价及车辆充电SOC设定规则，当车辆SOC已满足续航最低要求且即将进入较高费率时段时停止充电；进入较高费率时段时车辆SOC尚未满足续航最低要求，充至满足续航最低要求SOC 时停止充电。</w:t>
      </w:r>
    </w:p>
    <w:p w14:paraId="1A7B55A7">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与电池管理系统通信功能</w:t>
      </w:r>
    </w:p>
    <w:p w14:paraId="3C8AA15B">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充电机应具有与电池管理系统通信的CAN接口，获得电池管理系统的充电参数和充电实时数据。通信协议应能满足 GB/T 27930-2015的规定。</w:t>
      </w:r>
    </w:p>
    <w:p w14:paraId="58ED128A">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计量功能</w:t>
      </w:r>
    </w:p>
    <w:p w14:paraId="5CB6BC59">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充电机采用直流侧计量，应具有对每个充电接口输出电能进行计量的功能。电能计量装置应符合国家计量器具检定相关要求。精确度等级1.0级，电能计量装置具备1个RS485接口，通信协议遵循《DL/T 645-2007多功能电能表通信协议》技术要求。</w:t>
      </w:r>
    </w:p>
    <w:p w14:paraId="32D47408">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充电机须具备电表校验异常功能。当充电机的电表校验发生异常时，充电机应能进行告警。</w:t>
      </w:r>
    </w:p>
    <w:p w14:paraId="1388AFF8">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负荷约束设置功能</w:t>
      </w:r>
    </w:p>
    <w:p w14:paraId="36E2974D">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当多设备间共享有限变压器容量时，可以通过互相调节每台设备的输出，最大化、智能利用变压器和每台充电机的功率输出，防止变压器超负荷、利用率低。</w:t>
      </w:r>
    </w:p>
    <w:p w14:paraId="735ACE02">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错峰充电设置功能</w:t>
      </w:r>
    </w:p>
    <w:p w14:paraId="71141837">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具有通过界面设置错峰充电时间段，包括高价、低价、平价三个时间段进行充电的功能。</w:t>
      </w:r>
    </w:p>
    <w:p w14:paraId="03FF9892">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双枪并充功能</w:t>
      </w:r>
    </w:p>
    <w:p w14:paraId="29EE511A">
      <w:pPr>
        <w:pStyle w:val="4"/>
        <w:spacing w:line="360" w:lineRule="auto"/>
        <w:ind w:firstLine="48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充电桩具各双枪并充功能，根据插枪数量，自动识别充电模式，无需人工手动选择启动充电模式，当两把枪插入同一辆车与一个BMS进行通信时，充电桩通过内部报文识别来进行判定进入并充模式．此时两把枪同时给同一辆车进行充电。</w:t>
      </w:r>
    </w:p>
    <w:p w14:paraId="0AC3E154">
      <w:pPr>
        <w:pStyle w:val="4"/>
        <w:spacing w:line="360" w:lineRule="auto"/>
        <w:ind w:firstLine="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本地充电功能</w:t>
      </w:r>
    </w:p>
    <w:p w14:paraId="606B2E2C">
      <w:pPr>
        <w:adjustRightInd w:val="0"/>
        <w:snapToGrid w:val="0"/>
        <w:spacing w:line="360" w:lineRule="auto"/>
        <w:ind w:firstLine="420" w:firstLineChars="200"/>
        <w:rPr>
          <w:rFonts w:hint="eastAsia" w:hAnsi="宋体" w:cs="宋体"/>
          <w:b/>
          <w:bCs/>
          <w:color w:val="auto"/>
          <w:szCs w:val="21"/>
          <w:highlight w:val="none"/>
        </w:rPr>
      </w:pPr>
      <w:r>
        <w:rPr>
          <w:rFonts w:hint="eastAsia" w:ascii="宋体" w:hAnsi="宋体" w:eastAsia="宋体" w:cs="宋体"/>
          <w:color w:val="auto"/>
          <w:szCs w:val="21"/>
          <w:highlight w:val="none"/>
        </w:rPr>
        <w:t>不连接网络时，可通过密码、刷卡、插枪即充三种方式实现本地启动充电。</w:t>
      </w:r>
    </w:p>
    <w:p w14:paraId="47C46B4A">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断电自检功能</w:t>
      </w:r>
    </w:p>
    <w:p w14:paraId="7F74E2C5">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充电机应具备断电自检功能，当用户停止充电后，充电机2s启动断电自检，预防充电机未及时断电。</w:t>
      </w:r>
    </w:p>
    <w:p w14:paraId="6C93E138">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通信功能</w:t>
      </w:r>
    </w:p>
    <w:p w14:paraId="2A03D294">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配置4G通讯模块，采用4G通讯流量卡连接网络， PAD、PC登陆云平台进行充电状态的监控、查询及控制功能。受后台通讯频次与数据要求，配置流量卡具备每月不低于500M流量／桩，每个车位可单独计量、计费、通信，流量卡由投标人提供，自行计入成本，通讯运营商的选择根据充电站所在位置选择网络较好的运营商，由招标人在下单时提供。自行配置工业级无线路由器（全网通通信模块，兼容4G/3G/2G频段，有线加无线双网互备）。</w:t>
      </w:r>
    </w:p>
    <w:p w14:paraId="62C34C63">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流量统计功能</w:t>
      </w:r>
    </w:p>
    <w:p w14:paraId="2AABACD5">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具有对外通信流量统计功能，并显示流量信息。</w:t>
      </w:r>
    </w:p>
    <w:p w14:paraId="27BB950B">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远程运维</w:t>
      </w:r>
    </w:p>
    <w:p w14:paraId="3BE1C291">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为保证充电机运维售后的及时性，充电机应具备以下功能：</w:t>
      </w:r>
    </w:p>
    <w:p w14:paraId="06833114">
      <w:pPr>
        <w:pStyle w:val="4"/>
        <w:numPr>
          <w:ilvl w:val="0"/>
          <w:numId w:val="8"/>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充电机的软件系统具备远程升级能力；</w:t>
      </w:r>
    </w:p>
    <w:p w14:paraId="2D186E04">
      <w:pPr>
        <w:pStyle w:val="4"/>
        <w:numPr>
          <w:ilvl w:val="0"/>
          <w:numId w:val="8"/>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充电机应具有可以通过远程进行设置相关参数的功能；</w:t>
      </w:r>
    </w:p>
    <w:p w14:paraId="3668B626">
      <w:pPr>
        <w:pStyle w:val="4"/>
        <w:numPr>
          <w:ilvl w:val="0"/>
          <w:numId w:val="8"/>
        </w:num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充电机应能够实现远程监控故障，并进行设备软件维护。</w:t>
      </w:r>
    </w:p>
    <w:p w14:paraId="407FAF87">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充电机烧写程序可通过联网后通过监控运维平台控制，远程一键升级，远程更新所有通信协议，以及新国标更新等带来的控制模式升级。</w:t>
      </w:r>
    </w:p>
    <w:p w14:paraId="4B7D9E2C">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开门断电功能</w:t>
      </w:r>
    </w:p>
    <w:p w14:paraId="6E86098D">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充电机应在开门有裸露电气部分的门位置安装信号开关，当在充电前或充电中开门时，其信号开关应将信号传至总开关，并执行断开交流电源动作，以保证人身安全。</w:t>
      </w:r>
    </w:p>
    <w:p w14:paraId="3B30D939">
      <w:pPr>
        <w:spacing w:line="360" w:lineRule="auto"/>
        <w:rPr>
          <w:rFonts w:hint="eastAsia" w:hAnsi="宋体" w:cs="宋体"/>
          <w:color w:val="auto"/>
          <w:szCs w:val="21"/>
          <w:highlight w:val="none"/>
        </w:rPr>
      </w:pPr>
      <w:r>
        <w:rPr>
          <w:rFonts w:hint="eastAsia" w:ascii="宋体" w:hAnsi="宋体" w:eastAsia="宋体" w:cs="宋体"/>
          <w:b/>
          <w:bCs/>
          <w:color w:val="auto"/>
          <w:szCs w:val="21"/>
          <w:highlight w:val="none"/>
        </w:rPr>
        <w:t>备份存储自动上传</w:t>
      </w:r>
    </w:p>
    <w:p w14:paraId="479747A9">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本地系统自动备份离网数据，并实现上传。并且具有TF卡鉴权能力，具有通过有加密的特殊U盘才能进行软件升级和拷贝数据的功能。</w:t>
      </w:r>
    </w:p>
    <w:p w14:paraId="021ABB71">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锁止功能</w:t>
      </w:r>
    </w:p>
    <w:p w14:paraId="087DFBFC">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充电枪应安装电子锁止装置，具有枪头锁止功能，防止充电过程中意外拔枪，当电子锁未可靠锁止时，充电机应不能启动充电或立即停止充电。</w:t>
      </w:r>
    </w:p>
    <w:p w14:paraId="28B2D165">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超温断电</w:t>
      </w:r>
    </w:p>
    <w:p w14:paraId="3E7ABC6D">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充电枪带有温度检测功能，充电过程对枪头DC+/DC-端子连接处进行温度实时检测。当确认充电枪头温度达到90℃两分钟后，充电机限制输出电流为当前直流电表检测值的90%；当确认充电枪头温度达到95℃两分钟后，充电机限制输出电流为当前直流电表检测值的80%；当确认充电枪头温度达到100℃两分钟后，充电机限制输出电流为当前直流电表检测值的70%；当确认充电枪头温度达到110℃两秒钟后，充电机立即停止充电，并发出过温故障提示。</w:t>
      </w:r>
    </w:p>
    <w:p w14:paraId="38A0FD2E">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智能温度控制功能</w:t>
      </w:r>
    </w:p>
    <w:p w14:paraId="4F22FA4F">
      <w:pPr>
        <w:adjustRightInd w:val="0"/>
        <w:snapToGrid w:val="0"/>
        <w:spacing w:line="360" w:lineRule="auto"/>
        <w:ind w:firstLine="420" w:firstLineChars="200"/>
        <w:rPr>
          <w:rFonts w:hint="eastAsia" w:hAnsi="宋体" w:cs="宋体"/>
          <w:b/>
          <w:bCs/>
          <w:color w:val="auto"/>
          <w:szCs w:val="21"/>
          <w:highlight w:val="none"/>
        </w:rPr>
      </w:pPr>
      <w:r>
        <w:rPr>
          <w:rFonts w:hint="eastAsia" w:ascii="宋体" w:hAnsi="宋体" w:eastAsia="宋体" w:cs="宋体"/>
          <w:color w:val="auto"/>
          <w:szCs w:val="21"/>
          <w:highlight w:val="none"/>
        </w:rPr>
        <w:t>充电机内部具各温度实时检测，以此来控制风机转速及输出电流大小。</w:t>
      </w:r>
    </w:p>
    <w:p w14:paraId="26385B85">
      <w:pPr>
        <w:adjustRightInd w:val="0"/>
        <w:snapToGrid w:val="0"/>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车辆插头温度检测功能</w:t>
      </w:r>
    </w:p>
    <w:p w14:paraId="77289C7F">
      <w:pPr>
        <w:adjustRightInd w:val="0"/>
        <w:snapToGrid w:val="0"/>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充电桩带有车辆插头温度监控功能，当确认温度达到90°C后，充电桩发出告警提示，当温度达到90°C持续15分钟或者温度达到 120°C时，充电桩停止充电并发出告警提示。</w:t>
      </w:r>
    </w:p>
    <w:p w14:paraId="2546602B">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耐气候环境要求</w:t>
      </w:r>
    </w:p>
    <w:p w14:paraId="1C70F89A">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防护等级</w:t>
      </w:r>
    </w:p>
    <w:p w14:paraId="00D32C07">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充电机的柜体防护等级不应低于GB 4208-2008中IP54（室外）的规定。</w:t>
      </w:r>
    </w:p>
    <w:p w14:paraId="16E19975">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三防（防潮湿，防霉变，防盐雾）保护</w:t>
      </w:r>
    </w:p>
    <w:p w14:paraId="26F45B44">
      <w:pPr>
        <w:adjustRightInd w:val="0"/>
        <w:snapToGrid w:val="0"/>
        <w:spacing w:line="360" w:lineRule="auto"/>
        <w:ind w:firstLine="420" w:firstLineChars="200"/>
        <w:rPr>
          <w:rFonts w:hint="eastAsia" w:hAnsi="宋体" w:cs="宋体"/>
          <w:b/>
          <w:bCs/>
          <w:color w:val="auto"/>
          <w:szCs w:val="21"/>
          <w:highlight w:val="none"/>
        </w:rPr>
      </w:pPr>
      <w:r>
        <w:rPr>
          <w:rFonts w:hint="eastAsia" w:ascii="宋体" w:hAnsi="宋体" w:eastAsia="宋体" w:cs="宋体"/>
          <w:color w:val="auto"/>
          <w:szCs w:val="21"/>
          <w:highlight w:val="none"/>
        </w:rPr>
        <w:t>充电机内印刷线路板、接插件等电路应进行防潮湿、防霉变、防盐雾处理，关键器件充电模块、辅源采用全灌胶工艺。</w:t>
      </w:r>
    </w:p>
    <w:p w14:paraId="6B2EA497">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防锈(防氧化)保护</w:t>
      </w:r>
    </w:p>
    <w:p w14:paraId="6EEF7393">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充电机铁质外壳和暴露在外的铁质支架、零件应采取双层防锈措施，非铁质的金属外壳也应具有防氧化保护膜或进行防氧化处理。</w:t>
      </w:r>
    </w:p>
    <w:p w14:paraId="483BD733">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防风保护</w:t>
      </w:r>
    </w:p>
    <w:p w14:paraId="25E64546">
      <w:pPr>
        <w:adjustRightInd w:val="0"/>
        <w:snapToGrid w:val="0"/>
        <w:spacing w:line="360" w:lineRule="auto"/>
        <w:ind w:firstLine="420" w:firstLineChars="200"/>
        <w:rPr>
          <w:rFonts w:hint="eastAsia" w:hAnsi="宋体" w:cs="宋体"/>
          <w:b/>
          <w:bCs/>
          <w:color w:val="auto"/>
          <w:szCs w:val="21"/>
          <w:highlight w:val="none"/>
        </w:rPr>
      </w:pPr>
      <w:r>
        <w:rPr>
          <w:rFonts w:hint="eastAsia" w:ascii="宋体" w:hAnsi="宋体" w:eastAsia="宋体" w:cs="宋体"/>
          <w:color w:val="auto"/>
          <w:szCs w:val="21"/>
          <w:highlight w:val="none"/>
        </w:rPr>
        <w:t>充电机具各防风保护，在11级风持续吹1小时，且设备无可见异常变形、柜门保持正常开启关闭和锁固。</w:t>
      </w:r>
    </w:p>
    <w:p w14:paraId="082838F9">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防护要求</w:t>
      </w:r>
    </w:p>
    <w:p w14:paraId="15392697">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允许温度</w:t>
      </w:r>
    </w:p>
    <w:p w14:paraId="4E65974F">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1）在40℃环境温度下，充电机可用手接触部分允许的最高温度应为：</w:t>
      </w:r>
    </w:p>
    <w:p w14:paraId="46F48E7D">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——金属部分，50℃；</w:t>
      </w:r>
    </w:p>
    <w:p w14:paraId="4D7D4FB6">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——非金属部分，60℃。</w:t>
      </w:r>
    </w:p>
    <w:p w14:paraId="140DD855">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2）可以用手接触但不必紧握的部分，在同样条件下允许的最高温度应为：</w:t>
      </w:r>
    </w:p>
    <w:p w14:paraId="3D275CBA">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——金属部分，60℃；</w:t>
      </w:r>
    </w:p>
    <w:p w14:paraId="7F762D90">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——非金属部分，85℃。</w:t>
      </w:r>
    </w:p>
    <w:p w14:paraId="30DD76C1">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电击防护</w:t>
      </w:r>
    </w:p>
    <w:p w14:paraId="44EEDF5D">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充电机的电击防护应符合GB/T 18487.1-2015中第7章的要求。</w:t>
      </w:r>
    </w:p>
    <w:p w14:paraId="5AF6799A">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电气间隙和爬电距离</w:t>
      </w:r>
    </w:p>
    <w:p w14:paraId="57EB4D1F">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充电机的电气间隙和爬电距离应符合的规定。</w:t>
      </w:r>
    </w:p>
    <w:p w14:paraId="6F388CA1">
      <w:pPr>
        <w:pStyle w:val="40"/>
        <w:numPr>
          <w:ilvl w:val="0"/>
          <w:numId w:val="0"/>
        </w:numPr>
        <w:spacing w:beforeLines="0" w:afterLines="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电气间隙和爬电距离</w:t>
      </w:r>
    </w:p>
    <w:tbl>
      <w:tblPr>
        <w:tblStyle w:val="20"/>
        <w:tblW w:w="8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2628"/>
        <w:gridCol w:w="2763"/>
      </w:tblGrid>
      <w:tr w14:paraId="346076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2895" w:type="dxa"/>
            <w:tcBorders>
              <w:top w:val="single" w:color="auto" w:sz="8" w:space="0"/>
              <w:bottom w:val="single" w:color="auto" w:sz="8" w:space="0"/>
            </w:tcBorders>
            <w:noWrap w:val="0"/>
            <w:vAlign w:val="center"/>
          </w:tcPr>
          <w:p w14:paraId="75552E1A">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额定绝缘电压Ui（V）</w:t>
            </w:r>
          </w:p>
        </w:tc>
        <w:tc>
          <w:tcPr>
            <w:tcW w:w="2628" w:type="dxa"/>
            <w:tcBorders>
              <w:top w:val="single" w:color="auto" w:sz="8" w:space="0"/>
              <w:bottom w:val="single" w:color="auto" w:sz="8" w:space="0"/>
            </w:tcBorders>
            <w:noWrap w:val="0"/>
            <w:vAlign w:val="center"/>
          </w:tcPr>
          <w:p w14:paraId="2D7304C9">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电气间隙（mm）</w:t>
            </w:r>
          </w:p>
        </w:tc>
        <w:tc>
          <w:tcPr>
            <w:tcW w:w="2763" w:type="dxa"/>
            <w:tcBorders>
              <w:top w:val="single" w:color="auto" w:sz="8" w:space="0"/>
              <w:bottom w:val="single" w:color="auto" w:sz="8" w:space="0"/>
            </w:tcBorders>
            <w:noWrap w:val="0"/>
            <w:vAlign w:val="center"/>
          </w:tcPr>
          <w:p w14:paraId="24BE506C">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爬电距离（mm）</w:t>
            </w:r>
          </w:p>
        </w:tc>
      </w:tr>
      <w:tr w14:paraId="789BD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895" w:type="dxa"/>
            <w:tcBorders>
              <w:top w:val="single" w:color="auto" w:sz="8" w:space="0"/>
              <w:bottom w:val="single" w:color="auto" w:sz="8" w:space="0"/>
            </w:tcBorders>
            <w:noWrap w:val="0"/>
            <w:vAlign w:val="center"/>
          </w:tcPr>
          <w:p w14:paraId="0F466B5D">
            <w:pPr>
              <w:widowControl/>
              <w:jc w:val="center"/>
              <w:rPr>
                <w:rFonts w:hint="eastAsia" w:hAnsi="宋体" w:cs="宋体"/>
                <w:color w:val="auto"/>
                <w:szCs w:val="21"/>
                <w:highlight w:val="none"/>
              </w:rPr>
            </w:pPr>
            <w:r>
              <w:rPr>
                <w:rFonts w:hint="eastAsia" w:ascii="宋体" w:hAnsi="宋体" w:eastAsia="宋体" w:cs="宋体"/>
                <w:i/>
                <w:color w:val="auto"/>
                <w:szCs w:val="21"/>
                <w:highlight w:val="none"/>
              </w:rPr>
              <w:t>Ui</w:t>
            </w:r>
            <w:r>
              <w:rPr>
                <w:rFonts w:hint="eastAsia" w:ascii="宋体" w:hAnsi="宋体" w:eastAsia="宋体" w:cs="宋体"/>
                <w:color w:val="auto"/>
                <w:szCs w:val="21"/>
                <w:highlight w:val="none"/>
              </w:rPr>
              <w:t>≤60</w:t>
            </w:r>
          </w:p>
        </w:tc>
        <w:tc>
          <w:tcPr>
            <w:tcW w:w="2628" w:type="dxa"/>
            <w:tcBorders>
              <w:top w:val="single" w:color="auto" w:sz="8" w:space="0"/>
              <w:bottom w:val="single" w:color="auto" w:sz="8" w:space="0"/>
            </w:tcBorders>
            <w:noWrap w:val="0"/>
            <w:vAlign w:val="center"/>
          </w:tcPr>
          <w:p w14:paraId="56C3E48B">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3.0</w:t>
            </w:r>
          </w:p>
        </w:tc>
        <w:tc>
          <w:tcPr>
            <w:tcW w:w="2763" w:type="dxa"/>
            <w:tcBorders>
              <w:top w:val="single" w:color="auto" w:sz="8" w:space="0"/>
              <w:bottom w:val="single" w:color="auto" w:sz="8" w:space="0"/>
            </w:tcBorders>
            <w:noWrap w:val="0"/>
            <w:vAlign w:val="center"/>
          </w:tcPr>
          <w:p w14:paraId="62ABC6BB">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3.0</w:t>
            </w:r>
          </w:p>
        </w:tc>
      </w:tr>
      <w:tr w14:paraId="3EBEA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895" w:type="dxa"/>
            <w:tcBorders>
              <w:top w:val="single" w:color="auto" w:sz="8" w:space="0"/>
              <w:bottom w:val="single" w:color="auto" w:sz="8" w:space="0"/>
            </w:tcBorders>
            <w:noWrap w:val="0"/>
            <w:vAlign w:val="center"/>
          </w:tcPr>
          <w:p w14:paraId="6C6364CA">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60＜</w:t>
            </w:r>
            <w:r>
              <w:rPr>
                <w:rFonts w:hint="eastAsia" w:ascii="宋体" w:hAnsi="宋体" w:eastAsia="宋体" w:cs="宋体"/>
                <w:i/>
                <w:color w:val="auto"/>
                <w:szCs w:val="21"/>
                <w:highlight w:val="none"/>
              </w:rPr>
              <w:t>Ui</w:t>
            </w:r>
            <w:r>
              <w:rPr>
                <w:rFonts w:hint="eastAsia" w:ascii="宋体" w:hAnsi="宋体" w:eastAsia="宋体" w:cs="宋体"/>
                <w:color w:val="auto"/>
                <w:szCs w:val="21"/>
                <w:highlight w:val="none"/>
              </w:rPr>
              <w:t>≤300</w:t>
            </w:r>
          </w:p>
        </w:tc>
        <w:tc>
          <w:tcPr>
            <w:tcW w:w="2628" w:type="dxa"/>
            <w:tcBorders>
              <w:top w:val="single" w:color="auto" w:sz="8" w:space="0"/>
              <w:bottom w:val="single" w:color="auto" w:sz="8" w:space="0"/>
            </w:tcBorders>
            <w:noWrap w:val="0"/>
            <w:vAlign w:val="center"/>
          </w:tcPr>
          <w:p w14:paraId="5FF57006">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5.0</w:t>
            </w:r>
          </w:p>
        </w:tc>
        <w:tc>
          <w:tcPr>
            <w:tcW w:w="2763" w:type="dxa"/>
            <w:tcBorders>
              <w:top w:val="single" w:color="auto" w:sz="8" w:space="0"/>
              <w:bottom w:val="single" w:color="auto" w:sz="8" w:space="0"/>
            </w:tcBorders>
            <w:noWrap w:val="0"/>
            <w:vAlign w:val="center"/>
          </w:tcPr>
          <w:p w14:paraId="54FB919C">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6.0</w:t>
            </w:r>
          </w:p>
        </w:tc>
      </w:tr>
      <w:tr w14:paraId="4B54EE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895" w:type="dxa"/>
            <w:tcBorders>
              <w:top w:val="single" w:color="auto" w:sz="8" w:space="0"/>
              <w:bottom w:val="single" w:color="auto" w:sz="8" w:space="0"/>
            </w:tcBorders>
            <w:noWrap w:val="0"/>
            <w:vAlign w:val="center"/>
          </w:tcPr>
          <w:p w14:paraId="044181C8">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300＜</w:t>
            </w:r>
            <w:r>
              <w:rPr>
                <w:rFonts w:hint="eastAsia" w:ascii="宋体" w:hAnsi="宋体" w:eastAsia="宋体" w:cs="宋体"/>
                <w:i/>
                <w:color w:val="auto"/>
                <w:szCs w:val="21"/>
                <w:highlight w:val="none"/>
              </w:rPr>
              <w:t>Ui</w:t>
            </w:r>
            <w:r>
              <w:rPr>
                <w:rFonts w:hint="eastAsia" w:ascii="宋体" w:hAnsi="宋体" w:eastAsia="宋体" w:cs="宋体"/>
                <w:color w:val="auto"/>
                <w:szCs w:val="21"/>
                <w:highlight w:val="none"/>
              </w:rPr>
              <w:t>≤700</w:t>
            </w:r>
          </w:p>
        </w:tc>
        <w:tc>
          <w:tcPr>
            <w:tcW w:w="2628" w:type="dxa"/>
            <w:tcBorders>
              <w:top w:val="single" w:color="auto" w:sz="8" w:space="0"/>
              <w:bottom w:val="single" w:color="auto" w:sz="8" w:space="0"/>
            </w:tcBorders>
            <w:noWrap w:val="0"/>
            <w:vAlign w:val="center"/>
          </w:tcPr>
          <w:p w14:paraId="5A1BB7D2">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8.0</w:t>
            </w:r>
          </w:p>
        </w:tc>
        <w:tc>
          <w:tcPr>
            <w:tcW w:w="2763" w:type="dxa"/>
            <w:tcBorders>
              <w:top w:val="single" w:color="auto" w:sz="8" w:space="0"/>
              <w:bottom w:val="single" w:color="auto" w:sz="8" w:space="0"/>
            </w:tcBorders>
            <w:noWrap w:val="0"/>
            <w:vAlign w:val="center"/>
          </w:tcPr>
          <w:p w14:paraId="6B159D03">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10.0</w:t>
            </w:r>
          </w:p>
        </w:tc>
      </w:tr>
      <w:tr w14:paraId="06EEE8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895" w:type="dxa"/>
            <w:tcBorders>
              <w:top w:val="single" w:color="auto" w:sz="8" w:space="0"/>
              <w:bottom w:val="single" w:color="auto" w:sz="8" w:space="0"/>
            </w:tcBorders>
            <w:noWrap w:val="0"/>
            <w:vAlign w:val="center"/>
          </w:tcPr>
          <w:p w14:paraId="6D0387AA">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700＜</w:t>
            </w:r>
            <w:r>
              <w:rPr>
                <w:rFonts w:hint="eastAsia" w:ascii="宋体" w:hAnsi="宋体" w:eastAsia="宋体" w:cs="宋体"/>
                <w:i/>
                <w:color w:val="auto"/>
                <w:szCs w:val="21"/>
                <w:highlight w:val="none"/>
              </w:rPr>
              <w:t>Ui</w:t>
            </w:r>
            <w:r>
              <w:rPr>
                <w:rFonts w:hint="eastAsia" w:ascii="宋体" w:hAnsi="宋体" w:eastAsia="宋体" w:cs="宋体"/>
                <w:color w:val="auto"/>
                <w:szCs w:val="21"/>
                <w:highlight w:val="none"/>
              </w:rPr>
              <w:t>≤950</w:t>
            </w:r>
          </w:p>
        </w:tc>
        <w:tc>
          <w:tcPr>
            <w:tcW w:w="2628" w:type="dxa"/>
            <w:tcBorders>
              <w:top w:val="single" w:color="auto" w:sz="8" w:space="0"/>
              <w:bottom w:val="single" w:color="auto" w:sz="8" w:space="0"/>
            </w:tcBorders>
            <w:noWrap w:val="0"/>
            <w:vAlign w:val="center"/>
          </w:tcPr>
          <w:p w14:paraId="46374925">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14.0</w:t>
            </w:r>
          </w:p>
        </w:tc>
        <w:tc>
          <w:tcPr>
            <w:tcW w:w="2763" w:type="dxa"/>
            <w:tcBorders>
              <w:top w:val="single" w:color="auto" w:sz="8" w:space="0"/>
              <w:bottom w:val="single" w:color="auto" w:sz="8" w:space="0"/>
            </w:tcBorders>
            <w:noWrap w:val="0"/>
            <w:vAlign w:val="center"/>
          </w:tcPr>
          <w:p w14:paraId="2404FF1E">
            <w:pPr>
              <w:widowControl/>
              <w:jc w:val="center"/>
              <w:rPr>
                <w:rFonts w:hint="eastAsia" w:hAnsi="宋体" w:cs="宋体"/>
                <w:color w:val="auto"/>
                <w:szCs w:val="21"/>
                <w:highlight w:val="none"/>
              </w:rPr>
            </w:pPr>
            <w:r>
              <w:rPr>
                <w:rFonts w:hint="eastAsia" w:ascii="宋体" w:hAnsi="宋体" w:eastAsia="宋体" w:cs="宋体"/>
                <w:color w:val="auto"/>
                <w:szCs w:val="21"/>
                <w:highlight w:val="none"/>
              </w:rPr>
              <w:t>20.0</w:t>
            </w:r>
          </w:p>
        </w:tc>
      </w:tr>
      <w:tr w14:paraId="0EC27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286" w:type="dxa"/>
            <w:gridSpan w:val="3"/>
            <w:tcBorders>
              <w:top w:val="single" w:color="auto" w:sz="8" w:space="0"/>
              <w:bottom w:val="single" w:color="auto" w:sz="8" w:space="0"/>
            </w:tcBorders>
            <w:noWrap w:val="0"/>
            <w:vAlign w:val="center"/>
          </w:tcPr>
          <w:p w14:paraId="2E19051C">
            <w:pPr>
              <w:widowControl/>
              <w:jc w:val="left"/>
              <w:rPr>
                <w:rFonts w:hint="eastAsia" w:hAnsi="宋体" w:cs="宋体"/>
                <w:color w:val="auto"/>
                <w:szCs w:val="21"/>
                <w:highlight w:val="none"/>
              </w:rPr>
            </w:pPr>
            <w:r>
              <w:rPr>
                <w:rFonts w:hint="eastAsia" w:ascii="宋体" w:hAnsi="宋体" w:eastAsia="宋体" w:cs="宋体"/>
                <w:color w:val="auto"/>
                <w:szCs w:val="21"/>
                <w:highlight w:val="none"/>
              </w:rPr>
              <w:t>注1：当主电路与控制电路或辅助电路的额定绝缘电压不一致时，其电气间隙和爬电距离可分别按其额定值选取。</w:t>
            </w:r>
          </w:p>
          <w:p w14:paraId="25809615">
            <w:pPr>
              <w:widowControl/>
              <w:jc w:val="left"/>
              <w:rPr>
                <w:rFonts w:hint="eastAsia" w:hAnsi="宋体" w:cs="宋体"/>
                <w:color w:val="auto"/>
                <w:szCs w:val="21"/>
                <w:highlight w:val="none"/>
              </w:rPr>
            </w:pPr>
            <w:r>
              <w:rPr>
                <w:rFonts w:hint="eastAsia" w:ascii="宋体" w:hAnsi="宋体" w:eastAsia="宋体" w:cs="宋体"/>
                <w:color w:val="auto"/>
                <w:szCs w:val="21"/>
                <w:highlight w:val="none"/>
              </w:rPr>
              <w:t>注2：具有不同额定值主电路或控制电路导电部分之间的电气间隙与爬电距离，应按最高额定绝缘电压选取。</w:t>
            </w:r>
          </w:p>
          <w:p w14:paraId="30AA7BEC">
            <w:pPr>
              <w:widowControl/>
              <w:jc w:val="left"/>
              <w:rPr>
                <w:rFonts w:hint="eastAsia" w:hAnsi="宋体" w:cs="宋体"/>
                <w:color w:val="auto"/>
                <w:szCs w:val="21"/>
                <w:highlight w:val="none"/>
              </w:rPr>
            </w:pPr>
            <w:r>
              <w:rPr>
                <w:rFonts w:hint="eastAsia" w:ascii="宋体" w:hAnsi="宋体" w:eastAsia="宋体" w:cs="宋体"/>
                <w:color w:val="auto"/>
                <w:szCs w:val="21"/>
                <w:highlight w:val="none"/>
              </w:rPr>
              <w:t>注3：小母线、汇流排或不同级的裸露的带电导体之间，以及裸露的带电导体与未经绝缘的不带电导体之间的电气间隙不小于12mm，爬电距离不小于20mm。</w:t>
            </w:r>
          </w:p>
        </w:tc>
      </w:tr>
    </w:tbl>
    <w:p w14:paraId="0D2BAB24">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接地要求</w:t>
      </w:r>
    </w:p>
    <w:p w14:paraId="25259823">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充电机的接地要求应能满足以下的规定：</w:t>
      </w:r>
    </w:p>
    <w:p w14:paraId="652477D1">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1）充电机金属壳体应设置接地螺栓，其直径不得小于6mm，并应有接地标志。</w:t>
      </w:r>
    </w:p>
    <w:p w14:paraId="26D7AA63">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2）所有作为隔离带电导体的金属隔板、电气元件的金属外壳以及金属手柄等均应有效接地，连续性电阻不应大于0.1Ω。</w:t>
      </w:r>
    </w:p>
    <w:p w14:paraId="4A0CC258">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3）充电机的门、盖板、覆板和类似部件，应采用保护导体将这些部件和充电机主体框架连接，此保护导体的截面积不得小于2.5mm2。</w:t>
      </w:r>
    </w:p>
    <w:p w14:paraId="00D48D07">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4）接地母线和柜体之间的所有连接应躲开（或穿透绝缘层）喷漆层，以保证有效的电气连接。</w:t>
      </w:r>
    </w:p>
    <w:p w14:paraId="08331F6B">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绝缘性能</w:t>
      </w:r>
    </w:p>
    <w:p w14:paraId="09082643">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绝缘电阻</w:t>
      </w:r>
    </w:p>
    <w:p w14:paraId="23836B94">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用开路电压为规定电压的测试仪器测量，充电机非电气连接的各带电回路之间、各独立带电回路与地（金属外壳）之间绝缘电阻不应小于10MΩ。</w:t>
      </w:r>
    </w:p>
    <w:p w14:paraId="05E7427D">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工频耐压</w:t>
      </w:r>
    </w:p>
    <w:p w14:paraId="29C08BD7">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充电机非电气连接的各带电回路之间、各独立带电回路与地（金属外壳）之间，按其工作电压应能承受所规定历时1 min的工频耐压试验（也可采用直流电压，试验电压为交流电压有效值的1.4倍）。试验过程中应无绝缘击穿和闪络现象。</w:t>
      </w:r>
    </w:p>
    <w:p w14:paraId="2D5D563E">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冲击电压</w:t>
      </w:r>
    </w:p>
    <w:p w14:paraId="64B9502A">
      <w:pPr>
        <w:pStyle w:val="4"/>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充电机各带电回路、各带电电路对地（金属外壳）之间，按其工作电压应能承受所规定标准雷电波的短时冲击电压试验。试验过程中应无击穿放电。</w:t>
      </w:r>
    </w:p>
    <w:p w14:paraId="444399E9">
      <w:pPr>
        <w:pStyle w:val="40"/>
        <w:numPr>
          <w:ilvl w:val="0"/>
          <w:numId w:val="0"/>
        </w:numPr>
        <w:spacing w:beforeLines="0" w:afterLines="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绝缘试验的试验等级</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136"/>
        <w:gridCol w:w="3424"/>
        <w:gridCol w:w="2457"/>
        <w:gridCol w:w="2227"/>
      </w:tblGrid>
      <w:tr w14:paraId="2DB8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1043" w:type="pct"/>
            <w:noWrap w:val="0"/>
            <w:vAlign w:val="center"/>
          </w:tcPr>
          <w:p w14:paraId="654B3B7C">
            <w:pPr>
              <w:autoSpaceDE w:val="0"/>
              <w:autoSpaceDN w:val="0"/>
              <w:adjustRightInd w:val="0"/>
              <w:jc w:val="center"/>
              <w:rPr>
                <w:rFonts w:hint="eastAsia" w:hAnsi="宋体" w:cs="宋体"/>
                <w:color w:val="auto"/>
                <w:szCs w:val="21"/>
                <w:highlight w:val="none"/>
              </w:rPr>
            </w:pPr>
            <w:r>
              <w:rPr>
                <w:rFonts w:hint="eastAsia" w:ascii="宋体" w:hAnsi="宋体" w:eastAsia="宋体" w:cs="宋体"/>
                <w:color w:val="auto"/>
                <w:szCs w:val="21"/>
                <w:highlight w:val="none"/>
              </w:rPr>
              <w:t>额定绝缘电压Ui（V）</w:t>
            </w:r>
          </w:p>
        </w:tc>
        <w:tc>
          <w:tcPr>
            <w:tcW w:w="1671" w:type="pct"/>
            <w:noWrap w:val="0"/>
            <w:vAlign w:val="center"/>
          </w:tcPr>
          <w:p w14:paraId="4CC5CD6A">
            <w:pPr>
              <w:autoSpaceDE w:val="0"/>
              <w:autoSpaceDN w:val="0"/>
              <w:adjustRightInd w:val="0"/>
              <w:jc w:val="center"/>
              <w:rPr>
                <w:rFonts w:hint="eastAsia" w:hAnsi="宋体" w:cs="宋体"/>
                <w:color w:val="auto"/>
                <w:szCs w:val="21"/>
                <w:highlight w:val="none"/>
              </w:rPr>
            </w:pPr>
            <w:r>
              <w:rPr>
                <w:rFonts w:hint="eastAsia" w:ascii="宋体" w:hAnsi="宋体" w:eastAsia="宋体" w:cs="宋体"/>
                <w:color w:val="auto"/>
                <w:szCs w:val="21"/>
                <w:highlight w:val="none"/>
              </w:rPr>
              <w:t>绝缘电阻测试仪器的电压等级（V）</w:t>
            </w:r>
          </w:p>
        </w:tc>
        <w:tc>
          <w:tcPr>
            <w:tcW w:w="1199" w:type="pct"/>
            <w:noWrap w:val="0"/>
            <w:vAlign w:val="center"/>
          </w:tcPr>
          <w:p w14:paraId="7E50849F">
            <w:pPr>
              <w:autoSpaceDE w:val="0"/>
              <w:autoSpaceDN w:val="0"/>
              <w:adjustRightInd w:val="0"/>
              <w:jc w:val="center"/>
              <w:rPr>
                <w:rFonts w:hint="eastAsia" w:hAnsi="宋体" w:cs="宋体"/>
                <w:color w:val="auto"/>
                <w:szCs w:val="21"/>
                <w:highlight w:val="none"/>
              </w:rPr>
            </w:pPr>
            <w:r>
              <w:rPr>
                <w:rFonts w:hint="eastAsia" w:ascii="宋体" w:hAnsi="宋体" w:eastAsia="宋体" w:cs="宋体"/>
                <w:color w:val="auto"/>
                <w:szCs w:val="21"/>
                <w:highlight w:val="none"/>
              </w:rPr>
              <w:t>工频耐压试验电压（kV）</w:t>
            </w:r>
          </w:p>
        </w:tc>
        <w:tc>
          <w:tcPr>
            <w:tcW w:w="1087" w:type="pct"/>
            <w:noWrap w:val="0"/>
            <w:vAlign w:val="center"/>
          </w:tcPr>
          <w:p w14:paraId="2D4E2AC7">
            <w:pPr>
              <w:autoSpaceDE w:val="0"/>
              <w:autoSpaceDN w:val="0"/>
              <w:adjustRightInd w:val="0"/>
              <w:jc w:val="center"/>
              <w:rPr>
                <w:rFonts w:hint="eastAsia" w:hAnsi="宋体" w:cs="宋体"/>
                <w:color w:val="auto"/>
                <w:szCs w:val="21"/>
                <w:highlight w:val="none"/>
              </w:rPr>
            </w:pPr>
            <w:r>
              <w:rPr>
                <w:rFonts w:hint="eastAsia" w:ascii="宋体" w:hAnsi="宋体" w:eastAsia="宋体" w:cs="宋体"/>
                <w:color w:val="auto"/>
                <w:szCs w:val="21"/>
                <w:highlight w:val="none"/>
              </w:rPr>
              <w:t>冲击耐压试验电压（kV）</w:t>
            </w:r>
          </w:p>
        </w:tc>
      </w:tr>
      <w:tr w14:paraId="0285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1043" w:type="pct"/>
            <w:noWrap w:val="0"/>
            <w:vAlign w:val="center"/>
          </w:tcPr>
          <w:p w14:paraId="28E901D3">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 60</w:t>
            </w:r>
          </w:p>
        </w:tc>
        <w:tc>
          <w:tcPr>
            <w:tcW w:w="1671" w:type="pct"/>
            <w:noWrap w:val="0"/>
            <w:vAlign w:val="center"/>
          </w:tcPr>
          <w:p w14:paraId="1E101E01">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250</w:t>
            </w:r>
          </w:p>
        </w:tc>
        <w:tc>
          <w:tcPr>
            <w:tcW w:w="1199" w:type="pct"/>
            <w:noWrap w:val="0"/>
            <w:vAlign w:val="center"/>
          </w:tcPr>
          <w:p w14:paraId="144AE961">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1.0(1.4)</w:t>
            </w:r>
          </w:p>
        </w:tc>
        <w:tc>
          <w:tcPr>
            <w:tcW w:w="1087" w:type="pct"/>
            <w:noWrap w:val="0"/>
            <w:vAlign w:val="center"/>
          </w:tcPr>
          <w:p w14:paraId="15F07531">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1</w:t>
            </w:r>
          </w:p>
        </w:tc>
      </w:tr>
      <w:tr w14:paraId="3B25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noWrap w:val="0"/>
            <w:vAlign w:val="center"/>
          </w:tcPr>
          <w:p w14:paraId="020F2111">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60 ＜ U</w:t>
            </w:r>
            <w:r>
              <w:rPr>
                <w:rFonts w:hint="eastAsia" w:ascii="宋体" w:hAnsi="宋体" w:eastAsia="宋体" w:cs="宋体"/>
                <w:color w:val="auto"/>
                <w:szCs w:val="21"/>
                <w:highlight w:val="none"/>
                <w:vertAlign w:val="subscript"/>
              </w:rPr>
              <w:t xml:space="preserve">I </w:t>
            </w:r>
            <w:r>
              <w:rPr>
                <w:rFonts w:hint="eastAsia" w:ascii="宋体" w:hAnsi="宋体" w:eastAsia="宋体" w:cs="宋体"/>
                <w:color w:val="auto"/>
                <w:szCs w:val="21"/>
                <w:highlight w:val="none"/>
              </w:rPr>
              <w:t>≤ 300</w:t>
            </w:r>
          </w:p>
        </w:tc>
        <w:tc>
          <w:tcPr>
            <w:tcW w:w="1671" w:type="pct"/>
            <w:noWrap w:val="0"/>
            <w:vAlign w:val="center"/>
          </w:tcPr>
          <w:p w14:paraId="27955EC6">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500</w:t>
            </w:r>
          </w:p>
        </w:tc>
        <w:tc>
          <w:tcPr>
            <w:tcW w:w="1199" w:type="pct"/>
            <w:noWrap w:val="0"/>
            <w:vAlign w:val="center"/>
          </w:tcPr>
          <w:p w14:paraId="4CFCCD12">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2.0(2.8)</w:t>
            </w:r>
          </w:p>
        </w:tc>
        <w:tc>
          <w:tcPr>
            <w:tcW w:w="1087" w:type="pct"/>
            <w:noWrap w:val="0"/>
            <w:vAlign w:val="center"/>
          </w:tcPr>
          <w:p w14:paraId="5B4177BA">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±2.5</w:t>
            </w:r>
          </w:p>
        </w:tc>
      </w:tr>
      <w:tr w14:paraId="174D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noWrap w:val="0"/>
            <w:vAlign w:val="center"/>
          </w:tcPr>
          <w:p w14:paraId="2A651461">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300 ＜ U</w:t>
            </w:r>
            <w:r>
              <w:rPr>
                <w:rFonts w:hint="eastAsia" w:ascii="宋体" w:hAnsi="宋体" w:eastAsia="宋体" w:cs="宋体"/>
                <w:color w:val="auto"/>
                <w:szCs w:val="21"/>
                <w:highlight w:val="none"/>
                <w:vertAlign w:val="subscript"/>
              </w:rPr>
              <w:t xml:space="preserve">I </w:t>
            </w:r>
            <w:r>
              <w:rPr>
                <w:rFonts w:hint="eastAsia" w:ascii="宋体" w:hAnsi="宋体" w:eastAsia="宋体" w:cs="宋体"/>
                <w:color w:val="auto"/>
                <w:szCs w:val="21"/>
                <w:highlight w:val="none"/>
              </w:rPr>
              <w:t>≤ 700</w:t>
            </w:r>
          </w:p>
        </w:tc>
        <w:tc>
          <w:tcPr>
            <w:tcW w:w="1671" w:type="pct"/>
            <w:noWrap w:val="0"/>
            <w:vAlign w:val="center"/>
          </w:tcPr>
          <w:p w14:paraId="6ED8E0FC">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1000</w:t>
            </w:r>
          </w:p>
        </w:tc>
        <w:tc>
          <w:tcPr>
            <w:tcW w:w="1199" w:type="pct"/>
            <w:noWrap w:val="0"/>
            <w:vAlign w:val="center"/>
          </w:tcPr>
          <w:p w14:paraId="0141CB75">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2.4(3.36)</w:t>
            </w:r>
          </w:p>
        </w:tc>
        <w:tc>
          <w:tcPr>
            <w:tcW w:w="1087" w:type="pct"/>
            <w:noWrap w:val="0"/>
            <w:vAlign w:val="center"/>
          </w:tcPr>
          <w:p w14:paraId="061EF617">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±6</w:t>
            </w:r>
          </w:p>
        </w:tc>
      </w:tr>
      <w:tr w14:paraId="42D0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noWrap w:val="0"/>
            <w:vAlign w:val="center"/>
          </w:tcPr>
          <w:p w14:paraId="4B543633">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700 ＜ UI ≤ 950</w:t>
            </w:r>
          </w:p>
        </w:tc>
        <w:tc>
          <w:tcPr>
            <w:tcW w:w="1671" w:type="pct"/>
            <w:noWrap w:val="0"/>
            <w:vAlign w:val="center"/>
          </w:tcPr>
          <w:p w14:paraId="6D4FFCA3">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1000</w:t>
            </w:r>
          </w:p>
        </w:tc>
        <w:tc>
          <w:tcPr>
            <w:tcW w:w="1199" w:type="pct"/>
            <w:noWrap w:val="0"/>
            <w:vAlign w:val="center"/>
          </w:tcPr>
          <w:p w14:paraId="63D00A81">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2×UI +1.0</w:t>
            </w:r>
          </w:p>
          <w:p w14:paraId="27E5A44A">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(2.8×UI +1.4)</w:t>
            </w:r>
          </w:p>
        </w:tc>
        <w:tc>
          <w:tcPr>
            <w:tcW w:w="1087" w:type="pct"/>
            <w:noWrap w:val="0"/>
            <w:vAlign w:val="center"/>
          </w:tcPr>
          <w:p w14:paraId="2374AAD7">
            <w:pPr>
              <w:autoSpaceDE w:val="0"/>
              <w:autoSpaceDN w:val="0"/>
              <w:adjustRightInd w:val="0"/>
              <w:snapToGrid w:val="0"/>
              <w:jc w:val="center"/>
              <w:rPr>
                <w:rFonts w:hint="eastAsia" w:hAnsi="宋体" w:cs="宋体"/>
                <w:color w:val="auto"/>
                <w:szCs w:val="21"/>
                <w:highlight w:val="none"/>
              </w:rPr>
            </w:pPr>
            <w:r>
              <w:rPr>
                <w:rFonts w:hint="eastAsia" w:ascii="宋体" w:hAnsi="宋体" w:eastAsia="宋体" w:cs="宋体"/>
                <w:color w:val="auto"/>
                <w:szCs w:val="21"/>
                <w:highlight w:val="none"/>
              </w:rPr>
              <w:t>±6</w:t>
            </w:r>
          </w:p>
        </w:tc>
      </w:tr>
      <w:tr w14:paraId="642F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5" w:hRule="atLeast"/>
          <w:jc w:val="center"/>
        </w:trPr>
        <w:tc>
          <w:tcPr>
            <w:tcW w:w="5000" w:type="pct"/>
            <w:gridSpan w:val="4"/>
            <w:noWrap w:val="0"/>
            <w:vAlign w:val="center"/>
          </w:tcPr>
          <w:p w14:paraId="68659869">
            <w:pPr>
              <w:jc w:val="center"/>
              <w:rPr>
                <w:rFonts w:hint="eastAsia" w:hAnsi="宋体" w:cs="宋体"/>
                <w:color w:val="auto"/>
                <w:szCs w:val="21"/>
                <w:highlight w:val="none"/>
              </w:rPr>
            </w:pPr>
            <w:r>
              <w:rPr>
                <w:rFonts w:hint="eastAsia" w:ascii="宋体" w:hAnsi="宋体" w:eastAsia="宋体" w:cs="宋体"/>
                <w:color w:val="auto"/>
                <w:szCs w:val="21"/>
                <w:highlight w:val="none"/>
              </w:rPr>
              <w:t>注：括号内数据为直流介质强度试验值。</w:t>
            </w:r>
          </w:p>
        </w:tc>
      </w:tr>
    </w:tbl>
    <w:p w14:paraId="12CE753B">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安全要求</w:t>
      </w:r>
    </w:p>
    <w:p w14:paraId="4302BA32">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充电机的安全性要求应满足GB/T 18487.1-2015附录B中对应的描述及技术参数要求。</w:t>
      </w:r>
    </w:p>
    <w:p w14:paraId="527B6B6C">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1）充电机应具备电源输入侧的过压保护和欠压保护。</w:t>
      </w:r>
    </w:p>
    <w:p w14:paraId="41519C41">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2）充电机应具备输出过压保护。</w:t>
      </w:r>
    </w:p>
    <w:p w14:paraId="0B718707">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3）充电机应具备输出过电流和短路保护。</w:t>
      </w:r>
    </w:p>
    <w:p w14:paraId="273C3686">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4）充电机应具备内部过温保护，当内部温度达到保护值时，采取降功率或停止输出。需具备超温断电功能，当温度过高时，可自动切断充电，防止发生高温自燃等意外，保护充电设备及新能源汽车安全。</w:t>
      </w:r>
    </w:p>
    <w:p w14:paraId="05F51D51">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5）充电过程中20分钟内温度升高超过15度保护。</w:t>
      </w:r>
    </w:p>
    <w:p w14:paraId="215DB2F9">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6）充电机的绝缘检测功能应与车辆绝缘检测功能相配合。</w:t>
      </w:r>
    </w:p>
    <w:p w14:paraId="352076EC">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7）充电过程中当发生下列情况时，充电机应能在100ms内断开直流输出接触器，且直流输出电压应在1s内下降至60V以下。</w:t>
      </w:r>
    </w:p>
    <w:p w14:paraId="625169F4">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启动急停开关；控制导引故障。</w:t>
      </w:r>
    </w:p>
    <w:p w14:paraId="1F875A7B">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8）充电机在启动充电时应人工确认启动。</w:t>
      </w:r>
    </w:p>
    <w:p w14:paraId="7F8B8D61">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9）充电机应具备限制冲击电流功能，冲击电流不应超过额定输入电流的110%。</w:t>
      </w:r>
    </w:p>
    <w:p w14:paraId="5E26E2D5">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10）充电机应具备电池反接保护功能。</w:t>
      </w:r>
    </w:p>
    <w:p w14:paraId="66943F39">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11）充电机在自动充电前，应具有电池电压检测功能。</w:t>
      </w:r>
    </w:p>
    <w:p w14:paraId="1AD33F14">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12）充电机在充电过程中应具有防止充电连接器意外脱落的锁止装置，直流充电时，车辆接口应具有锁止功能，该锁止功能应符合GB/T20234.1的相关要求。车辆插头端应安装机械锁止装置，供电设备应能判断机械锁是否可靠锁止。车辆插头应安装电子锁止装置，电子锁处于锁止位置时，机械锁应无法操作，供电设备应能判断电子锁是否可靠锁止。当机械锁或电子锁未可靠锁止时，供电设备应停止充电或不启动充电。直流充电车辆接口锁止装置工作示例参见GB/T18487.1-2015附录C。</w:t>
      </w:r>
    </w:p>
    <w:p w14:paraId="00D93A47">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13）充电过程中BMS传递的SOC/V/I/Vcell Max/Tempture这些信息维持不变超过3分钟保护。</w:t>
      </w:r>
    </w:p>
    <w:p w14:paraId="0063F02E">
      <w:pPr>
        <w:overflowPunct w:val="0"/>
        <w:topLinePunct/>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14）充电机应具备防止电池电流倒灌功能。</w:t>
      </w:r>
    </w:p>
    <w:p w14:paraId="49B7E948">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15）充电设备能够支持场站级负荷约束，多单桩间共享有限变压器容量时，可以互相调节每台单桩的输出，最大化、智能利用变压器和每台充电桩的功率输出，防止变压器超负荷、利用率低。</w:t>
      </w:r>
    </w:p>
    <w:p w14:paraId="47FAEB3B">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16）插枪归位提醒功能检验，充电完成拔枪后未归位，系统提示请还枪归位，可减少枪头随意放置的情况。</w:t>
      </w:r>
    </w:p>
    <w:p w14:paraId="0C4FB2A2">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机械强度</w:t>
      </w:r>
    </w:p>
    <w:p w14:paraId="23FDD4A0">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按GB/T 2423.55-2006规定的方法进行试验，剧烈冲击能量为20J（5kg，在0.4m）。试验结束后，充电机的IP等级不受影响，绝缘性能不应降低，门的操作和锁止点不应损坏。</w:t>
      </w:r>
    </w:p>
    <w:p w14:paraId="6FECB5B5">
      <w:pPr>
        <w:spacing w:line="360" w:lineRule="auto"/>
        <w:rPr>
          <w:rFonts w:hint="eastAsia" w:hAnsi="宋体" w:cs="宋体"/>
          <w:b/>
          <w:bCs/>
          <w:color w:val="auto"/>
          <w:szCs w:val="21"/>
          <w:highlight w:val="none"/>
        </w:rPr>
      </w:pPr>
      <w:bookmarkStart w:id="1455" w:name="_Toc1752"/>
      <w:bookmarkStart w:id="1456" w:name="_Toc90402996"/>
      <w:bookmarkStart w:id="1457" w:name="_Toc89357015"/>
      <w:r>
        <w:rPr>
          <w:rFonts w:hint="eastAsia" w:ascii="宋体" w:hAnsi="宋体" w:eastAsia="宋体" w:cs="宋体"/>
          <w:b/>
          <w:bCs/>
          <w:color w:val="auto"/>
          <w:szCs w:val="21"/>
          <w:highlight w:val="none"/>
        </w:rPr>
        <w:t>高低温和湿热性能</w:t>
      </w:r>
      <w:bookmarkEnd w:id="1455"/>
      <w:bookmarkEnd w:id="1456"/>
      <w:bookmarkEnd w:id="1457"/>
    </w:p>
    <w:p w14:paraId="3AF1F5DA">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高低温性能</w:t>
      </w:r>
    </w:p>
    <w:p w14:paraId="3F58D6BA">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试验温度为规定的下限值，待达到试验温度后启动充电机，充电机应能正常工作。</w:t>
      </w:r>
    </w:p>
    <w:p w14:paraId="6E8F8668">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充电设备可在-40℃～+70℃环境下正常启动充电；</w:t>
      </w:r>
    </w:p>
    <w:p w14:paraId="28574C51">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湿热性能</w:t>
      </w:r>
    </w:p>
    <w:p w14:paraId="18E24EB2">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按GB/T2423.4-2008中试验Db规定的方法进行试验，试验温度为（40±2）℃，循环次数为2次，在试验结束前2h进行绝缘电阻和介电强度检测，其中绝缘电阻不应小于1MΩ，介电强度按规定值的75％施加测量电压。试验结束后，恢复至正常大气条件，通电后检查充电机各项功能应正常。</w:t>
      </w:r>
    </w:p>
    <w:p w14:paraId="0C5B562C">
      <w:pPr>
        <w:spacing w:line="360" w:lineRule="auto"/>
        <w:rPr>
          <w:rFonts w:hint="eastAsia" w:hAnsi="宋体" w:cs="宋体"/>
          <w:b/>
          <w:bCs/>
          <w:color w:val="auto"/>
          <w:szCs w:val="21"/>
          <w:highlight w:val="none"/>
        </w:rPr>
      </w:pPr>
      <w:r>
        <w:rPr>
          <w:rFonts w:hint="eastAsia" w:ascii="宋体" w:hAnsi="宋体" w:eastAsia="宋体" w:cs="宋体"/>
          <w:b/>
          <w:bCs/>
          <w:color w:val="auto"/>
          <w:szCs w:val="21"/>
          <w:highlight w:val="none"/>
        </w:rPr>
        <w:t>充电机要求</w:t>
      </w:r>
    </w:p>
    <w:p w14:paraId="7B54FBEF">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要求充电枪在非充电状态下，整体不带电，拔下充电枪，就地充电装置没有任何电源，插入充电枪、认证信息后通电，无安全隐患。</w:t>
      </w:r>
    </w:p>
    <w:p w14:paraId="4B660D93">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1）充电机应外观线条流畅、整体紧凑、简洁时尚，与安装地点周边环境相协调。</w:t>
      </w:r>
    </w:p>
    <w:p w14:paraId="0FE0F0D2">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2）充电机内部线束，应排布整齐、规整，标识清楚，捆扎牢固。</w:t>
      </w:r>
    </w:p>
    <w:p w14:paraId="26489176">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3）充电机内元器件应布局合理，易耗易损元件方便更换。</w:t>
      </w:r>
    </w:p>
    <w:p w14:paraId="144E1646">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4）充电机安装于户外时，应便于特殊天气条件下的日常维护。</w:t>
      </w:r>
    </w:p>
    <w:p w14:paraId="38650342">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5）充电机应采用抗冲击力强、抗老化的材质。</w:t>
      </w:r>
    </w:p>
    <w:p w14:paraId="4BC25BCC">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6）充电机表面涂覆色泽层应均匀光洁，不起泡、不龟裂、不脱落。</w:t>
      </w:r>
    </w:p>
    <w:p w14:paraId="5844D4EA">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7）非绝缘材料外壳应可靠接地，结构上应防止操作人员触及带电部件。</w:t>
      </w:r>
    </w:p>
    <w:p w14:paraId="1F264793">
      <w:pPr>
        <w:rPr>
          <w:rFonts w:hint="eastAsia" w:hAnsi="宋体" w:cs="宋体"/>
          <w:color w:val="auto"/>
          <w:szCs w:val="21"/>
          <w:highlight w:val="none"/>
        </w:rPr>
      </w:pPr>
      <w:r>
        <w:rPr>
          <w:rFonts w:hint="eastAsia" w:ascii="宋体" w:hAnsi="宋体" w:eastAsia="宋体" w:cs="宋体"/>
          <w:b/>
          <w:bCs/>
          <w:color w:val="auto"/>
          <w:szCs w:val="21"/>
          <w:highlight w:val="none"/>
        </w:rPr>
        <w:br w:type="page"/>
      </w:r>
    </w:p>
    <w:p w14:paraId="18167E78">
      <w:pPr>
        <w:pStyle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监控与运营管理云平台技术要求</w:t>
      </w:r>
    </w:p>
    <w:p w14:paraId="3C6BE07E">
      <w:pPr>
        <w:keepNext/>
        <w:keepLines/>
        <w:numPr>
          <w:ilvl w:val="2"/>
          <w:numId w:val="9"/>
        </w:numPr>
        <w:spacing w:line="360" w:lineRule="auto"/>
        <w:outlineLvl w:val="2"/>
        <w:rPr>
          <w:rFonts w:hint="eastAsia" w:hAnsi="宋体" w:cs="宋体"/>
          <w:color w:val="auto"/>
          <w:szCs w:val="21"/>
          <w:highlight w:val="none"/>
        </w:rPr>
      </w:pPr>
      <w:r>
        <w:rPr>
          <w:rFonts w:hint="eastAsia" w:ascii="宋体" w:hAnsi="宋体" w:eastAsia="宋体" w:cs="宋体"/>
          <w:color w:val="auto"/>
          <w:szCs w:val="21"/>
          <w:highlight w:val="none"/>
        </w:rPr>
        <w:t>技术要求</w:t>
      </w:r>
    </w:p>
    <w:p w14:paraId="2EA18411">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所招标的监控与运营管理云平台，能够提供稳定的充电服务，满足运营需求，并且能连通云端成熟的充电防护平台实现大数据安全防护和设备智能运维，保证充电过程安全，提升运维能效。</w:t>
      </w:r>
    </w:p>
    <w:p w14:paraId="279524D1">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操作系统要求：类Unix操作系统统一用CentOS7.2以上，或Windows操作系统统一用windows server 2012以上。</w:t>
      </w:r>
    </w:p>
    <w:p w14:paraId="093F9B55">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数据库选用范围：MySQL、MongoDB、PostgreSQL。</w:t>
      </w:r>
    </w:p>
    <w:p w14:paraId="7F1DE657">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搜索引擎：es。</w:t>
      </w:r>
    </w:p>
    <w:p w14:paraId="16813ECB">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消息队列：需使用Kafka、RabbitMQ。</w:t>
      </w:r>
    </w:p>
    <w:p w14:paraId="2EE06672">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缓存：需使用Redis。</w:t>
      </w:r>
    </w:p>
    <w:p w14:paraId="60248CDD">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其他技术要求：</w:t>
      </w:r>
    </w:p>
    <w:p w14:paraId="623479BD">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（1）必须使用微服务架构，满足未来充电桩体量的支撑。</w:t>
      </w:r>
    </w:p>
    <w:p w14:paraId="74F89D4A">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（2）订单数据存储永久保存</w:t>
      </w:r>
    </w:p>
    <w:p w14:paraId="2AE3D59F">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（3）需要提供详细的外部接口文档</w:t>
      </w:r>
    </w:p>
    <w:p w14:paraId="782715BF">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（4）系统具有备份和容灾能力</w:t>
      </w:r>
    </w:p>
    <w:p w14:paraId="6911F2D8">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（5）上线前需要对整套系统进行压测</w:t>
      </w:r>
    </w:p>
    <w:p w14:paraId="3C39EDBE">
      <w:pPr>
        <w:keepNext/>
        <w:keepLines/>
        <w:numPr>
          <w:ilvl w:val="2"/>
          <w:numId w:val="9"/>
        </w:numPr>
        <w:spacing w:line="360" w:lineRule="auto"/>
        <w:outlineLvl w:val="2"/>
        <w:rPr>
          <w:rFonts w:hint="eastAsia" w:hAnsi="宋体" w:cs="宋体"/>
          <w:color w:val="auto"/>
          <w:szCs w:val="21"/>
          <w:highlight w:val="none"/>
        </w:rPr>
      </w:pPr>
      <w:bookmarkStart w:id="1458" w:name="_Toc90480354"/>
      <w:bookmarkStart w:id="1459" w:name="_Toc109049677"/>
      <w:bookmarkStart w:id="1460" w:name="_Toc53664667"/>
      <w:bookmarkStart w:id="1461" w:name="_Toc90403024"/>
      <w:r>
        <w:rPr>
          <w:rFonts w:hint="eastAsia" w:ascii="宋体" w:hAnsi="宋体" w:eastAsia="宋体" w:cs="宋体"/>
          <w:color w:val="auto"/>
          <w:szCs w:val="21"/>
          <w:highlight w:val="none"/>
        </w:rPr>
        <w:t>功能需求</w:t>
      </w:r>
      <w:bookmarkEnd w:id="1458"/>
      <w:bookmarkEnd w:id="1459"/>
      <w:bookmarkEnd w:id="1460"/>
      <w:bookmarkEnd w:id="1461"/>
    </w:p>
    <w:p w14:paraId="73465E90">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运营平台端是本系统最基础、最核心的功能呈现，实现充电桩、站资源管理，充电桩计费规则，运营活动管理等运营管理，充电桩设备实时监控监管（实现充电站、桩实时监控），充电桩运维管理以及财务管理等功能，本平台也是车主用户端的管理后台。</w:t>
      </w:r>
    </w:p>
    <w:p w14:paraId="21809FCF">
      <w:pPr>
        <w:widowControl/>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系统设有运营门户、电站运营、客户运营、财务管理、设备运维、充电安全、数据分析、系统管理8大功能中心，详细功能清单如下：</w:t>
      </w:r>
    </w:p>
    <w:tbl>
      <w:tblPr>
        <w:tblStyle w:val="20"/>
        <w:tblW w:w="9175" w:type="dxa"/>
        <w:tblInd w:w="0" w:type="dxa"/>
        <w:tblLayout w:type="autofit"/>
        <w:tblCellMar>
          <w:top w:w="0" w:type="dxa"/>
          <w:left w:w="108" w:type="dxa"/>
          <w:bottom w:w="0" w:type="dxa"/>
          <w:right w:w="108" w:type="dxa"/>
        </w:tblCellMar>
      </w:tblPr>
      <w:tblGrid>
        <w:gridCol w:w="695"/>
        <w:gridCol w:w="890"/>
        <w:gridCol w:w="1938"/>
        <w:gridCol w:w="5652"/>
      </w:tblGrid>
      <w:tr w14:paraId="3CF1E5FB">
        <w:tblPrEx>
          <w:tblCellMar>
            <w:top w:w="0" w:type="dxa"/>
            <w:left w:w="108" w:type="dxa"/>
            <w:bottom w:w="0" w:type="dxa"/>
            <w:right w:w="108" w:type="dxa"/>
          </w:tblCellMar>
        </w:tblPrEx>
        <w:trPr>
          <w:trHeight w:val="326"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D9D9D9"/>
            <w:noWrap w:val="0"/>
            <w:vAlign w:val="center"/>
          </w:tcPr>
          <w:p w14:paraId="4A30CB95">
            <w:pPr>
              <w:widowControl/>
              <w:jc w:val="center"/>
              <w:rPr>
                <w:rFonts w:hint="eastAsia" w:hAnsi="宋体" w:cs="宋体"/>
                <w:b/>
                <w:bCs/>
                <w:color w:val="auto"/>
                <w:kern w:val="0"/>
                <w:szCs w:val="21"/>
                <w:highlight w:val="none"/>
              </w:rPr>
            </w:pPr>
            <w:r>
              <w:rPr>
                <w:rFonts w:hint="eastAsia" w:ascii="宋体" w:hAnsi="宋体" w:eastAsia="宋体" w:cs="宋体"/>
                <w:b/>
                <w:bCs/>
                <w:color w:val="auto"/>
                <w:kern w:val="0"/>
                <w:szCs w:val="21"/>
                <w:highlight w:val="none"/>
              </w:rPr>
              <w:t>模块</w:t>
            </w:r>
          </w:p>
        </w:tc>
        <w:tc>
          <w:tcPr>
            <w:tcW w:w="890" w:type="dxa"/>
            <w:vMerge w:val="restart"/>
            <w:tcBorders>
              <w:top w:val="single" w:color="auto" w:sz="4" w:space="0"/>
              <w:left w:val="single" w:color="auto" w:sz="4" w:space="0"/>
              <w:bottom w:val="single" w:color="auto" w:sz="4" w:space="0"/>
              <w:right w:val="single" w:color="auto" w:sz="4" w:space="0"/>
            </w:tcBorders>
            <w:shd w:val="clear" w:color="auto" w:fill="D9D9D9"/>
            <w:noWrap w:val="0"/>
            <w:vAlign w:val="center"/>
          </w:tcPr>
          <w:p w14:paraId="1A4E3204">
            <w:pPr>
              <w:widowControl/>
              <w:jc w:val="center"/>
              <w:rPr>
                <w:rFonts w:hint="eastAsia" w:hAnsi="宋体" w:cs="宋体"/>
                <w:b/>
                <w:bCs/>
                <w:color w:val="auto"/>
                <w:kern w:val="0"/>
                <w:szCs w:val="21"/>
                <w:highlight w:val="none"/>
              </w:rPr>
            </w:pPr>
            <w:r>
              <w:rPr>
                <w:rFonts w:hint="eastAsia" w:ascii="宋体" w:hAnsi="宋体" w:eastAsia="宋体" w:cs="宋体"/>
                <w:b/>
                <w:bCs/>
                <w:color w:val="auto"/>
                <w:kern w:val="0"/>
                <w:szCs w:val="21"/>
                <w:highlight w:val="none"/>
              </w:rPr>
              <w:t>菜单组</w:t>
            </w:r>
          </w:p>
        </w:tc>
        <w:tc>
          <w:tcPr>
            <w:tcW w:w="1938" w:type="dxa"/>
            <w:vMerge w:val="restart"/>
            <w:tcBorders>
              <w:top w:val="single" w:color="auto" w:sz="4" w:space="0"/>
              <w:left w:val="single" w:color="auto" w:sz="4" w:space="0"/>
              <w:bottom w:val="single" w:color="auto" w:sz="4" w:space="0"/>
              <w:right w:val="single" w:color="auto" w:sz="4" w:space="0"/>
            </w:tcBorders>
            <w:shd w:val="clear" w:color="auto" w:fill="D9D9D9"/>
            <w:noWrap w:val="0"/>
            <w:vAlign w:val="center"/>
          </w:tcPr>
          <w:p w14:paraId="35F5F8CB">
            <w:pPr>
              <w:widowControl/>
              <w:jc w:val="center"/>
              <w:rPr>
                <w:rFonts w:hint="eastAsia" w:hAnsi="宋体" w:cs="宋体"/>
                <w:b/>
                <w:bCs/>
                <w:color w:val="auto"/>
                <w:kern w:val="0"/>
                <w:szCs w:val="21"/>
                <w:highlight w:val="none"/>
              </w:rPr>
            </w:pPr>
            <w:r>
              <w:rPr>
                <w:rFonts w:hint="eastAsia" w:ascii="宋体" w:hAnsi="宋体" w:eastAsia="宋体" w:cs="宋体"/>
                <w:b/>
                <w:bCs/>
                <w:color w:val="auto"/>
                <w:kern w:val="0"/>
                <w:szCs w:val="21"/>
                <w:highlight w:val="none"/>
              </w:rPr>
              <w:t>菜单名</w:t>
            </w:r>
          </w:p>
        </w:tc>
        <w:tc>
          <w:tcPr>
            <w:tcW w:w="5652" w:type="dxa"/>
            <w:vMerge w:val="restart"/>
            <w:tcBorders>
              <w:top w:val="single" w:color="auto" w:sz="4" w:space="0"/>
              <w:left w:val="single" w:color="auto" w:sz="4" w:space="0"/>
              <w:bottom w:val="single" w:color="auto" w:sz="4" w:space="0"/>
              <w:right w:val="single" w:color="auto" w:sz="4" w:space="0"/>
            </w:tcBorders>
            <w:shd w:val="clear" w:color="auto" w:fill="D9D9D9"/>
            <w:noWrap w:val="0"/>
            <w:vAlign w:val="center"/>
          </w:tcPr>
          <w:p w14:paraId="377576C6">
            <w:pPr>
              <w:widowControl/>
              <w:jc w:val="center"/>
              <w:rPr>
                <w:rFonts w:hint="eastAsia" w:hAnsi="宋体" w:cs="宋体"/>
                <w:b/>
                <w:bCs/>
                <w:color w:val="auto"/>
                <w:kern w:val="0"/>
                <w:szCs w:val="21"/>
                <w:highlight w:val="none"/>
              </w:rPr>
            </w:pPr>
            <w:r>
              <w:rPr>
                <w:rFonts w:hint="eastAsia" w:ascii="宋体" w:hAnsi="宋体" w:eastAsia="宋体" w:cs="宋体"/>
                <w:b/>
                <w:bCs/>
                <w:color w:val="auto"/>
                <w:kern w:val="0"/>
                <w:szCs w:val="21"/>
                <w:highlight w:val="none"/>
              </w:rPr>
              <w:t>功能描述</w:t>
            </w:r>
          </w:p>
        </w:tc>
      </w:tr>
      <w:tr w14:paraId="1C6457F6">
        <w:tblPrEx>
          <w:tblCellMar>
            <w:top w:w="0" w:type="dxa"/>
            <w:left w:w="108" w:type="dxa"/>
            <w:bottom w:w="0" w:type="dxa"/>
            <w:right w:w="108" w:type="dxa"/>
          </w:tblCellMar>
        </w:tblPrEx>
        <w:trPr>
          <w:trHeight w:val="326"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72BC24">
            <w:pPr>
              <w:widowControl/>
              <w:rPr>
                <w:rFonts w:hint="eastAsia" w:hAnsi="宋体" w:cs="宋体"/>
                <w:b/>
                <w:bCs/>
                <w:color w:val="auto"/>
                <w:kern w:val="0"/>
                <w:szCs w:val="21"/>
                <w:highlight w:val="none"/>
              </w:rPr>
            </w:pPr>
          </w:p>
        </w:tc>
        <w:tc>
          <w:tcPr>
            <w:tcW w:w="890" w:type="dxa"/>
            <w:vMerge w:val="continue"/>
            <w:tcBorders>
              <w:top w:val="single" w:color="auto" w:sz="4" w:space="0"/>
              <w:left w:val="single" w:color="auto" w:sz="4" w:space="0"/>
              <w:bottom w:val="single" w:color="auto" w:sz="4" w:space="0"/>
              <w:right w:val="single" w:color="auto" w:sz="4" w:space="0"/>
            </w:tcBorders>
            <w:shd w:val="clear" w:color="auto" w:fill="D9D9D9"/>
            <w:noWrap w:val="0"/>
            <w:vAlign w:val="center"/>
          </w:tcPr>
          <w:p w14:paraId="3B70021F">
            <w:pPr>
              <w:widowControl/>
              <w:rPr>
                <w:rFonts w:hint="eastAsia" w:hAnsi="宋体" w:cs="宋体"/>
                <w:b/>
                <w:bCs/>
                <w:color w:val="auto"/>
                <w:kern w:val="0"/>
                <w:szCs w:val="21"/>
                <w:highlight w:val="none"/>
              </w:rPr>
            </w:pPr>
          </w:p>
        </w:tc>
        <w:tc>
          <w:tcPr>
            <w:tcW w:w="1938" w:type="dxa"/>
            <w:vMerge w:val="continue"/>
            <w:tcBorders>
              <w:top w:val="single" w:color="auto" w:sz="4" w:space="0"/>
              <w:left w:val="single" w:color="auto" w:sz="4" w:space="0"/>
              <w:bottom w:val="single" w:color="auto" w:sz="4" w:space="0"/>
              <w:right w:val="single" w:color="auto" w:sz="4" w:space="0"/>
            </w:tcBorders>
            <w:shd w:val="clear" w:color="auto" w:fill="D9D9D9"/>
            <w:noWrap w:val="0"/>
            <w:vAlign w:val="center"/>
          </w:tcPr>
          <w:p w14:paraId="15512EBE">
            <w:pPr>
              <w:widowControl/>
              <w:rPr>
                <w:rFonts w:hint="eastAsia" w:hAnsi="宋体" w:cs="宋体"/>
                <w:b/>
                <w:bCs/>
                <w:color w:val="auto"/>
                <w:kern w:val="0"/>
                <w:szCs w:val="21"/>
                <w:highlight w:val="none"/>
              </w:rPr>
            </w:pPr>
          </w:p>
        </w:tc>
        <w:tc>
          <w:tcPr>
            <w:tcW w:w="5652" w:type="dxa"/>
            <w:vMerge w:val="continue"/>
            <w:tcBorders>
              <w:top w:val="single" w:color="auto" w:sz="4" w:space="0"/>
              <w:left w:val="single" w:color="auto" w:sz="4" w:space="0"/>
              <w:bottom w:val="single" w:color="auto" w:sz="4" w:space="0"/>
              <w:right w:val="single" w:color="auto" w:sz="4" w:space="0"/>
            </w:tcBorders>
            <w:shd w:val="clear" w:color="auto" w:fill="D9D9D9"/>
            <w:noWrap w:val="0"/>
            <w:vAlign w:val="center"/>
          </w:tcPr>
          <w:p w14:paraId="1F2FA046">
            <w:pPr>
              <w:widowControl/>
              <w:rPr>
                <w:rFonts w:hint="eastAsia" w:hAnsi="宋体" w:cs="宋体"/>
                <w:b/>
                <w:bCs/>
                <w:color w:val="auto"/>
                <w:kern w:val="0"/>
                <w:szCs w:val="21"/>
                <w:highlight w:val="none"/>
              </w:rPr>
            </w:pPr>
          </w:p>
        </w:tc>
      </w:tr>
      <w:tr w14:paraId="11D9FE21">
        <w:tblPrEx>
          <w:tblCellMar>
            <w:top w:w="15" w:type="dxa"/>
            <w:left w:w="15" w:type="dxa"/>
            <w:bottom w:w="15" w:type="dxa"/>
            <w:right w:w="15" w:type="dxa"/>
          </w:tblCellMar>
        </w:tblPrEx>
        <w:trPr>
          <w:trHeight w:val="23" w:hRule="atLeast"/>
        </w:trPr>
        <w:tc>
          <w:tcPr>
            <w:tcW w:w="695"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579EC0F">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运营管理</w:t>
            </w: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6A3FF1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电站运营</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374DBE2">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电站管理</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68CF7AB3">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管理电站的基本信息，支持对电站的运营信息进行维护，包括开始运营，暂停运营，结算信息维护等。</w:t>
            </w:r>
          </w:p>
        </w:tc>
      </w:tr>
      <w:tr w14:paraId="6BDFED09">
        <w:tblPrEx>
          <w:tblCellMar>
            <w:top w:w="15" w:type="dxa"/>
            <w:left w:w="15" w:type="dxa"/>
            <w:bottom w:w="15" w:type="dxa"/>
            <w:right w:w="15" w:type="dxa"/>
          </w:tblCellMar>
        </w:tblPrEx>
        <w:trPr>
          <w:trHeight w:val="129"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3CF8D1FE">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4EE665A5">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232DCC1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用户信息查询</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7B73A02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用于查询统计在该运营商的所属电站上充过电的个人用户信息。</w:t>
            </w:r>
          </w:p>
        </w:tc>
      </w:tr>
      <w:tr w14:paraId="19B75451">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02FCE87A">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F1EF50C">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6DEA50D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客户组管理</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627B430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支持将特定的个人和企业用户设置成特殊客户群体，用户绑定专属收费策略，实现差异化收费。</w:t>
            </w:r>
          </w:p>
        </w:tc>
      </w:tr>
      <w:tr w14:paraId="33F53CE6">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468CC908">
            <w:pPr>
              <w:widowControl/>
              <w:rPr>
                <w:rFonts w:hint="eastAsia" w:hAnsi="宋体" w:cs="宋体"/>
                <w:color w:val="auto"/>
                <w:kern w:val="0"/>
                <w:szCs w:val="21"/>
                <w:highlight w:val="none"/>
              </w:rPr>
            </w:pP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8080DD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计费计价策略</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1C3C661">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折扣策略设置</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4C5EEBC6">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对维护好的折扣策略进行关联绑定操作，包括指定客户组，设置电站范围等。</w:t>
            </w:r>
          </w:p>
        </w:tc>
      </w:tr>
      <w:tr w14:paraId="737603E2">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6F002DE6">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0ED2F81">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33B0A15">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折扣策略管理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78EF3EAC">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新增，查看和维护折扣策略信息</w:t>
            </w:r>
          </w:p>
        </w:tc>
      </w:tr>
      <w:tr w14:paraId="60CA2790">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34F6A791">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ACDBF6D">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C53D509">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充电计费策略管理</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7FEF7ADD">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设定充电站对外定价的策略，制定的定价策略支持设置版本，周期等方式。</w:t>
            </w:r>
          </w:p>
        </w:tc>
      </w:tr>
      <w:tr w14:paraId="76FBD2AC">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D631913">
            <w:pPr>
              <w:widowControl/>
              <w:rPr>
                <w:rFonts w:hint="eastAsia" w:hAnsi="宋体" w:cs="宋体"/>
                <w:color w:val="auto"/>
                <w:kern w:val="0"/>
                <w:szCs w:val="21"/>
                <w:highlight w:val="none"/>
              </w:rPr>
            </w:pPr>
          </w:p>
        </w:tc>
        <w:tc>
          <w:tcPr>
            <w:tcW w:w="890"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570D059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客户卡管理</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194B469C">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客户卡信息管理</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2B6BA7A1">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对公司的所有充电客户卡进行统一管理，实现激活，冻结，接触冻结，指定使用人，作废，充电记录查询等操作</w:t>
            </w:r>
          </w:p>
        </w:tc>
      </w:tr>
      <w:tr w14:paraId="5AA9E2DE">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043CB9D5">
            <w:pPr>
              <w:widowControl/>
              <w:rPr>
                <w:rFonts w:hint="eastAsia" w:hAnsi="宋体" w:cs="宋体"/>
                <w:color w:val="auto"/>
                <w:kern w:val="0"/>
                <w:szCs w:val="21"/>
                <w:highlight w:val="none"/>
              </w:rPr>
            </w:pPr>
          </w:p>
        </w:tc>
        <w:tc>
          <w:tcPr>
            <w:tcW w:w="890" w:type="dxa"/>
            <w:vMerge w:val="restart"/>
            <w:tcBorders>
              <w:top w:val="single" w:color="000000" w:sz="6" w:space="0"/>
              <w:left w:val="single" w:color="000000" w:sz="6" w:space="0"/>
              <w:bottom w:val="single" w:color="000000" w:sz="6" w:space="0"/>
              <w:right w:val="single" w:color="000000" w:sz="6" w:space="0"/>
            </w:tcBorders>
            <w:noWrap w:val="0"/>
            <w:vAlign w:val="center"/>
          </w:tcPr>
          <w:p w14:paraId="573EDADB">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77516C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车队管理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12EB052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对车队进行新增，删除，编辑等操作，支持将车队与车辆进行绑定配置，用于关联统计分析。</w:t>
            </w:r>
          </w:p>
        </w:tc>
      </w:tr>
      <w:tr w14:paraId="681DD9A8">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693D3ED5">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CA3C61A">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8D6CF3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车辆信息一览</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5652E64C">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支持对所属充电车辆信息进行导出分析。</w:t>
            </w:r>
          </w:p>
        </w:tc>
      </w:tr>
      <w:tr w14:paraId="2AB1E6A7">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758DA7F5">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70F5204">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D7AF78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车辆信息管理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142B63D1">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用户通过此功能维护车辆信息，用于实现车充识别，车辆充电统计等</w:t>
            </w:r>
          </w:p>
        </w:tc>
      </w:tr>
      <w:tr w14:paraId="5EDFF8E5">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E8E1753">
            <w:pPr>
              <w:widowControl/>
              <w:rPr>
                <w:rFonts w:hint="eastAsia" w:hAnsi="宋体" w:cs="宋体"/>
                <w:color w:val="auto"/>
                <w:kern w:val="0"/>
                <w:szCs w:val="21"/>
                <w:highlight w:val="none"/>
              </w:rPr>
            </w:pP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2D47C5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优惠券管理</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1BF54BE3">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优惠券申请</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20A3C67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用于发起优惠券申请业务</w:t>
            </w:r>
          </w:p>
        </w:tc>
      </w:tr>
      <w:tr w14:paraId="3FC68E7C">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3444224">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27E5AE5E">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52E989E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优惠券申请单审核</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7564D6D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用于对优惠券业务进行审核</w:t>
            </w:r>
          </w:p>
        </w:tc>
      </w:tr>
      <w:tr w14:paraId="4CB6812F">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1A0DF20A">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623D6A16">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144086F3">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优惠券发放单管理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0B8458B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用于对优惠券进行个人或企业发放</w:t>
            </w:r>
          </w:p>
        </w:tc>
      </w:tr>
      <w:tr w14:paraId="558FF311">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1EB5AF3">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024B05DF">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1F8E2466">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优惠券查询</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6826373B">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用于查询已发放的优惠券相关记录</w:t>
            </w:r>
          </w:p>
        </w:tc>
      </w:tr>
      <w:tr w14:paraId="7D38163E">
        <w:tblPrEx>
          <w:tblCellMar>
            <w:top w:w="15" w:type="dxa"/>
            <w:left w:w="15" w:type="dxa"/>
            <w:bottom w:w="15" w:type="dxa"/>
            <w:right w:w="15" w:type="dxa"/>
          </w:tblCellMar>
        </w:tblPrEx>
        <w:trPr>
          <w:trHeight w:val="23" w:hRule="atLeast"/>
        </w:trPr>
        <w:tc>
          <w:tcPr>
            <w:tcW w:w="695"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0E02C09">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电站监控</w:t>
            </w: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265939D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场站监控</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5CA28BC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电站实时监控</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047DB22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对电站实时数据进行监控，并通过图形化的方式展现每个充电终端实时参数。</w:t>
            </w:r>
          </w:p>
        </w:tc>
      </w:tr>
      <w:tr w14:paraId="17D5DCC9">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6E3E9E22">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43B329AD">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54BFB75B">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监控平台</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5002B53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通过地图的方式显示充电站的布局情况，对电站总体数据进行展示。</w:t>
            </w:r>
          </w:p>
        </w:tc>
      </w:tr>
      <w:tr w14:paraId="363404C2">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3A19D932">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0EDB5CA5">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9574FB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电站情况一览</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1D516F6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可以查看电站的基本信息、电站汇总数据、电站终端实时状态等信息</w:t>
            </w:r>
          </w:p>
        </w:tc>
      </w:tr>
      <w:tr w14:paraId="29DB25F3">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54814AEB">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DB4B49C">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8C4D641">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充电场站监控</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5DA1DA3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可以对电站的设备实时情况进行监控分析，查看预警历史记录</w:t>
            </w:r>
          </w:p>
        </w:tc>
      </w:tr>
      <w:tr w14:paraId="48743A73">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0E3DC92A">
            <w:pPr>
              <w:widowControl/>
              <w:rPr>
                <w:rFonts w:hint="eastAsia" w:hAnsi="宋体" w:cs="宋体"/>
                <w:color w:val="auto"/>
                <w:kern w:val="0"/>
                <w:szCs w:val="21"/>
                <w:highlight w:val="none"/>
              </w:rPr>
            </w:pPr>
          </w:p>
        </w:tc>
        <w:tc>
          <w:tcPr>
            <w:tcW w:w="890"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50969B92">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充电调度</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E776ACF">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调度充电</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71ECE4E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通过调度充电的页面来实现对充电设施控制充电，支持手工，定时，智能等调度方式。</w:t>
            </w:r>
          </w:p>
        </w:tc>
      </w:tr>
      <w:tr w14:paraId="6FFBCAFB">
        <w:tblPrEx>
          <w:tblCellMar>
            <w:top w:w="15" w:type="dxa"/>
            <w:left w:w="15" w:type="dxa"/>
            <w:bottom w:w="15" w:type="dxa"/>
            <w:right w:w="15" w:type="dxa"/>
          </w:tblCellMar>
        </w:tblPrEx>
        <w:trPr>
          <w:trHeight w:val="23" w:hRule="atLeast"/>
        </w:trPr>
        <w:tc>
          <w:tcPr>
            <w:tcW w:w="695"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14BBAC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运维管理</w:t>
            </w:r>
          </w:p>
        </w:tc>
        <w:tc>
          <w:tcPr>
            <w:tcW w:w="890"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DE9CBB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运维管理</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6D066F6C">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设备报文查看</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0DC6A06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查看设备上传平台的实时日志报文，便于定位分析问题。</w:t>
            </w:r>
          </w:p>
        </w:tc>
      </w:tr>
      <w:tr w14:paraId="34B1AD7F">
        <w:tblPrEx>
          <w:tblCellMar>
            <w:top w:w="15" w:type="dxa"/>
            <w:left w:w="15" w:type="dxa"/>
            <w:bottom w:w="15" w:type="dxa"/>
            <w:right w:w="15" w:type="dxa"/>
          </w:tblCellMar>
        </w:tblPrEx>
        <w:trPr>
          <w:trHeight w:val="23" w:hRule="atLeast"/>
        </w:trPr>
        <w:tc>
          <w:tcPr>
            <w:tcW w:w="695"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BC62A53">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报表中心</w:t>
            </w: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42F36B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充电订单</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040A4C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全部充电记录</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7895927B">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该功能用于统计所有充电订单信息，包括充电中的订单和已完成的订单，还支持筛选出异常订单用于分析。</w:t>
            </w:r>
          </w:p>
        </w:tc>
      </w:tr>
      <w:tr w14:paraId="6591EB6A">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384F51F6">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227E664E">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8779946">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充电成功记录</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35A1E3A1">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提供充电明细统计报表，包括订单编号、状态、设备信息、用户信息、充电时长、充电策略、订单费用等</w:t>
            </w:r>
          </w:p>
        </w:tc>
      </w:tr>
      <w:tr w14:paraId="1C41D980">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7E2C3B19">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64BA89FD">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6BAB2B5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订单尖峰平谷</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217B1E2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按运营公司，电站名称，充电开始时间，充电结束时间等维度统计尖峰平谷各个时间段的总电量和总电费，可按照电站，开始时间，结束时间等丰富的筛选查询条件，过滤输出充电记录尖峰平谷统计报表</w:t>
            </w:r>
          </w:p>
        </w:tc>
      </w:tr>
      <w:tr w14:paraId="6E158EBA">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6C739546">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66104594">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6BF27AB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车辆充电尖峰平谷信息</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61C8A4B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统计车辆的尖峰平谷充电记录，可按车架号，按车牌，按时间等条件查询，用于单车分析考核。</w:t>
            </w:r>
          </w:p>
        </w:tc>
      </w:tr>
      <w:tr w14:paraId="457D0E45">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74E60F2C">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49469A34">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6516B92F">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企业充电记录</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65B9FE4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统计企业的尖峰平谷充电记录，可按企业、电站、客户类型、业务类型等条件查询。</w:t>
            </w:r>
          </w:p>
        </w:tc>
      </w:tr>
      <w:tr w14:paraId="33CF13E6">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10FEDF54">
            <w:pPr>
              <w:widowControl/>
              <w:rPr>
                <w:rFonts w:hint="eastAsia" w:hAnsi="宋体" w:cs="宋体"/>
                <w:color w:val="auto"/>
                <w:kern w:val="0"/>
                <w:szCs w:val="21"/>
                <w:highlight w:val="none"/>
              </w:rPr>
            </w:pPr>
          </w:p>
        </w:tc>
        <w:tc>
          <w:tcPr>
            <w:tcW w:w="890"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4746C3D">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综合分析</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2D22759">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综合数据看板</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49805F65">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以电站为维度，对运营，运维等数据，提供可视化的综合数据分析看板，为充电业务提供数据参考依据。</w:t>
            </w:r>
          </w:p>
        </w:tc>
      </w:tr>
      <w:tr w14:paraId="3F020CAF">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39A63C14">
            <w:pPr>
              <w:widowControl/>
              <w:rPr>
                <w:rFonts w:hint="eastAsia" w:hAnsi="宋体" w:cs="宋体"/>
                <w:color w:val="auto"/>
                <w:kern w:val="0"/>
                <w:szCs w:val="21"/>
                <w:highlight w:val="none"/>
              </w:rPr>
            </w:pP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DF1994F">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运维统计报表</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1964F6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设备故障信息</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2CA05446">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提供设备故障信息统计报表，包括电站编号、电站名称、集控器编号、名称、CAN地址、终端编号、名称、故障状态、故障发生时间、恢复时间、持续时间、恢复状态等</w:t>
            </w:r>
          </w:p>
        </w:tc>
      </w:tr>
      <w:tr w14:paraId="4BA47C41">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1445BF47">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D76F94C">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556AE7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终端状态明细</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58B40BC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提供终端状态明细统计报表，包括终端编号、名称、状态，状态变化时间、数据收集时间、上报时间、数据延迟时长、集控器地址、集控名称、电站编号、电站名称、所属城市、终端型号、充电接口、充电功率等</w:t>
            </w:r>
          </w:p>
        </w:tc>
      </w:tr>
      <w:tr w14:paraId="50B7F38C">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2DD6F37">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5C188870">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2EA6FF1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电站失败率分析</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285DCC71">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提供电站失败率统计报表，包括电站详细信息、运营公司详细信息、终端详细信息、失败次数、失败率等</w:t>
            </w:r>
          </w:p>
        </w:tc>
      </w:tr>
      <w:tr w14:paraId="23E9915A">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3BBD998">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51636CBD">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949BE9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电站失败记录明细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3F05E456">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提供充电失败明细统计报表，包括订单编号、状态、设备信息、用户信息、充电时长、时间等</w:t>
            </w:r>
          </w:p>
        </w:tc>
      </w:tr>
      <w:tr w14:paraId="64EED499">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6FF9A061">
            <w:pPr>
              <w:widowControl/>
              <w:rPr>
                <w:rFonts w:hint="eastAsia" w:hAnsi="宋体" w:cs="宋体"/>
                <w:color w:val="auto"/>
                <w:kern w:val="0"/>
                <w:szCs w:val="21"/>
                <w:highlight w:val="none"/>
              </w:rPr>
            </w:pP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D930555">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运营统计报表</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A33D7BF">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用户充电情况</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7AA5EEB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提供用户详细信息查询统计，包括充电时间、编号、费用等</w:t>
            </w:r>
          </w:p>
        </w:tc>
      </w:tr>
      <w:tr w14:paraId="322A7623">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602182EA">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03826F81">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2F5322C9">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电站基本信息</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69B718A1">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提供电站详细信息查询统计，包括电站编号、名称、项目编号、所属城市、电站类型电站终端详情等</w:t>
            </w:r>
          </w:p>
        </w:tc>
      </w:tr>
      <w:tr w14:paraId="57CAB0E7">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D7C5A1D">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046F2BE3">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259ABED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电站历史数据</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0D588693">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统计展示电站基本信息、历史订单数据。并可以做充电量日趋势分析、充电时长日趋势分析、利用率日趋势分析。</w:t>
            </w:r>
          </w:p>
        </w:tc>
      </w:tr>
      <w:tr w14:paraId="59DD7F66">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13DAD65C">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699BD8AE">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8376C8F">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电站运营状况</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35127B86">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用于查询分析电站运营的运营汇总数据。</w:t>
            </w:r>
          </w:p>
        </w:tc>
      </w:tr>
      <w:tr w14:paraId="7DB3EE13">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42511714">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47447DF">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EF146A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运营电站利用率</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597CD261">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查看运营电站的充电利用率，包括时间利用率和功率利用率等</w:t>
            </w:r>
          </w:p>
        </w:tc>
      </w:tr>
      <w:tr w14:paraId="7E84E2AA">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78BE4A92">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28D2E7FD">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6912FD9">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运营终端利用率</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160027E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查看运营终端的充电利用率，包括时间利用率和功率利用率等</w:t>
            </w:r>
          </w:p>
        </w:tc>
      </w:tr>
      <w:tr w14:paraId="72511235">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41A540B9">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4FF199D4">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019607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企业充电情况</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4F0ADEDF">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用于查询分析企业充电的运营汇总数据。</w:t>
            </w:r>
          </w:p>
        </w:tc>
      </w:tr>
      <w:tr w14:paraId="0C21BB63">
        <w:tblPrEx>
          <w:tblCellMar>
            <w:top w:w="15" w:type="dxa"/>
            <w:left w:w="15" w:type="dxa"/>
            <w:bottom w:w="15" w:type="dxa"/>
            <w:right w:w="15" w:type="dxa"/>
          </w:tblCellMar>
        </w:tblPrEx>
        <w:trPr>
          <w:trHeight w:val="23" w:hRule="atLeast"/>
        </w:trPr>
        <w:tc>
          <w:tcPr>
            <w:tcW w:w="695"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E0DDA8D">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财务管理</w:t>
            </w: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1C4B6761">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发票管理</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38B02B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开票申请</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045130E2">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用于处理用户发起的开票申请</w:t>
            </w:r>
          </w:p>
        </w:tc>
      </w:tr>
      <w:tr w14:paraId="231999C2">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586CA84">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CA991CE">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7AD19CF">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发票管理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657CE3C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用于查看和管理开票记录数据</w:t>
            </w:r>
          </w:p>
        </w:tc>
      </w:tr>
      <w:tr w14:paraId="4757F2BE">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32B4BC44">
            <w:pPr>
              <w:widowControl/>
              <w:rPr>
                <w:rFonts w:hint="eastAsia" w:hAnsi="宋体" w:cs="宋体"/>
                <w:color w:val="auto"/>
                <w:kern w:val="0"/>
                <w:szCs w:val="21"/>
                <w:highlight w:val="none"/>
              </w:rPr>
            </w:pP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586FE2E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收款单管理</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D1D29B5">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收款单管理</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6A2E3E79">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用于管理企业生成的收款单，包括添加、删除等</w:t>
            </w:r>
          </w:p>
        </w:tc>
      </w:tr>
      <w:tr w14:paraId="2D084E99">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520549C1">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3DC0F2A8">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DCD56B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收款单审核</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669405E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用于审核企业生成的收款单</w:t>
            </w:r>
          </w:p>
        </w:tc>
      </w:tr>
      <w:tr w14:paraId="368CFD96">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109B6379">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04F66537">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19823445">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收款单记账</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09E71FD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用于生效记账企业生成的收款单</w:t>
            </w:r>
          </w:p>
        </w:tc>
      </w:tr>
      <w:tr w14:paraId="58A5DAD2">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700EDA63">
            <w:pPr>
              <w:widowControl/>
              <w:rPr>
                <w:rFonts w:hint="eastAsia" w:hAnsi="宋体" w:cs="宋体"/>
                <w:color w:val="auto"/>
                <w:kern w:val="0"/>
                <w:szCs w:val="21"/>
                <w:highlight w:val="none"/>
              </w:rPr>
            </w:pP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673F383D">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账户管理</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61CDAD8D">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企业客户管理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2376CAF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支持企业客户的新增，编辑，人员管理等功能</w:t>
            </w:r>
          </w:p>
        </w:tc>
      </w:tr>
      <w:tr w14:paraId="67CA396E">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354865CB">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2D652437">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0FED3E9">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企业账户一览</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3323243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查看管理企业客户信息及账户余额</w:t>
            </w:r>
          </w:p>
        </w:tc>
      </w:tr>
      <w:tr w14:paraId="3DA04FD0">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EFE34BC">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65AF5BED">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1C50701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企业信用账户管理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12E449B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开通管理信用的企业账户状态及额度。</w:t>
            </w:r>
          </w:p>
        </w:tc>
      </w:tr>
      <w:tr w14:paraId="324B6318">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78DE1339">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4EFD72B0">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69D409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企业信用额度设置审核</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2257D759">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对申请开通信用的企业账户额度进行审核。</w:t>
            </w:r>
          </w:p>
        </w:tc>
      </w:tr>
      <w:tr w14:paraId="52D8B564">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03C68616">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985E354">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25F562A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信用额度调整申请</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0447F122">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查看进行信用额度调整申请的企业数据</w:t>
            </w:r>
          </w:p>
        </w:tc>
      </w:tr>
      <w:tr w14:paraId="54497894">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4E68A231">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6F597E1A">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9A7ABB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企业信用额度调整审核</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4101B98F">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对申请调整信用额度的企业账户进行审核</w:t>
            </w:r>
          </w:p>
        </w:tc>
      </w:tr>
      <w:tr w14:paraId="4CBC8F83">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629531E8">
            <w:pPr>
              <w:widowControl/>
              <w:rPr>
                <w:rFonts w:hint="eastAsia" w:hAnsi="宋体" w:cs="宋体"/>
                <w:color w:val="auto"/>
                <w:kern w:val="0"/>
                <w:szCs w:val="21"/>
                <w:highlight w:val="none"/>
              </w:rPr>
            </w:pP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AE18EA6">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财务管理</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6987DE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账户信息汇总</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43C42E8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查看本公司所有账户的信息汇总数据，包括充值，消费，余额等</w:t>
            </w:r>
          </w:p>
        </w:tc>
      </w:tr>
      <w:tr w14:paraId="7C6EA5A0">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0A271D67">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6E1D9ECF">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6A76BF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订单收款明细</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10C341B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用于查询订单收款明细记录</w:t>
            </w:r>
          </w:p>
        </w:tc>
      </w:tr>
      <w:tr w14:paraId="2CBE3C51">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8D4E47D">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3C748A2">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4E7BD75">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订单收款对账</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0EB893A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用于订单收款对账</w:t>
            </w:r>
          </w:p>
        </w:tc>
      </w:tr>
      <w:tr w14:paraId="1D3FB514">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3F476D48">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63C46BB8">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63E1C8A9">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信用账单管理</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09DF87FC">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查看企业信用账户消费情况及生成的账单信息。并可以发起还款、查看收款单、发送邮件通知以及核销账单等</w:t>
            </w:r>
          </w:p>
        </w:tc>
      </w:tr>
      <w:tr w14:paraId="322EF29B">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2DA8D18">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3B110478">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5FCDE3E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订单收款汇总</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6FF9E82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对订单扣费的</w:t>
            </w:r>
          </w:p>
        </w:tc>
      </w:tr>
      <w:tr w14:paraId="1AB61CC3">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1BD3F571">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0F3EA97E">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282F75C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个人账户交易汇总</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2C6A2FF6">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用于查询个人平台账户具体充值退款消费信息</w:t>
            </w:r>
          </w:p>
        </w:tc>
      </w:tr>
      <w:tr w14:paraId="5E16EE0A">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39BB105F">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2D2EC1E">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D15EF9C">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企业账户交易汇总</w:t>
            </w:r>
          </w:p>
        </w:tc>
        <w:tc>
          <w:tcPr>
            <w:tcW w:w="5652" w:type="dxa"/>
            <w:tcBorders>
              <w:top w:val="single" w:color="000000" w:sz="6" w:space="0"/>
              <w:left w:val="single" w:color="000000" w:sz="6" w:space="0"/>
              <w:bottom w:val="single" w:color="000000" w:sz="6" w:space="0"/>
              <w:right w:val="single" w:color="000000" w:sz="6" w:space="0"/>
            </w:tcBorders>
            <w:noWrap w:val="0"/>
            <w:vAlign w:val="top"/>
          </w:tcPr>
          <w:p w14:paraId="7796FEF0">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用于查询企业平台账户具体充值退款消费信息</w:t>
            </w:r>
          </w:p>
        </w:tc>
      </w:tr>
      <w:tr w14:paraId="51F97D2C">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09307F5">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003A9FB2">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64C1BA13">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账户充值明细查询</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635DB6B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此报表用来展示所有充值记录明细信息。</w:t>
            </w:r>
          </w:p>
        </w:tc>
      </w:tr>
      <w:tr w14:paraId="269FE0AC">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4C301978">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28170C1D">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EE0BA02">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账户退款明细查询</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660DA91D">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查询所有账户的退款信息</w:t>
            </w:r>
          </w:p>
        </w:tc>
      </w:tr>
      <w:tr w14:paraId="60943292">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136CAFC1">
            <w:pPr>
              <w:widowControl/>
              <w:rPr>
                <w:rFonts w:hint="eastAsia" w:hAnsi="宋体" w:cs="宋体"/>
                <w:color w:val="auto"/>
                <w:kern w:val="0"/>
                <w:szCs w:val="21"/>
                <w:highlight w:val="none"/>
              </w:rPr>
            </w:pP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286C5F6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个人收退款</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1FA3F19D">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个人充值退款</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4C55A6F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运营人员可以通过这个功能处理针对个人账户发起充值和退款申请，并根据申请的结果来完成充值和退款操作。</w:t>
            </w:r>
          </w:p>
        </w:tc>
      </w:tr>
      <w:tr w14:paraId="74529D3B">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3C65FC5E">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5F929000">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65C9BBD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个人充值管理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4B90F89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对个人充值订单进行管理</w:t>
            </w:r>
          </w:p>
        </w:tc>
      </w:tr>
      <w:tr w14:paraId="0DF3F27F">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1383DA8B">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B0A5590">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A940E1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个人充值审核</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2C633521">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对个人充值订单进行审核</w:t>
            </w:r>
          </w:p>
        </w:tc>
      </w:tr>
      <w:tr w14:paraId="24E9D22B">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6D45ABC4">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4C656D30">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53206AD">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个人充值记账</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0CAF98D5">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对个人充值订单进行记账</w:t>
            </w:r>
          </w:p>
        </w:tc>
      </w:tr>
      <w:tr w14:paraId="41DC6FD1">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140FEE8C">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50D8939B">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5F371B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个人退款管理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57B2EE9B">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对个人退款订单进行管理</w:t>
            </w:r>
          </w:p>
        </w:tc>
      </w:tr>
      <w:tr w14:paraId="1CB1D860">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4CC13A9F">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5445D085">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C9A3D1D">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个人退款审核</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0B491D35">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对个人退款订单进行审核</w:t>
            </w:r>
          </w:p>
        </w:tc>
      </w:tr>
      <w:tr w14:paraId="089D4AE3">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7BC258D3">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DC0F5D3">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1351332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个人退款记账</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5BDF461C">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对个人退款订单进行记账</w:t>
            </w:r>
          </w:p>
        </w:tc>
      </w:tr>
      <w:tr w14:paraId="647AD7C8">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5D1B4BF1">
            <w:pPr>
              <w:widowControl/>
              <w:rPr>
                <w:rFonts w:hint="eastAsia" w:hAnsi="宋体" w:cs="宋体"/>
                <w:color w:val="auto"/>
                <w:kern w:val="0"/>
                <w:szCs w:val="21"/>
                <w:highlight w:val="none"/>
              </w:rPr>
            </w:pP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5175E17">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企业收退款</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D36BA2F">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企业充值退款</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5E638EA2">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运营人员可以通过这个功能处理针对企业账户发起充值和退款申请，并根据申请的结果来完成充值和退款操作。</w:t>
            </w:r>
          </w:p>
        </w:tc>
      </w:tr>
      <w:tr w14:paraId="69DB2977">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38DCC3FD">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B9D0C74">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7846B4F3">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企业充值管理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0E7D88ED">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对企业充值订单进行管理</w:t>
            </w:r>
          </w:p>
        </w:tc>
      </w:tr>
      <w:tr w14:paraId="111EEEFC">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0AE32FA1">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288D1C6">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20F17D6">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企业充值审核</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142F31B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对企业充值订单进行审核</w:t>
            </w:r>
          </w:p>
        </w:tc>
      </w:tr>
      <w:tr w14:paraId="02F53659">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5756A6B0">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6C149E47">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81EF8B2">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企业充值记账</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79BD76D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对企业充值订单进行记账</w:t>
            </w:r>
          </w:p>
        </w:tc>
      </w:tr>
      <w:tr w14:paraId="4B68F906">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587668B4">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3F593CA3">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55236BB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企业退款管理</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357EB595">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对企业退款订单进行管理</w:t>
            </w:r>
          </w:p>
        </w:tc>
      </w:tr>
      <w:tr w14:paraId="3F220473">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4024C56E">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76A0456">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E04D4E2">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企业退款审核</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7CB2FF48">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对企业退款订单进行审核</w:t>
            </w:r>
          </w:p>
        </w:tc>
      </w:tr>
      <w:tr w14:paraId="730BCDAB">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18E7A52">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A5FF9CC">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0C02749">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企业退款记账</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751F3095">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对企业退款订单进行记账</w:t>
            </w:r>
          </w:p>
        </w:tc>
      </w:tr>
      <w:tr w14:paraId="5F031EDA">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7544F884">
            <w:pPr>
              <w:widowControl/>
              <w:rPr>
                <w:rFonts w:hint="eastAsia" w:hAnsi="宋体" w:cs="宋体"/>
                <w:color w:val="auto"/>
                <w:kern w:val="0"/>
                <w:szCs w:val="21"/>
                <w:highlight w:val="none"/>
              </w:rPr>
            </w:pP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395489F4">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业务分析</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27D40C7C">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24小时分时功率分布</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2D02B406">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按不同的维度，对24小时内充电功率及充电订单进行可视化展示，用于运营分析。</w:t>
            </w:r>
          </w:p>
        </w:tc>
      </w:tr>
      <w:tr w14:paraId="18CDB936">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2C2FA673">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6D94E73">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214FA73">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电站需求功率满足率</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3B979149">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按不同的维度，对电站的需求功率，电流，电压及模块利用率情况，进行可视化分析展示。</w:t>
            </w:r>
          </w:p>
        </w:tc>
      </w:tr>
      <w:tr w14:paraId="2C5C033E">
        <w:tblPrEx>
          <w:tblCellMar>
            <w:top w:w="15" w:type="dxa"/>
            <w:left w:w="15" w:type="dxa"/>
            <w:bottom w:w="15" w:type="dxa"/>
            <w:right w:w="15" w:type="dxa"/>
          </w:tblCellMar>
        </w:tblPrEx>
        <w:trPr>
          <w:trHeight w:val="23" w:hRule="atLeast"/>
        </w:trPr>
        <w:tc>
          <w:tcPr>
            <w:tcW w:w="695"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46B9E98E">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系统管理</w:t>
            </w:r>
          </w:p>
        </w:tc>
        <w:tc>
          <w:tcPr>
            <w:tcW w:w="890" w:type="dxa"/>
            <w:vMerge w:val="restart"/>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C00B7EC">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系统管理</w:t>
            </w: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1FD74F8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我的商户</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4F896EB3">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自定义管理商户的访问入口定制UI，查看平台合作签约信息</w:t>
            </w:r>
          </w:p>
        </w:tc>
      </w:tr>
      <w:tr w14:paraId="3E2AF8C0">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18933D70">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3D660D92">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6F40977A">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我的用户</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0A63A0F6">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自定义管理平台用户，维护用户权限，增删用户人员</w:t>
            </w:r>
          </w:p>
        </w:tc>
      </w:tr>
      <w:tr w14:paraId="3F911A0A">
        <w:tblPrEx>
          <w:tblCellMar>
            <w:top w:w="15" w:type="dxa"/>
            <w:left w:w="15" w:type="dxa"/>
            <w:bottom w:w="15" w:type="dxa"/>
            <w:right w:w="15" w:type="dxa"/>
          </w:tblCellMar>
        </w:tblPrEx>
        <w:trPr>
          <w:trHeight w:val="23" w:hRule="atLeast"/>
        </w:trPr>
        <w:tc>
          <w:tcPr>
            <w:tcW w:w="695" w:type="dxa"/>
            <w:vMerge w:val="continue"/>
            <w:tcBorders>
              <w:top w:val="single" w:color="000000" w:sz="6" w:space="0"/>
              <w:left w:val="single" w:color="000000" w:sz="6" w:space="0"/>
              <w:bottom w:val="single" w:color="000000" w:sz="6" w:space="0"/>
              <w:right w:val="single" w:color="000000" w:sz="6" w:space="0"/>
            </w:tcBorders>
            <w:noWrap w:val="0"/>
            <w:vAlign w:val="center"/>
          </w:tcPr>
          <w:p w14:paraId="6BA2C58F">
            <w:pPr>
              <w:widowControl/>
              <w:rPr>
                <w:rFonts w:hint="eastAsia" w:hAnsi="宋体" w:cs="宋体"/>
                <w:color w:val="auto"/>
                <w:kern w:val="0"/>
                <w:szCs w:val="21"/>
                <w:highlight w:val="none"/>
              </w:rPr>
            </w:pPr>
          </w:p>
        </w:tc>
        <w:tc>
          <w:tcPr>
            <w:tcW w:w="890" w:type="dxa"/>
            <w:vMerge w:val="continue"/>
            <w:tcBorders>
              <w:top w:val="single" w:color="000000" w:sz="6" w:space="0"/>
              <w:left w:val="single" w:color="000000" w:sz="6" w:space="0"/>
              <w:bottom w:val="single" w:color="000000" w:sz="6" w:space="0"/>
              <w:right w:val="single" w:color="000000" w:sz="6" w:space="0"/>
            </w:tcBorders>
            <w:noWrap w:val="0"/>
            <w:vAlign w:val="center"/>
          </w:tcPr>
          <w:p w14:paraId="0FBC96FC">
            <w:pPr>
              <w:widowControl/>
              <w:rPr>
                <w:rFonts w:hint="eastAsia" w:hAnsi="宋体" w:cs="宋体"/>
                <w:color w:val="auto"/>
                <w:kern w:val="0"/>
                <w:szCs w:val="21"/>
                <w:highlight w:val="none"/>
              </w:rPr>
            </w:pPr>
          </w:p>
        </w:tc>
        <w:tc>
          <w:tcPr>
            <w:tcW w:w="1938" w:type="dxa"/>
            <w:tcBorders>
              <w:top w:val="single" w:color="000000" w:sz="6" w:space="0"/>
              <w:left w:val="single" w:color="000000" w:sz="6" w:space="0"/>
              <w:bottom w:val="single" w:color="000000" w:sz="6" w:space="0"/>
              <w:right w:val="single" w:color="000000" w:sz="6" w:space="0"/>
            </w:tcBorders>
            <w:noWrap w:val="0"/>
            <w:tcMar>
              <w:top w:w="60" w:type="dxa"/>
              <w:left w:w="120" w:type="dxa"/>
              <w:bottom w:w="60" w:type="dxa"/>
              <w:right w:w="120" w:type="dxa"/>
            </w:tcMar>
            <w:vAlign w:val="center"/>
          </w:tcPr>
          <w:p w14:paraId="06D17E15">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用户行为记录</w:t>
            </w:r>
          </w:p>
        </w:tc>
        <w:tc>
          <w:tcPr>
            <w:tcW w:w="5652" w:type="dxa"/>
            <w:tcBorders>
              <w:top w:val="single" w:color="000000" w:sz="6" w:space="0"/>
              <w:left w:val="single" w:color="000000" w:sz="6" w:space="0"/>
              <w:bottom w:val="single" w:color="000000" w:sz="6" w:space="0"/>
              <w:right w:val="single" w:color="000000" w:sz="6" w:space="0"/>
            </w:tcBorders>
            <w:noWrap w:val="0"/>
            <w:vAlign w:val="center"/>
          </w:tcPr>
          <w:p w14:paraId="3E8F9F8B">
            <w:pPr>
              <w:widowControl/>
              <w:jc w:val="center"/>
              <w:rPr>
                <w:rFonts w:hint="eastAsia" w:hAnsi="宋体" w:cs="宋体"/>
                <w:color w:val="auto"/>
                <w:kern w:val="0"/>
                <w:szCs w:val="21"/>
                <w:highlight w:val="none"/>
              </w:rPr>
            </w:pPr>
            <w:r>
              <w:rPr>
                <w:rFonts w:hint="eastAsia" w:ascii="宋体" w:hAnsi="宋体" w:eastAsia="宋体" w:cs="宋体"/>
                <w:color w:val="auto"/>
                <w:kern w:val="0"/>
                <w:szCs w:val="21"/>
                <w:highlight w:val="none"/>
              </w:rPr>
              <w:t>支持查询导出平台用户的操作访问记录</w:t>
            </w:r>
          </w:p>
        </w:tc>
      </w:tr>
    </w:tbl>
    <w:p w14:paraId="3FCA07DD">
      <w:pPr>
        <w:spacing w:line="360" w:lineRule="auto"/>
        <w:rPr>
          <w:rFonts w:hint="eastAsia" w:hAnsi="宋体" w:cs="宋体"/>
          <w:color w:val="auto"/>
          <w:kern w:val="0"/>
          <w:szCs w:val="21"/>
          <w:highlight w:val="none"/>
        </w:rPr>
      </w:pPr>
    </w:p>
    <w:p w14:paraId="7E59452B">
      <w:pPr>
        <w:keepNext/>
        <w:keepLines/>
        <w:numPr>
          <w:ilvl w:val="2"/>
          <w:numId w:val="9"/>
        </w:numPr>
        <w:spacing w:line="360" w:lineRule="auto"/>
        <w:outlineLvl w:val="2"/>
        <w:rPr>
          <w:rFonts w:hint="eastAsia" w:hAnsi="宋体" w:cs="宋体"/>
          <w:color w:val="auto"/>
          <w:szCs w:val="21"/>
          <w:highlight w:val="none"/>
        </w:rPr>
      </w:pPr>
      <w:bookmarkStart w:id="1462" w:name="_Toc90403025"/>
      <w:bookmarkStart w:id="1463" w:name="_Toc53664668"/>
      <w:bookmarkStart w:id="1464" w:name="_Toc90480355"/>
      <w:bookmarkStart w:id="1465" w:name="_Toc481998764"/>
      <w:bookmarkStart w:id="1466" w:name="_Toc109049678"/>
      <w:r>
        <w:rPr>
          <w:rFonts w:hint="eastAsia" w:ascii="宋体" w:hAnsi="宋体" w:eastAsia="宋体" w:cs="宋体"/>
          <w:color w:val="auto"/>
          <w:szCs w:val="21"/>
          <w:highlight w:val="none"/>
        </w:rPr>
        <w:t>技术性能需求</w:t>
      </w:r>
      <w:bookmarkEnd w:id="1462"/>
      <w:bookmarkEnd w:id="1463"/>
      <w:bookmarkEnd w:id="1464"/>
      <w:bookmarkEnd w:id="1465"/>
      <w:bookmarkEnd w:id="1466"/>
    </w:p>
    <w:p w14:paraId="561A9072">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为了保证系统能够长期、安全、稳定、可靠、高效的运行，需满足以下性能需求：</w:t>
      </w:r>
    </w:p>
    <w:p w14:paraId="4F05D3D7">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1）操作简单：普通操作人员经简单培训就可操作，或者参考简明手册就可方便操作。</w:t>
      </w:r>
    </w:p>
    <w:p w14:paraId="24924C9D">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2）功能完善：系统能够完成设计要求的所有分类统计、模糊查询、分析等功能操作，同时具有良好的运行速度和稳定性，有较高的数据承载能力，在网络稳定的环境下，单一界面操作的系统操作响应时间应小于5秒。</w:t>
      </w:r>
    </w:p>
    <w:p w14:paraId="5360F0F3">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3）易于管理：系统查询、分析、统计流程可后台定制化，统计报表可通过流程设计界面自定义、无需重新编程，维护方便，能够方便快速的利用已有基础数据。系统必须是构件化、面向对象的，以及可实现未来自定义业务管理功能、统计分析管理辅助功能的升级、扩展，对一些后续性的功能，能够方便进行扩充或者二次开发。</w:t>
      </w:r>
    </w:p>
    <w:p w14:paraId="44CF356C">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4）信息量要求：本期项目的主要数据来源为电站上报的充电基础设施运行数据，数据内容主要为关系型数据、GIS数据等信息。要求系统能满足负荷2000个充电基础设施的能力。</w:t>
      </w:r>
    </w:p>
    <w:p w14:paraId="7FA1A3D6">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5）投标人的充电系统具备安全防护及监控能力,可出具车辆安全报告。</w:t>
      </w:r>
    </w:p>
    <w:p w14:paraId="763FBC55">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6）投标人提供的平台可以远程采集并传送运行各种电气量和负荷潮流、远程采集并传送各种保护和开关量信息、远程控制开关控制设备、远程调节充电机输出功率、远程动态实时监控信息。</w:t>
      </w:r>
    </w:p>
    <w:p w14:paraId="0DB777B2">
      <w:pPr>
        <w:spacing w:line="360" w:lineRule="auto"/>
        <w:ind w:firstLine="420" w:firstLineChars="200"/>
        <w:rPr>
          <w:rFonts w:hint="eastAsia" w:hAnsi="宋体" w:cs="宋体"/>
          <w:color w:val="auto"/>
          <w:szCs w:val="20"/>
          <w:highlight w:val="none"/>
        </w:rPr>
      </w:pPr>
      <w:r>
        <w:rPr>
          <w:rFonts w:hint="eastAsia" w:ascii="宋体" w:hAnsi="宋体" w:eastAsia="宋体" w:cs="宋体"/>
          <w:color w:val="auto"/>
          <w:szCs w:val="20"/>
          <w:highlight w:val="none"/>
        </w:rPr>
        <w:t>7）投标人提供的充电运营管理平台具有充电安全防护系统具备以下多种防护模型包括桩供电压管理防护模型、单体电池电压管理防护模型、大数据温升异常防护模型、高危车型防护模型、SOC抖动防护模型、限制充电保护模型等功能。</w:t>
      </w:r>
    </w:p>
    <w:p w14:paraId="7D0714D4">
      <w:pPr>
        <w:spacing w:line="360" w:lineRule="auto"/>
        <w:ind w:firstLine="420" w:firstLineChars="200"/>
        <w:rPr>
          <w:rFonts w:hint="eastAsia" w:hAnsi="宋体" w:cs="宋体"/>
          <w:color w:val="auto"/>
          <w:szCs w:val="20"/>
          <w:highlight w:val="none"/>
        </w:rPr>
      </w:pPr>
      <w:r>
        <w:rPr>
          <w:rFonts w:hint="eastAsia" w:ascii="宋体" w:hAnsi="宋体" w:eastAsia="宋体" w:cs="宋体"/>
          <w:color w:val="auto"/>
          <w:szCs w:val="20"/>
          <w:highlight w:val="none"/>
        </w:rPr>
        <w:t>8）投标人提供的充电运营管理平台可根据委托方提供历史运维数据，基础应用覆盖 100%运维工作场景，基础应用覆盖 100%运维工作。</w:t>
      </w:r>
    </w:p>
    <w:p w14:paraId="551E6864">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9）投标人提供的平台具备设备智能运维能力，支持设备状态监测、电力损耗监测、充电状态监测、故障告警监控、运行电损、设备运行健康度评估、电源模块运行状态监控。</w:t>
      </w:r>
    </w:p>
    <w:p w14:paraId="0F5172D8">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10）投标人提供的充电运营管理平台在支撑单用户执行单个设备信息刷新操作时，事务平均响应时间小于0.03秒，事务成功率100%，CPU占用率小于10%，内存占用率小于10%。</w:t>
      </w:r>
    </w:p>
    <w:p w14:paraId="6D8E4ADC">
      <w:pPr>
        <w:keepNext/>
        <w:keepLines/>
        <w:numPr>
          <w:ilvl w:val="2"/>
          <w:numId w:val="9"/>
        </w:numPr>
        <w:spacing w:line="360" w:lineRule="auto"/>
        <w:outlineLvl w:val="2"/>
        <w:rPr>
          <w:rFonts w:hint="eastAsia" w:hAnsi="宋体" w:cs="宋体"/>
          <w:color w:val="auto"/>
          <w:szCs w:val="21"/>
          <w:highlight w:val="none"/>
        </w:rPr>
      </w:pPr>
      <w:bookmarkStart w:id="1467" w:name="_Toc481998765"/>
      <w:bookmarkStart w:id="1468" w:name="_Toc90403026"/>
      <w:bookmarkStart w:id="1469" w:name="_Toc109049679"/>
      <w:bookmarkStart w:id="1470" w:name="_Toc53664669"/>
      <w:bookmarkStart w:id="1471" w:name="_Toc90480356"/>
      <w:r>
        <w:rPr>
          <w:rFonts w:hint="eastAsia" w:ascii="宋体" w:hAnsi="宋体" w:eastAsia="宋体" w:cs="宋体"/>
          <w:color w:val="auto"/>
          <w:szCs w:val="21"/>
          <w:highlight w:val="none"/>
        </w:rPr>
        <w:t>管理需求</w:t>
      </w:r>
      <w:bookmarkEnd w:id="1467"/>
      <w:bookmarkEnd w:id="1468"/>
      <w:bookmarkEnd w:id="1469"/>
      <w:bookmarkEnd w:id="1470"/>
      <w:bookmarkEnd w:id="1471"/>
    </w:p>
    <w:p w14:paraId="19DC7C41">
      <w:pPr>
        <w:spacing w:line="360" w:lineRule="auto"/>
        <w:ind w:left="420"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需要实现的系统管理需求如下：</w:t>
      </w:r>
    </w:p>
    <w:p w14:paraId="319D88D5">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1）拥有完善的用户权限管理功能，对数据调阅、原始数据下载提供权限设置；</w:t>
      </w:r>
    </w:p>
    <w:p w14:paraId="012EA407">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2）实现强大的权限设定功能；</w:t>
      </w:r>
    </w:p>
    <w:p w14:paraId="2DF0DF5D">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3）实现用户权限及用户访问范围的设定；</w:t>
      </w:r>
    </w:p>
    <w:p w14:paraId="13D59187">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4）实现日常管理维护及功能使用的详细操作日志管理；</w:t>
      </w:r>
    </w:p>
    <w:p w14:paraId="68D614FF">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5）实现下载操作人员的使用内容、时间、数据容量等基础信息统计；</w:t>
      </w:r>
    </w:p>
    <w:p w14:paraId="652F878D">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6）经办人员的具体使用记录其上级主管可实现监控及管理；</w:t>
      </w:r>
    </w:p>
    <w:p w14:paraId="3548B668">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7）实现自定义统计分析模块的定期更新和系统功能平滑在线升级（不停机状态）；</w:t>
      </w:r>
    </w:p>
    <w:p w14:paraId="577C82AE">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8）实现以所有操作日志的自动定期离线数据下载备份管理和下载后定时清空；</w:t>
      </w:r>
    </w:p>
    <w:p w14:paraId="4EF9CDA9">
      <w:pPr>
        <w:spacing w:line="360" w:lineRule="auto"/>
        <w:ind w:firstLine="420" w:firstLineChars="200"/>
        <w:rPr>
          <w:rFonts w:hint="eastAsia" w:hAnsi="宋体" w:cs="宋体"/>
          <w:color w:val="auto"/>
          <w:kern w:val="0"/>
          <w:szCs w:val="21"/>
          <w:highlight w:val="none"/>
        </w:rPr>
      </w:pPr>
      <w:r>
        <w:rPr>
          <w:rFonts w:hint="eastAsia" w:ascii="宋体" w:hAnsi="宋体" w:eastAsia="宋体" w:cs="宋体"/>
          <w:caps/>
          <w:color w:val="auto"/>
          <w:kern w:val="0"/>
          <w:szCs w:val="21"/>
          <w:highlight w:val="none"/>
        </w:rPr>
        <w:t>9）系统升级后对系统管理、后台维护和业务部门进行分类使用培训。</w:t>
      </w:r>
    </w:p>
    <w:p w14:paraId="7DB35097">
      <w:pPr>
        <w:keepNext/>
        <w:keepLines/>
        <w:numPr>
          <w:ilvl w:val="2"/>
          <w:numId w:val="9"/>
        </w:numPr>
        <w:spacing w:line="360" w:lineRule="auto"/>
        <w:outlineLvl w:val="2"/>
        <w:rPr>
          <w:rFonts w:hint="eastAsia" w:hAnsi="宋体" w:cs="宋体"/>
          <w:color w:val="auto"/>
          <w:szCs w:val="21"/>
          <w:highlight w:val="none"/>
        </w:rPr>
      </w:pPr>
      <w:bookmarkStart w:id="1472" w:name="_Toc481998766"/>
      <w:bookmarkStart w:id="1473" w:name="_Toc90480357"/>
      <w:bookmarkStart w:id="1474" w:name="_Toc53664670"/>
      <w:bookmarkStart w:id="1475" w:name="_Toc90403027"/>
      <w:bookmarkStart w:id="1476" w:name="_Toc109049680"/>
      <w:r>
        <w:rPr>
          <w:rFonts w:hint="eastAsia" w:ascii="宋体" w:hAnsi="宋体" w:eastAsia="宋体" w:cs="宋体"/>
          <w:color w:val="auto"/>
          <w:szCs w:val="21"/>
          <w:highlight w:val="none"/>
        </w:rPr>
        <w:t>安全需求</w:t>
      </w:r>
      <w:bookmarkEnd w:id="1472"/>
      <w:bookmarkEnd w:id="1473"/>
      <w:bookmarkEnd w:id="1474"/>
      <w:bookmarkEnd w:id="1475"/>
      <w:bookmarkEnd w:id="1476"/>
    </w:p>
    <w:p w14:paraId="5493502F">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系统可用性：平台提供7天×24 小时的连续运行保障，系统具有操作授权及权限控制，并提供操作日志管理功能。</w:t>
      </w:r>
    </w:p>
    <w:p w14:paraId="4D825488">
      <w:pPr>
        <w:numPr>
          <w:ilvl w:val="0"/>
          <w:numId w:val="10"/>
        </w:num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功能完善：系统应具备完善全面的充电服务相关功能，以及数据分析、模糊查询等操作。</w:t>
      </w:r>
    </w:p>
    <w:p w14:paraId="768C57FB">
      <w:pPr>
        <w:numPr>
          <w:ilvl w:val="0"/>
          <w:numId w:val="10"/>
        </w:num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更新能力：系统应具备根据不断发展的实际业务场景进行更新的能力，保证平台活性，满足不同的业务需求。</w:t>
      </w:r>
    </w:p>
    <w:p w14:paraId="3C7A26F8">
      <w:pPr>
        <w:numPr>
          <w:ilvl w:val="0"/>
          <w:numId w:val="10"/>
        </w:num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易用性：功能页面操作、查询，报表查询、导出等常用操作，响应迅速，方便业务人员操作。可扩展性：应具有先进的数据库设计，以应对可能因业务增长带来的扩容需求。</w:t>
      </w:r>
    </w:p>
    <w:p w14:paraId="5AB0032D">
      <w:pPr>
        <w:numPr>
          <w:ilvl w:val="0"/>
          <w:numId w:val="10"/>
        </w:num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稳定性：应具备分布式部署能力，确保平台稳定性。</w:t>
      </w:r>
    </w:p>
    <w:p w14:paraId="0EDD7A84">
      <w:pPr>
        <w:numPr>
          <w:ilvl w:val="0"/>
          <w:numId w:val="10"/>
        </w:num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数据共享：平台应具备用于对接其他系统的API接口，支持接入到政府新能源监管平台等其他系统。所配备、开发的接口应满足《T/CEC 102.1-2016 电动汽车充换电服务信息交换 第1部分:总则》、《T/CEC 102.2-2016 电动汽车充换电服务信息交换 第2部分: 公共信息交换规范》、《T/CEC 102.3-2016 电动汽车充换电服务信息交换 第3部分: 业务信息交换规范》和《T/CEC 102.4-2016 电动汽车充换电服务信息交换 第4部分: 数据传输及安全》。通过接口可对接的数据包括但不限于：充电站的动、静态数据；充电设备的动、静态数据；订单数据等，且可通过接口实现控制充电设备的启动和停止。</w:t>
      </w:r>
    </w:p>
    <w:p w14:paraId="433C6E65">
      <w:pPr>
        <w:numPr>
          <w:ilvl w:val="0"/>
          <w:numId w:val="10"/>
        </w:num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厂家提供的充电设备及平台未出现过重大安全事故、不存在违规收集、使用个人信息，未被国家相关部门通报过。</w:t>
      </w:r>
    </w:p>
    <w:p w14:paraId="290F8908">
      <w:pPr>
        <w:numPr>
          <w:ilvl w:val="0"/>
          <w:numId w:val="10"/>
        </w:num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服务方在开发过程中应及时整理和制定各类技术文档资料、编写培训教材，并提供技术培训，包括但不限于系统操作使用培训。</w:t>
      </w:r>
    </w:p>
    <w:p w14:paraId="542CAA2A">
      <w:pPr>
        <w:numPr>
          <w:ilvl w:val="0"/>
          <w:numId w:val="10"/>
        </w:num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服务方需提供合理高效的系统实施方案。方案应包括项目进度管理、项目风险管理、技术措施和实施办法等。</w:t>
      </w:r>
    </w:p>
    <w:p w14:paraId="5DAE2CB4">
      <w:pPr>
        <w:spacing w:line="360" w:lineRule="auto"/>
        <w:ind w:firstLine="420" w:firstLineChars="200"/>
        <w:rPr>
          <w:rFonts w:hint="eastAsia" w:hAnsi="宋体" w:cs="宋体"/>
          <w:color w:val="auto"/>
          <w:szCs w:val="21"/>
          <w:highlight w:val="none"/>
        </w:rPr>
      </w:pPr>
      <w:r>
        <w:rPr>
          <w:rFonts w:hint="eastAsia" w:ascii="宋体" w:hAnsi="宋体" w:eastAsia="宋体" w:cs="宋体"/>
          <w:color w:val="auto"/>
          <w:szCs w:val="21"/>
          <w:highlight w:val="none"/>
        </w:rPr>
        <w:t>质保期限内，投标人提供运营管理平台，应供招标人免费使用。</w:t>
      </w:r>
    </w:p>
    <w:p w14:paraId="4B0DDFBB">
      <w:pPr>
        <w:spacing w:line="360" w:lineRule="auto"/>
        <w:rPr>
          <w:rFonts w:hint="eastAsia" w:ascii="宋体" w:hAnsi="宋体" w:cs="宋体"/>
          <w:color w:val="auto"/>
          <w:highlight w:val="none"/>
        </w:rPr>
      </w:pPr>
      <w:r>
        <w:rPr>
          <w:rFonts w:hint="eastAsia" w:ascii="宋体" w:hAnsi="宋体" w:cs="宋体"/>
          <w:b/>
          <w:bCs/>
          <w:color w:val="auto"/>
          <w:kern w:val="2"/>
          <w:sz w:val="21"/>
          <w:szCs w:val="21"/>
          <w:highlight w:val="none"/>
        </w:rPr>
        <w:t xml:space="preserve">    投标人承诺投标产品免费接入招标人指定的充电/运营平台</w:t>
      </w:r>
      <w:r>
        <w:rPr>
          <w:rFonts w:hint="eastAsia" w:ascii="宋体" w:hAnsi="宋体" w:cs="宋体"/>
          <w:color w:val="auto"/>
          <w:highlight w:val="none"/>
        </w:rPr>
        <w:t xml:space="preserve"> </w:t>
      </w:r>
    </w:p>
    <w:p w14:paraId="77ED1439">
      <w:pPr>
        <w:spacing w:line="360" w:lineRule="auto"/>
        <w:rPr>
          <w:rFonts w:hint="eastAsia" w:ascii="宋体" w:hAnsi="宋体" w:cs="宋体"/>
          <w:color w:val="auto"/>
          <w:highlight w:val="none"/>
        </w:rPr>
      </w:pPr>
    </w:p>
    <w:p w14:paraId="15547543">
      <w:pPr>
        <w:spacing w:line="360" w:lineRule="auto"/>
        <w:outlineLvl w:val="1"/>
        <w:rPr>
          <w:rFonts w:hint="eastAsia" w:ascii="宋体" w:hAnsi="宋体" w:cs="宋体"/>
          <w:color w:val="auto"/>
          <w:highlight w:val="none"/>
        </w:rPr>
      </w:pPr>
      <w:bookmarkStart w:id="1477" w:name="_Toc26107"/>
      <w:bookmarkStart w:id="1478" w:name="_Toc95223527"/>
      <w:r>
        <w:rPr>
          <w:rFonts w:hint="eastAsia" w:ascii="宋体" w:hAnsi="宋体" w:cs="宋体"/>
          <w:bCs/>
          <w:color w:val="auto"/>
          <w:szCs w:val="21"/>
          <w:highlight w:val="none"/>
        </w:rPr>
        <w:t>2.</w:t>
      </w:r>
      <w:r>
        <w:rPr>
          <w:rFonts w:hint="eastAsia" w:ascii="宋体" w:hAnsi="宋体" w:cs="宋体"/>
          <w:b/>
          <w:color w:val="auto"/>
          <w:highlight w:val="none"/>
        </w:rPr>
        <w:t xml:space="preserve"> </w:t>
      </w:r>
      <w:r>
        <w:rPr>
          <w:rFonts w:hint="eastAsia" w:ascii="宋体" w:hAnsi="宋体" w:cs="宋体"/>
          <w:color w:val="auto"/>
          <w:highlight w:val="none"/>
        </w:rPr>
        <w:t>特殊技术标准和要求</w:t>
      </w:r>
      <w:bookmarkEnd w:id="1477"/>
      <w:bookmarkEnd w:id="1478"/>
    </w:p>
    <w:p w14:paraId="7625DAD1">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w:t>
      </w:r>
    </w:p>
    <w:p w14:paraId="0616271D">
      <w:pPr>
        <w:spacing w:line="360" w:lineRule="auto"/>
        <w:rPr>
          <w:rFonts w:hint="eastAsia" w:ascii="宋体" w:hAnsi="宋体" w:cs="宋体"/>
          <w:color w:val="auto"/>
          <w:highlight w:val="none"/>
        </w:rPr>
      </w:pPr>
    </w:p>
    <w:p w14:paraId="6294235C">
      <w:pPr>
        <w:outlineLvl w:val="1"/>
        <w:rPr>
          <w:rFonts w:hint="eastAsia" w:ascii="宋体" w:hAnsi="宋体" w:cs="宋体"/>
          <w:color w:val="auto"/>
          <w:highlight w:val="none"/>
        </w:rPr>
      </w:pPr>
      <w:bookmarkStart w:id="1479" w:name="_Toc30517"/>
      <w:bookmarkStart w:id="1480" w:name="_Toc95223528"/>
      <w:r>
        <w:rPr>
          <w:rFonts w:hint="eastAsia" w:ascii="宋体" w:hAnsi="宋体" w:cs="宋体"/>
          <w:bCs/>
          <w:color w:val="auto"/>
          <w:szCs w:val="21"/>
          <w:highlight w:val="none"/>
        </w:rPr>
        <w:t>3.</w:t>
      </w:r>
      <w:r>
        <w:rPr>
          <w:rFonts w:hint="eastAsia" w:ascii="宋体" w:hAnsi="宋体" w:cs="宋体"/>
          <w:b/>
          <w:color w:val="auto"/>
          <w:highlight w:val="none"/>
        </w:rPr>
        <w:t xml:space="preserve"> </w:t>
      </w:r>
      <w:r>
        <w:rPr>
          <w:rFonts w:hint="eastAsia" w:ascii="宋体" w:hAnsi="宋体" w:cs="宋体"/>
          <w:color w:val="auto"/>
          <w:highlight w:val="none"/>
        </w:rPr>
        <w:t>适用的国家、行业以及地方标准、规范和规程</w:t>
      </w:r>
      <w:bookmarkEnd w:id="1479"/>
      <w:bookmarkEnd w:id="1480"/>
    </w:p>
    <w:p w14:paraId="508BF0E6">
      <w:pPr>
        <w:spacing w:line="360" w:lineRule="auto"/>
        <w:rPr>
          <w:rFonts w:hint="eastAsia"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w:t>
      </w:r>
      <w:r>
        <w:rPr>
          <w:rFonts w:hint="eastAsia" w:ascii="宋体" w:hAnsi="宋体" w:cs="宋体"/>
          <w:color w:val="auto"/>
          <w:highlight w:val="none"/>
        </w:rPr>
        <w:t xml:space="preserve"> </w:t>
      </w:r>
    </w:p>
    <w:p w14:paraId="4E651812">
      <w:pPr>
        <w:spacing w:line="360" w:lineRule="auto"/>
        <w:rPr>
          <w:rFonts w:hint="eastAsia" w:ascii="宋体" w:hAnsi="宋体" w:cs="宋体"/>
          <w:color w:val="auto"/>
          <w:highlight w:val="none"/>
        </w:rPr>
      </w:pPr>
    </w:p>
    <w:p w14:paraId="342F6543">
      <w:pPr>
        <w:spacing w:line="360" w:lineRule="auto"/>
        <w:outlineLvl w:val="1"/>
        <w:rPr>
          <w:rFonts w:hint="eastAsia" w:ascii="宋体" w:hAnsi="宋体" w:cs="宋体"/>
          <w:color w:val="auto"/>
          <w:highlight w:val="none"/>
        </w:rPr>
      </w:pPr>
      <w:bookmarkStart w:id="1481" w:name="_Toc16564"/>
      <w:bookmarkStart w:id="1482" w:name="_Toc95223529"/>
      <w:r>
        <w:rPr>
          <w:rFonts w:hint="eastAsia" w:ascii="宋体" w:hAnsi="宋体" w:cs="宋体"/>
          <w:color w:val="auto"/>
          <w:highlight w:val="none"/>
        </w:rPr>
        <w:t>4. 招标人推荐品牌</w:t>
      </w:r>
      <w:bookmarkEnd w:id="1481"/>
      <w:bookmarkEnd w:id="1482"/>
    </w:p>
    <w:p w14:paraId="032989AB">
      <w:pPr>
        <w:spacing w:before="20" w:after="20" w:line="540" w:lineRule="exact"/>
        <w:jc w:val="center"/>
        <w:rPr>
          <w:rFonts w:hint="eastAsia" w:ascii="宋体" w:hAnsi="宋体" w:cs="宋体"/>
          <w:b/>
          <w:color w:val="auto"/>
          <w:szCs w:val="21"/>
          <w:highlight w:val="none"/>
        </w:rPr>
      </w:pPr>
      <w:bookmarkStart w:id="1483" w:name="_Toc929"/>
      <w:bookmarkStart w:id="1484" w:name="_Toc95223530"/>
      <w:bookmarkStart w:id="1485" w:name="_Toc19422"/>
      <w:r>
        <w:rPr>
          <w:rFonts w:hint="eastAsia" w:ascii="宋体" w:hAnsi="宋体" w:cs="宋体"/>
          <w:b/>
          <w:color w:val="auto"/>
          <w:szCs w:val="21"/>
          <w:highlight w:val="none"/>
        </w:rPr>
        <w:t>品牌推荐表（如要求，严禁限定或者指定特定的专利、商标、品牌、原产地或者供应商）</w:t>
      </w:r>
      <w:bookmarkEnd w:id="1483"/>
      <w:bookmarkEnd w:id="1484"/>
      <w:bookmarkEnd w:id="1485"/>
    </w:p>
    <w:tbl>
      <w:tblPr>
        <w:tblStyle w:val="21"/>
        <w:tblpPr w:leftFromText="180" w:rightFromText="180" w:vertAnchor="text" w:tblpXSpec="center" w:tblpY="1"/>
        <w:tblOverlap w:val="never"/>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301"/>
        <w:gridCol w:w="925"/>
        <w:gridCol w:w="941"/>
        <w:gridCol w:w="957"/>
        <w:gridCol w:w="839"/>
        <w:gridCol w:w="1201"/>
        <w:gridCol w:w="1089"/>
        <w:gridCol w:w="1125"/>
        <w:gridCol w:w="1165"/>
      </w:tblGrid>
      <w:tr w14:paraId="550F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311" w:type="pct"/>
            <w:noWrap/>
            <w:vAlign w:val="center"/>
          </w:tcPr>
          <w:p w14:paraId="740811A7">
            <w:pPr>
              <w:widowControl/>
              <w:spacing w:after="0" w:line="240" w:lineRule="auto"/>
              <w:jc w:val="center"/>
              <w:rPr>
                <w:rFonts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序号</w:t>
            </w:r>
          </w:p>
        </w:tc>
        <w:tc>
          <w:tcPr>
            <w:tcW w:w="639" w:type="pct"/>
            <w:noWrap/>
            <w:vAlign w:val="center"/>
          </w:tcPr>
          <w:p w14:paraId="4A7843D2">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材料、设备</w:t>
            </w:r>
          </w:p>
          <w:p w14:paraId="749A32E5">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名称</w:t>
            </w:r>
          </w:p>
        </w:tc>
        <w:tc>
          <w:tcPr>
            <w:tcW w:w="454" w:type="pct"/>
            <w:noWrap/>
            <w:vAlign w:val="center"/>
          </w:tcPr>
          <w:p w14:paraId="5A9F6583">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品牌 1</w:t>
            </w:r>
          </w:p>
        </w:tc>
        <w:tc>
          <w:tcPr>
            <w:tcW w:w="462" w:type="pct"/>
            <w:noWrap/>
            <w:vAlign w:val="center"/>
          </w:tcPr>
          <w:p w14:paraId="30064934">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品牌 2</w:t>
            </w:r>
          </w:p>
        </w:tc>
        <w:tc>
          <w:tcPr>
            <w:tcW w:w="470" w:type="pct"/>
            <w:noWrap/>
            <w:vAlign w:val="center"/>
          </w:tcPr>
          <w:p w14:paraId="7C3317F8">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品牌3</w:t>
            </w:r>
          </w:p>
        </w:tc>
        <w:tc>
          <w:tcPr>
            <w:tcW w:w="412" w:type="pct"/>
            <w:noWrap/>
            <w:vAlign w:val="center"/>
          </w:tcPr>
          <w:p w14:paraId="4F2B7B41">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品牌4</w:t>
            </w:r>
          </w:p>
        </w:tc>
        <w:tc>
          <w:tcPr>
            <w:tcW w:w="590" w:type="pct"/>
            <w:noWrap/>
            <w:vAlign w:val="center"/>
          </w:tcPr>
          <w:p w14:paraId="5A3CDB18">
            <w:pPr>
              <w:widowControl/>
              <w:spacing w:after="0" w:line="240" w:lineRule="auto"/>
              <w:jc w:val="center"/>
              <w:rPr>
                <w:rFonts w:hint="eastAsia" w:ascii="宋体" w:hAnsi="宋体" w:eastAsia="宋体" w:cs="宋体"/>
                <w:color w:val="auto"/>
                <w:kern w:val="0"/>
                <w:sz w:val="20"/>
                <w:szCs w:val="20"/>
                <w:highlight w:val="none"/>
                <w:lang w:val="en-US" w:eastAsia="zh-CN"/>
                <w14:ligatures w14:val="none"/>
              </w:rPr>
            </w:pPr>
            <w:r>
              <w:rPr>
                <w:rFonts w:hint="eastAsia" w:ascii="宋体" w:hAnsi="宋体" w:eastAsia="宋体" w:cs="宋体"/>
                <w:color w:val="auto"/>
                <w:kern w:val="0"/>
                <w:sz w:val="20"/>
                <w:szCs w:val="20"/>
                <w:highlight w:val="none"/>
                <w14:ligatures w14:val="none"/>
              </w:rPr>
              <w:t>品牌</w:t>
            </w:r>
            <w:r>
              <w:rPr>
                <w:rFonts w:hint="eastAsia" w:ascii="宋体" w:hAnsi="宋体" w:eastAsia="宋体" w:cs="宋体"/>
                <w:color w:val="auto"/>
                <w:kern w:val="0"/>
                <w:sz w:val="20"/>
                <w:szCs w:val="20"/>
                <w:highlight w:val="none"/>
                <w:lang w:val="en-US" w:eastAsia="zh-CN"/>
                <w14:ligatures w14:val="none"/>
              </w:rPr>
              <w:t>5</w:t>
            </w:r>
          </w:p>
        </w:tc>
        <w:tc>
          <w:tcPr>
            <w:tcW w:w="535" w:type="pct"/>
            <w:noWrap/>
            <w:vAlign w:val="center"/>
          </w:tcPr>
          <w:p w14:paraId="62C3F358">
            <w:pPr>
              <w:widowControl/>
              <w:spacing w:after="0" w:line="240" w:lineRule="auto"/>
              <w:jc w:val="center"/>
              <w:rPr>
                <w:rFonts w:hint="eastAsia" w:ascii="宋体" w:hAnsi="宋体" w:eastAsia="宋体" w:cs="宋体"/>
                <w:color w:val="auto"/>
                <w:kern w:val="0"/>
                <w:sz w:val="20"/>
                <w:szCs w:val="20"/>
                <w:highlight w:val="none"/>
                <w:lang w:val="en-US" w:eastAsia="zh-CN"/>
                <w14:ligatures w14:val="none"/>
              </w:rPr>
            </w:pPr>
            <w:r>
              <w:rPr>
                <w:rFonts w:hint="eastAsia" w:ascii="宋体" w:hAnsi="宋体" w:eastAsia="宋体" w:cs="宋体"/>
                <w:color w:val="auto"/>
                <w:kern w:val="0"/>
                <w:sz w:val="20"/>
                <w:szCs w:val="20"/>
                <w:highlight w:val="none"/>
                <w14:ligatures w14:val="none"/>
              </w:rPr>
              <w:t>品牌</w:t>
            </w:r>
            <w:r>
              <w:rPr>
                <w:rFonts w:hint="eastAsia" w:ascii="宋体" w:hAnsi="宋体" w:eastAsia="宋体" w:cs="宋体"/>
                <w:color w:val="auto"/>
                <w:kern w:val="0"/>
                <w:sz w:val="20"/>
                <w:szCs w:val="20"/>
                <w:highlight w:val="none"/>
                <w:lang w:val="en-US" w:eastAsia="zh-CN"/>
                <w14:ligatures w14:val="none"/>
              </w:rPr>
              <w:t>6</w:t>
            </w:r>
          </w:p>
        </w:tc>
        <w:tc>
          <w:tcPr>
            <w:tcW w:w="552" w:type="pct"/>
            <w:noWrap/>
            <w:vAlign w:val="center"/>
          </w:tcPr>
          <w:p w14:paraId="48946480">
            <w:pPr>
              <w:widowControl/>
              <w:spacing w:after="0" w:line="240" w:lineRule="auto"/>
              <w:jc w:val="center"/>
              <w:rPr>
                <w:rFonts w:hint="eastAsia" w:ascii="宋体" w:hAnsi="宋体" w:eastAsia="宋体" w:cs="宋体"/>
                <w:color w:val="auto"/>
                <w:kern w:val="0"/>
                <w:sz w:val="20"/>
                <w:szCs w:val="20"/>
                <w:highlight w:val="none"/>
                <w:lang w:val="en-US" w:eastAsia="zh-CN"/>
                <w14:ligatures w14:val="none"/>
              </w:rPr>
            </w:pPr>
            <w:r>
              <w:rPr>
                <w:rFonts w:hint="eastAsia" w:ascii="宋体" w:hAnsi="宋体" w:eastAsia="宋体" w:cs="宋体"/>
                <w:color w:val="auto"/>
                <w:kern w:val="0"/>
                <w:sz w:val="20"/>
                <w:szCs w:val="20"/>
                <w:highlight w:val="none"/>
                <w14:ligatures w14:val="none"/>
              </w:rPr>
              <w:t>品牌</w:t>
            </w:r>
            <w:r>
              <w:rPr>
                <w:rFonts w:hint="eastAsia" w:ascii="宋体" w:hAnsi="宋体" w:eastAsia="宋体" w:cs="宋体"/>
                <w:color w:val="auto"/>
                <w:kern w:val="0"/>
                <w:sz w:val="20"/>
                <w:szCs w:val="20"/>
                <w:highlight w:val="none"/>
                <w:lang w:val="en-US" w:eastAsia="zh-CN"/>
                <w14:ligatures w14:val="none"/>
              </w:rPr>
              <w:t>7</w:t>
            </w:r>
          </w:p>
        </w:tc>
        <w:tc>
          <w:tcPr>
            <w:tcW w:w="572" w:type="pct"/>
            <w:noWrap/>
            <w:vAlign w:val="center"/>
          </w:tcPr>
          <w:p w14:paraId="6A826D4A">
            <w:pPr>
              <w:widowControl/>
              <w:spacing w:after="0" w:line="240" w:lineRule="auto"/>
              <w:jc w:val="center"/>
              <w:rPr>
                <w:rFonts w:hint="eastAsia" w:ascii="宋体" w:hAnsi="宋体" w:eastAsia="宋体" w:cs="宋体"/>
                <w:color w:val="auto"/>
                <w:kern w:val="0"/>
                <w:sz w:val="20"/>
                <w:szCs w:val="20"/>
                <w:highlight w:val="none"/>
                <w:lang w:val="en-US" w:eastAsia="zh-CN"/>
                <w14:ligatures w14:val="none"/>
              </w:rPr>
            </w:pPr>
            <w:r>
              <w:rPr>
                <w:rFonts w:hint="eastAsia" w:ascii="宋体" w:hAnsi="宋体" w:eastAsia="宋体" w:cs="宋体"/>
                <w:color w:val="auto"/>
                <w:kern w:val="0"/>
                <w:sz w:val="20"/>
                <w:szCs w:val="20"/>
                <w:highlight w:val="none"/>
                <w14:ligatures w14:val="none"/>
              </w:rPr>
              <w:t>品牌</w:t>
            </w:r>
            <w:r>
              <w:rPr>
                <w:rFonts w:hint="eastAsia" w:ascii="宋体" w:hAnsi="宋体" w:eastAsia="宋体" w:cs="宋体"/>
                <w:color w:val="auto"/>
                <w:kern w:val="0"/>
                <w:sz w:val="20"/>
                <w:szCs w:val="20"/>
                <w:highlight w:val="none"/>
                <w:lang w:val="en-US" w:eastAsia="zh-CN"/>
                <w14:ligatures w14:val="none"/>
              </w:rPr>
              <w:t>8</w:t>
            </w:r>
          </w:p>
        </w:tc>
      </w:tr>
      <w:tr w14:paraId="2082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311" w:type="pct"/>
            <w:noWrap/>
            <w:vAlign w:val="center"/>
          </w:tcPr>
          <w:p w14:paraId="78B29407">
            <w:pPr>
              <w:widowControl/>
              <w:spacing w:after="0" w:line="240" w:lineRule="auto"/>
              <w:jc w:val="center"/>
              <w:rPr>
                <w:rFonts w:hint="eastAsia" w:ascii="宋体" w:hAnsi="宋体" w:eastAsia="宋体" w:cs="宋体"/>
                <w:color w:val="auto"/>
                <w:kern w:val="0"/>
                <w:sz w:val="20"/>
                <w:szCs w:val="20"/>
                <w:highlight w:val="none"/>
                <w:lang w:eastAsia="zh-CN"/>
                <w14:ligatures w14:val="none"/>
              </w:rPr>
            </w:pPr>
            <w:r>
              <w:rPr>
                <w:rFonts w:hint="eastAsia" w:ascii="宋体" w:hAnsi="宋体" w:eastAsia="宋体" w:cs="宋体"/>
                <w:color w:val="auto"/>
                <w:kern w:val="0"/>
                <w:sz w:val="20"/>
                <w:szCs w:val="20"/>
                <w:highlight w:val="none"/>
                <w:lang w:val="en-US" w:eastAsia="zh-CN"/>
                <w14:ligatures w14:val="none"/>
              </w:rPr>
              <w:t>1</w:t>
            </w:r>
          </w:p>
        </w:tc>
        <w:tc>
          <w:tcPr>
            <w:tcW w:w="639" w:type="pct"/>
            <w:noWrap/>
            <w:vAlign w:val="center"/>
          </w:tcPr>
          <w:p w14:paraId="75E5C474">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箱变</w:t>
            </w:r>
          </w:p>
        </w:tc>
        <w:tc>
          <w:tcPr>
            <w:tcW w:w="454" w:type="pct"/>
            <w:noWrap/>
            <w:vAlign w:val="center"/>
          </w:tcPr>
          <w:p w14:paraId="0AAE9659">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施耐德</w:t>
            </w:r>
          </w:p>
        </w:tc>
        <w:tc>
          <w:tcPr>
            <w:tcW w:w="462" w:type="pct"/>
            <w:noWrap/>
            <w:vAlign w:val="center"/>
          </w:tcPr>
          <w:p w14:paraId="66CA7FB7">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许继电气</w:t>
            </w:r>
          </w:p>
        </w:tc>
        <w:tc>
          <w:tcPr>
            <w:tcW w:w="470" w:type="pct"/>
            <w:noWrap/>
            <w:vAlign w:val="center"/>
          </w:tcPr>
          <w:p w14:paraId="01926FD8">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常熟电气</w:t>
            </w:r>
          </w:p>
        </w:tc>
        <w:tc>
          <w:tcPr>
            <w:tcW w:w="412" w:type="pct"/>
            <w:noWrap/>
            <w:vAlign w:val="center"/>
          </w:tcPr>
          <w:p w14:paraId="69D95535">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安徽森源</w:t>
            </w:r>
          </w:p>
        </w:tc>
        <w:tc>
          <w:tcPr>
            <w:tcW w:w="590" w:type="pct"/>
            <w:shd w:val="clear" w:color="auto" w:fill="auto"/>
            <w:noWrap/>
            <w:vAlign w:val="center"/>
          </w:tcPr>
          <w:p w14:paraId="49B45219">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明阳电气</w:t>
            </w:r>
          </w:p>
        </w:tc>
        <w:tc>
          <w:tcPr>
            <w:tcW w:w="535" w:type="pct"/>
            <w:shd w:val="clear" w:color="auto" w:fill="auto"/>
            <w:noWrap/>
            <w:vAlign w:val="center"/>
          </w:tcPr>
          <w:p w14:paraId="1A570D5A">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合肥元贞</w:t>
            </w:r>
          </w:p>
        </w:tc>
        <w:tc>
          <w:tcPr>
            <w:tcW w:w="552" w:type="pct"/>
            <w:shd w:val="clear" w:color="auto" w:fill="auto"/>
            <w:noWrap/>
            <w:vAlign w:val="center"/>
          </w:tcPr>
          <w:p w14:paraId="4FB716B2">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南京大全</w:t>
            </w:r>
          </w:p>
        </w:tc>
        <w:tc>
          <w:tcPr>
            <w:tcW w:w="572" w:type="pct"/>
            <w:shd w:val="clear" w:color="auto" w:fill="auto"/>
            <w:noWrap/>
            <w:vAlign w:val="center"/>
          </w:tcPr>
          <w:p w14:paraId="69D2A983">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顺特电气</w:t>
            </w:r>
          </w:p>
        </w:tc>
      </w:tr>
      <w:tr w14:paraId="0CD4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1" w:type="pct"/>
            <w:noWrap/>
            <w:vAlign w:val="center"/>
          </w:tcPr>
          <w:p w14:paraId="16DD45F6">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2</w:t>
            </w:r>
          </w:p>
        </w:tc>
        <w:tc>
          <w:tcPr>
            <w:tcW w:w="639" w:type="pct"/>
            <w:noWrap/>
            <w:vAlign w:val="center"/>
          </w:tcPr>
          <w:p w14:paraId="41D1B40D">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35kV、10kV 高压柜设备</w:t>
            </w:r>
          </w:p>
        </w:tc>
        <w:tc>
          <w:tcPr>
            <w:tcW w:w="454" w:type="pct"/>
            <w:noWrap/>
            <w:vAlign w:val="center"/>
          </w:tcPr>
          <w:p w14:paraId="24F52DB7">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施耐德</w:t>
            </w:r>
          </w:p>
        </w:tc>
        <w:tc>
          <w:tcPr>
            <w:tcW w:w="462" w:type="pct"/>
            <w:noWrap/>
            <w:vAlign w:val="center"/>
          </w:tcPr>
          <w:p w14:paraId="6CE79AE5">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合肥元贞</w:t>
            </w:r>
          </w:p>
        </w:tc>
        <w:tc>
          <w:tcPr>
            <w:tcW w:w="470" w:type="pct"/>
            <w:noWrap/>
            <w:vAlign w:val="center"/>
          </w:tcPr>
          <w:p w14:paraId="0C2E4618">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威尔朗</w:t>
            </w:r>
          </w:p>
        </w:tc>
        <w:tc>
          <w:tcPr>
            <w:tcW w:w="412" w:type="pct"/>
            <w:noWrap/>
            <w:vAlign w:val="center"/>
          </w:tcPr>
          <w:p w14:paraId="6643C6C8">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安徽森源</w:t>
            </w:r>
          </w:p>
        </w:tc>
        <w:tc>
          <w:tcPr>
            <w:tcW w:w="590" w:type="pct"/>
            <w:shd w:val="clear" w:color="auto" w:fill="auto"/>
            <w:noWrap/>
            <w:vAlign w:val="center"/>
          </w:tcPr>
          <w:p w14:paraId="52052C0C">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正泰电气</w:t>
            </w:r>
          </w:p>
        </w:tc>
        <w:tc>
          <w:tcPr>
            <w:tcW w:w="535" w:type="pct"/>
            <w:shd w:val="clear" w:color="auto" w:fill="auto"/>
            <w:noWrap/>
            <w:vAlign w:val="center"/>
          </w:tcPr>
          <w:p w14:paraId="5C0A9D07">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许继电气</w:t>
            </w:r>
          </w:p>
        </w:tc>
        <w:tc>
          <w:tcPr>
            <w:tcW w:w="552" w:type="pct"/>
            <w:shd w:val="clear" w:color="auto" w:fill="auto"/>
            <w:noWrap/>
            <w:vAlign w:val="center"/>
          </w:tcPr>
          <w:p w14:paraId="6C7D6FDD">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人民电器</w:t>
            </w:r>
          </w:p>
        </w:tc>
        <w:tc>
          <w:tcPr>
            <w:tcW w:w="572" w:type="pct"/>
            <w:shd w:val="clear" w:color="auto" w:fill="auto"/>
            <w:noWrap/>
            <w:vAlign w:val="center"/>
          </w:tcPr>
          <w:p w14:paraId="334D1680">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常熟电气</w:t>
            </w:r>
          </w:p>
        </w:tc>
      </w:tr>
      <w:tr w14:paraId="0135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1" w:type="pct"/>
            <w:noWrap/>
            <w:vAlign w:val="center"/>
          </w:tcPr>
          <w:p w14:paraId="384190A4">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3</w:t>
            </w:r>
          </w:p>
        </w:tc>
        <w:tc>
          <w:tcPr>
            <w:tcW w:w="639" w:type="pct"/>
            <w:noWrap/>
            <w:vAlign w:val="center"/>
          </w:tcPr>
          <w:p w14:paraId="4656C582">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35kV油浸式变压器</w:t>
            </w:r>
          </w:p>
        </w:tc>
        <w:tc>
          <w:tcPr>
            <w:tcW w:w="454" w:type="pct"/>
            <w:noWrap/>
            <w:vAlign w:val="center"/>
          </w:tcPr>
          <w:p w14:paraId="09E3F594">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顺特电气</w:t>
            </w:r>
          </w:p>
        </w:tc>
        <w:tc>
          <w:tcPr>
            <w:tcW w:w="462" w:type="pct"/>
            <w:noWrap/>
            <w:vAlign w:val="center"/>
          </w:tcPr>
          <w:p w14:paraId="0950F115">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南京大全</w:t>
            </w:r>
          </w:p>
        </w:tc>
        <w:tc>
          <w:tcPr>
            <w:tcW w:w="470" w:type="pct"/>
            <w:noWrap/>
            <w:vAlign w:val="center"/>
          </w:tcPr>
          <w:p w14:paraId="013D5C98">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天津特变</w:t>
            </w:r>
          </w:p>
        </w:tc>
        <w:tc>
          <w:tcPr>
            <w:tcW w:w="412" w:type="pct"/>
            <w:noWrap/>
            <w:vAlign w:val="center"/>
          </w:tcPr>
          <w:p w14:paraId="2A15DBE8">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许继电气</w:t>
            </w:r>
          </w:p>
        </w:tc>
        <w:tc>
          <w:tcPr>
            <w:tcW w:w="590" w:type="pct"/>
            <w:shd w:val="clear" w:color="auto" w:fill="auto"/>
            <w:noWrap/>
            <w:vAlign w:val="center"/>
          </w:tcPr>
          <w:p w14:paraId="4BF89988">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天威保变</w:t>
            </w:r>
          </w:p>
          <w:p w14:paraId="28097C2E">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（BTW）</w:t>
            </w:r>
          </w:p>
        </w:tc>
        <w:tc>
          <w:tcPr>
            <w:tcW w:w="535" w:type="pct"/>
            <w:shd w:val="clear" w:color="auto" w:fill="auto"/>
            <w:noWrap/>
            <w:vAlign w:val="center"/>
          </w:tcPr>
          <w:p w14:paraId="776B6722">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中国西电</w:t>
            </w:r>
          </w:p>
        </w:tc>
        <w:tc>
          <w:tcPr>
            <w:tcW w:w="552" w:type="pct"/>
            <w:shd w:val="clear" w:color="auto" w:fill="auto"/>
            <w:noWrap/>
            <w:vAlign w:val="center"/>
          </w:tcPr>
          <w:p w14:paraId="1193C652">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合肥元贞</w:t>
            </w:r>
          </w:p>
        </w:tc>
        <w:tc>
          <w:tcPr>
            <w:tcW w:w="572" w:type="pct"/>
            <w:shd w:val="clear" w:color="auto" w:fill="auto"/>
            <w:noWrap/>
            <w:vAlign w:val="center"/>
          </w:tcPr>
          <w:p w14:paraId="6ADE178D">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平高电气</w:t>
            </w:r>
          </w:p>
        </w:tc>
      </w:tr>
      <w:tr w14:paraId="1E5F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11" w:type="pct"/>
            <w:noWrap/>
            <w:vAlign w:val="center"/>
          </w:tcPr>
          <w:p w14:paraId="6857EC06">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4</w:t>
            </w:r>
          </w:p>
        </w:tc>
        <w:tc>
          <w:tcPr>
            <w:tcW w:w="639" w:type="pct"/>
            <w:noWrap/>
            <w:vAlign w:val="center"/>
          </w:tcPr>
          <w:p w14:paraId="10069D1A">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高压断路器</w:t>
            </w:r>
          </w:p>
        </w:tc>
        <w:tc>
          <w:tcPr>
            <w:tcW w:w="454" w:type="pct"/>
            <w:noWrap/>
            <w:vAlign w:val="center"/>
          </w:tcPr>
          <w:p w14:paraId="68C5B46D">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正泰</w:t>
            </w:r>
          </w:p>
        </w:tc>
        <w:tc>
          <w:tcPr>
            <w:tcW w:w="462" w:type="pct"/>
            <w:noWrap/>
            <w:vAlign w:val="center"/>
          </w:tcPr>
          <w:p w14:paraId="03A7AC77">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施耐德</w:t>
            </w:r>
          </w:p>
        </w:tc>
        <w:tc>
          <w:tcPr>
            <w:tcW w:w="470" w:type="pct"/>
            <w:noWrap/>
            <w:vAlign w:val="center"/>
          </w:tcPr>
          <w:p w14:paraId="5290162A">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德力西</w:t>
            </w:r>
          </w:p>
        </w:tc>
        <w:tc>
          <w:tcPr>
            <w:tcW w:w="412" w:type="pct"/>
            <w:noWrap/>
            <w:vAlign w:val="center"/>
          </w:tcPr>
          <w:p w14:paraId="7CAF274A">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天正</w:t>
            </w:r>
          </w:p>
        </w:tc>
        <w:tc>
          <w:tcPr>
            <w:tcW w:w="590" w:type="pct"/>
            <w:shd w:val="clear" w:color="auto" w:fill="auto"/>
            <w:noWrap/>
            <w:vAlign w:val="center"/>
          </w:tcPr>
          <w:p w14:paraId="46ED532F">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中国西电</w:t>
            </w:r>
          </w:p>
        </w:tc>
        <w:tc>
          <w:tcPr>
            <w:tcW w:w="535" w:type="pct"/>
            <w:shd w:val="clear" w:color="auto" w:fill="auto"/>
            <w:noWrap/>
            <w:vAlign w:val="center"/>
          </w:tcPr>
          <w:p w14:paraId="10E6C09A">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平高电气</w:t>
            </w:r>
          </w:p>
        </w:tc>
        <w:tc>
          <w:tcPr>
            <w:tcW w:w="552" w:type="pct"/>
            <w:shd w:val="clear" w:color="auto" w:fill="auto"/>
            <w:noWrap/>
            <w:vAlign w:val="center"/>
          </w:tcPr>
          <w:p w14:paraId="3FC36BF0">
            <w:pPr>
              <w:rPr>
                <w:rFonts w:hint="eastAsia" w:ascii="Times New Roman" w:hAnsi="宋体" w:eastAsia="宋体" w:cs="宋体"/>
                <w:color w:val="auto"/>
                <w:sz w:val="21"/>
                <w:szCs w:val="21"/>
                <w:highlight w:val="none"/>
                <w:lang w:val="en-US" w:eastAsia="zh-CN"/>
              </w:rPr>
            </w:pPr>
          </w:p>
        </w:tc>
        <w:tc>
          <w:tcPr>
            <w:tcW w:w="572" w:type="pct"/>
            <w:shd w:val="clear" w:color="auto" w:fill="auto"/>
            <w:noWrap/>
            <w:vAlign w:val="center"/>
          </w:tcPr>
          <w:p w14:paraId="7AB2F6FD">
            <w:pPr>
              <w:rPr>
                <w:rFonts w:hint="eastAsia" w:ascii="Times New Roman" w:hAnsi="宋体" w:eastAsia="宋体" w:cs="宋体"/>
                <w:color w:val="auto"/>
                <w:sz w:val="21"/>
                <w:szCs w:val="21"/>
                <w:highlight w:val="none"/>
                <w:lang w:val="en-US" w:eastAsia="zh-CN"/>
              </w:rPr>
            </w:pPr>
          </w:p>
        </w:tc>
      </w:tr>
      <w:tr w14:paraId="5A1C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11" w:type="pct"/>
            <w:noWrap/>
            <w:vAlign w:val="center"/>
          </w:tcPr>
          <w:p w14:paraId="489F2ACE">
            <w:pPr>
              <w:widowControl/>
              <w:spacing w:after="0" w:line="240" w:lineRule="auto"/>
              <w:jc w:val="center"/>
              <w:rPr>
                <w:rFonts w:hint="eastAsia" w:ascii="宋体" w:hAnsi="宋体" w:eastAsia="宋体" w:cs="宋体"/>
                <w:color w:val="auto"/>
                <w:kern w:val="0"/>
                <w:sz w:val="20"/>
                <w:szCs w:val="20"/>
                <w:highlight w:val="none"/>
                <w:lang w:val="en-US" w:eastAsia="zh-CN"/>
                <w14:ligatures w14:val="none"/>
              </w:rPr>
            </w:pPr>
            <w:r>
              <w:rPr>
                <w:rFonts w:hint="eastAsia" w:ascii="宋体" w:hAnsi="宋体" w:eastAsia="宋体" w:cs="宋体"/>
                <w:color w:val="auto"/>
                <w:kern w:val="0"/>
                <w:sz w:val="20"/>
                <w:szCs w:val="20"/>
                <w:highlight w:val="none"/>
                <w14:ligatures w14:val="none"/>
              </w:rPr>
              <w:t>5</w:t>
            </w:r>
          </w:p>
        </w:tc>
        <w:tc>
          <w:tcPr>
            <w:tcW w:w="639" w:type="pct"/>
            <w:noWrap/>
            <w:vAlign w:val="center"/>
          </w:tcPr>
          <w:p w14:paraId="6448D034">
            <w:pPr>
              <w:widowControl/>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低压断路器</w:t>
            </w:r>
          </w:p>
        </w:tc>
        <w:tc>
          <w:tcPr>
            <w:tcW w:w="454" w:type="pct"/>
            <w:noWrap/>
            <w:vAlign w:val="center"/>
          </w:tcPr>
          <w:p w14:paraId="200753A6">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正泰</w:t>
            </w:r>
          </w:p>
        </w:tc>
        <w:tc>
          <w:tcPr>
            <w:tcW w:w="462" w:type="pct"/>
            <w:noWrap/>
            <w:vAlign w:val="center"/>
          </w:tcPr>
          <w:p w14:paraId="4FE189DD">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常开</w:t>
            </w:r>
          </w:p>
        </w:tc>
        <w:tc>
          <w:tcPr>
            <w:tcW w:w="470" w:type="pct"/>
            <w:noWrap/>
            <w:vAlign w:val="center"/>
          </w:tcPr>
          <w:p w14:paraId="17E628A2">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天正</w:t>
            </w:r>
          </w:p>
        </w:tc>
        <w:tc>
          <w:tcPr>
            <w:tcW w:w="412" w:type="pct"/>
            <w:noWrap/>
            <w:vAlign w:val="center"/>
          </w:tcPr>
          <w:p w14:paraId="13CBE5FE">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良信</w:t>
            </w:r>
          </w:p>
        </w:tc>
        <w:tc>
          <w:tcPr>
            <w:tcW w:w="590" w:type="pct"/>
            <w:shd w:val="clear" w:color="auto" w:fill="auto"/>
            <w:noWrap/>
            <w:vAlign w:val="center"/>
          </w:tcPr>
          <w:p w14:paraId="79CE43DD">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德力西</w:t>
            </w:r>
          </w:p>
        </w:tc>
        <w:tc>
          <w:tcPr>
            <w:tcW w:w="535" w:type="pct"/>
            <w:shd w:val="clear" w:color="auto" w:fill="auto"/>
            <w:noWrap/>
            <w:vAlign w:val="center"/>
          </w:tcPr>
          <w:p w14:paraId="607D6AF9">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常熟开关</w:t>
            </w:r>
          </w:p>
        </w:tc>
        <w:tc>
          <w:tcPr>
            <w:tcW w:w="552" w:type="pct"/>
            <w:shd w:val="clear" w:color="auto" w:fill="auto"/>
            <w:noWrap/>
            <w:vAlign w:val="center"/>
          </w:tcPr>
          <w:p w14:paraId="2A103F07">
            <w:pPr>
              <w:rPr>
                <w:rFonts w:hint="eastAsia" w:ascii="Times New Roman" w:hAnsi="宋体" w:eastAsia="宋体" w:cs="宋体"/>
                <w:color w:val="auto"/>
                <w:sz w:val="21"/>
                <w:szCs w:val="21"/>
                <w:highlight w:val="none"/>
                <w:lang w:val="en-US" w:eastAsia="zh-CN"/>
              </w:rPr>
            </w:pPr>
          </w:p>
        </w:tc>
        <w:tc>
          <w:tcPr>
            <w:tcW w:w="572" w:type="pct"/>
            <w:shd w:val="clear" w:color="auto" w:fill="auto"/>
            <w:noWrap/>
            <w:vAlign w:val="center"/>
          </w:tcPr>
          <w:p w14:paraId="1DB2369A">
            <w:pPr>
              <w:rPr>
                <w:rFonts w:hint="eastAsia" w:ascii="Times New Roman" w:hAnsi="宋体" w:eastAsia="宋体" w:cs="宋体"/>
                <w:color w:val="auto"/>
                <w:sz w:val="21"/>
                <w:szCs w:val="21"/>
                <w:highlight w:val="none"/>
                <w:lang w:val="en-US" w:eastAsia="zh-CN"/>
              </w:rPr>
            </w:pPr>
          </w:p>
        </w:tc>
      </w:tr>
      <w:tr w14:paraId="29CE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11" w:type="pct"/>
            <w:noWrap/>
            <w:vAlign w:val="center"/>
          </w:tcPr>
          <w:p w14:paraId="6B56BE2F">
            <w:pPr>
              <w:widowControl/>
              <w:spacing w:after="0" w:line="240" w:lineRule="auto"/>
              <w:jc w:val="center"/>
              <w:rPr>
                <w:rFonts w:hint="eastAsia" w:ascii="宋体" w:hAnsi="宋体" w:eastAsia="宋体" w:cs="宋体"/>
                <w:color w:val="auto"/>
                <w:kern w:val="0"/>
                <w:sz w:val="20"/>
                <w:szCs w:val="20"/>
                <w:highlight w:val="none"/>
                <w:lang w:eastAsia="zh-CN"/>
                <w14:ligatures w14:val="none"/>
              </w:rPr>
            </w:pPr>
            <w:r>
              <w:rPr>
                <w:rFonts w:hint="eastAsia" w:ascii="宋体" w:hAnsi="宋体" w:eastAsia="宋体" w:cs="宋体"/>
                <w:color w:val="auto"/>
                <w:kern w:val="0"/>
                <w:sz w:val="20"/>
                <w:szCs w:val="20"/>
                <w:highlight w:val="none"/>
                <w:lang w:val="en-US" w:eastAsia="zh-CN"/>
                <w14:ligatures w14:val="none"/>
              </w:rPr>
              <w:t>6</w:t>
            </w:r>
          </w:p>
        </w:tc>
        <w:tc>
          <w:tcPr>
            <w:tcW w:w="639" w:type="pct"/>
            <w:noWrap/>
            <w:vAlign w:val="center"/>
          </w:tcPr>
          <w:p w14:paraId="79CAF58D">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无功补偿</w:t>
            </w:r>
          </w:p>
        </w:tc>
        <w:tc>
          <w:tcPr>
            <w:tcW w:w="454" w:type="pct"/>
            <w:noWrap/>
            <w:vAlign w:val="center"/>
          </w:tcPr>
          <w:p w14:paraId="7A3B1263">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安德利</w:t>
            </w:r>
          </w:p>
        </w:tc>
        <w:tc>
          <w:tcPr>
            <w:tcW w:w="462" w:type="pct"/>
            <w:noWrap/>
            <w:vAlign w:val="center"/>
          </w:tcPr>
          <w:p w14:paraId="473D5D05">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南瑞继保</w:t>
            </w:r>
          </w:p>
        </w:tc>
        <w:tc>
          <w:tcPr>
            <w:tcW w:w="470" w:type="pct"/>
            <w:noWrap/>
            <w:vAlign w:val="center"/>
          </w:tcPr>
          <w:p w14:paraId="182668CD">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正泰</w:t>
            </w:r>
          </w:p>
        </w:tc>
        <w:tc>
          <w:tcPr>
            <w:tcW w:w="412" w:type="pct"/>
            <w:noWrap/>
            <w:vAlign w:val="center"/>
          </w:tcPr>
          <w:p w14:paraId="148F4E1A">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南京芯瑞</w:t>
            </w:r>
          </w:p>
        </w:tc>
        <w:tc>
          <w:tcPr>
            <w:tcW w:w="590" w:type="pct"/>
            <w:shd w:val="clear" w:color="auto" w:fill="auto"/>
            <w:noWrap/>
            <w:vAlign w:val="center"/>
          </w:tcPr>
          <w:p w14:paraId="686E104A">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德力西</w:t>
            </w:r>
          </w:p>
        </w:tc>
        <w:tc>
          <w:tcPr>
            <w:tcW w:w="535" w:type="pct"/>
            <w:shd w:val="clear" w:color="auto" w:fill="auto"/>
            <w:noWrap/>
            <w:vAlign w:val="center"/>
          </w:tcPr>
          <w:p w14:paraId="037E4616">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合肥元贞</w:t>
            </w:r>
          </w:p>
        </w:tc>
        <w:tc>
          <w:tcPr>
            <w:tcW w:w="552" w:type="pct"/>
            <w:shd w:val="clear" w:color="auto" w:fill="auto"/>
            <w:noWrap/>
            <w:vAlign w:val="center"/>
          </w:tcPr>
          <w:p w14:paraId="15FE6A26">
            <w:pPr>
              <w:rPr>
                <w:rFonts w:hint="eastAsia" w:ascii="Times New Roman" w:hAnsi="宋体" w:eastAsia="宋体" w:cs="宋体"/>
                <w:color w:val="auto"/>
                <w:sz w:val="21"/>
                <w:szCs w:val="21"/>
                <w:highlight w:val="none"/>
                <w:lang w:val="en-US" w:eastAsia="zh-CN"/>
              </w:rPr>
            </w:pPr>
          </w:p>
        </w:tc>
        <w:tc>
          <w:tcPr>
            <w:tcW w:w="572" w:type="pct"/>
            <w:shd w:val="clear" w:color="auto" w:fill="auto"/>
            <w:noWrap/>
            <w:vAlign w:val="center"/>
          </w:tcPr>
          <w:p w14:paraId="04DFA0F4">
            <w:pPr>
              <w:rPr>
                <w:rFonts w:hint="eastAsia" w:ascii="Times New Roman" w:hAnsi="宋体" w:eastAsia="宋体" w:cs="宋体"/>
                <w:color w:val="auto"/>
                <w:sz w:val="21"/>
                <w:szCs w:val="21"/>
                <w:highlight w:val="none"/>
                <w:lang w:val="en-US" w:eastAsia="zh-CN"/>
              </w:rPr>
            </w:pPr>
          </w:p>
        </w:tc>
      </w:tr>
      <w:tr w14:paraId="6485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11" w:type="pct"/>
            <w:noWrap/>
            <w:vAlign w:val="center"/>
          </w:tcPr>
          <w:p w14:paraId="51E16E1C">
            <w:pPr>
              <w:widowControl/>
              <w:spacing w:after="0" w:line="240" w:lineRule="auto"/>
              <w:jc w:val="center"/>
              <w:rPr>
                <w:rFonts w:hint="eastAsia" w:ascii="宋体" w:hAnsi="宋体" w:eastAsia="宋体" w:cs="宋体"/>
                <w:color w:val="auto"/>
                <w:kern w:val="0"/>
                <w:sz w:val="20"/>
                <w:szCs w:val="20"/>
                <w:highlight w:val="none"/>
                <w:lang w:eastAsia="zh-CN"/>
                <w14:ligatures w14:val="none"/>
              </w:rPr>
            </w:pPr>
            <w:r>
              <w:rPr>
                <w:rFonts w:hint="eastAsia" w:ascii="宋体" w:hAnsi="宋体" w:eastAsia="宋体" w:cs="宋体"/>
                <w:color w:val="auto"/>
                <w:kern w:val="0"/>
                <w:sz w:val="20"/>
                <w:szCs w:val="20"/>
                <w:highlight w:val="none"/>
                <w:lang w:val="en-US" w:eastAsia="zh-CN"/>
                <w14:ligatures w14:val="none"/>
              </w:rPr>
              <w:t>7</w:t>
            </w:r>
          </w:p>
        </w:tc>
        <w:tc>
          <w:tcPr>
            <w:tcW w:w="639" w:type="pct"/>
            <w:noWrap/>
            <w:vAlign w:val="center"/>
          </w:tcPr>
          <w:p w14:paraId="504A18DD">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10kV干式变压器</w:t>
            </w:r>
          </w:p>
        </w:tc>
        <w:tc>
          <w:tcPr>
            <w:tcW w:w="454" w:type="pct"/>
            <w:noWrap/>
            <w:vAlign w:val="center"/>
          </w:tcPr>
          <w:p w14:paraId="45A8B751">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顺特电气</w:t>
            </w:r>
          </w:p>
        </w:tc>
        <w:tc>
          <w:tcPr>
            <w:tcW w:w="462" w:type="pct"/>
            <w:noWrap/>
            <w:vAlign w:val="center"/>
          </w:tcPr>
          <w:p w14:paraId="748D80E1">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合肥元贞</w:t>
            </w:r>
          </w:p>
        </w:tc>
        <w:tc>
          <w:tcPr>
            <w:tcW w:w="470" w:type="pct"/>
            <w:noWrap/>
            <w:vAlign w:val="center"/>
          </w:tcPr>
          <w:p w14:paraId="73962B80">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天津特变</w:t>
            </w:r>
          </w:p>
        </w:tc>
        <w:tc>
          <w:tcPr>
            <w:tcW w:w="412" w:type="pct"/>
            <w:noWrap/>
            <w:vAlign w:val="center"/>
          </w:tcPr>
          <w:p w14:paraId="630FBFC4">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许继电气</w:t>
            </w:r>
          </w:p>
        </w:tc>
        <w:tc>
          <w:tcPr>
            <w:tcW w:w="590" w:type="pct"/>
            <w:shd w:val="clear" w:color="auto" w:fill="auto"/>
            <w:noWrap/>
            <w:vAlign w:val="center"/>
          </w:tcPr>
          <w:p w14:paraId="729F2602">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天威保变</w:t>
            </w:r>
          </w:p>
          <w:p w14:paraId="43430F83">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（BTW）</w:t>
            </w:r>
          </w:p>
        </w:tc>
        <w:tc>
          <w:tcPr>
            <w:tcW w:w="535" w:type="pct"/>
            <w:shd w:val="clear" w:color="auto" w:fill="auto"/>
            <w:noWrap/>
            <w:vAlign w:val="center"/>
          </w:tcPr>
          <w:p w14:paraId="6DDDCD77">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中国西电</w:t>
            </w:r>
          </w:p>
        </w:tc>
        <w:tc>
          <w:tcPr>
            <w:tcW w:w="552" w:type="pct"/>
            <w:shd w:val="clear" w:color="auto" w:fill="auto"/>
            <w:noWrap/>
            <w:vAlign w:val="center"/>
          </w:tcPr>
          <w:p w14:paraId="06AEB90C">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南京大全</w:t>
            </w:r>
          </w:p>
        </w:tc>
        <w:tc>
          <w:tcPr>
            <w:tcW w:w="572" w:type="pct"/>
            <w:shd w:val="clear" w:color="auto" w:fill="auto"/>
            <w:noWrap/>
            <w:vAlign w:val="center"/>
          </w:tcPr>
          <w:p w14:paraId="5C3181B0">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平高电气</w:t>
            </w:r>
          </w:p>
        </w:tc>
      </w:tr>
      <w:tr w14:paraId="71AD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311" w:type="pct"/>
            <w:noWrap/>
            <w:vAlign w:val="center"/>
          </w:tcPr>
          <w:p w14:paraId="49364F4B">
            <w:pPr>
              <w:widowControl/>
              <w:spacing w:after="0" w:line="240" w:lineRule="auto"/>
              <w:jc w:val="center"/>
              <w:rPr>
                <w:rFonts w:hint="default" w:ascii="宋体" w:hAnsi="宋体" w:eastAsia="宋体" w:cs="宋体"/>
                <w:color w:val="auto"/>
                <w:kern w:val="0"/>
                <w:sz w:val="20"/>
                <w:szCs w:val="20"/>
                <w:highlight w:val="none"/>
                <w:lang w:val="en-US" w:eastAsia="zh-CN"/>
                <w14:ligatures w14:val="none"/>
              </w:rPr>
            </w:pPr>
            <w:r>
              <w:rPr>
                <w:rFonts w:hint="eastAsia" w:ascii="宋体" w:hAnsi="宋体" w:eastAsia="宋体" w:cs="宋体"/>
                <w:color w:val="auto"/>
                <w:kern w:val="0"/>
                <w:sz w:val="20"/>
                <w:szCs w:val="20"/>
                <w:highlight w:val="none"/>
                <w:lang w:val="en-US" w:eastAsia="zh-CN"/>
                <w14:ligatures w14:val="none"/>
              </w:rPr>
              <w:t>8</w:t>
            </w:r>
          </w:p>
        </w:tc>
        <w:tc>
          <w:tcPr>
            <w:tcW w:w="639" w:type="pct"/>
            <w:noWrap/>
            <w:vAlign w:val="center"/>
          </w:tcPr>
          <w:p w14:paraId="05E305A0">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电线电缆</w:t>
            </w:r>
          </w:p>
        </w:tc>
        <w:tc>
          <w:tcPr>
            <w:tcW w:w="454" w:type="pct"/>
            <w:noWrap/>
            <w:vAlign w:val="center"/>
          </w:tcPr>
          <w:p w14:paraId="063224AF">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上上电缆</w:t>
            </w:r>
          </w:p>
        </w:tc>
        <w:tc>
          <w:tcPr>
            <w:tcW w:w="462" w:type="pct"/>
            <w:noWrap/>
            <w:vAlign w:val="center"/>
          </w:tcPr>
          <w:p w14:paraId="3C38D2F7">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江南电缆</w:t>
            </w:r>
          </w:p>
        </w:tc>
        <w:tc>
          <w:tcPr>
            <w:tcW w:w="470" w:type="pct"/>
            <w:noWrap/>
            <w:vAlign w:val="center"/>
          </w:tcPr>
          <w:p w14:paraId="430B80D3">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绿宝</w:t>
            </w:r>
          </w:p>
        </w:tc>
        <w:tc>
          <w:tcPr>
            <w:tcW w:w="412" w:type="pct"/>
            <w:noWrap/>
            <w:vAlign w:val="center"/>
          </w:tcPr>
          <w:p w14:paraId="1177B7BD">
            <w:pPr>
              <w:rPr>
                <w:rFonts w:hint="default"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远东电缆</w:t>
            </w:r>
          </w:p>
        </w:tc>
        <w:tc>
          <w:tcPr>
            <w:tcW w:w="590" w:type="pct"/>
            <w:noWrap/>
            <w:vAlign w:val="center"/>
          </w:tcPr>
          <w:p w14:paraId="61AB6AC8">
            <w:pPr>
              <w:rPr>
                <w:rFonts w:hint="eastAsia" w:ascii="Times New Roman" w:hAnsi="宋体" w:eastAsia="宋体" w:cs="宋体"/>
                <w:color w:val="auto"/>
                <w:sz w:val="21"/>
                <w:szCs w:val="21"/>
                <w:highlight w:val="none"/>
                <w:lang w:val="en-US" w:eastAsia="zh-CN"/>
              </w:rPr>
            </w:pPr>
          </w:p>
        </w:tc>
        <w:tc>
          <w:tcPr>
            <w:tcW w:w="535" w:type="pct"/>
            <w:noWrap/>
            <w:vAlign w:val="center"/>
          </w:tcPr>
          <w:p w14:paraId="05F07CEB">
            <w:pPr>
              <w:rPr>
                <w:rFonts w:hint="eastAsia" w:ascii="Times New Roman" w:hAnsi="宋体" w:eastAsia="宋体" w:cs="宋体"/>
                <w:color w:val="auto"/>
                <w:sz w:val="21"/>
                <w:szCs w:val="21"/>
                <w:highlight w:val="none"/>
                <w:lang w:val="en-US" w:eastAsia="zh-CN"/>
              </w:rPr>
            </w:pPr>
          </w:p>
        </w:tc>
        <w:tc>
          <w:tcPr>
            <w:tcW w:w="552" w:type="pct"/>
            <w:noWrap/>
            <w:vAlign w:val="center"/>
          </w:tcPr>
          <w:p w14:paraId="5932221C">
            <w:pPr>
              <w:rPr>
                <w:rFonts w:hint="eastAsia" w:ascii="Times New Roman" w:hAnsi="宋体" w:eastAsia="宋体" w:cs="宋体"/>
                <w:color w:val="auto"/>
                <w:sz w:val="21"/>
                <w:szCs w:val="21"/>
                <w:highlight w:val="none"/>
                <w:lang w:val="en-US" w:eastAsia="zh-CN"/>
              </w:rPr>
            </w:pPr>
          </w:p>
        </w:tc>
        <w:tc>
          <w:tcPr>
            <w:tcW w:w="572" w:type="pct"/>
            <w:noWrap/>
            <w:vAlign w:val="center"/>
          </w:tcPr>
          <w:p w14:paraId="7211D7C4">
            <w:pPr>
              <w:rPr>
                <w:rFonts w:hint="eastAsia" w:ascii="Times New Roman" w:hAnsi="宋体" w:eastAsia="宋体" w:cs="宋体"/>
                <w:color w:val="auto"/>
                <w:sz w:val="21"/>
                <w:szCs w:val="21"/>
                <w:highlight w:val="none"/>
                <w:lang w:val="en-US" w:eastAsia="zh-CN"/>
              </w:rPr>
            </w:pPr>
          </w:p>
        </w:tc>
      </w:tr>
      <w:tr w14:paraId="5149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11" w:type="pct"/>
            <w:noWrap/>
            <w:vAlign w:val="center"/>
          </w:tcPr>
          <w:p w14:paraId="78C0D8B0">
            <w:pPr>
              <w:widowControl/>
              <w:spacing w:after="0" w:line="240" w:lineRule="auto"/>
              <w:jc w:val="center"/>
              <w:rPr>
                <w:rFonts w:hint="default" w:ascii="宋体" w:hAnsi="宋体" w:eastAsia="宋体" w:cs="宋体"/>
                <w:color w:val="auto"/>
                <w:kern w:val="0"/>
                <w:sz w:val="20"/>
                <w:szCs w:val="20"/>
                <w:highlight w:val="none"/>
                <w:lang w:val="en-US" w:eastAsia="zh-CN"/>
                <w14:ligatures w14:val="none"/>
              </w:rPr>
            </w:pPr>
            <w:r>
              <w:rPr>
                <w:rFonts w:hint="eastAsia" w:ascii="宋体" w:hAnsi="宋体" w:eastAsia="宋体" w:cs="宋体"/>
                <w:color w:val="auto"/>
                <w:kern w:val="0"/>
                <w:sz w:val="20"/>
                <w:szCs w:val="20"/>
                <w:highlight w:val="none"/>
                <w:lang w:val="en-US" w:eastAsia="zh-CN"/>
                <w14:ligatures w14:val="none"/>
              </w:rPr>
              <w:t>9</w:t>
            </w:r>
          </w:p>
        </w:tc>
        <w:tc>
          <w:tcPr>
            <w:tcW w:w="639" w:type="pct"/>
            <w:noWrap/>
            <w:vAlign w:val="center"/>
          </w:tcPr>
          <w:p w14:paraId="31068828">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仪表、二次保护装置</w:t>
            </w:r>
          </w:p>
        </w:tc>
        <w:tc>
          <w:tcPr>
            <w:tcW w:w="454" w:type="pct"/>
            <w:noWrap/>
            <w:vAlign w:val="center"/>
          </w:tcPr>
          <w:p w14:paraId="5EA95E78">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积成电子</w:t>
            </w:r>
          </w:p>
        </w:tc>
        <w:tc>
          <w:tcPr>
            <w:tcW w:w="462" w:type="pct"/>
            <w:noWrap/>
            <w:vAlign w:val="center"/>
          </w:tcPr>
          <w:p w14:paraId="6E494988">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安科瑞</w:t>
            </w:r>
          </w:p>
        </w:tc>
        <w:tc>
          <w:tcPr>
            <w:tcW w:w="470" w:type="pct"/>
            <w:noWrap/>
            <w:vAlign w:val="center"/>
          </w:tcPr>
          <w:p w14:paraId="7C160D73">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安瑞电力</w:t>
            </w:r>
          </w:p>
        </w:tc>
        <w:tc>
          <w:tcPr>
            <w:tcW w:w="412" w:type="pct"/>
            <w:shd w:val="clear" w:color="auto" w:fill="auto"/>
            <w:noWrap/>
            <w:vAlign w:val="center"/>
          </w:tcPr>
          <w:p w14:paraId="5481BC3C">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南瑞继保</w:t>
            </w:r>
          </w:p>
        </w:tc>
        <w:tc>
          <w:tcPr>
            <w:tcW w:w="590" w:type="pct"/>
            <w:shd w:val="clear" w:color="auto" w:fill="auto"/>
            <w:noWrap/>
            <w:vAlign w:val="center"/>
          </w:tcPr>
          <w:p w14:paraId="79CB6541">
            <w:pPr>
              <w:rPr>
                <w:rFonts w:hint="eastAsia" w:ascii="Times New Roman" w:hAnsi="宋体" w:eastAsia="宋体" w:cs="宋体"/>
                <w:color w:val="auto"/>
                <w:sz w:val="21"/>
                <w:szCs w:val="21"/>
                <w:highlight w:val="none"/>
                <w:lang w:val="en-US" w:eastAsia="zh-CN"/>
              </w:rPr>
            </w:pPr>
            <w:r>
              <w:rPr>
                <w:rFonts w:hint="eastAsia" w:ascii="Times New Roman" w:hAnsi="宋体" w:eastAsia="宋体" w:cs="宋体"/>
                <w:color w:val="auto"/>
                <w:sz w:val="21"/>
                <w:szCs w:val="21"/>
                <w:highlight w:val="none"/>
                <w:lang w:val="en-US" w:eastAsia="zh-CN"/>
              </w:rPr>
              <w:t>许继电气</w:t>
            </w:r>
          </w:p>
        </w:tc>
        <w:tc>
          <w:tcPr>
            <w:tcW w:w="535" w:type="pct"/>
            <w:noWrap/>
            <w:vAlign w:val="center"/>
          </w:tcPr>
          <w:p w14:paraId="3AEAC706">
            <w:pPr>
              <w:rPr>
                <w:rFonts w:hint="eastAsia" w:ascii="Times New Roman" w:hAnsi="宋体" w:eastAsia="宋体" w:cs="宋体"/>
                <w:color w:val="auto"/>
                <w:sz w:val="21"/>
                <w:szCs w:val="21"/>
                <w:highlight w:val="none"/>
                <w:lang w:val="en-US" w:eastAsia="zh-CN"/>
              </w:rPr>
            </w:pPr>
          </w:p>
        </w:tc>
        <w:tc>
          <w:tcPr>
            <w:tcW w:w="552" w:type="pct"/>
            <w:noWrap/>
            <w:vAlign w:val="center"/>
          </w:tcPr>
          <w:p w14:paraId="5E2E40F9">
            <w:pPr>
              <w:rPr>
                <w:rFonts w:hint="eastAsia" w:ascii="Times New Roman" w:hAnsi="宋体" w:eastAsia="宋体" w:cs="宋体"/>
                <w:color w:val="auto"/>
                <w:sz w:val="21"/>
                <w:szCs w:val="21"/>
                <w:highlight w:val="none"/>
                <w:lang w:val="en-US" w:eastAsia="zh-CN"/>
              </w:rPr>
            </w:pPr>
          </w:p>
        </w:tc>
        <w:tc>
          <w:tcPr>
            <w:tcW w:w="572" w:type="pct"/>
            <w:noWrap/>
            <w:vAlign w:val="center"/>
          </w:tcPr>
          <w:p w14:paraId="0CF6ADB3">
            <w:pPr>
              <w:rPr>
                <w:rFonts w:hint="eastAsia" w:ascii="Times New Roman" w:hAnsi="宋体" w:eastAsia="宋体" w:cs="宋体"/>
                <w:color w:val="auto"/>
                <w:sz w:val="21"/>
                <w:szCs w:val="21"/>
                <w:highlight w:val="none"/>
                <w:lang w:val="en-US" w:eastAsia="zh-CN"/>
              </w:rPr>
            </w:pPr>
          </w:p>
        </w:tc>
      </w:tr>
    </w:tbl>
    <w:p w14:paraId="1D397294">
      <w:pPr>
        <w:adjustRightInd w:val="0"/>
        <w:snapToGrid w:val="0"/>
        <w:spacing w:line="560" w:lineRule="exact"/>
        <w:ind w:firstLine="210" w:firstLineChars="100"/>
        <w:rPr>
          <w:rFonts w:hint="eastAsia"/>
          <w:color w:val="auto"/>
          <w:highlight w:val="none"/>
        </w:rPr>
      </w:pPr>
      <w:bookmarkStart w:id="1486" w:name="_Toc4784277"/>
      <w:bookmarkEnd w:id="1486"/>
      <w:bookmarkStart w:id="1487" w:name="_Toc4784272"/>
      <w:bookmarkEnd w:id="1487"/>
      <w:bookmarkStart w:id="1488" w:name="_Toc4784273"/>
      <w:bookmarkEnd w:id="1488"/>
      <w:bookmarkStart w:id="1489" w:name="_Toc4784276"/>
      <w:bookmarkEnd w:id="1489"/>
      <w:r>
        <w:rPr>
          <w:rFonts w:hint="eastAsia"/>
          <w:color w:val="auto"/>
          <w:highlight w:val="none"/>
        </w:rPr>
        <w:t>注： 1、对于招标人推荐品牌的材料、设备，投标人可选用推荐品牌或不低于推荐品牌技术性能指标的其他品牌。未在招标人推荐的材料品牌响应表中注明或未提供相关技术参数、业绩，或经评标委员会评审未通过的，中标后只能从招标人推荐品牌中进行选择，价格不予调整。</w:t>
      </w:r>
    </w:p>
    <w:p w14:paraId="2CD5D14F">
      <w:pPr>
        <w:adjustRightInd w:val="0"/>
        <w:snapToGrid w:val="0"/>
        <w:spacing w:line="560" w:lineRule="exact"/>
        <w:ind w:firstLine="420" w:firstLineChars="200"/>
        <w:rPr>
          <w:rFonts w:hint="eastAsia"/>
          <w:color w:val="auto"/>
          <w:highlight w:val="none"/>
        </w:rPr>
      </w:pPr>
      <w:r>
        <w:rPr>
          <w:rFonts w:hint="eastAsia"/>
          <w:color w:val="auto"/>
          <w:highlight w:val="none"/>
        </w:rPr>
        <w:t>2、如本项目招标文件中出现特定性、唯一性品牌的表述，该品牌仅作为参考，施工过程中不具有限定性。对于招标人推荐品牌的材料、设备等，投标人如认 为招标人推荐的品牌有限定性、唯一性、明显不在同一档次等级的或者其他疑问的，应在本项目异议提出的截止时间前通过电子交易系统向招标人提出。</w:t>
      </w:r>
    </w:p>
    <w:p w14:paraId="38399F4B">
      <w:pPr>
        <w:adjustRightInd w:val="0"/>
        <w:snapToGrid w:val="0"/>
        <w:spacing w:line="560" w:lineRule="exact"/>
        <w:rPr>
          <w:rFonts w:hint="eastAsia"/>
          <w:color w:val="auto"/>
          <w:highlight w:val="none"/>
        </w:rPr>
      </w:pPr>
    </w:p>
    <w:p w14:paraId="688F887D">
      <w:pPr>
        <w:pStyle w:val="19"/>
        <w:rPr>
          <w:rFonts w:hint="eastAsia"/>
          <w:color w:val="auto"/>
          <w:highlight w:val="none"/>
        </w:rPr>
      </w:pPr>
      <w:r>
        <w:rPr>
          <w:rFonts w:hint="eastAsia"/>
          <w:color w:val="auto"/>
          <w:highlight w:val="none"/>
        </w:rPr>
        <w:br w:type="page"/>
      </w:r>
    </w:p>
    <w:p w14:paraId="0D866991">
      <w:pPr>
        <w:rPr>
          <w:rFonts w:hint="eastAsia"/>
          <w:color w:val="auto"/>
          <w:highlight w:val="none"/>
        </w:rPr>
      </w:pPr>
    </w:p>
    <w:p w14:paraId="7CA3C4C5">
      <w:pPr>
        <w:adjustRightInd w:val="0"/>
        <w:snapToGrid w:val="0"/>
        <w:spacing w:line="560" w:lineRule="exact"/>
        <w:rPr>
          <w:rFonts w:hint="eastAsia"/>
          <w:color w:val="auto"/>
          <w:highlight w:val="none"/>
        </w:rPr>
      </w:pPr>
    </w:p>
    <w:p w14:paraId="43CA427F">
      <w:pPr>
        <w:pStyle w:val="2"/>
        <w:adjustRightInd w:val="0"/>
        <w:snapToGrid w:val="0"/>
        <w:spacing w:before="0" w:after="0" w:line="560" w:lineRule="exact"/>
        <w:jc w:val="center"/>
        <w:rPr>
          <w:rFonts w:hint="eastAsia"/>
          <w:color w:val="auto"/>
          <w:highlight w:val="none"/>
        </w:rPr>
      </w:pPr>
      <w:bookmarkStart w:id="1490" w:name="_Toc95223531"/>
      <w:r>
        <w:rPr>
          <w:rFonts w:hint="eastAsia"/>
          <w:color w:val="auto"/>
          <w:highlight w:val="none"/>
        </w:rPr>
        <w:t>第九章   投标文件格式</w:t>
      </w:r>
      <w:bookmarkEnd w:id="1490"/>
    </w:p>
    <w:p w14:paraId="4619CCAF">
      <w:pPr>
        <w:adjustRightInd w:val="0"/>
        <w:snapToGrid w:val="0"/>
        <w:spacing w:line="560" w:lineRule="exact"/>
        <w:rPr>
          <w:rFonts w:hint="eastAsia"/>
          <w:color w:val="auto"/>
          <w:highlight w:val="none"/>
        </w:rPr>
      </w:pPr>
    </w:p>
    <w:p w14:paraId="3008D4D4">
      <w:pPr>
        <w:adjustRightInd w:val="0"/>
        <w:snapToGrid w:val="0"/>
        <w:spacing w:line="560" w:lineRule="exact"/>
        <w:rPr>
          <w:rFonts w:hint="eastAsia"/>
          <w:color w:val="auto"/>
          <w:highlight w:val="none"/>
        </w:rPr>
      </w:pPr>
    </w:p>
    <w:p w14:paraId="1E590B50">
      <w:pPr>
        <w:adjustRightInd w:val="0"/>
        <w:snapToGrid w:val="0"/>
        <w:spacing w:line="560" w:lineRule="exact"/>
        <w:rPr>
          <w:rFonts w:hint="eastAsia"/>
          <w:color w:val="auto"/>
          <w:highlight w:val="none"/>
        </w:rPr>
      </w:pPr>
    </w:p>
    <w:p w14:paraId="03259305">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bookmarkStart w:id="1491" w:name="_Toc60061573"/>
      <w:bookmarkStart w:id="1492" w:name="_Toc506107339"/>
      <w:bookmarkStart w:id="1493" w:name="_Toc15058933"/>
      <w:bookmarkStart w:id="1494" w:name="_Toc484173788"/>
      <w:r>
        <w:rPr>
          <w:rFonts w:hint="eastAsia" w:eastAsia="黑体"/>
          <w:color w:val="auto"/>
          <w:sz w:val="28"/>
          <w:szCs w:val="28"/>
          <w:highlight w:val="none"/>
          <w:u w:val="single"/>
        </w:rPr>
        <w:t xml:space="preserve">            </w:t>
      </w:r>
      <w:bookmarkEnd w:id="1491"/>
      <w:bookmarkEnd w:id="1492"/>
      <w:bookmarkEnd w:id="1493"/>
      <w:bookmarkEnd w:id="1494"/>
      <w:r>
        <w:rPr>
          <w:rFonts w:hint="eastAsia" w:eastAsia="黑体"/>
          <w:color w:val="auto"/>
          <w:sz w:val="28"/>
          <w:szCs w:val="28"/>
          <w:highlight w:val="none"/>
          <w:u w:val="single"/>
        </w:rPr>
        <w:t xml:space="preserve">   </w:t>
      </w:r>
      <w:r>
        <w:rPr>
          <w:rFonts w:eastAsia="黑体"/>
          <w:color w:val="auto"/>
          <w:sz w:val="28"/>
          <w:szCs w:val="28"/>
          <w:highlight w:val="none"/>
        </w:rPr>
        <w:t>（项目名称</w:t>
      </w:r>
      <w:bookmarkStart w:id="1495" w:name="_Toc247085872"/>
      <w:bookmarkStart w:id="1496" w:name="_Toc152045786"/>
      <w:bookmarkStart w:id="1497" w:name="_Toc179632806"/>
      <w:bookmarkStart w:id="1498" w:name="_Toc152042575"/>
      <w:bookmarkStart w:id="1499" w:name="_Toc246997097"/>
      <w:bookmarkStart w:id="1500" w:name="_Toc246996354"/>
      <w:bookmarkStart w:id="1501" w:name="_Toc144974855"/>
      <w:r>
        <w:rPr>
          <w:rFonts w:eastAsia="黑体"/>
          <w:color w:val="auto"/>
          <w:sz w:val="28"/>
          <w:szCs w:val="28"/>
          <w:highlight w:val="none"/>
        </w:rPr>
        <w:t>）</w:t>
      </w:r>
      <w:bookmarkStart w:id="1502" w:name="_Toc506107340"/>
      <w:bookmarkStart w:id="1503" w:name="_Toc60061574"/>
      <w:bookmarkStart w:id="1504" w:name="_Toc324404888"/>
      <w:bookmarkStart w:id="1505" w:name="_Toc15058934"/>
    </w:p>
    <w:p w14:paraId="01E87C79">
      <w:pPr>
        <w:adjustRightInd w:val="0"/>
        <w:snapToGrid w:val="0"/>
        <w:spacing w:line="560" w:lineRule="exact"/>
        <w:jc w:val="center"/>
        <w:rPr>
          <w:rFonts w:hint="eastAsia" w:eastAsia="黑体"/>
          <w:color w:val="auto"/>
          <w:sz w:val="20"/>
          <w:szCs w:val="20"/>
          <w:highlight w:val="none"/>
        </w:rPr>
      </w:pPr>
    </w:p>
    <w:p w14:paraId="069E0C19">
      <w:pPr>
        <w:adjustRightInd w:val="0"/>
        <w:snapToGrid w:val="0"/>
        <w:spacing w:line="560" w:lineRule="exact"/>
        <w:jc w:val="center"/>
        <w:rPr>
          <w:rFonts w:hint="eastAsia" w:eastAsia="黑体"/>
          <w:color w:val="auto"/>
          <w:sz w:val="20"/>
          <w:szCs w:val="20"/>
          <w:highlight w:val="none"/>
        </w:rPr>
      </w:pPr>
    </w:p>
    <w:p w14:paraId="0D88E5FB">
      <w:pPr>
        <w:adjustRightInd w:val="0"/>
        <w:snapToGrid w:val="0"/>
        <w:spacing w:line="560" w:lineRule="exact"/>
        <w:jc w:val="center"/>
        <w:rPr>
          <w:rFonts w:hint="eastAsia" w:eastAsia="黑体"/>
          <w:color w:val="auto"/>
          <w:sz w:val="20"/>
          <w:szCs w:val="20"/>
          <w:highlight w:val="none"/>
        </w:rPr>
      </w:pPr>
    </w:p>
    <w:p w14:paraId="78CF792D">
      <w:pPr>
        <w:adjustRightInd w:val="0"/>
        <w:snapToGrid w:val="0"/>
        <w:spacing w:line="560" w:lineRule="exact"/>
        <w:rPr>
          <w:rFonts w:hint="eastAsia" w:eastAsia="黑体"/>
          <w:color w:val="auto"/>
          <w:sz w:val="20"/>
          <w:szCs w:val="20"/>
          <w:highlight w:val="none"/>
        </w:rPr>
      </w:pPr>
    </w:p>
    <w:p w14:paraId="42C2CCF1">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w:t>
      </w:r>
      <w:bookmarkEnd w:id="1495"/>
      <w:bookmarkEnd w:id="1496"/>
      <w:bookmarkEnd w:id="1497"/>
      <w:bookmarkEnd w:id="1498"/>
      <w:bookmarkEnd w:id="1499"/>
      <w:bookmarkEnd w:id="1500"/>
      <w:bookmarkEnd w:id="1501"/>
      <w:bookmarkEnd w:id="1502"/>
      <w:bookmarkEnd w:id="1503"/>
      <w:bookmarkEnd w:id="1504"/>
      <w:bookmarkEnd w:id="1505"/>
      <w:r>
        <w:rPr>
          <w:rFonts w:eastAsia="黑体"/>
          <w:color w:val="auto"/>
          <w:sz w:val="44"/>
          <w:szCs w:val="44"/>
          <w:highlight w:val="none"/>
        </w:rPr>
        <w:t xml:space="preserve">  件</w:t>
      </w:r>
      <w:r>
        <w:rPr>
          <w:rFonts w:hint="eastAsia" w:eastAsia="黑体"/>
          <w:color w:val="auto"/>
          <w:sz w:val="44"/>
          <w:szCs w:val="44"/>
          <w:highlight w:val="none"/>
        </w:rPr>
        <w:t xml:space="preserve"> 一</w:t>
      </w:r>
    </w:p>
    <w:p w14:paraId="05DC8EE7">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（资信证明文件）</w:t>
      </w:r>
    </w:p>
    <w:p w14:paraId="3ED0BDE5">
      <w:pPr>
        <w:adjustRightInd w:val="0"/>
        <w:snapToGrid w:val="0"/>
        <w:spacing w:line="560" w:lineRule="exact"/>
        <w:rPr>
          <w:rFonts w:hint="eastAsia" w:eastAsia="黑体"/>
          <w:color w:val="auto"/>
          <w:sz w:val="28"/>
          <w:szCs w:val="28"/>
          <w:highlight w:val="none"/>
        </w:rPr>
      </w:pPr>
    </w:p>
    <w:p w14:paraId="202DF9C4">
      <w:pPr>
        <w:adjustRightInd w:val="0"/>
        <w:snapToGrid w:val="0"/>
        <w:spacing w:line="560" w:lineRule="exact"/>
        <w:rPr>
          <w:rFonts w:eastAsia="黑体"/>
          <w:color w:val="auto"/>
          <w:sz w:val="28"/>
          <w:szCs w:val="28"/>
          <w:highlight w:val="none"/>
        </w:rPr>
      </w:pPr>
    </w:p>
    <w:p w14:paraId="22C4D18D">
      <w:pPr>
        <w:adjustRightInd w:val="0"/>
        <w:snapToGrid w:val="0"/>
        <w:spacing w:line="560" w:lineRule="exact"/>
        <w:rPr>
          <w:rFonts w:eastAsia="黑体"/>
          <w:color w:val="auto"/>
          <w:sz w:val="28"/>
          <w:szCs w:val="28"/>
          <w:highlight w:val="none"/>
        </w:rPr>
      </w:pPr>
    </w:p>
    <w:p w14:paraId="5194CE8C">
      <w:pPr>
        <w:adjustRightInd w:val="0"/>
        <w:snapToGrid w:val="0"/>
        <w:spacing w:line="560" w:lineRule="exact"/>
        <w:rPr>
          <w:rFonts w:eastAsia="黑体"/>
          <w:color w:val="auto"/>
          <w:sz w:val="28"/>
          <w:szCs w:val="28"/>
          <w:highlight w:val="none"/>
        </w:rPr>
      </w:pPr>
    </w:p>
    <w:p w14:paraId="1D489615">
      <w:pPr>
        <w:adjustRightInd w:val="0"/>
        <w:snapToGrid w:val="0"/>
        <w:spacing w:line="560" w:lineRule="exact"/>
        <w:rPr>
          <w:rFonts w:hint="eastAsia" w:eastAsia="黑体"/>
          <w:color w:val="auto"/>
          <w:sz w:val="28"/>
          <w:szCs w:val="28"/>
          <w:highlight w:val="none"/>
        </w:rPr>
      </w:pPr>
    </w:p>
    <w:p w14:paraId="6A5C9194">
      <w:pPr>
        <w:adjustRightInd w:val="0"/>
        <w:snapToGrid w:val="0"/>
        <w:spacing w:line="560" w:lineRule="exact"/>
        <w:rPr>
          <w:rFonts w:hint="eastAsia" w:eastAsia="黑体"/>
          <w:color w:val="auto"/>
          <w:sz w:val="28"/>
          <w:szCs w:val="28"/>
          <w:highlight w:val="none"/>
        </w:rPr>
      </w:pPr>
    </w:p>
    <w:p w14:paraId="4C917C39">
      <w:pPr>
        <w:adjustRightInd w:val="0"/>
        <w:snapToGrid w:val="0"/>
        <w:spacing w:line="560" w:lineRule="exact"/>
        <w:rPr>
          <w:rFonts w:eastAsia="黑体"/>
          <w:color w:val="auto"/>
          <w:sz w:val="28"/>
          <w:szCs w:val="28"/>
          <w:highlight w:val="none"/>
        </w:rPr>
      </w:pPr>
    </w:p>
    <w:p w14:paraId="68C14584">
      <w:pPr>
        <w:adjustRightInd w:val="0"/>
        <w:snapToGrid w:val="0"/>
        <w:spacing w:line="560" w:lineRule="exact"/>
        <w:rPr>
          <w:rFonts w:eastAsia="黑体"/>
          <w:color w:val="auto"/>
          <w:sz w:val="28"/>
          <w:szCs w:val="28"/>
          <w:highlight w:val="none"/>
        </w:rPr>
      </w:pPr>
    </w:p>
    <w:p w14:paraId="7813D023">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p>
    <w:p w14:paraId="74277DFD">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5A719AD0">
      <w:pPr>
        <w:adjustRightInd w:val="0"/>
        <w:snapToGrid w:val="0"/>
        <w:spacing w:line="560" w:lineRule="exact"/>
        <w:jc w:val="center"/>
        <w:rPr>
          <w:rFonts w:hint="eastAsia"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5756EE68">
      <w:pPr>
        <w:pStyle w:val="3"/>
        <w:rPr>
          <w:rFonts w:hint="eastAsia"/>
          <w:color w:val="auto"/>
          <w:highlight w:val="none"/>
        </w:rPr>
      </w:pPr>
      <w:bookmarkStart w:id="1506" w:name="_Toc95223532"/>
      <w:bookmarkStart w:id="1507" w:name="_Toc152042602"/>
      <w:bookmarkStart w:id="1508" w:name="_Toc247085892"/>
      <w:bookmarkStart w:id="1509" w:name="_Toc246996374"/>
      <w:bookmarkStart w:id="1510" w:name="_Toc144974881"/>
      <w:bookmarkStart w:id="1511" w:name="_Toc152045813"/>
      <w:bookmarkStart w:id="1512" w:name="_Toc246997117"/>
      <w:bookmarkStart w:id="1513" w:name="_Toc179632833"/>
      <w:bookmarkStart w:id="1514" w:name="_Toc296602622"/>
      <w:r>
        <w:rPr>
          <w:rFonts w:hint="eastAsia"/>
          <w:color w:val="auto"/>
          <w:highlight w:val="none"/>
        </w:rPr>
        <w:t>投标文件一：资信证明文件目录</w:t>
      </w:r>
      <w:bookmarkEnd w:id="1506"/>
    </w:p>
    <w:p w14:paraId="416AA7EC">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（1）投标人基本情况表；</w:t>
      </w:r>
    </w:p>
    <w:p w14:paraId="1948A1AB">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（2）近年财务状况表；</w:t>
      </w:r>
    </w:p>
    <w:p w14:paraId="03DBADD4">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（3）近年完成的类似项目情况表；</w:t>
      </w:r>
    </w:p>
    <w:p w14:paraId="4E92A992">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（4）正在实施的和新承接的项目情况表；</w:t>
      </w:r>
    </w:p>
    <w:p w14:paraId="02A63451">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（5）联合体协议书 （如有）；</w:t>
      </w:r>
    </w:p>
    <w:p w14:paraId="7B2B3107">
      <w:pPr>
        <w:adjustRightInd w:val="0"/>
        <w:snapToGrid w:val="0"/>
        <w:spacing w:line="560" w:lineRule="exact"/>
        <w:ind w:firstLine="420" w:firstLineChars="200"/>
        <w:rPr>
          <w:rFonts w:ascii="宋体" w:hAnsi="宋体" w:cs="宋体"/>
          <w:color w:val="auto"/>
          <w:highlight w:val="none"/>
        </w:rPr>
      </w:pPr>
      <w:r>
        <w:rPr>
          <w:rFonts w:hint="eastAsia" w:ascii="宋体" w:hAnsi="宋体" w:cs="宋体"/>
          <w:color w:val="auto"/>
          <w:highlight w:val="none"/>
        </w:rPr>
        <w:t>（6）</w:t>
      </w:r>
      <w:r>
        <w:rPr>
          <w:rFonts w:ascii="宋体" w:hAnsi="宋体" w:cs="宋体"/>
          <w:color w:val="auto"/>
          <w:highlight w:val="none"/>
        </w:rPr>
        <w:t>项目管理机构</w:t>
      </w:r>
      <w:r>
        <w:rPr>
          <w:rFonts w:hint="eastAsia" w:ascii="宋体" w:hAnsi="宋体" w:cs="宋体"/>
          <w:color w:val="auto"/>
          <w:highlight w:val="none"/>
        </w:rPr>
        <w:t>；</w:t>
      </w:r>
    </w:p>
    <w:p w14:paraId="002D34A5">
      <w:pPr>
        <w:adjustRightInd w:val="0"/>
        <w:snapToGrid w:val="0"/>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（7）其他资格审查资料（由以下材料</w:t>
      </w:r>
      <w:r>
        <w:rPr>
          <w:rFonts w:hint="eastAsia" w:ascii="宋体" w:hAnsi="宋体" w:cs="宋体"/>
          <w:color w:val="auto"/>
          <w:szCs w:val="21"/>
          <w:highlight w:val="none"/>
        </w:rPr>
        <w:t>组成</w:t>
      </w:r>
      <w:r>
        <w:rPr>
          <w:rFonts w:hint="eastAsia" w:ascii="宋体" w:hAnsi="宋体" w:cs="宋体"/>
          <w:color w:val="auto"/>
          <w:highlight w:val="none"/>
        </w:rPr>
        <w:t>）：</w:t>
      </w:r>
    </w:p>
    <w:p w14:paraId="022E843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①法定代表人身份证明和本人身份证(或法定代表人授权委托书和委托代理人身份证)；</w:t>
      </w:r>
    </w:p>
    <w:p w14:paraId="543F9FA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②诚信投标承诺书(或《公共信用信息报告（无违法违规证明版或核查版）》)；</w:t>
      </w:r>
    </w:p>
    <w:p w14:paraId="7C2D508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③企业法人营业执照；</w:t>
      </w:r>
    </w:p>
    <w:p w14:paraId="5D5286C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④企业资质证书；</w:t>
      </w:r>
    </w:p>
    <w:p w14:paraId="6C77356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⑤企业安全生产许可证；</w:t>
      </w:r>
    </w:p>
    <w:p w14:paraId="636CC94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⑥建造师（拟任项目经理（建造师））身份证、建造师注册证书以及安全生产考核合格证书（B证）；</w:t>
      </w:r>
    </w:p>
    <w:p w14:paraId="44196BBA">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⑦投标申请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 ，投标申请人是事业单位的，暂未缴纳养老保险的，须由其主管部门出具证明；</w:t>
      </w:r>
    </w:p>
    <w:p w14:paraId="1BE30DEF">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⑧项目管理机构。查看项目管理机构主要人员组成表</w:t>
      </w:r>
      <w:r>
        <w:rPr>
          <w:rFonts w:hint="eastAsia" w:ascii="宋体" w:hAnsi="宋体" w:cs="宋体"/>
          <w:color w:val="auto"/>
          <w:szCs w:val="21"/>
          <w:highlight w:val="none"/>
          <w:lang w:eastAsia="zh-CN"/>
        </w:rPr>
        <w:t>；</w:t>
      </w:r>
    </w:p>
    <w:p w14:paraId="58F8606E">
      <w:pPr>
        <w:adjustRightInd w:val="0"/>
        <w:snapToGrid w:val="0"/>
        <w:spacing w:line="560" w:lineRule="exact"/>
        <w:ind w:firstLine="420" w:firstLineChars="200"/>
        <w:rPr>
          <w:rFonts w:hint="eastAsia" w:eastAsia="黑体"/>
          <w:color w:val="auto"/>
          <w:sz w:val="20"/>
          <w:szCs w:val="20"/>
          <w:highlight w:val="none"/>
        </w:rPr>
      </w:pPr>
      <w:r>
        <w:rPr>
          <w:rFonts w:hint="eastAsia" w:ascii="宋体" w:hAnsi="宋体" w:cs="宋体"/>
          <w:color w:val="auto"/>
          <w:highlight w:val="none"/>
        </w:rPr>
        <w:t>⑨资信评审业绩、得分业绩清单一览表（项目评审如有）。</w:t>
      </w:r>
    </w:p>
    <w:p w14:paraId="6836912F">
      <w:pPr>
        <w:adjustRightInd w:val="0"/>
        <w:snapToGrid w:val="0"/>
        <w:spacing w:line="560" w:lineRule="exact"/>
        <w:rPr>
          <w:rFonts w:hint="eastAsia" w:eastAsia="黑体"/>
          <w:color w:val="auto"/>
          <w:sz w:val="20"/>
          <w:szCs w:val="20"/>
          <w:highlight w:val="none"/>
        </w:rPr>
      </w:pPr>
      <w:r>
        <w:rPr>
          <w:rFonts w:hint="eastAsia" w:eastAsia="黑体"/>
          <w:color w:val="auto"/>
          <w:sz w:val="20"/>
          <w:szCs w:val="20"/>
          <w:highlight w:val="none"/>
        </w:rPr>
        <w:t xml:space="preserve"> </w:t>
      </w:r>
    </w:p>
    <w:p w14:paraId="176B89E4">
      <w:pPr>
        <w:adjustRightInd w:val="0"/>
        <w:snapToGrid w:val="0"/>
        <w:spacing w:line="560" w:lineRule="exact"/>
        <w:rPr>
          <w:rFonts w:hint="eastAsia"/>
          <w:color w:val="auto"/>
          <w:highlight w:val="none"/>
        </w:rPr>
      </w:pPr>
    </w:p>
    <w:p w14:paraId="1CFC2791">
      <w:pPr>
        <w:adjustRightInd w:val="0"/>
        <w:snapToGrid w:val="0"/>
        <w:spacing w:line="560" w:lineRule="exact"/>
        <w:rPr>
          <w:rFonts w:hint="eastAsia"/>
          <w:b/>
          <w:color w:val="auto"/>
          <w:sz w:val="28"/>
          <w:szCs w:val="28"/>
          <w:highlight w:val="none"/>
        </w:rPr>
      </w:pPr>
    </w:p>
    <w:p w14:paraId="291457D0">
      <w:pPr>
        <w:pStyle w:val="5"/>
        <w:pageBreakBefore/>
        <w:adjustRightInd w:val="0"/>
        <w:snapToGrid w:val="0"/>
        <w:spacing w:before="0" w:after="0" w:line="560" w:lineRule="exact"/>
        <w:jc w:val="center"/>
        <w:rPr>
          <w:color w:val="auto"/>
          <w:highlight w:val="none"/>
        </w:rPr>
        <w:sectPr>
          <w:pgSz w:w="11910" w:h="16840"/>
          <w:pgMar w:top="1060" w:right="660" w:bottom="1020" w:left="1120" w:header="0" w:footer="833" w:gutter="0"/>
          <w:cols w:space="720" w:num="1"/>
        </w:sectPr>
      </w:pPr>
      <w:bookmarkStart w:id="1515" w:name="_Toc95223533"/>
    </w:p>
    <w:p w14:paraId="05C03329">
      <w:pPr>
        <w:pStyle w:val="5"/>
        <w:pageBreakBefore/>
        <w:adjustRightInd w:val="0"/>
        <w:snapToGrid w:val="0"/>
        <w:spacing w:before="0" w:after="0" w:line="560" w:lineRule="exact"/>
        <w:jc w:val="center"/>
        <w:rPr>
          <w:rFonts w:hint="eastAsia"/>
          <w:color w:val="auto"/>
          <w:highlight w:val="none"/>
        </w:rPr>
      </w:pPr>
      <w:r>
        <w:rPr>
          <w:color w:val="auto"/>
          <w:highlight w:val="none"/>
        </w:rPr>
        <w:t>（</w:t>
      </w:r>
      <w:r>
        <w:rPr>
          <w:rFonts w:hint="eastAsia"/>
          <w:color w:val="auto"/>
          <w:highlight w:val="none"/>
        </w:rPr>
        <w:t>1</w:t>
      </w:r>
      <w:r>
        <w:rPr>
          <w:color w:val="auto"/>
          <w:highlight w:val="none"/>
        </w:rPr>
        <w:t>）投标人基本情况表</w:t>
      </w:r>
      <w:bookmarkEnd w:id="1515"/>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3"/>
        <w:gridCol w:w="1036"/>
        <w:gridCol w:w="1096"/>
        <w:gridCol w:w="969"/>
        <w:gridCol w:w="484"/>
        <w:gridCol w:w="359"/>
        <w:gridCol w:w="1243"/>
        <w:gridCol w:w="565"/>
        <w:gridCol w:w="991"/>
        <w:gridCol w:w="1144"/>
      </w:tblGrid>
      <w:tr w14:paraId="6184A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666C1FB1">
            <w:pPr>
              <w:topLinePunct/>
              <w:adjustRightInd w:val="0"/>
              <w:snapToGrid w:val="0"/>
              <w:spacing w:line="560" w:lineRule="exact"/>
              <w:jc w:val="center"/>
              <w:rPr>
                <w:color w:val="auto"/>
                <w:szCs w:val="21"/>
                <w:highlight w:val="none"/>
              </w:rPr>
            </w:pPr>
            <w:r>
              <w:rPr>
                <w:color w:val="auto"/>
                <w:szCs w:val="21"/>
                <w:highlight w:val="none"/>
              </w:rPr>
              <w:t>投标人名称</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13E3E020">
            <w:pPr>
              <w:topLinePunct/>
              <w:adjustRightInd w:val="0"/>
              <w:snapToGrid w:val="0"/>
              <w:spacing w:line="560" w:lineRule="exact"/>
              <w:jc w:val="center"/>
              <w:rPr>
                <w:color w:val="auto"/>
                <w:szCs w:val="21"/>
                <w:highlight w:val="none"/>
              </w:rPr>
            </w:pPr>
          </w:p>
        </w:tc>
      </w:tr>
      <w:tr w14:paraId="0D367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0B14D8D4">
            <w:pPr>
              <w:topLinePunct/>
              <w:adjustRightInd w:val="0"/>
              <w:snapToGrid w:val="0"/>
              <w:spacing w:line="560" w:lineRule="exact"/>
              <w:jc w:val="center"/>
              <w:rPr>
                <w:color w:val="auto"/>
                <w:szCs w:val="21"/>
                <w:highlight w:val="none"/>
              </w:rPr>
            </w:pPr>
            <w:r>
              <w:rPr>
                <w:color w:val="auto"/>
                <w:szCs w:val="21"/>
                <w:highlight w:val="none"/>
              </w:rPr>
              <w:t>注册地址</w:t>
            </w:r>
          </w:p>
        </w:tc>
        <w:tc>
          <w:tcPr>
            <w:tcW w:w="3944" w:type="dxa"/>
            <w:gridSpan w:val="5"/>
            <w:tcBorders>
              <w:top w:val="single" w:color="auto" w:sz="4" w:space="0"/>
              <w:left w:val="single" w:color="auto" w:sz="4" w:space="0"/>
              <w:bottom w:val="single" w:color="auto" w:sz="4" w:space="0"/>
              <w:right w:val="single" w:color="auto" w:sz="4" w:space="0"/>
            </w:tcBorders>
            <w:noWrap w:val="0"/>
            <w:vAlign w:val="center"/>
          </w:tcPr>
          <w:p w14:paraId="20C287ED">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14041939">
            <w:pPr>
              <w:topLinePunct/>
              <w:adjustRightInd w:val="0"/>
              <w:snapToGrid w:val="0"/>
              <w:spacing w:line="560" w:lineRule="exact"/>
              <w:jc w:val="center"/>
              <w:rPr>
                <w:color w:val="auto"/>
                <w:szCs w:val="21"/>
                <w:highlight w:val="none"/>
              </w:rPr>
            </w:pPr>
            <w:r>
              <w:rPr>
                <w:color w:val="auto"/>
                <w:szCs w:val="21"/>
                <w:highlight w:val="none"/>
              </w:rPr>
              <w:t>邮政编码</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6E2E6900">
            <w:pPr>
              <w:topLinePunct/>
              <w:adjustRightInd w:val="0"/>
              <w:snapToGrid w:val="0"/>
              <w:spacing w:line="560" w:lineRule="exact"/>
              <w:jc w:val="center"/>
              <w:rPr>
                <w:color w:val="auto"/>
                <w:szCs w:val="21"/>
                <w:highlight w:val="none"/>
              </w:rPr>
            </w:pPr>
          </w:p>
        </w:tc>
        <w:bookmarkStart w:id="1516" w:name="_Toc179632828"/>
        <w:bookmarkStart w:id="1517" w:name="_Toc296602618"/>
        <w:bookmarkStart w:id="1518" w:name="_Toc152045808"/>
        <w:bookmarkStart w:id="1519" w:name="_Toc246996373"/>
        <w:bookmarkStart w:id="1520" w:name="_Toc152042597"/>
        <w:bookmarkStart w:id="1521" w:name="_Toc144974876"/>
        <w:bookmarkStart w:id="1522" w:name="_Toc246997116"/>
        <w:bookmarkStart w:id="1523" w:name="_Toc324404889"/>
        <w:bookmarkStart w:id="1524" w:name="_Toc247085891"/>
      </w:tr>
      <w:tr w14:paraId="33C2B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38" w:hRule="atLeast"/>
          <w:jc w:val="center"/>
        </w:trPr>
        <w:tc>
          <w:tcPr>
            <w:tcW w:w="1993" w:type="dxa"/>
            <w:vMerge w:val="restart"/>
            <w:tcBorders>
              <w:top w:val="single" w:color="auto" w:sz="4" w:space="0"/>
              <w:left w:val="single" w:color="auto" w:sz="4" w:space="0"/>
              <w:bottom w:val="single" w:color="auto" w:sz="4" w:space="0"/>
              <w:right w:val="single" w:color="auto" w:sz="4" w:space="0"/>
            </w:tcBorders>
            <w:noWrap w:val="0"/>
            <w:vAlign w:val="center"/>
          </w:tcPr>
          <w:p w14:paraId="6499B980">
            <w:pPr>
              <w:topLinePunct/>
              <w:adjustRightInd w:val="0"/>
              <w:snapToGrid w:val="0"/>
              <w:spacing w:line="560" w:lineRule="exact"/>
              <w:jc w:val="center"/>
              <w:rPr>
                <w:color w:val="auto"/>
                <w:szCs w:val="21"/>
                <w:highlight w:val="none"/>
              </w:rPr>
            </w:pPr>
            <w:r>
              <w:rPr>
                <w:color w:val="auto"/>
                <w:szCs w:val="21"/>
                <w:highlight w:val="none"/>
              </w:rPr>
              <w:t>联系方式</w:t>
            </w:r>
            <w:bookmarkStart w:id="1525" w:name="_Toc16718"/>
          </w:p>
        </w:tc>
        <w:tc>
          <w:tcPr>
            <w:tcW w:w="1036" w:type="dxa"/>
            <w:tcBorders>
              <w:top w:val="single" w:color="auto" w:sz="4" w:space="0"/>
              <w:left w:val="single" w:color="auto" w:sz="4" w:space="0"/>
              <w:bottom w:val="single" w:color="auto" w:sz="4" w:space="0"/>
              <w:right w:val="single" w:color="auto" w:sz="4" w:space="0"/>
            </w:tcBorders>
            <w:noWrap w:val="0"/>
            <w:vAlign w:val="center"/>
          </w:tcPr>
          <w:p w14:paraId="52C88845">
            <w:pPr>
              <w:topLinePunct/>
              <w:adjustRightInd w:val="0"/>
              <w:snapToGrid w:val="0"/>
              <w:spacing w:line="560" w:lineRule="exact"/>
              <w:jc w:val="center"/>
              <w:rPr>
                <w:color w:val="auto"/>
                <w:szCs w:val="21"/>
                <w:highlight w:val="none"/>
              </w:rPr>
            </w:pPr>
            <w:bookmarkStart w:id="1526" w:name="_Toc60061575"/>
            <w:bookmarkStart w:id="1527" w:name="_Toc15058935"/>
            <w:bookmarkStart w:id="1528" w:name="_Toc506107341"/>
            <w:bookmarkStart w:id="1529" w:name="_Toc58229116"/>
            <w:r>
              <w:rPr>
                <w:color w:val="auto"/>
                <w:szCs w:val="21"/>
                <w:highlight w:val="none"/>
              </w:rPr>
              <w:t>联系人</w:t>
            </w:r>
          </w:p>
        </w:tc>
        <w:tc>
          <w:tcPr>
            <w:tcW w:w="2908" w:type="dxa"/>
            <w:gridSpan w:val="4"/>
            <w:tcBorders>
              <w:top w:val="single" w:color="auto" w:sz="4" w:space="0"/>
              <w:left w:val="single" w:color="auto" w:sz="4" w:space="0"/>
              <w:bottom w:val="single" w:color="auto" w:sz="4" w:space="0"/>
              <w:right w:val="single" w:color="auto" w:sz="4" w:space="0"/>
            </w:tcBorders>
            <w:noWrap w:val="0"/>
            <w:vAlign w:val="center"/>
          </w:tcPr>
          <w:p w14:paraId="2AE3FA55">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44BFB7BD">
            <w:pPr>
              <w:topLinePunct/>
              <w:adjustRightInd w:val="0"/>
              <w:snapToGrid w:val="0"/>
              <w:spacing w:line="560" w:lineRule="exact"/>
              <w:jc w:val="center"/>
              <w:rPr>
                <w:color w:val="auto"/>
                <w:szCs w:val="21"/>
                <w:highlight w:val="none"/>
              </w:rPr>
            </w:pPr>
            <w:r>
              <w:rPr>
                <w:color w:val="auto"/>
                <w:szCs w:val="21"/>
                <w:highlight w:val="none"/>
              </w:rPr>
              <w:t>电 话</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7DB2F2D8">
            <w:pPr>
              <w:topLinePunct/>
              <w:adjustRightInd w:val="0"/>
              <w:snapToGrid w:val="0"/>
              <w:spacing w:line="560" w:lineRule="exact"/>
              <w:jc w:val="center"/>
              <w:rPr>
                <w:color w:val="auto"/>
                <w:szCs w:val="21"/>
                <w:highlight w:val="none"/>
              </w:rPr>
            </w:pPr>
          </w:p>
        </w:tc>
      </w:tr>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tr w14:paraId="75F1C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47" w:hRule="atLeast"/>
          <w:jc w:val="center"/>
        </w:trPr>
        <w:tc>
          <w:tcPr>
            <w:tcW w:w="1993" w:type="dxa"/>
            <w:vMerge w:val="continue"/>
            <w:tcBorders>
              <w:top w:val="single" w:color="auto" w:sz="4" w:space="0"/>
              <w:left w:val="single" w:color="auto" w:sz="4" w:space="0"/>
              <w:bottom w:val="single" w:color="auto" w:sz="4" w:space="0"/>
              <w:right w:val="single" w:color="auto" w:sz="4" w:space="0"/>
            </w:tcBorders>
            <w:noWrap w:val="0"/>
            <w:vAlign w:val="center"/>
          </w:tcPr>
          <w:p w14:paraId="01D7A5BA">
            <w:pPr>
              <w:topLinePunct/>
              <w:adjustRightInd w:val="0"/>
              <w:snapToGrid w:val="0"/>
              <w:spacing w:line="560" w:lineRule="exact"/>
              <w:jc w:val="center"/>
              <w:rPr>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82CB5E2">
            <w:pPr>
              <w:topLinePunct/>
              <w:adjustRightInd w:val="0"/>
              <w:snapToGrid w:val="0"/>
              <w:spacing w:line="560" w:lineRule="exact"/>
              <w:jc w:val="center"/>
              <w:rPr>
                <w:color w:val="auto"/>
                <w:szCs w:val="21"/>
                <w:highlight w:val="none"/>
              </w:rPr>
            </w:pPr>
            <w:r>
              <w:rPr>
                <w:color w:val="auto"/>
                <w:szCs w:val="21"/>
                <w:highlight w:val="none"/>
              </w:rPr>
              <w:t>传  真</w:t>
            </w:r>
          </w:p>
        </w:tc>
        <w:tc>
          <w:tcPr>
            <w:tcW w:w="2908" w:type="dxa"/>
            <w:gridSpan w:val="4"/>
            <w:tcBorders>
              <w:top w:val="single" w:color="auto" w:sz="4" w:space="0"/>
              <w:left w:val="single" w:color="auto" w:sz="4" w:space="0"/>
              <w:bottom w:val="single" w:color="auto" w:sz="4" w:space="0"/>
              <w:right w:val="single" w:color="auto" w:sz="4" w:space="0"/>
            </w:tcBorders>
            <w:noWrap w:val="0"/>
            <w:vAlign w:val="center"/>
          </w:tcPr>
          <w:p w14:paraId="4096D0F6">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69355BDE">
            <w:pPr>
              <w:topLinePunct/>
              <w:adjustRightInd w:val="0"/>
              <w:snapToGrid w:val="0"/>
              <w:spacing w:line="560" w:lineRule="exact"/>
              <w:jc w:val="center"/>
              <w:rPr>
                <w:color w:val="auto"/>
                <w:szCs w:val="21"/>
                <w:highlight w:val="none"/>
              </w:rPr>
            </w:pPr>
            <w:r>
              <w:rPr>
                <w:color w:val="auto"/>
                <w:szCs w:val="21"/>
                <w:highlight w:val="none"/>
              </w:rPr>
              <w:t>网 址</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0F1FDB90">
            <w:pPr>
              <w:topLinePunct/>
              <w:adjustRightInd w:val="0"/>
              <w:snapToGrid w:val="0"/>
              <w:spacing w:line="560" w:lineRule="exact"/>
              <w:jc w:val="center"/>
              <w:rPr>
                <w:color w:val="auto"/>
                <w:szCs w:val="21"/>
                <w:highlight w:val="none"/>
              </w:rPr>
            </w:pPr>
          </w:p>
        </w:tc>
      </w:tr>
      <w:tr w14:paraId="30B45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2A527389">
            <w:pPr>
              <w:topLinePunct/>
              <w:adjustRightInd w:val="0"/>
              <w:snapToGrid w:val="0"/>
              <w:spacing w:line="560" w:lineRule="exact"/>
              <w:jc w:val="center"/>
              <w:rPr>
                <w:color w:val="auto"/>
                <w:szCs w:val="21"/>
                <w:highlight w:val="none"/>
              </w:rPr>
            </w:pPr>
            <w:r>
              <w:rPr>
                <w:color w:val="auto"/>
                <w:szCs w:val="21"/>
                <w:highlight w:val="none"/>
              </w:rPr>
              <w:t>组织结构</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0422D90A">
            <w:pPr>
              <w:topLinePunct/>
              <w:adjustRightInd w:val="0"/>
              <w:snapToGrid w:val="0"/>
              <w:spacing w:line="560" w:lineRule="exact"/>
              <w:jc w:val="center"/>
              <w:rPr>
                <w:color w:val="auto"/>
                <w:szCs w:val="21"/>
                <w:highlight w:val="none"/>
              </w:rPr>
            </w:pPr>
          </w:p>
        </w:tc>
      </w:tr>
      <w:tr w14:paraId="4A0BA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37D2552F">
            <w:pPr>
              <w:topLinePunct/>
              <w:adjustRightInd w:val="0"/>
              <w:snapToGrid w:val="0"/>
              <w:spacing w:line="560" w:lineRule="exact"/>
              <w:jc w:val="center"/>
              <w:rPr>
                <w:color w:val="auto"/>
                <w:szCs w:val="21"/>
                <w:highlight w:val="none"/>
              </w:rPr>
            </w:pPr>
            <w:r>
              <w:rPr>
                <w:color w:val="auto"/>
                <w:szCs w:val="21"/>
                <w:highlight w:val="none"/>
              </w:rPr>
              <w:t>法定代表人</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623B8C95">
            <w:pPr>
              <w:topLinePunct/>
              <w:adjustRightInd w:val="0"/>
              <w:snapToGrid w:val="0"/>
              <w:spacing w:line="560" w:lineRule="exact"/>
              <w:jc w:val="center"/>
              <w:rPr>
                <w:color w:val="auto"/>
                <w:szCs w:val="21"/>
                <w:highlight w:val="none"/>
              </w:rPr>
            </w:pPr>
            <w:r>
              <w:rPr>
                <w:color w:val="auto"/>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BCB915F">
            <w:pPr>
              <w:topLinePunct/>
              <w:adjustRightInd w:val="0"/>
              <w:snapToGrid w:val="0"/>
              <w:spacing w:line="560" w:lineRule="exact"/>
              <w:jc w:val="center"/>
              <w:rPr>
                <w:color w:val="auto"/>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noWrap w:val="0"/>
            <w:vAlign w:val="center"/>
          </w:tcPr>
          <w:p w14:paraId="7DA900C4">
            <w:pPr>
              <w:topLinePunct/>
              <w:adjustRightInd w:val="0"/>
              <w:snapToGrid w:val="0"/>
              <w:spacing w:line="560" w:lineRule="exact"/>
              <w:jc w:val="center"/>
              <w:rPr>
                <w:color w:val="auto"/>
                <w:szCs w:val="21"/>
                <w:highlight w:val="none"/>
              </w:rPr>
            </w:pPr>
            <w:r>
              <w:rPr>
                <w:color w:val="auto"/>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5BECE1E2">
            <w:pPr>
              <w:topLinePunct/>
              <w:adjustRightInd w:val="0"/>
              <w:snapToGrid w:val="0"/>
              <w:spacing w:line="560" w:lineRule="exact"/>
              <w:jc w:val="center"/>
              <w:rPr>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A6094A6">
            <w:pPr>
              <w:topLinePunct/>
              <w:adjustRightInd w:val="0"/>
              <w:snapToGrid w:val="0"/>
              <w:spacing w:line="560" w:lineRule="exact"/>
              <w:jc w:val="center"/>
              <w:rPr>
                <w:color w:val="auto"/>
                <w:szCs w:val="21"/>
                <w:highlight w:val="none"/>
              </w:rPr>
            </w:pPr>
            <w:r>
              <w:rPr>
                <w:color w:val="auto"/>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1E027DB">
            <w:pPr>
              <w:topLinePunct/>
              <w:adjustRightInd w:val="0"/>
              <w:snapToGrid w:val="0"/>
              <w:spacing w:line="560" w:lineRule="exact"/>
              <w:jc w:val="center"/>
              <w:rPr>
                <w:color w:val="auto"/>
                <w:szCs w:val="21"/>
                <w:highlight w:val="none"/>
              </w:rPr>
            </w:pPr>
          </w:p>
        </w:tc>
      </w:tr>
      <w:tr w14:paraId="20DE7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4"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2F8D9BB4">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4DF4291E">
            <w:pPr>
              <w:topLinePunct/>
              <w:adjustRightInd w:val="0"/>
              <w:snapToGrid w:val="0"/>
              <w:spacing w:line="560" w:lineRule="exact"/>
              <w:jc w:val="center"/>
              <w:rPr>
                <w:color w:val="auto"/>
                <w:szCs w:val="21"/>
                <w:highlight w:val="none"/>
              </w:rPr>
            </w:pPr>
            <w:r>
              <w:rPr>
                <w:color w:val="auto"/>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ABC620B">
            <w:pPr>
              <w:topLinePunct/>
              <w:adjustRightInd w:val="0"/>
              <w:snapToGrid w:val="0"/>
              <w:spacing w:line="560" w:lineRule="exact"/>
              <w:jc w:val="center"/>
              <w:rPr>
                <w:color w:val="auto"/>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noWrap w:val="0"/>
            <w:vAlign w:val="center"/>
          </w:tcPr>
          <w:p w14:paraId="607A4872">
            <w:pPr>
              <w:topLinePunct/>
              <w:adjustRightInd w:val="0"/>
              <w:snapToGrid w:val="0"/>
              <w:spacing w:line="560" w:lineRule="exact"/>
              <w:jc w:val="center"/>
              <w:rPr>
                <w:color w:val="auto"/>
                <w:szCs w:val="21"/>
                <w:highlight w:val="none"/>
              </w:rPr>
            </w:pPr>
            <w:r>
              <w:rPr>
                <w:color w:val="auto"/>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3FBB46CD">
            <w:pPr>
              <w:topLinePunct/>
              <w:adjustRightInd w:val="0"/>
              <w:snapToGrid w:val="0"/>
              <w:spacing w:line="560" w:lineRule="exact"/>
              <w:jc w:val="center"/>
              <w:rPr>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4D66B35">
            <w:pPr>
              <w:topLinePunct/>
              <w:adjustRightInd w:val="0"/>
              <w:snapToGrid w:val="0"/>
              <w:spacing w:line="560" w:lineRule="exact"/>
              <w:jc w:val="center"/>
              <w:rPr>
                <w:color w:val="auto"/>
                <w:szCs w:val="21"/>
                <w:highlight w:val="none"/>
              </w:rPr>
            </w:pPr>
            <w:r>
              <w:rPr>
                <w:color w:val="auto"/>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45C174EC">
            <w:pPr>
              <w:topLinePunct/>
              <w:adjustRightInd w:val="0"/>
              <w:snapToGrid w:val="0"/>
              <w:spacing w:line="560" w:lineRule="exact"/>
              <w:jc w:val="center"/>
              <w:rPr>
                <w:color w:val="auto"/>
                <w:szCs w:val="21"/>
                <w:highlight w:val="none"/>
              </w:rPr>
            </w:pPr>
          </w:p>
        </w:tc>
      </w:tr>
      <w:tr w14:paraId="1B8F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1"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037F86AF">
            <w:pPr>
              <w:topLinePunct/>
              <w:adjustRightInd w:val="0"/>
              <w:snapToGrid w:val="0"/>
              <w:spacing w:line="560" w:lineRule="exact"/>
              <w:jc w:val="center"/>
              <w:rPr>
                <w:color w:val="auto"/>
                <w:szCs w:val="21"/>
                <w:highlight w:val="none"/>
              </w:rPr>
            </w:pPr>
            <w:r>
              <w:rPr>
                <w:color w:val="auto"/>
                <w:szCs w:val="21"/>
                <w:highlight w:val="none"/>
              </w:rPr>
              <w:t>成立时间</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61979FC6">
            <w:pPr>
              <w:topLinePunct/>
              <w:adjustRightInd w:val="0"/>
              <w:snapToGrid w:val="0"/>
              <w:spacing w:line="560" w:lineRule="exact"/>
              <w:jc w:val="center"/>
              <w:rPr>
                <w:color w:val="auto"/>
                <w:szCs w:val="21"/>
                <w:highlight w:val="none"/>
              </w:rPr>
            </w:pPr>
          </w:p>
        </w:tc>
        <w:tc>
          <w:tcPr>
            <w:tcW w:w="5755" w:type="dxa"/>
            <w:gridSpan w:val="7"/>
            <w:tcBorders>
              <w:top w:val="single" w:color="auto" w:sz="4" w:space="0"/>
              <w:left w:val="single" w:color="auto" w:sz="4" w:space="0"/>
              <w:bottom w:val="single" w:color="auto" w:sz="4" w:space="0"/>
              <w:right w:val="single" w:color="auto" w:sz="4" w:space="0"/>
            </w:tcBorders>
            <w:noWrap w:val="0"/>
            <w:vAlign w:val="center"/>
          </w:tcPr>
          <w:p w14:paraId="35414E96">
            <w:pPr>
              <w:topLinePunct/>
              <w:adjustRightInd w:val="0"/>
              <w:snapToGrid w:val="0"/>
              <w:spacing w:line="560" w:lineRule="exact"/>
              <w:ind w:firstLine="105" w:firstLineChars="50"/>
              <w:jc w:val="center"/>
              <w:rPr>
                <w:color w:val="auto"/>
                <w:szCs w:val="21"/>
                <w:highlight w:val="none"/>
              </w:rPr>
            </w:pPr>
            <w:r>
              <w:rPr>
                <w:color w:val="auto"/>
                <w:szCs w:val="21"/>
                <w:highlight w:val="none"/>
              </w:rPr>
              <w:t>员工总人数：</w:t>
            </w:r>
          </w:p>
        </w:tc>
      </w:tr>
      <w:tr w14:paraId="555A2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2"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68DFD54">
            <w:pPr>
              <w:topLinePunct/>
              <w:adjustRightInd w:val="0"/>
              <w:snapToGrid w:val="0"/>
              <w:spacing w:line="560" w:lineRule="exact"/>
              <w:jc w:val="center"/>
              <w:rPr>
                <w:color w:val="auto"/>
                <w:szCs w:val="21"/>
                <w:highlight w:val="none"/>
              </w:rPr>
            </w:pPr>
            <w:r>
              <w:rPr>
                <w:color w:val="auto"/>
                <w:szCs w:val="21"/>
                <w:highlight w:val="none"/>
              </w:rPr>
              <w:t>企业资质等级</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6D58F2BF">
            <w:pPr>
              <w:topLinePunct/>
              <w:adjustRightInd w:val="0"/>
              <w:snapToGrid w:val="0"/>
              <w:spacing w:line="560" w:lineRule="exact"/>
              <w:jc w:val="center"/>
              <w:rPr>
                <w:color w:val="auto"/>
                <w:szCs w:val="21"/>
                <w:highlight w:val="none"/>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7D447E08">
            <w:pPr>
              <w:topLinePunct/>
              <w:adjustRightInd w:val="0"/>
              <w:snapToGrid w:val="0"/>
              <w:spacing w:line="560" w:lineRule="exact"/>
              <w:jc w:val="center"/>
              <w:rPr>
                <w:color w:val="auto"/>
                <w:szCs w:val="21"/>
                <w:highlight w:val="none"/>
              </w:rPr>
            </w:pPr>
            <w:r>
              <w:rPr>
                <w:color w:val="auto"/>
                <w:szCs w:val="21"/>
                <w:highlight w:val="none"/>
              </w:rPr>
              <w:t>其中</w:t>
            </w: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7F30189B">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780E01B1">
            <w:pPr>
              <w:topLinePunct/>
              <w:adjustRightInd w:val="0"/>
              <w:snapToGrid w:val="0"/>
              <w:spacing w:line="560" w:lineRule="exact"/>
              <w:jc w:val="center"/>
              <w:rPr>
                <w:color w:val="auto"/>
                <w:szCs w:val="21"/>
                <w:highlight w:val="none"/>
              </w:rPr>
            </w:pPr>
          </w:p>
        </w:tc>
      </w:tr>
      <w:tr w14:paraId="33BB5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3B0F7D98">
            <w:pPr>
              <w:topLinePunct/>
              <w:adjustRightInd w:val="0"/>
              <w:snapToGrid w:val="0"/>
              <w:spacing w:line="560" w:lineRule="exact"/>
              <w:jc w:val="center"/>
              <w:rPr>
                <w:color w:val="auto"/>
                <w:szCs w:val="21"/>
                <w:highlight w:val="none"/>
              </w:rPr>
            </w:pPr>
            <w:r>
              <w:rPr>
                <w:color w:val="auto"/>
                <w:szCs w:val="21"/>
                <w:highlight w:val="none"/>
              </w:rPr>
              <w:t>营业执照号</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5EB56CA7">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31943C0A">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106D9485">
            <w:pPr>
              <w:topLinePunct/>
              <w:adjustRightInd w:val="0"/>
              <w:snapToGrid w:val="0"/>
              <w:spacing w:line="560" w:lineRule="exact"/>
              <w:jc w:val="center"/>
              <w:rPr>
                <w:color w:val="auto"/>
                <w:szCs w:val="21"/>
                <w:highlight w:val="none"/>
              </w:rPr>
            </w:pPr>
            <w:r>
              <w:rPr>
                <w:color w:val="auto"/>
                <w:szCs w:val="21"/>
                <w:highlight w:val="none"/>
              </w:rPr>
              <w:t>高级职称人员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0AC55813">
            <w:pPr>
              <w:topLinePunct/>
              <w:adjustRightInd w:val="0"/>
              <w:snapToGrid w:val="0"/>
              <w:spacing w:line="560" w:lineRule="exact"/>
              <w:jc w:val="center"/>
              <w:rPr>
                <w:color w:val="auto"/>
                <w:szCs w:val="21"/>
                <w:highlight w:val="none"/>
              </w:rPr>
            </w:pPr>
          </w:p>
        </w:tc>
      </w:tr>
      <w:tr w14:paraId="71A41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32D60441">
            <w:pPr>
              <w:topLinePunct/>
              <w:adjustRightInd w:val="0"/>
              <w:snapToGrid w:val="0"/>
              <w:spacing w:line="560" w:lineRule="exact"/>
              <w:jc w:val="center"/>
              <w:rPr>
                <w:color w:val="auto"/>
                <w:szCs w:val="21"/>
                <w:highlight w:val="none"/>
              </w:rPr>
            </w:pPr>
            <w:r>
              <w:rPr>
                <w:color w:val="auto"/>
                <w:szCs w:val="21"/>
                <w:highlight w:val="none"/>
              </w:rPr>
              <w:t>注册资金</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03DB74F8">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2578BED">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2C497E2F">
            <w:pPr>
              <w:topLinePunct/>
              <w:adjustRightInd w:val="0"/>
              <w:snapToGrid w:val="0"/>
              <w:spacing w:line="560" w:lineRule="exact"/>
              <w:jc w:val="center"/>
              <w:rPr>
                <w:color w:val="auto"/>
                <w:szCs w:val="21"/>
                <w:highlight w:val="none"/>
              </w:rPr>
            </w:pPr>
            <w:r>
              <w:rPr>
                <w:color w:val="auto"/>
                <w:szCs w:val="21"/>
                <w:highlight w:val="none"/>
              </w:rPr>
              <w:t>中级职称人员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22C668D1">
            <w:pPr>
              <w:topLinePunct/>
              <w:adjustRightInd w:val="0"/>
              <w:snapToGrid w:val="0"/>
              <w:spacing w:line="560" w:lineRule="exact"/>
              <w:jc w:val="center"/>
              <w:rPr>
                <w:color w:val="auto"/>
                <w:szCs w:val="21"/>
                <w:highlight w:val="none"/>
              </w:rPr>
            </w:pPr>
          </w:p>
        </w:tc>
      </w:tr>
      <w:tr w14:paraId="355EE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2BFF122E">
            <w:pPr>
              <w:topLinePunct/>
              <w:adjustRightInd w:val="0"/>
              <w:snapToGrid w:val="0"/>
              <w:spacing w:line="560" w:lineRule="exact"/>
              <w:jc w:val="center"/>
              <w:rPr>
                <w:color w:val="auto"/>
                <w:szCs w:val="21"/>
                <w:highlight w:val="none"/>
              </w:rPr>
            </w:pPr>
            <w:r>
              <w:rPr>
                <w:color w:val="auto"/>
                <w:szCs w:val="21"/>
                <w:highlight w:val="none"/>
              </w:rPr>
              <w:t>开户银行</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5B66E66F">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6588C237">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17B5FB95">
            <w:pPr>
              <w:topLinePunct/>
              <w:adjustRightInd w:val="0"/>
              <w:snapToGrid w:val="0"/>
              <w:spacing w:line="560" w:lineRule="exact"/>
              <w:jc w:val="center"/>
              <w:rPr>
                <w:color w:val="auto"/>
                <w:szCs w:val="21"/>
                <w:highlight w:val="none"/>
              </w:rPr>
            </w:pPr>
            <w:r>
              <w:rPr>
                <w:color w:val="auto"/>
                <w:szCs w:val="21"/>
                <w:highlight w:val="none"/>
              </w:rPr>
              <w:t>初级职称人员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1B176321">
            <w:pPr>
              <w:topLinePunct/>
              <w:adjustRightInd w:val="0"/>
              <w:snapToGrid w:val="0"/>
              <w:spacing w:line="560" w:lineRule="exact"/>
              <w:jc w:val="center"/>
              <w:rPr>
                <w:color w:val="auto"/>
                <w:szCs w:val="21"/>
                <w:highlight w:val="none"/>
              </w:rPr>
            </w:pPr>
          </w:p>
        </w:tc>
      </w:tr>
      <w:tr w14:paraId="2720F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9"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08E50D86">
            <w:pPr>
              <w:topLinePunct/>
              <w:adjustRightInd w:val="0"/>
              <w:snapToGrid w:val="0"/>
              <w:spacing w:line="560" w:lineRule="exact"/>
              <w:jc w:val="center"/>
              <w:rPr>
                <w:color w:val="auto"/>
                <w:szCs w:val="21"/>
                <w:highlight w:val="none"/>
              </w:rPr>
            </w:pPr>
            <w:r>
              <w:rPr>
                <w:color w:val="auto"/>
                <w:szCs w:val="21"/>
                <w:highlight w:val="none"/>
              </w:rPr>
              <w:t>账号</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785CCE54">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76F6B608">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76E31B41">
            <w:pPr>
              <w:topLinePunct/>
              <w:adjustRightInd w:val="0"/>
              <w:snapToGrid w:val="0"/>
              <w:spacing w:line="560" w:lineRule="exact"/>
              <w:jc w:val="center"/>
              <w:rPr>
                <w:color w:val="auto"/>
                <w:highlight w:val="none"/>
              </w:rPr>
            </w:pPr>
            <w:r>
              <w:rPr>
                <w:color w:val="auto"/>
                <w:szCs w:val="21"/>
                <w:highlight w:val="none"/>
              </w:rPr>
              <w:t>技</w:t>
            </w:r>
            <w:r>
              <w:rPr>
                <w:rFonts w:hint="eastAsia"/>
                <w:color w:val="auto"/>
                <w:szCs w:val="21"/>
                <w:highlight w:val="none"/>
              </w:rPr>
              <w:t xml:space="preserve">  </w:t>
            </w:r>
            <w:r>
              <w:rPr>
                <w:color w:val="auto"/>
                <w:szCs w:val="21"/>
                <w:highlight w:val="none"/>
              </w:rPr>
              <w:t>工</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301F85AC">
            <w:pPr>
              <w:topLinePunct/>
              <w:adjustRightInd w:val="0"/>
              <w:snapToGrid w:val="0"/>
              <w:spacing w:line="560" w:lineRule="exact"/>
              <w:jc w:val="center"/>
              <w:rPr>
                <w:color w:val="auto"/>
                <w:szCs w:val="21"/>
                <w:highlight w:val="none"/>
              </w:rPr>
            </w:pPr>
          </w:p>
        </w:tc>
      </w:tr>
      <w:tr w14:paraId="12A5BE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jc w:val="center"/>
        </w:trPr>
        <w:tc>
          <w:tcPr>
            <w:tcW w:w="1993" w:type="dxa"/>
            <w:tcBorders>
              <w:top w:val="single" w:color="auto" w:sz="4" w:space="0"/>
              <w:left w:val="single" w:color="auto" w:sz="4" w:space="0"/>
              <w:right w:val="single" w:color="auto" w:sz="4" w:space="0"/>
            </w:tcBorders>
            <w:noWrap w:val="0"/>
            <w:vAlign w:val="center"/>
          </w:tcPr>
          <w:p w14:paraId="7F46E0F9">
            <w:pPr>
              <w:topLinePunct/>
              <w:adjustRightInd w:val="0"/>
              <w:snapToGrid w:val="0"/>
              <w:spacing w:line="560" w:lineRule="exact"/>
              <w:ind w:firstLine="210" w:firstLineChars="100"/>
              <w:jc w:val="center"/>
              <w:rPr>
                <w:color w:val="auto"/>
                <w:szCs w:val="21"/>
                <w:highlight w:val="none"/>
              </w:rPr>
            </w:pPr>
            <w:r>
              <w:rPr>
                <w:color w:val="auto"/>
                <w:szCs w:val="21"/>
                <w:highlight w:val="none"/>
              </w:rPr>
              <w:t>经营范围</w:t>
            </w:r>
          </w:p>
        </w:tc>
        <w:tc>
          <w:tcPr>
            <w:tcW w:w="7887" w:type="dxa"/>
            <w:gridSpan w:val="9"/>
            <w:tcBorders>
              <w:top w:val="single" w:color="auto" w:sz="4" w:space="0"/>
              <w:left w:val="single" w:color="auto" w:sz="4" w:space="0"/>
              <w:right w:val="single" w:color="auto" w:sz="4" w:space="0"/>
            </w:tcBorders>
            <w:noWrap w:val="0"/>
            <w:vAlign w:val="center"/>
          </w:tcPr>
          <w:p w14:paraId="39903F3A">
            <w:pPr>
              <w:topLinePunct/>
              <w:adjustRightInd w:val="0"/>
              <w:snapToGrid w:val="0"/>
              <w:spacing w:line="560" w:lineRule="exact"/>
              <w:rPr>
                <w:color w:val="auto"/>
                <w:szCs w:val="21"/>
                <w:highlight w:val="none"/>
              </w:rPr>
            </w:pPr>
          </w:p>
        </w:tc>
      </w:tr>
      <w:tr w14:paraId="3F999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AEAF93A">
            <w:pPr>
              <w:topLinePunct/>
              <w:adjustRightInd w:val="0"/>
              <w:snapToGrid w:val="0"/>
              <w:spacing w:line="560" w:lineRule="exact"/>
              <w:jc w:val="center"/>
              <w:rPr>
                <w:color w:val="auto"/>
                <w:szCs w:val="21"/>
                <w:highlight w:val="none"/>
              </w:rPr>
            </w:pPr>
            <w:r>
              <w:rPr>
                <w:color w:val="auto"/>
                <w:szCs w:val="21"/>
                <w:highlight w:val="none"/>
              </w:rPr>
              <w:t>备注</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23A7AF7A">
            <w:pPr>
              <w:topLinePunct/>
              <w:adjustRightInd w:val="0"/>
              <w:snapToGrid w:val="0"/>
              <w:spacing w:line="560" w:lineRule="exact"/>
              <w:jc w:val="center"/>
              <w:rPr>
                <w:color w:val="auto"/>
                <w:szCs w:val="21"/>
                <w:highlight w:val="none"/>
              </w:rPr>
            </w:pPr>
          </w:p>
        </w:tc>
      </w:tr>
    </w:tbl>
    <w:p w14:paraId="10D71EA9">
      <w:pPr>
        <w:pStyle w:val="5"/>
        <w:adjustRightInd w:val="0"/>
        <w:snapToGrid w:val="0"/>
        <w:spacing w:before="0" w:after="0" w:line="560" w:lineRule="exact"/>
        <w:jc w:val="center"/>
        <w:rPr>
          <w:rFonts w:hint="eastAsia"/>
          <w:color w:val="auto"/>
          <w:highlight w:val="none"/>
        </w:rPr>
      </w:pPr>
      <w:bookmarkStart w:id="1530" w:name="_Toc95223534"/>
      <w:r>
        <w:rPr>
          <w:color w:val="auto"/>
          <w:highlight w:val="none"/>
        </w:rPr>
        <w:t>（</w:t>
      </w:r>
      <w:r>
        <w:rPr>
          <w:rFonts w:hint="eastAsia"/>
          <w:color w:val="auto"/>
          <w:highlight w:val="none"/>
        </w:rPr>
        <w:t>2</w:t>
      </w:r>
      <w:r>
        <w:rPr>
          <w:color w:val="auto"/>
          <w:highlight w:val="none"/>
        </w:rPr>
        <w:t>）近年财务状况表</w:t>
      </w:r>
      <w:bookmarkEnd w:id="1530"/>
    </w:p>
    <w:p w14:paraId="7BFFEB51">
      <w:pPr>
        <w:pStyle w:val="5"/>
        <w:adjustRightInd w:val="0"/>
        <w:snapToGrid w:val="0"/>
        <w:spacing w:before="0" w:after="0" w:line="560" w:lineRule="exact"/>
        <w:jc w:val="center"/>
        <w:rPr>
          <w:rFonts w:eastAsia="黑体"/>
          <w:color w:val="auto"/>
          <w:sz w:val="23"/>
          <w:szCs w:val="23"/>
          <w:highlight w:val="none"/>
        </w:rPr>
      </w:pPr>
      <w:bookmarkStart w:id="1531" w:name="_Toc95223535"/>
      <w:r>
        <w:rPr>
          <w:color w:val="auto"/>
          <w:highlight w:val="none"/>
        </w:rPr>
        <w:t>（</w:t>
      </w:r>
      <w:r>
        <w:rPr>
          <w:rFonts w:hint="eastAsia"/>
          <w:color w:val="auto"/>
          <w:highlight w:val="none"/>
        </w:rPr>
        <w:t>3</w:t>
      </w:r>
      <w:r>
        <w:rPr>
          <w:color w:val="auto"/>
          <w:highlight w:val="none"/>
        </w:rPr>
        <w:t>）近年完成的类似项目情况表</w:t>
      </w:r>
      <w:bookmarkEnd w:id="1531"/>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6912"/>
      </w:tblGrid>
      <w:tr w14:paraId="66D1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508" w:type="dxa"/>
            <w:noWrap w:val="0"/>
            <w:vAlign w:val="center"/>
          </w:tcPr>
          <w:p w14:paraId="06C52F3F">
            <w:pPr>
              <w:topLinePunct/>
              <w:adjustRightInd w:val="0"/>
              <w:snapToGrid w:val="0"/>
              <w:spacing w:line="560" w:lineRule="exact"/>
              <w:jc w:val="center"/>
              <w:rPr>
                <w:color w:val="auto"/>
                <w:szCs w:val="21"/>
                <w:highlight w:val="none"/>
              </w:rPr>
            </w:pPr>
            <w:r>
              <w:rPr>
                <w:color w:val="auto"/>
                <w:szCs w:val="21"/>
                <w:highlight w:val="none"/>
              </w:rPr>
              <w:t>项目名</w:t>
            </w:r>
            <w:bookmarkStart w:id="1532" w:name="_Toc506107342"/>
            <w:bookmarkStart w:id="1533" w:name="_Toc296602619"/>
            <w:bookmarkStart w:id="1534" w:name="_Toc26734"/>
            <w:bookmarkStart w:id="1535" w:name="_Toc152042598"/>
            <w:bookmarkStart w:id="1536" w:name="_Toc15058936"/>
            <w:bookmarkStart w:id="1537" w:name="_Toc152045809"/>
            <w:bookmarkStart w:id="1538" w:name="_Toc247514301"/>
            <w:bookmarkStart w:id="1539" w:name="_Toc247527849"/>
            <w:bookmarkStart w:id="1540" w:name="_Toc324404890"/>
            <w:bookmarkStart w:id="1541" w:name="_Toc144974877"/>
            <w:bookmarkStart w:id="1542" w:name="_Toc265953295"/>
            <w:bookmarkStart w:id="1543" w:name="_Toc60061576"/>
            <w:bookmarkStart w:id="1544" w:name="_Toc58229117"/>
            <w:r>
              <w:rPr>
                <w:color w:val="auto"/>
                <w:szCs w:val="21"/>
                <w:highlight w:val="none"/>
              </w:rPr>
              <w:t>称</w:t>
            </w:r>
          </w:p>
        </w:tc>
        <w:tc>
          <w:tcPr>
            <w:tcW w:w="6912" w:type="dxa"/>
            <w:noWrap w:val="0"/>
            <w:vAlign w:val="top"/>
          </w:tcPr>
          <w:p w14:paraId="7C0402F4">
            <w:pPr>
              <w:topLinePunct/>
              <w:adjustRightInd w:val="0"/>
              <w:snapToGrid w:val="0"/>
              <w:spacing w:line="560" w:lineRule="exact"/>
              <w:rPr>
                <w:color w:val="auto"/>
                <w:szCs w:val="21"/>
                <w:highlight w:val="none"/>
              </w:rPr>
            </w:pPr>
          </w:p>
        </w:tc>
      </w:tr>
      <w:tr w14:paraId="6D6D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508" w:type="dxa"/>
            <w:noWrap w:val="0"/>
            <w:vAlign w:val="center"/>
          </w:tcPr>
          <w:p w14:paraId="5EA38E64">
            <w:pPr>
              <w:topLinePunct/>
              <w:adjustRightInd w:val="0"/>
              <w:snapToGrid w:val="0"/>
              <w:spacing w:line="560" w:lineRule="exact"/>
              <w:jc w:val="center"/>
              <w:rPr>
                <w:color w:val="auto"/>
                <w:szCs w:val="21"/>
                <w:highlight w:val="none"/>
              </w:rPr>
            </w:pPr>
            <w:r>
              <w:rPr>
                <w:color w:val="auto"/>
                <w:szCs w:val="21"/>
                <w:highlight w:val="none"/>
              </w:rPr>
              <w:t>项目所在地</w:t>
            </w:r>
          </w:p>
          <w:bookmarkEnd w:id="1532"/>
          <w:bookmarkEnd w:id="1533"/>
          <w:bookmarkEnd w:id="1534"/>
          <w:bookmarkEnd w:id="1535"/>
          <w:bookmarkEnd w:id="1536"/>
          <w:bookmarkEnd w:id="1537"/>
          <w:bookmarkEnd w:id="1538"/>
          <w:bookmarkEnd w:id="1539"/>
          <w:bookmarkEnd w:id="1540"/>
          <w:bookmarkEnd w:id="1541"/>
          <w:bookmarkEnd w:id="1542"/>
        </w:tc>
        <w:tc>
          <w:tcPr>
            <w:tcW w:w="6912" w:type="dxa"/>
            <w:noWrap w:val="0"/>
            <w:vAlign w:val="top"/>
          </w:tcPr>
          <w:p w14:paraId="5CB00DDE">
            <w:pPr>
              <w:topLinePunct/>
              <w:adjustRightInd w:val="0"/>
              <w:snapToGrid w:val="0"/>
              <w:spacing w:line="560" w:lineRule="exact"/>
              <w:rPr>
                <w:color w:val="auto"/>
                <w:szCs w:val="21"/>
                <w:highlight w:val="none"/>
              </w:rPr>
            </w:pPr>
          </w:p>
        </w:tc>
      </w:tr>
      <w:tr w14:paraId="251D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08" w:type="dxa"/>
            <w:noWrap w:val="0"/>
            <w:vAlign w:val="center"/>
          </w:tcPr>
          <w:p w14:paraId="2A89B253">
            <w:pPr>
              <w:topLinePunct/>
              <w:adjustRightInd w:val="0"/>
              <w:snapToGrid w:val="0"/>
              <w:spacing w:line="560" w:lineRule="exact"/>
              <w:jc w:val="center"/>
              <w:rPr>
                <w:color w:val="auto"/>
                <w:szCs w:val="21"/>
                <w:highlight w:val="none"/>
              </w:rPr>
            </w:pPr>
            <w:r>
              <w:rPr>
                <w:color w:val="auto"/>
                <w:szCs w:val="21"/>
                <w:highlight w:val="none"/>
              </w:rPr>
              <w:t>发包人名称</w:t>
            </w:r>
          </w:p>
          <w:bookmarkEnd w:id="1543"/>
          <w:bookmarkEnd w:id="1544"/>
        </w:tc>
        <w:tc>
          <w:tcPr>
            <w:tcW w:w="6912" w:type="dxa"/>
            <w:noWrap w:val="0"/>
            <w:vAlign w:val="top"/>
          </w:tcPr>
          <w:p w14:paraId="22AAF17B">
            <w:pPr>
              <w:topLinePunct/>
              <w:adjustRightInd w:val="0"/>
              <w:snapToGrid w:val="0"/>
              <w:spacing w:line="560" w:lineRule="exact"/>
              <w:rPr>
                <w:color w:val="auto"/>
                <w:szCs w:val="21"/>
                <w:highlight w:val="none"/>
              </w:rPr>
            </w:pPr>
          </w:p>
        </w:tc>
        <w:bookmarkStart w:id="1545" w:name="_Toc15058937"/>
        <w:bookmarkStart w:id="1546" w:name="_Toc152045810"/>
        <w:bookmarkStart w:id="1547" w:name="_Toc60061577"/>
        <w:bookmarkStart w:id="1548" w:name="_Toc58229118"/>
        <w:bookmarkStart w:id="1549" w:name="_Toc247527850"/>
        <w:bookmarkStart w:id="1550" w:name="_Toc506107343"/>
        <w:bookmarkStart w:id="1551" w:name="_Toc144974878"/>
        <w:bookmarkStart w:id="1552" w:name="_Toc324404891"/>
        <w:bookmarkStart w:id="1553" w:name="_Toc152042599"/>
        <w:bookmarkStart w:id="1554" w:name="_Toc296602620"/>
        <w:bookmarkStart w:id="1555" w:name="_Toc247514302"/>
        <w:bookmarkStart w:id="1556" w:name="_Toc265953296"/>
        <w:bookmarkStart w:id="1557" w:name="_Toc11124"/>
      </w:tr>
      <w:tr w14:paraId="2B11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08" w:type="dxa"/>
            <w:noWrap w:val="0"/>
            <w:vAlign w:val="center"/>
          </w:tcPr>
          <w:p w14:paraId="4CA7B316">
            <w:pPr>
              <w:topLinePunct/>
              <w:adjustRightInd w:val="0"/>
              <w:snapToGrid w:val="0"/>
              <w:spacing w:line="560" w:lineRule="exact"/>
              <w:jc w:val="center"/>
              <w:rPr>
                <w:color w:val="auto"/>
                <w:szCs w:val="21"/>
                <w:highlight w:val="none"/>
              </w:rPr>
            </w:pPr>
            <w:r>
              <w:rPr>
                <w:color w:val="auto"/>
                <w:szCs w:val="21"/>
                <w:highlight w:val="none"/>
              </w:rPr>
              <w:t>发包人地址</w:t>
            </w:r>
          </w:p>
        </w:tc>
        <w:tc>
          <w:tcPr>
            <w:tcW w:w="6912" w:type="dxa"/>
            <w:noWrap w:val="0"/>
            <w:vAlign w:val="top"/>
          </w:tcPr>
          <w:p w14:paraId="304ACA71">
            <w:pPr>
              <w:topLinePunct/>
              <w:adjustRightInd w:val="0"/>
              <w:snapToGrid w:val="0"/>
              <w:spacing w:line="560" w:lineRule="exact"/>
              <w:rPr>
                <w:color w:val="auto"/>
                <w:szCs w:val="21"/>
                <w:highlight w:val="none"/>
              </w:rPr>
            </w:pPr>
          </w:p>
        </w:tc>
      </w:tr>
      <w:tr w14:paraId="2573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508" w:type="dxa"/>
            <w:noWrap w:val="0"/>
            <w:vAlign w:val="center"/>
          </w:tcPr>
          <w:p w14:paraId="6C0B9252">
            <w:pPr>
              <w:topLinePunct/>
              <w:adjustRightInd w:val="0"/>
              <w:snapToGrid w:val="0"/>
              <w:spacing w:line="560" w:lineRule="exact"/>
              <w:jc w:val="center"/>
              <w:rPr>
                <w:color w:val="auto"/>
                <w:szCs w:val="21"/>
                <w:highlight w:val="none"/>
              </w:rPr>
            </w:pPr>
            <w:r>
              <w:rPr>
                <w:color w:val="auto"/>
                <w:szCs w:val="21"/>
                <w:highlight w:val="none"/>
              </w:rPr>
              <w:t>发包人电话</w:t>
            </w:r>
          </w:p>
          <w:bookmarkEnd w:id="1545"/>
          <w:bookmarkEnd w:id="1546"/>
          <w:bookmarkEnd w:id="1547"/>
          <w:bookmarkEnd w:id="1548"/>
          <w:bookmarkEnd w:id="1549"/>
          <w:bookmarkEnd w:id="1550"/>
          <w:bookmarkEnd w:id="1551"/>
          <w:bookmarkEnd w:id="1552"/>
          <w:bookmarkEnd w:id="1553"/>
          <w:bookmarkEnd w:id="1554"/>
          <w:bookmarkEnd w:id="1555"/>
          <w:bookmarkEnd w:id="1556"/>
          <w:bookmarkEnd w:id="1557"/>
        </w:tc>
        <w:tc>
          <w:tcPr>
            <w:tcW w:w="6912" w:type="dxa"/>
            <w:noWrap w:val="0"/>
            <w:vAlign w:val="top"/>
          </w:tcPr>
          <w:p w14:paraId="6077D14A">
            <w:pPr>
              <w:topLinePunct/>
              <w:adjustRightInd w:val="0"/>
              <w:snapToGrid w:val="0"/>
              <w:spacing w:line="560" w:lineRule="exact"/>
              <w:rPr>
                <w:color w:val="auto"/>
                <w:szCs w:val="21"/>
                <w:highlight w:val="none"/>
              </w:rPr>
            </w:pPr>
          </w:p>
        </w:tc>
      </w:tr>
      <w:tr w14:paraId="64F0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08" w:type="dxa"/>
            <w:noWrap w:val="0"/>
            <w:vAlign w:val="center"/>
          </w:tcPr>
          <w:p w14:paraId="5C512F7F">
            <w:pPr>
              <w:topLinePunct/>
              <w:adjustRightInd w:val="0"/>
              <w:snapToGrid w:val="0"/>
              <w:spacing w:line="560" w:lineRule="exact"/>
              <w:jc w:val="center"/>
              <w:rPr>
                <w:color w:val="auto"/>
                <w:szCs w:val="21"/>
                <w:highlight w:val="none"/>
              </w:rPr>
            </w:pPr>
            <w:r>
              <w:rPr>
                <w:color w:val="auto"/>
                <w:szCs w:val="21"/>
                <w:highlight w:val="none"/>
              </w:rPr>
              <w:t>合同价格</w:t>
            </w:r>
          </w:p>
        </w:tc>
        <w:tc>
          <w:tcPr>
            <w:tcW w:w="6912" w:type="dxa"/>
            <w:noWrap w:val="0"/>
            <w:vAlign w:val="top"/>
          </w:tcPr>
          <w:p w14:paraId="29DD74F1">
            <w:pPr>
              <w:topLinePunct/>
              <w:adjustRightInd w:val="0"/>
              <w:snapToGrid w:val="0"/>
              <w:spacing w:line="560" w:lineRule="exact"/>
              <w:rPr>
                <w:color w:val="auto"/>
                <w:szCs w:val="21"/>
                <w:highlight w:val="none"/>
              </w:rPr>
            </w:pPr>
          </w:p>
        </w:tc>
      </w:tr>
      <w:tr w14:paraId="45208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508" w:type="dxa"/>
            <w:noWrap w:val="0"/>
            <w:vAlign w:val="center"/>
          </w:tcPr>
          <w:p w14:paraId="37E4F881">
            <w:pPr>
              <w:topLinePunct/>
              <w:adjustRightInd w:val="0"/>
              <w:snapToGrid w:val="0"/>
              <w:spacing w:line="560" w:lineRule="exact"/>
              <w:jc w:val="center"/>
              <w:rPr>
                <w:color w:val="auto"/>
                <w:szCs w:val="21"/>
                <w:highlight w:val="none"/>
              </w:rPr>
            </w:pPr>
            <w:r>
              <w:rPr>
                <w:color w:val="auto"/>
                <w:szCs w:val="21"/>
                <w:highlight w:val="none"/>
              </w:rPr>
              <w:t>开工日期</w:t>
            </w:r>
          </w:p>
        </w:tc>
        <w:tc>
          <w:tcPr>
            <w:tcW w:w="6912" w:type="dxa"/>
            <w:noWrap w:val="0"/>
            <w:vAlign w:val="top"/>
          </w:tcPr>
          <w:p w14:paraId="530DCF9F">
            <w:pPr>
              <w:topLinePunct/>
              <w:adjustRightInd w:val="0"/>
              <w:snapToGrid w:val="0"/>
              <w:spacing w:line="560" w:lineRule="exact"/>
              <w:rPr>
                <w:color w:val="auto"/>
                <w:szCs w:val="21"/>
                <w:highlight w:val="none"/>
              </w:rPr>
            </w:pPr>
          </w:p>
        </w:tc>
      </w:tr>
      <w:tr w14:paraId="7405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508" w:type="dxa"/>
            <w:noWrap w:val="0"/>
            <w:vAlign w:val="center"/>
          </w:tcPr>
          <w:p w14:paraId="10CD84D8">
            <w:pPr>
              <w:topLinePunct/>
              <w:adjustRightInd w:val="0"/>
              <w:snapToGrid w:val="0"/>
              <w:spacing w:line="560" w:lineRule="exact"/>
              <w:jc w:val="center"/>
              <w:rPr>
                <w:color w:val="auto"/>
                <w:szCs w:val="21"/>
                <w:highlight w:val="none"/>
              </w:rPr>
            </w:pPr>
            <w:r>
              <w:rPr>
                <w:rFonts w:hint="eastAsia"/>
                <w:color w:val="auto"/>
                <w:highlight w:val="none"/>
              </w:rPr>
              <w:t>竣工</w:t>
            </w:r>
            <w:r>
              <w:rPr>
                <w:color w:val="auto"/>
                <w:szCs w:val="21"/>
                <w:highlight w:val="none"/>
              </w:rPr>
              <w:t>日期</w:t>
            </w:r>
          </w:p>
        </w:tc>
        <w:tc>
          <w:tcPr>
            <w:tcW w:w="6912" w:type="dxa"/>
            <w:noWrap w:val="0"/>
            <w:vAlign w:val="top"/>
          </w:tcPr>
          <w:p w14:paraId="2FB86BA9">
            <w:pPr>
              <w:topLinePunct/>
              <w:adjustRightInd w:val="0"/>
              <w:snapToGrid w:val="0"/>
              <w:spacing w:line="560" w:lineRule="exact"/>
              <w:rPr>
                <w:color w:val="auto"/>
                <w:szCs w:val="21"/>
                <w:highlight w:val="none"/>
              </w:rPr>
            </w:pPr>
          </w:p>
        </w:tc>
      </w:tr>
      <w:tr w14:paraId="71CF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508" w:type="dxa"/>
            <w:noWrap w:val="0"/>
            <w:vAlign w:val="center"/>
          </w:tcPr>
          <w:p w14:paraId="1BBCAC7F">
            <w:pPr>
              <w:topLinePunct/>
              <w:adjustRightInd w:val="0"/>
              <w:snapToGrid w:val="0"/>
              <w:spacing w:line="560" w:lineRule="exact"/>
              <w:jc w:val="center"/>
              <w:rPr>
                <w:color w:val="auto"/>
                <w:szCs w:val="21"/>
                <w:highlight w:val="none"/>
              </w:rPr>
            </w:pPr>
            <w:r>
              <w:rPr>
                <w:color w:val="auto"/>
                <w:szCs w:val="21"/>
                <w:highlight w:val="none"/>
              </w:rPr>
              <w:t>承担的工作</w:t>
            </w:r>
          </w:p>
        </w:tc>
        <w:tc>
          <w:tcPr>
            <w:tcW w:w="6912" w:type="dxa"/>
            <w:noWrap w:val="0"/>
            <w:vAlign w:val="top"/>
          </w:tcPr>
          <w:p w14:paraId="750B8013">
            <w:pPr>
              <w:topLinePunct/>
              <w:adjustRightInd w:val="0"/>
              <w:snapToGrid w:val="0"/>
              <w:spacing w:line="560" w:lineRule="exact"/>
              <w:rPr>
                <w:color w:val="auto"/>
                <w:szCs w:val="21"/>
                <w:highlight w:val="none"/>
              </w:rPr>
            </w:pPr>
          </w:p>
        </w:tc>
      </w:tr>
      <w:tr w14:paraId="75EC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08" w:type="dxa"/>
            <w:noWrap w:val="0"/>
            <w:vAlign w:val="center"/>
          </w:tcPr>
          <w:p w14:paraId="6C895CA5">
            <w:pPr>
              <w:topLinePunct/>
              <w:adjustRightInd w:val="0"/>
              <w:snapToGrid w:val="0"/>
              <w:spacing w:line="560" w:lineRule="exact"/>
              <w:jc w:val="center"/>
              <w:rPr>
                <w:color w:val="auto"/>
                <w:szCs w:val="21"/>
                <w:highlight w:val="none"/>
              </w:rPr>
            </w:pPr>
            <w:r>
              <w:rPr>
                <w:color w:val="auto"/>
                <w:szCs w:val="21"/>
                <w:highlight w:val="none"/>
              </w:rPr>
              <w:t>工程质量</w:t>
            </w:r>
          </w:p>
        </w:tc>
        <w:tc>
          <w:tcPr>
            <w:tcW w:w="6912" w:type="dxa"/>
            <w:noWrap w:val="0"/>
            <w:vAlign w:val="top"/>
          </w:tcPr>
          <w:p w14:paraId="12B8CB76">
            <w:pPr>
              <w:topLinePunct/>
              <w:adjustRightInd w:val="0"/>
              <w:snapToGrid w:val="0"/>
              <w:spacing w:line="560" w:lineRule="exact"/>
              <w:rPr>
                <w:color w:val="auto"/>
                <w:szCs w:val="21"/>
                <w:highlight w:val="none"/>
              </w:rPr>
            </w:pPr>
          </w:p>
        </w:tc>
      </w:tr>
      <w:tr w14:paraId="51BE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508" w:type="dxa"/>
            <w:noWrap w:val="0"/>
            <w:vAlign w:val="center"/>
          </w:tcPr>
          <w:p w14:paraId="42105839">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6912" w:type="dxa"/>
            <w:noWrap w:val="0"/>
            <w:vAlign w:val="top"/>
          </w:tcPr>
          <w:p w14:paraId="256F69B8">
            <w:pPr>
              <w:topLinePunct/>
              <w:adjustRightInd w:val="0"/>
              <w:snapToGrid w:val="0"/>
              <w:spacing w:line="560" w:lineRule="exact"/>
              <w:rPr>
                <w:color w:val="auto"/>
                <w:szCs w:val="21"/>
                <w:highlight w:val="none"/>
              </w:rPr>
            </w:pPr>
          </w:p>
        </w:tc>
      </w:tr>
      <w:tr w14:paraId="577F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508" w:type="dxa"/>
            <w:noWrap w:val="0"/>
            <w:vAlign w:val="center"/>
          </w:tcPr>
          <w:p w14:paraId="75D32477">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6912" w:type="dxa"/>
            <w:noWrap w:val="0"/>
            <w:vAlign w:val="top"/>
          </w:tcPr>
          <w:p w14:paraId="1D1883E0">
            <w:pPr>
              <w:topLinePunct/>
              <w:adjustRightInd w:val="0"/>
              <w:snapToGrid w:val="0"/>
              <w:spacing w:line="560" w:lineRule="exact"/>
              <w:rPr>
                <w:color w:val="auto"/>
                <w:szCs w:val="21"/>
                <w:highlight w:val="none"/>
              </w:rPr>
            </w:pPr>
          </w:p>
        </w:tc>
      </w:tr>
      <w:tr w14:paraId="38B5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508" w:type="dxa"/>
            <w:noWrap w:val="0"/>
            <w:vAlign w:val="center"/>
          </w:tcPr>
          <w:p w14:paraId="6297E8BE">
            <w:pPr>
              <w:topLinePunct/>
              <w:adjustRightInd w:val="0"/>
              <w:snapToGrid w:val="0"/>
              <w:spacing w:line="560" w:lineRule="exact"/>
              <w:jc w:val="center"/>
              <w:rPr>
                <w:color w:val="auto"/>
                <w:szCs w:val="21"/>
                <w:highlight w:val="none"/>
              </w:rPr>
            </w:pPr>
            <w:r>
              <w:rPr>
                <w:color w:val="auto"/>
                <w:szCs w:val="21"/>
                <w:highlight w:val="none"/>
              </w:rPr>
              <w:t>项目描述</w:t>
            </w:r>
          </w:p>
        </w:tc>
        <w:tc>
          <w:tcPr>
            <w:tcW w:w="6912" w:type="dxa"/>
            <w:noWrap w:val="0"/>
            <w:vAlign w:val="top"/>
          </w:tcPr>
          <w:p w14:paraId="35A4C3F2">
            <w:pPr>
              <w:topLinePunct/>
              <w:adjustRightInd w:val="0"/>
              <w:snapToGrid w:val="0"/>
              <w:spacing w:line="560" w:lineRule="exact"/>
              <w:rPr>
                <w:color w:val="auto"/>
                <w:szCs w:val="21"/>
                <w:highlight w:val="none"/>
              </w:rPr>
            </w:pPr>
          </w:p>
          <w:p w14:paraId="555A0402">
            <w:pPr>
              <w:topLinePunct/>
              <w:adjustRightInd w:val="0"/>
              <w:snapToGrid w:val="0"/>
              <w:spacing w:line="560" w:lineRule="exact"/>
              <w:rPr>
                <w:color w:val="auto"/>
                <w:szCs w:val="21"/>
                <w:highlight w:val="none"/>
              </w:rPr>
            </w:pPr>
          </w:p>
          <w:p w14:paraId="426EC9D7">
            <w:pPr>
              <w:topLinePunct/>
              <w:adjustRightInd w:val="0"/>
              <w:snapToGrid w:val="0"/>
              <w:spacing w:line="560" w:lineRule="exact"/>
              <w:rPr>
                <w:rFonts w:hint="eastAsia"/>
                <w:color w:val="auto"/>
                <w:szCs w:val="21"/>
                <w:highlight w:val="none"/>
              </w:rPr>
            </w:pPr>
          </w:p>
        </w:tc>
      </w:tr>
      <w:tr w14:paraId="2A03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jc w:val="center"/>
        </w:trPr>
        <w:tc>
          <w:tcPr>
            <w:tcW w:w="2508" w:type="dxa"/>
            <w:noWrap w:val="0"/>
            <w:vAlign w:val="center"/>
          </w:tcPr>
          <w:p w14:paraId="3BA56721">
            <w:pPr>
              <w:topLinePunct/>
              <w:adjustRightInd w:val="0"/>
              <w:snapToGrid w:val="0"/>
              <w:spacing w:line="560" w:lineRule="exact"/>
              <w:jc w:val="center"/>
              <w:rPr>
                <w:color w:val="auto"/>
                <w:szCs w:val="21"/>
                <w:highlight w:val="none"/>
              </w:rPr>
            </w:pPr>
            <w:r>
              <w:rPr>
                <w:color w:val="auto"/>
                <w:szCs w:val="21"/>
                <w:highlight w:val="none"/>
              </w:rPr>
              <w:t>备注</w:t>
            </w:r>
          </w:p>
        </w:tc>
        <w:tc>
          <w:tcPr>
            <w:tcW w:w="6912" w:type="dxa"/>
            <w:noWrap w:val="0"/>
            <w:vAlign w:val="top"/>
          </w:tcPr>
          <w:p w14:paraId="57D46D98">
            <w:pPr>
              <w:topLinePunct/>
              <w:adjustRightInd w:val="0"/>
              <w:snapToGrid w:val="0"/>
              <w:spacing w:line="560" w:lineRule="exact"/>
              <w:rPr>
                <w:color w:val="auto"/>
                <w:szCs w:val="21"/>
                <w:highlight w:val="none"/>
              </w:rPr>
            </w:pPr>
          </w:p>
        </w:tc>
      </w:tr>
    </w:tbl>
    <w:p w14:paraId="116C1330">
      <w:pPr>
        <w:pStyle w:val="5"/>
        <w:adjustRightInd w:val="0"/>
        <w:snapToGrid w:val="0"/>
        <w:spacing w:before="0" w:after="0" w:line="560" w:lineRule="exact"/>
        <w:jc w:val="center"/>
        <w:rPr>
          <w:color w:val="auto"/>
          <w:highlight w:val="none"/>
        </w:rPr>
      </w:pPr>
      <w:bookmarkStart w:id="1558" w:name="_Toc95223536"/>
      <w:r>
        <w:rPr>
          <w:color w:val="auto"/>
          <w:highlight w:val="none"/>
        </w:rPr>
        <w:t>（</w:t>
      </w:r>
      <w:r>
        <w:rPr>
          <w:rFonts w:hint="eastAsia"/>
          <w:color w:val="auto"/>
          <w:highlight w:val="none"/>
        </w:rPr>
        <w:t>4</w:t>
      </w:r>
      <w:r>
        <w:rPr>
          <w:color w:val="auto"/>
          <w:highlight w:val="none"/>
        </w:rPr>
        <w:t>）正在</w:t>
      </w:r>
      <w:r>
        <w:rPr>
          <w:rFonts w:hint="eastAsia"/>
          <w:color w:val="auto"/>
          <w:highlight w:val="none"/>
        </w:rPr>
        <w:t>实施</w:t>
      </w:r>
      <w:r>
        <w:rPr>
          <w:color w:val="auto"/>
          <w:highlight w:val="none"/>
        </w:rPr>
        <w:t>的和新承接的项目情况表</w:t>
      </w:r>
      <w:bookmarkEnd w:id="1558"/>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7408"/>
      </w:tblGrid>
      <w:tr w14:paraId="24A7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452" w:type="dxa"/>
            <w:noWrap w:val="0"/>
            <w:vAlign w:val="center"/>
          </w:tcPr>
          <w:p w14:paraId="19941642">
            <w:pPr>
              <w:topLinePunct/>
              <w:adjustRightInd w:val="0"/>
              <w:snapToGrid w:val="0"/>
              <w:spacing w:line="560" w:lineRule="exact"/>
              <w:jc w:val="center"/>
              <w:rPr>
                <w:color w:val="auto"/>
                <w:szCs w:val="21"/>
                <w:highlight w:val="none"/>
              </w:rPr>
            </w:pPr>
            <w:r>
              <w:rPr>
                <w:color w:val="auto"/>
                <w:szCs w:val="21"/>
                <w:highlight w:val="none"/>
              </w:rPr>
              <w:t>项目名称</w:t>
            </w:r>
          </w:p>
        </w:tc>
        <w:tc>
          <w:tcPr>
            <w:tcW w:w="7408" w:type="dxa"/>
            <w:noWrap w:val="0"/>
            <w:vAlign w:val="top"/>
          </w:tcPr>
          <w:p w14:paraId="5B68195B">
            <w:pPr>
              <w:topLinePunct/>
              <w:adjustRightInd w:val="0"/>
              <w:snapToGrid w:val="0"/>
              <w:spacing w:line="560" w:lineRule="exact"/>
              <w:rPr>
                <w:color w:val="auto"/>
                <w:szCs w:val="21"/>
                <w:highlight w:val="none"/>
              </w:rPr>
            </w:pPr>
          </w:p>
        </w:tc>
      </w:tr>
      <w:tr w14:paraId="0914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452" w:type="dxa"/>
            <w:noWrap w:val="0"/>
            <w:vAlign w:val="center"/>
          </w:tcPr>
          <w:p w14:paraId="039809EA">
            <w:pPr>
              <w:topLinePunct/>
              <w:adjustRightInd w:val="0"/>
              <w:snapToGrid w:val="0"/>
              <w:spacing w:line="560" w:lineRule="exact"/>
              <w:jc w:val="center"/>
              <w:rPr>
                <w:color w:val="auto"/>
                <w:szCs w:val="21"/>
                <w:highlight w:val="none"/>
              </w:rPr>
            </w:pPr>
            <w:r>
              <w:rPr>
                <w:color w:val="auto"/>
                <w:szCs w:val="21"/>
                <w:highlight w:val="none"/>
              </w:rPr>
              <w:t>项目所在地</w:t>
            </w:r>
          </w:p>
        </w:tc>
        <w:tc>
          <w:tcPr>
            <w:tcW w:w="7408" w:type="dxa"/>
            <w:noWrap w:val="0"/>
            <w:vAlign w:val="top"/>
          </w:tcPr>
          <w:p w14:paraId="758F8979">
            <w:pPr>
              <w:topLinePunct/>
              <w:adjustRightInd w:val="0"/>
              <w:snapToGrid w:val="0"/>
              <w:spacing w:line="560" w:lineRule="exact"/>
              <w:rPr>
                <w:color w:val="auto"/>
                <w:szCs w:val="21"/>
                <w:highlight w:val="none"/>
              </w:rPr>
            </w:pPr>
          </w:p>
        </w:tc>
      </w:tr>
      <w:tr w14:paraId="36E4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452" w:type="dxa"/>
            <w:noWrap w:val="0"/>
            <w:vAlign w:val="center"/>
          </w:tcPr>
          <w:p w14:paraId="4CB8BCAB">
            <w:pPr>
              <w:topLinePunct/>
              <w:adjustRightInd w:val="0"/>
              <w:snapToGrid w:val="0"/>
              <w:spacing w:line="560" w:lineRule="exact"/>
              <w:jc w:val="center"/>
              <w:rPr>
                <w:color w:val="auto"/>
                <w:szCs w:val="21"/>
                <w:highlight w:val="none"/>
              </w:rPr>
            </w:pPr>
            <w:r>
              <w:rPr>
                <w:color w:val="auto"/>
                <w:szCs w:val="21"/>
                <w:highlight w:val="none"/>
              </w:rPr>
              <w:t>发包人名</w:t>
            </w:r>
            <w:bookmarkStart w:id="1559" w:name="_Toc506107344"/>
            <w:bookmarkStart w:id="1560" w:name="_Toc144974879"/>
            <w:bookmarkStart w:id="1561" w:name="_Toc247527851"/>
            <w:bookmarkStart w:id="1562" w:name="_Toc296602621"/>
            <w:bookmarkStart w:id="1563" w:name="_Toc58229119"/>
            <w:bookmarkStart w:id="1564" w:name="_Toc15058938"/>
            <w:bookmarkStart w:id="1565" w:name="_Toc152042600"/>
            <w:bookmarkStart w:id="1566" w:name="_Toc60061578"/>
            <w:bookmarkStart w:id="1567" w:name="_Toc152045811"/>
            <w:bookmarkStart w:id="1568" w:name="_Toc265953297"/>
            <w:bookmarkStart w:id="1569" w:name="_Toc324404892"/>
            <w:bookmarkStart w:id="1570" w:name="_Toc30815"/>
            <w:bookmarkStart w:id="1571" w:name="_Toc247514303"/>
            <w:r>
              <w:rPr>
                <w:color w:val="auto"/>
                <w:szCs w:val="21"/>
                <w:highlight w:val="none"/>
              </w:rPr>
              <w:t>称</w:t>
            </w:r>
          </w:p>
        </w:tc>
        <w:tc>
          <w:tcPr>
            <w:tcW w:w="7408" w:type="dxa"/>
            <w:noWrap w:val="0"/>
            <w:vAlign w:val="top"/>
          </w:tcPr>
          <w:p w14:paraId="40ECE59D">
            <w:pPr>
              <w:topLinePunct/>
              <w:adjustRightInd w:val="0"/>
              <w:snapToGrid w:val="0"/>
              <w:spacing w:line="560" w:lineRule="exact"/>
              <w:rPr>
                <w:color w:val="auto"/>
                <w:szCs w:val="21"/>
                <w:highlight w:val="none"/>
              </w:rPr>
            </w:pPr>
          </w:p>
        </w:tc>
      </w:tr>
      <w:tr w14:paraId="1E7E4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452" w:type="dxa"/>
            <w:noWrap w:val="0"/>
            <w:vAlign w:val="center"/>
          </w:tcPr>
          <w:p w14:paraId="6700C3D5">
            <w:pPr>
              <w:topLinePunct/>
              <w:adjustRightInd w:val="0"/>
              <w:snapToGrid w:val="0"/>
              <w:spacing w:line="560" w:lineRule="exact"/>
              <w:jc w:val="center"/>
              <w:rPr>
                <w:color w:val="auto"/>
                <w:szCs w:val="21"/>
                <w:highlight w:val="none"/>
              </w:rPr>
            </w:pPr>
            <w:r>
              <w:rPr>
                <w:color w:val="auto"/>
                <w:szCs w:val="21"/>
                <w:highlight w:val="none"/>
              </w:rPr>
              <w:t>发包人地址</w:t>
            </w:r>
          </w:p>
        </w:tc>
        <w:tc>
          <w:tcPr>
            <w:tcW w:w="7408" w:type="dxa"/>
            <w:noWrap w:val="0"/>
            <w:vAlign w:val="top"/>
          </w:tcPr>
          <w:p w14:paraId="7ABEA186">
            <w:pPr>
              <w:topLinePunct/>
              <w:adjustRightInd w:val="0"/>
              <w:snapToGrid w:val="0"/>
              <w:spacing w:line="560" w:lineRule="exact"/>
              <w:rPr>
                <w:color w:val="auto"/>
                <w:szCs w:val="21"/>
                <w:highlight w:val="none"/>
              </w:rPr>
            </w:pPr>
          </w:p>
        </w:tc>
      </w:tr>
      <w:tr w14:paraId="6B73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452" w:type="dxa"/>
            <w:noWrap w:val="0"/>
            <w:vAlign w:val="center"/>
          </w:tcPr>
          <w:p w14:paraId="7B76402D">
            <w:pPr>
              <w:topLinePunct/>
              <w:adjustRightInd w:val="0"/>
              <w:snapToGrid w:val="0"/>
              <w:spacing w:line="560" w:lineRule="exact"/>
              <w:jc w:val="center"/>
              <w:rPr>
                <w:color w:val="auto"/>
                <w:szCs w:val="21"/>
                <w:highlight w:val="none"/>
              </w:rPr>
            </w:pPr>
            <w:r>
              <w:rPr>
                <w:color w:val="auto"/>
                <w:szCs w:val="21"/>
                <w:highlight w:val="none"/>
              </w:rPr>
              <w:t>发包人电话</w:t>
            </w:r>
          </w:p>
          <w:bookmarkEnd w:id="1559"/>
          <w:bookmarkEnd w:id="1560"/>
          <w:bookmarkEnd w:id="1561"/>
          <w:bookmarkEnd w:id="1562"/>
          <w:bookmarkEnd w:id="1563"/>
          <w:bookmarkEnd w:id="1564"/>
          <w:bookmarkEnd w:id="1565"/>
          <w:bookmarkEnd w:id="1566"/>
          <w:bookmarkEnd w:id="1567"/>
          <w:bookmarkEnd w:id="1568"/>
          <w:bookmarkEnd w:id="1569"/>
          <w:bookmarkEnd w:id="1570"/>
          <w:bookmarkEnd w:id="1571"/>
        </w:tc>
        <w:tc>
          <w:tcPr>
            <w:tcW w:w="7408" w:type="dxa"/>
            <w:noWrap w:val="0"/>
            <w:vAlign w:val="top"/>
          </w:tcPr>
          <w:p w14:paraId="5D016728">
            <w:pPr>
              <w:topLinePunct/>
              <w:adjustRightInd w:val="0"/>
              <w:snapToGrid w:val="0"/>
              <w:spacing w:line="560" w:lineRule="exact"/>
              <w:rPr>
                <w:color w:val="auto"/>
                <w:szCs w:val="21"/>
                <w:highlight w:val="none"/>
              </w:rPr>
            </w:pPr>
          </w:p>
        </w:tc>
      </w:tr>
      <w:tr w14:paraId="4648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452" w:type="dxa"/>
            <w:noWrap w:val="0"/>
            <w:vAlign w:val="center"/>
          </w:tcPr>
          <w:p w14:paraId="5767F577">
            <w:pPr>
              <w:topLinePunct/>
              <w:adjustRightInd w:val="0"/>
              <w:snapToGrid w:val="0"/>
              <w:spacing w:line="560" w:lineRule="exact"/>
              <w:jc w:val="center"/>
              <w:rPr>
                <w:color w:val="auto"/>
                <w:szCs w:val="21"/>
                <w:highlight w:val="none"/>
              </w:rPr>
            </w:pPr>
            <w:r>
              <w:rPr>
                <w:color w:val="auto"/>
                <w:szCs w:val="21"/>
                <w:highlight w:val="none"/>
              </w:rPr>
              <w:t>签约合同价</w:t>
            </w:r>
          </w:p>
        </w:tc>
        <w:tc>
          <w:tcPr>
            <w:tcW w:w="7408" w:type="dxa"/>
            <w:noWrap w:val="0"/>
            <w:vAlign w:val="top"/>
          </w:tcPr>
          <w:p w14:paraId="3E6EBA1E">
            <w:pPr>
              <w:topLinePunct/>
              <w:adjustRightInd w:val="0"/>
              <w:snapToGrid w:val="0"/>
              <w:spacing w:line="560" w:lineRule="exact"/>
              <w:rPr>
                <w:color w:val="auto"/>
                <w:szCs w:val="21"/>
                <w:highlight w:val="none"/>
              </w:rPr>
            </w:pPr>
          </w:p>
        </w:tc>
      </w:tr>
      <w:tr w14:paraId="28A9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52" w:type="dxa"/>
            <w:noWrap w:val="0"/>
            <w:vAlign w:val="center"/>
          </w:tcPr>
          <w:p w14:paraId="5ECB70BC">
            <w:pPr>
              <w:topLinePunct/>
              <w:adjustRightInd w:val="0"/>
              <w:snapToGrid w:val="0"/>
              <w:spacing w:line="560" w:lineRule="exact"/>
              <w:jc w:val="center"/>
              <w:rPr>
                <w:color w:val="auto"/>
                <w:szCs w:val="21"/>
                <w:highlight w:val="none"/>
              </w:rPr>
            </w:pPr>
            <w:r>
              <w:rPr>
                <w:color w:val="auto"/>
                <w:szCs w:val="21"/>
                <w:highlight w:val="none"/>
              </w:rPr>
              <w:t>开工日期</w:t>
            </w:r>
          </w:p>
        </w:tc>
        <w:tc>
          <w:tcPr>
            <w:tcW w:w="7408" w:type="dxa"/>
            <w:noWrap w:val="0"/>
            <w:vAlign w:val="top"/>
          </w:tcPr>
          <w:p w14:paraId="20B62DEA">
            <w:pPr>
              <w:topLinePunct/>
              <w:adjustRightInd w:val="0"/>
              <w:snapToGrid w:val="0"/>
              <w:spacing w:line="560" w:lineRule="exact"/>
              <w:rPr>
                <w:color w:val="auto"/>
                <w:szCs w:val="21"/>
                <w:highlight w:val="none"/>
              </w:rPr>
            </w:pPr>
          </w:p>
        </w:tc>
      </w:tr>
      <w:tr w14:paraId="2DE6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452" w:type="dxa"/>
            <w:noWrap w:val="0"/>
            <w:vAlign w:val="center"/>
          </w:tcPr>
          <w:p w14:paraId="50F215C1">
            <w:pPr>
              <w:topLinePunct/>
              <w:adjustRightInd w:val="0"/>
              <w:snapToGrid w:val="0"/>
              <w:spacing w:line="560" w:lineRule="exact"/>
              <w:jc w:val="center"/>
              <w:rPr>
                <w:color w:val="auto"/>
                <w:szCs w:val="21"/>
                <w:highlight w:val="none"/>
              </w:rPr>
            </w:pPr>
            <w:r>
              <w:rPr>
                <w:color w:val="auto"/>
                <w:szCs w:val="21"/>
                <w:highlight w:val="none"/>
              </w:rPr>
              <w:t>计划</w:t>
            </w:r>
            <w:r>
              <w:rPr>
                <w:rFonts w:hint="eastAsia"/>
                <w:color w:val="auto"/>
                <w:highlight w:val="none"/>
              </w:rPr>
              <w:t>竣工</w:t>
            </w:r>
            <w:r>
              <w:rPr>
                <w:color w:val="auto"/>
                <w:szCs w:val="21"/>
                <w:highlight w:val="none"/>
              </w:rPr>
              <w:t>日期</w:t>
            </w:r>
          </w:p>
        </w:tc>
        <w:tc>
          <w:tcPr>
            <w:tcW w:w="7408" w:type="dxa"/>
            <w:noWrap w:val="0"/>
            <w:vAlign w:val="top"/>
          </w:tcPr>
          <w:p w14:paraId="7E1F8CB6">
            <w:pPr>
              <w:topLinePunct/>
              <w:adjustRightInd w:val="0"/>
              <w:snapToGrid w:val="0"/>
              <w:spacing w:line="560" w:lineRule="exact"/>
              <w:rPr>
                <w:color w:val="auto"/>
                <w:szCs w:val="21"/>
                <w:highlight w:val="none"/>
              </w:rPr>
            </w:pPr>
          </w:p>
        </w:tc>
      </w:tr>
      <w:tr w14:paraId="4440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452" w:type="dxa"/>
            <w:noWrap w:val="0"/>
            <w:vAlign w:val="center"/>
          </w:tcPr>
          <w:p w14:paraId="3B7E4482">
            <w:pPr>
              <w:topLinePunct/>
              <w:adjustRightInd w:val="0"/>
              <w:snapToGrid w:val="0"/>
              <w:spacing w:line="560" w:lineRule="exact"/>
              <w:jc w:val="center"/>
              <w:rPr>
                <w:color w:val="auto"/>
                <w:szCs w:val="21"/>
                <w:highlight w:val="none"/>
              </w:rPr>
            </w:pPr>
            <w:r>
              <w:rPr>
                <w:color w:val="auto"/>
                <w:szCs w:val="21"/>
                <w:highlight w:val="none"/>
              </w:rPr>
              <w:t>承担的工作</w:t>
            </w:r>
          </w:p>
        </w:tc>
        <w:tc>
          <w:tcPr>
            <w:tcW w:w="7408" w:type="dxa"/>
            <w:noWrap w:val="0"/>
            <w:vAlign w:val="top"/>
          </w:tcPr>
          <w:p w14:paraId="092F7768">
            <w:pPr>
              <w:topLinePunct/>
              <w:adjustRightInd w:val="0"/>
              <w:snapToGrid w:val="0"/>
              <w:spacing w:line="560" w:lineRule="exact"/>
              <w:rPr>
                <w:color w:val="auto"/>
                <w:szCs w:val="21"/>
                <w:highlight w:val="none"/>
              </w:rPr>
            </w:pPr>
          </w:p>
        </w:tc>
      </w:tr>
      <w:tr w14:paraId="34D5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52" w:type="dxa"/>
            <w:noWrap w:val="0"/>
            <w:vAlign w:val="center"/>
          </w:tcPr>
          <w:p w14:paraId="7DB30584">
            <w:pPr>
              <w:topLinePunct/>
              <w:adjustRightInd w:val="0"/>
              <w:snapToGrid w:val="0"/>
              <w:spacing w:line="560" w:lineRule="exact"/>
              <w:jc w:val="center"/>
              <w:rPr>
                <w:color w:val="auto"/>
                <w:szCs w:val="21"/>
                <w:highlight w:val="none"/>
              </w:rPr>
            </w:pPr>
            <w:r>
              <w:rPr>
                <w:color w:val="auto"/>
                <w:szCs w:val="21"/>
                <w:highlight w:val="none"/>
              </w:rPr>
              <w:t>工程质量</w:t>
            </w:r>
          </w:p>
        </w:tc>
        <w:tc>
          <w:tcPr>
            <w:tcW w:w="7408" w:type="dxa"/>
            <w:noWrap w:val="0"/>
            <w:vAlign w:val="top"/>
          </w:tcPr>
          <w:p w14:paraId="26D2AF35">
            <w:pPr>
              <w:topLinePunct/>
              <w:adjustRightInd w:val="0"/>
              <w:snapToGrid w:val="0"/>
              <w:spacing w:line="560" w:lineRule="exact"/>
              <w:rPr>
                <w:color w:val="auto"/>
                <w:szCs w:val="21"/>
                <w:highlight w:val="none"/>
              </w:rPr>
            </w:pPr>
          </w:p>
        </w:tc>
      </w:tr>
      <w:tr w14:paraId="6D4C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452" w:type="dxa"/>
            <w:noWrap w:val="0"/>
            <w:vAlign w:val="center"/>
          </w:tcPr>
          <w:p w14:paraId="3E4624DA">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7408" w:type="dxa"/>
            <w:noWrap w:val="0"/>
            <w:vAlign w:val="top"/>
          </w:tcPr>
          <w:p w14:paraId="19A57397">
            <w:pPr>
              <w:topLinePunct/>
              <w:adjustRightInd w:val="0"/>
              <w:snapToGrid w:val="0"/>
              <w:spacing w:line="560" w:lineRule="exact"/>
              <w:rPr>
                <w:color w:val="auto"/>
                <w:szCs w:val="21"/>
                <w:highlight w:val="none"/>
              </w:rPr>
            </w:pPr>
          </w:p>
        </w:tc>
      </w:tr>
      <w:tr w14:paraId="05CC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452" w:type="dxa"/>
            <w:noWrap w:val="0"/>
            <w:vAlign w:val="center"/>
          </w:tcPr>
          <w:p w14:paraId="32A2F31C">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7408" w:type="dxa"/>
            <w:noWrap w:val="0"/>
            <w:vAlign w:val="top"/>
          </w:tcPr>
          <w:p w14:paraId="5B1548EC">
            <w:pPr>
              <w:topLinePunct/>
              <w:adjustRightInd w:val="0"/>
              <w:snapToGrid w:val="0"/>
              <w:spacing w:line="560" w:lineRule="exact"/>
              <w:rPr>
                <w:color w:val="auto"/>
                <w:szCs w:val="21"/>
                <w:highlight w:val="none"/>
              </w:rPr>
            </w:pPr>
          </w:p>
        </w:tc>
      </w:tr>
      <w:tr w14:paraId="131D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2452" w:type="dxa"/>
            <w:noWrap w:val="0"/>
            <w:vAlign w:val="center"/>
          </w:tcPr>
          <w:p w14:paraId="252679C0">
            <w:pPr>
              <w:topLinePunct/>
              <w:adjustRightInd w:val="0"/>
              <w:snapToGrid w:val="0"/>
              <w:spacing w:line="560" w:lineRule="exact"/>
              <w:jc w:val="center"/>
              <w:rPr>
                <w:color w:val="auto"/>
                <w:szCs w:val="21"/>
                <w:highlight w:val="none"/>
              </w:rPr>
            </w:pPr>
            <w:r>
              <w:rPr>
                <w:color w:val="auto"/>
                <w:szCs w:val="21"/>
                <w:highlight w:val="none"/>
              </w:rPr>
              <w:t>项目描述</w:t>
            </w:r>
          </w:p>
        </w:tc>
        <w:tc>
          <w:tcPr>
            <w:tcW w:w="7408" w:type="dxa"/>
            <w:noWrap w:val="0"/>
            <w:vAlign w:val="top"/>
          </w:tcPr>
          <w:p w14:paraId="4FFA5CE3">
            <w:pPr>
              <w:topLinePunct/>
              <w:adjustRightInd w:val="0"/>
              <w:snapToGrid w:val="0"/>
              <w:spacing w:line="560" w:lineRule="exact"/>
              <w:rPr>
                <w:color w:val="auto"/>
                <w:szCs w:val="21"/>
                <w:highlight w:val="none"/>
              </w:rPr>
            </w:pPr>
          </w:p>
          <w:p w14:paraId="1247DA9B">
            <w:pPr>
              <w:topLinePunct/>
              <w:adjustRightInd w:val="0"/>
              <w:snapToGrid w:val="0"/>
              <w:spacing w:line="560" w:lineRule="exact"/>
              <w:rPr>
                <w:color w:val="auto"/>
                <w:szCs w:val="21"/>
                <w:highlight w:val="none"/>
              </w:rPr>
            </w:pPr>
          </w:p>
          <w:p w14:paraId="3FCEB57B">
            <w:pPr>
              <w:topLinePunct/>
              <w:adjustRightInd w:val="0"/>
              <w:snapToGrid w:val="0"/>
              <w:spacing w:line="560" w:lineRule="exact"/>
              <w:rPr>
                <w:color w:val="auto"/>
                <w:szCs w:val="21"/>
                <w:highlight w:val="none"/>
              </w:rPr>
            </w:pPr>
          </w:p>
          <w:p w14:paraId="1E8CC4D8">
            <w:pPr>
              <w:topLinePunct/>
              <w:adjustRightInd w:val="0"/>
              <w:snapToGrid w:val="0"/>
              <w:spacing w:line="560" w:lineRule="exact"/>
              <w:rPr>
                <w:color w:val="auto"/>
                <w:szCs w:val="21"/>
                <w:highlight w:val="none"/>
              </w:rPr>
            </w:pPr>
          </w:p>
          <w:p w14:paraId="6B59469E">
            <w:pPr>
              <w:topLinePunct/>
              <w:adjustRightInd w:val="0"/>
              <w:snapToGrid w:val="0"/>
              <w:spacing w:line="560" w:lineRule="exact"/>
              <w:rPr>
                <w:color w:val="auto"/>
                <w:szCs w:val="21"/>
                <w:highlight w:val="none"/>
              </w:rPr>
            </w:pPr>
          </w:p>
          <w:p w14:paraId="2C3C7C00">
            <w:pPr>
              <w:topLinePunct/>
              <w:adjustRightInd w:val="0"/>
              <w:snapToGrid w:val="0"/>
              <w:spacing w:line="560" w:lineRule="exact"/>
              <w:rPr>
                <w:color w:val="auto"/>
                <w:szCs w:val="21"/>
                <w:highlight w:val="none"/>
              </w:rPr>
            </w:pPr>
          </w:p>
          <w:p w14:paraId="5225178D">
            <w:pPr>
              <w:topLinePunct/>
              <w:adjustRightInd w:val="0"/>
              <w:snapToGrid w:val="0"/>
              <w:spacing w:line="560" w:lineRule="exact"/>
              <w:rPr>
                <w:color w:val="auto"/>
                <w:szCs w:val="21"/>
                <w:highlight w:val="none"/>
              </w:rPr>
            </w:pPr>
          </w:p>
        </w:tc>
      </w:tr>
      <w:tr w14:paraId="6DEE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452" w:type="dxa"/>
            <w:noWrap w:val="0"/>
            <w:vAlign w:val="center"/>
          </w:tcPr>
          <w:p w14:paraId="568648F8">
            <w:pPr>
              <w:topLinePunct/>
              <w:adjustRightInd w:val="0"/>
              <w:snapToGrid w:val="0"/>
              <w:spacing w:line="560" w:lineRule="exact"/>
              <w:jc w:val="center"/>
              <w:rPr>
                <w:color w:val="auto"/>
                <w:szCs w:val="21"/>
                <w:highlight w:val="none"/>
              </w:rPr>
            </w:pPr>
            <w:r>
              <w:rPr>
                <w:color w:val="auto"/>
                <w:szCs w:val="21"/>
                <w:highlight w:val="none"/>
              </w:rPr>
              <w:t>备注</w:t>
            </w:r>
          </w:p>
        </w:tc>
        <w:tc>
          <w:tcPr>
            <w:tcW w:w="7408" w:type="dxa"/>
            <w:noWrap w:val="0"/>
            <w:vAlign w:val="top"/>
          </w:tcPr>
          <w:p w14:paraId="5FBD61FE">
            <w:pPr>
              <w:topLinePunct/>
              <w:adjustRightInd w:val="0"/>
              <w:snapToGrid w:val="0"/>
              <w:spacing w:line="560" w:lineRule="exact"/>
              <w:rPr>
                <w:color w:val="auto"/>
                <w:szCs w:val="21"/>
                <w:highlight w:val="none"/>
              </w:rPr>
            </w:pPr>
          </w:p>
        </w:tc>
      </w:tr>
    </w:tbl>
    <w:p w14:paraId="4C173EAA">
      <w:pPr>
        <w:pStyle w:val="5"/>
        <w:adjustRightInd w:val="0"/>
        <w:snapToGrid w:val="0"/>
        <w:spacing w:before="0" w:after="0" w:line="560" w:lineRule="exact"/>
        <w:jc w:val="center"/>
        <w:rPr>
          <w:rFonts w:hint="eastAsia"/>
          <w:color w:val="auto"/>
          <w:highlight w:val="none"/>
        </w:rPr>
      </w:pPr>
      <w:bookmarkStart w:id="1572" w:name="_Toc95223537"/>
      <w:r>
        <w:rPr>
          <w:rFonts w:hint="eastAsia"/>
          <w:color w:val="auto"/>
          <w:highlight w:val="none"/>
        </w:rPr>
        <w:t>（5）联合体协议书（如有）</w:t>
      </w:r>
      <w:bookmarkEnd w:id="1572"/>
    </w:p>
    <w:p w14:paraId="4D3F498B">
      <w:pPr>
        <w:adjustRightInd w:val="0"/>
        <w:snapToGrid w:val="0"/>
        <w:spacing w:line="520" w:lineRule="exact"/>
        <w:ind w:firstLine="422" w:firstLineChars="200"/>
        <w:jc w:val="left"/>
        <w:rPr>
          <w:rFonts w:hint="eastAsia" w:ascii="宋体" w:hAnsi="宋体"/>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rPr>
        <w:t>（所有成员单位名</w:t>
      </w:r>
      <w:bookmarkStart w:id="1573" w:name="_Toc506107345"/>
      <w:bookmarkStart w:id="1574" w:name="_Toc15058939"/>
      <w:bookmarkStart w:id="1575" w:name="_Toc58229120"/>
      <w:bookmarkStart w:id="1576" w:name="_Toc60061579"/>
      <w:bookmarkStart w:id="1577" w:name="_Toc152042592"/>
      <w:bookmarkStart w:id="1578" w:name="_Toc152045803"/>
      <w:bookmarkStart w:id="1579" w:name="_Toc144974871"/>
      <w:bookmarkStart w:id="1580" w:name="_Toc179632823"/>
      <w:r>
        <w:rPr>
          <w:rFonts w:hint="eastAsia" w:ascii="宋体" w:hAnsi="宋体"/>
          <w:color w:val="auto"/>
          <w:szCs w:val="21"/>
          <w:highlight w:val="none"/>
        </w:rPr>
        <w:t xml:space="preserve">称）自愿组成 </w:t>
      </w:r>
      <w:r>
        <w:rPr>
          <w:rFonts w:hint="eastAsia" w:ascii="宋体" w:hAnsi="宋体"/>
          <w:color w:val="auto"/>
          <w:szCs w:val="21"/>
          <w:highlight w:val="none"/>
          <w:u w:val="single"/>
        </w:rPr>
        <w:t xml:space="preserve">  </w:t>
      </w:r>
      <w:bookmarkEnd w:id="1573"/>
      <w:r>
        <w:rPr>
          <w:rFonts w:hint="eastAsia" w:ascii="宋体" w:hAnsi="宋体"/>
          <w:color w:val="auto"/>
          <w:szCs w:val="21"/>
          <w:highlight w:val="none"/>
          <w:u w:val="single"/>
        </w:rPr>
        <w:t xml:space="preserve">    </w:t>
      </w:r>
      <w:bookmarkEnd w:id="1574"/>
      <w:bookmarkEnd w:id="1575"/>
      <w:bookmarkEnd w:id="1576"/>
      <w:r>
        <w:rPr>
          <w:rFonts w:hint="eastAsia" w:ascii="宋体" w:hAnsi="宋体"/>
          <w:color w:val="auto"/>
          <w:szCs w:val="21"/>
          <w:highlight w:val="none"/>
          <w:u w:val="single"/>
        </w:rPr>
        <w:t xml:space="preserve">   </w:t>
      </w:r>
      <w:r>
        <w:rPr>
          <w:rFonts w:hint="eastAsia" w:ascii="宋体" w:hAnsi="宋体"/>
          <w:color w:val="auto"/>
          <w:szCs w:val="21"/>
          <w:highlight w:val="none"/>
        </w:rPr>
        <w:t>（联合体名称）联合体，共同参加</w:t>
      </w:r>
      <w:r>
        <w:rPr>
          <w:rFonts w:hint="eastAsia" w:ascii="宋体" w:hAnsi="宋体"/>
          <w:b/>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标段施工投标。现就联合体投标事宜订立如下协议：</w:t>
      </w:r>
    </w:p>
    <w:p w14:paraId="6D913E84">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14:paraId="438F68FE">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议工作。</w:t>
      </w:r>
    </w:p>
    <w:p w14:paraId="0CEDE712">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3.联合体将严格按照招标文件的各项要求，递交投标文件，履行合同，并对外承担连带责任。</w:t>
      </w:r>
    </w:p>
    <w:p w14:paraId="1DB18453">
      <w:pP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4.联合体各成员单位内部的职责分工如下：</w:t>
      </w:r>
      <w:r>
        <w:rPr>
          <w:rFonts w:hint="eastAsia" w:ascii="宋体" w:hAnsi="宋体"/>
          <w:color w:val="auto"/>
          <w:szCs w:val="21"/>
          <w:highlight w:val="none"/>
          <w:u w:val="single"/>
        </w:rPr>
        <w:t xml:space="preserve">  </w:t>
      </w:r>
    </w:p>
    <w:p w14:paraId="46C37F8E">
      <w:pPr>
        <w:pStyle w:val="41"/>
        <w:snapToGrid w:val="0"/>
        <w:spacing w:line="520" w:lineRule="exact"/>
        <w:ind w:firstLine="525" w:firstLineChars="250"/>
        <w:rPr>
          <w:rFonts w:cs="Times New Roman"/>
          <w:color w:val="auto"/>
          <w:sz w:val="21"/>
          <w:szCs w:val="21"/>
          <w:highlight w:val="none"/>
        </w:rPr>
      </w:pPr>
      <w:r>
        <w:rPr>
          <w:rFonts w:cs="Times New Roman"/>
          <w:color w:val="auto"/>
          <w:sz w:val="21"/>
          <w:szCs w:val="21"/>
          <w:highlight w:val="none"/>
        </w:rPr>
        <w:t>牵头人</w:t>
      </w:r>
      <w:r>
        <w:rPr>
          <w:rFonts w:hint="eastAsia" w:cs="Times New Roman"/>
          <w:color w:val="auto"/>
          <w:sz w:val="21"/>
          <w:szCs w:val="21"/>
          <w:highlight w:val="none"/>
        </w:rPr>
        <w:t>（成员一）</w:t>
      </w:r>
      <w:r>
        <w:rPr>
          <w:rFonts w:cs="Times New Roman"/>
          <w:color w:val="auto"/>
          <w:sz w:val="21"/>
          <w:szCs w:val="21"/>
          <w:highlight w:val="none"/>
        </w:rPr>
        <w:t>名称</w:t>
      </w:r>
      <w:r>
        <w:rPr>
          <w:rFonts w:cs="Times New Roman"/>
          <w:color w:val="auto"/>
          <w:sz w:val="21"/>
          <w:szCs w:val="21"/>
          <w:highlight w:val="none"/>
          <w:u w:val="single"/>
        </w:rPr>
        <w:t>：</w:t>
      </w:r>
      <w:r>
        <w:rPr>
          <w:rFonts w:hint="eastAsia" w:cs="Times New Roman"/>
          <w:color w:val="auto"/>
          <w:sz w:val="21"/>
          <w:szCs w:val="21"/>
          <w:highlight w:val="none"/>
          <w:u w:val="single"/>
        </w:rPr>
        <w:t xml:space="preserve">           </w:t>
      </w:r>
      <w:r>
        <w:rPr>
          <w:rFonts w:cs="Times New Roman"/>
          <w:color w:val="auto"/>
          <w:sz w:val="21"/>
          <w:szCs w:val="21"/>
          <w:highlight w:val="none"/>
          <w:u w:val="single"/>
        </w:rPr>
        <w:t xml:space="preserve"> </w:t>
      </w:r>
      <w:r>
        <w:rPr>
          <w:rFonts w:cs="Times New Roman"/>
          <w:color w:val="auto"/>
          <w:sz w:val="21"/>
          <w:szCs w:val="21"/>
          <w:highlight w:val="none"/>
        </w:rPr>
        <w:t>，具有</w:t>
      </w:r>
      <w:r>
        <w:rPr>
          <w:rFonts w:cs="Times New Roman"/>
          <w:color w:val="auto"/>
          <w:sz w:val="21"/>
          <w:szCs w:val="21"/>
          <w:highlight w:val="none"/>
          <w:u w:val="single"/>
        </w:rPr>
        <w:t xml:space="preserve"> </w:t>
      </w:r>
      <w:r>
        <w:rPr>
          <w:rFonts w:hint="eastAsia" w:cs="Times New Roman"/>
          <w:color w:val="auto"/>
          <w:sz w:val="21"/>
          <w:szCs w:val="21"/>
          <w:highlight w:val="none"/>
          <w:u w:val="single"/>
        </w:rPr>
        <w:t xml:space="preserve">           </w:t>
      </w:r>
      <w:r>
        <w:rPr>
          <w:rFonts w:cs="Times New Roman"/>
          <w:color w:val="auto"/>
          <w:sz w:val="21"/>
          <w:szCs w:val="21"/>
          <w:highlight w:val="none"/>
          <w:u w:val="single"/>
        </w:rPr>
        <w:t>资</w:t>
      </w:r>
      <w:r>
        <w:rPr>
          <w:rFonts w:cs="Times New Roman"/>
          <w:color w:val="auto"/>
          <w:sz w:val="21"/>
          <w:szCs w:val="21"/>
          <w:highlight w:val="none"/>
        </w:rPr>
        <w:t>格，</w:t>
      </w:r>
      <w:r>
        <w:rPr>
          <w:rFonts w:hint="eastAsia" w:cs="Times New Roman"/>
          <w:color w:val="auto"/>
          <w:sz w:val="21"/>
          <w:szCs w:val="21"/>
          <w:highlight w:val="none"/>
        </w:rPr>
        <w:t>负责</w:t>
      </w:r>
      <w:r>
        <w:rPr>
          <w:rFonts w:cs="Times New Roman"/>
          <w:color w:val="auto"/>
          <w:sz w:val="21"/>
          <w:szCs w:val="21"/>
          <w:highlight w:val="none"/>
        </w:rPr>
        <w:t>承担</w:t>
      </w:r>
      <w:r>
        <w:rPr>
          <w:rFonts w:cs="Times New Roman"/>
          <w:color w:val="auto"/>
          <w:sz w:val="21"/>
          <w:szCs w:val="21"/>
          <w:highlight w:val="none"/>
          <w:u w:val="single"/>
        </w:rPr>
        <w:t xml:space="preserve"> </w:t>
      </w:r>
      <w:r>
        <w:rPr>
          <w:rFonts w:hint="eastAsia" w:cs="Times New Roman"/>
          <w:color w:val="auto"/>
          <w:sz w:val="21"/>
          <w:szCs w:val="21"/>
          <w:highlight w:val="none"/>
          <w:u w:val="single"/>
        </w:rPr>
        <w:t xml:space="preserve">       部分</w:t>
      </w:r>
      <w:r>
        <w:rPr>
          <w:rFonts w:cs="Times New Roman"/>
          <w:color w:val="auto"/>
          <w:sz w:val="21"/>
          <w:szCs w:val="21"/>
          <w:highlight w:val="none"/>
        </w:rPr>
        <w:t>专业工程</w:t>
      </w:r>
      <w:r>
        <w:rPr>
          <w:rFonts w:hint="eastAsia" w:cs="Times New Roman"/>
          <w:color w:val="auto"/>
          <w:sz w:val="21"/>
          <w:szCs w:val="21"/>
          <w:highlight w:val="none"/>
        </w:rPr>
        <w:t>施工</w:t>
      </w:r>
      <w:r>
        <w:rPr>
          <w:rFonts w:hint="eastAsia" w:cs="Times New Roman"/>
          <w:color w:val="auto"/>
          <w:sz w:val="21"/>
          <w:szCs w:val="21"/>
          <w:highlight w:val="none"/>
          <w:u w:val="single"/>
        </w:rPr>
        <w:t>，</w:t>
      </w:r>
      <w:r>
        <w:rPr>
          <w:rFonts w:hint="eastAsia" w:cs="Times New Roman"/>
          <w:color w:val="auto"/>
          <w:sz w:val="21"/>
          <w:szCs w:val="21"/>
          <w:highlight w:val="none"/>
        </w:rPr>
        <w:t>负责内容的合同金额占总合同金额的百分比</w:t>
      </w:r>
      <w:r>
        <w:rPr>
          <w:rFonts w:hint="eastAsia" w:cs="Times New Roman"/>
          <w:color w:val="auto"/>
          <w:sz w:val="21"/>
          <w:szCs w:val="21"/>
          <w:highlight w:val="none"/>
          <w:u w:val="single"/>
        </w:rPr>
        <w:t xml:space="preserve">      </w:t>
      </w:r>
      <w:r>
        <w:rPr>
          <w:rFonts w:hint="eastAsia"/>
          <w:color w:val="auto"/>
          <w:szCs w:val="21"/>
          <w:highlight w:val="none"/>
        </w:rPr>
        <w:t>%</w:t>
      </w:r>
      <w:r>
        <w:rPr>
          <w:color w:val="auto"/>
          <w:szCs w:val="21"/>
          <w:highlight w:val="none"/>
        </w:rPr>
        <w:t>；</w:t>
      </w:r>
      <w:r>
        <w:rPr>
          <w:rFonts w:cs="Times New Roman"/>
          <w:color w:val="auto"/>
          <w:sz w:val="21"/>
          <w:szCs w:val="21"/>
          <w:highlight w:val="none"/>
        </w:rPr>
        <w:t xml:space="preserve"> </w:t>
      </w:r>
    </w:p>
    <w:p w14:paraId="76B72920">
      <w:pPr>
        <w:adjustRightInd w:val="0"/>
        <w:snapToGrid w:val="0"/>
        <w:spacing w:line="520" w:lineRule="exact"/>
        <w:ind w:firstLine="630" w:firstLineChars="300"/>
        <w:rPr>
          <w:rFonts w:hint="eastAsia"/>
          <w:color w:val="auto"/>
          <w:szCs w:val="21"/>
          <w:highlight w:val="none"/>
        </w:rPr>
      </w:pPr>
      <w:r>
        <w:rPr>
          <w:color w:val="auto"/>
          <w:szCs w:val="21"/>
          <w:highlight w:val="none"/>
        </w:rPr>
        <w:t>成员</w:t>
      </w:r>
      <w:r>
        <w:rPr>
          <w:rFonts w:hint="eastAsia"/>
          <w:color w:val="auto"/>
          <w:szCs w:val="21"/>
          <w:highlight w:val="none"/>
        </w:rPr>
        <w:t>二</w:t>
      </w:r>
      <w:r>
        <w:rPr>
          <w:color w:val="auto"/>
          <w:szCs w:val="21"/>
          <w:highlight w:val="none"/>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，具有</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资</w:t>
      </w:r>
      <w:r>
        <w:rPr>
          <w:color w:val="auto"/>
          <w:szCs w:val="21"/>
          <w:highlight w:val="none"/>
        </w:rPr>
        <w:t>格，</w:t>
      </w:r>
      <w:r>
        <w:rPr>
          <w:rFonts w:hint="eastAsia"/>
          <w:color w:val="auto"/>
          <w:szCs w:val="21"/>
          <w:highlight w:val="none"/>
        </w:rPr>
        <w:t>负责</w:t>
      </w:r>
      <w:r>
        <w:rPr>
          <w:color w:val="auto"/>
          <w:szCs w:val="21"/>
          <w:highlight w:val="none"/>
        </w:rPr>
        <w:t>承</w:t>
      </w:r>
      <w:r>
        <w:rPr>
          <w:color w:val="auto"/>
          <w:szCs w:val="21"/>
          <w:highlight w:val="none"/>
          <w:u w:val="single"/>
        </w:rPr>
        <w:t xml:space="preserve">担 </w:t>
      </w:r>
      <w:r>
        <w:rPr>
          <w:rFonts w:hint="eastAsia"/>
          <w:color w:val="auto"/>
          <w:szCs w:val="21"/>
          <w:highlight w:val="none"/>
          <w:u w:val="single"/>
        </w:rPr>
        <w:t xml:space="preserve">          部分</w:t>
      </w:r>
      <w:r>
        <w:rPr>
          <w:color w:val="auto"/>
          <w:szCs w:val="21"/>
          <w:highlight w:val="none"/>
          <w:u w:val="single"/>
        </w:rPr>
        <w:t>专业</w:t>
      </w:r>
      <w:r>
        <w:rPr>
          <w:color w:val="auto"/>
          <w:szCs w:val="21"/>
          <w:highlight w:val="none"/>
        </w:rPr>
        <w:t>工程</w:t>
      </w:r>
      <w:r>
        <w:rPr>
          <w:rFonts w:hint="eastAsia"/>
          <w:color w:val="auto"/>
          <w:szCs w:val="21"/>
          <w:highlight w:val="none"/>
        </w:rPr>
        <w:t>施工，负责内容的合同金额占总合同金额的百分比</w:t>
      </w:r>
      <w:r>
        <w:rPr>
          <w:rFonts w:hint="eastAsia"/>
          <w:color w:val="auto"/>
          <w:szCs w:val="21"/>
          <w:highlight w:val="none"/>
          <w:u w:val="single"/>
        </w:rPr>
        <w:t xml:space="preserve">    </w:t>
      </w:r>
      <w:r>
        <w:rPr>
          <w:rFonts w:hint="eastAsia"/>
          <w:color w:val="auto"/>
          <w:szCs w:val="21"/>
          <w:highlight w:val="none"/>
        </w:rPr>
        <w:t>%</w:t>
      </w:r>
      <w:r>
        <w:rPr>
          <w:color w:val="auto"/>
          <w:szCs w:val="21"/>
          <w:highlight w:val="none"/>
        </w:rPr>
        <w:t>；</w:t>
      </w:r>
    </w:p>
    <w:p w14:paraId="4DC7BBF5">
      <w:pPr>
        <w:adjustRightInd w:val="0"/>
        <w:snapToGrid w:val="0"/>
        <w:spacing w:line="52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 xml:space="preserve">                    </w:t>
      </w:r>
    </w:p>
    <w:p w14:paraId="68D5292F">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5.本协议书自签署之日起生效，合同履行完毕后自动失效。</w:t>
      </w:r>
    </w:p>
    <w:p w14:paraId="44227F98">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6.联合体中标后，本联合体协议是合同的附件，对联合体各成员单位有合同约束力。</w:t>
      </w:r>
    </w:p>
    <w:p w14:paraId="36D9D314">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2F8D3E23">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注：本协议由委托代理人签字的，应附法定代表人签字的授权委托书。</w:t>
      </w:r>
    </w:p>
    <w:p w14:paraId="306649BD">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牵头人（成员一）名称：</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695E05E2">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27AE639">
      <w:pPr>
        <w:adjustRightInd w:val="0"/>
        <w:snapToGrid w:val="0"/>
        <w:spacing w:line="520" w:lineRule="exact"/>
        <w:ind w:firstLine="420" w:firstLineChars="200"/>
        <w:rPr>
          <w:rFonts w:hint="eastAsia" w:ascii="宋体" w:hAnsi="宋体"/>
          <w:color w:val="auto"/>
          <w:szCs w:val="21"/>
          <w:highlight w:val="none"/>
        </w:rPr>
      </w:pPr>
    </w:p>
    <w:p w14:paraId="16C68E85">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0EAC5299">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5E46431C">
      <w:pPr>
        <w:adjustRightInd w:val="0"/>
        <w:snapToGrid w:val="0"/>
        <w:spacing w:line="520" w:lineRule="exact"/>
        <w:ind w:firstLine="420" w:firstLineChars="200"/>
        <w:rPr>
          <w:rFonts w:hint="eastAsia" w:ascii="宋体" w:hAnsi="宋体"/>
          <w:color w:val="auto"/>
          <w:szCs w:val="21"/>
          <w:highlight w:val="none"/>
        </w:rPr>
      </w:pPr>
    </w:p>
    <w:p w14:paraId="56C04017">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成员三名称：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（签章）</w:t>
      </w:r>
    </w:p>
    <w:p w14:paraId="4A3BBB0C">
      <w:pPr>
        <w:adjustRightInd w:val="0"/>
        <w:snapToGrid w:val="0"/>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法定代表人：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32C85DC">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p>
    <w:p w14:paraId="7479C608">
      <w:pPr>
        <w:adjustRightInd w:val="0"/>
        <w:snapToGrid w:val="0"/>
        <w:spacing w:line="560" w:lineRule="exact"/>
        <w:ind w:firstLine="5775" w:firstLineChars="275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18D699D0">
      <w:pPr>
        <w:pStyle w:val="19"/>
        <w:ind w:left="0" w:leftChars="0" w:firstLine="0" w:firstLineChars="0"/>
        <w:rPr>
          <w:rFonts w:hint="eastAsia"/>
          <w:color w:val="auto"/>
          <w:highlight w:val="none"/>
        </w:rPr>
      </w:pPr>
    </w:p>
    <w:bookmarkEnd w:id="1577"/>
    <w:bookmarkEnd w:id="1578"/>
    <w:bookmarkEnd w:id="1579"/>
    <w:bookmarkEnd w:id="1580"/>
    <w:p w14:paraId="171EEC91">
      <w:pPr>
        <w:pStyle w:val="5"/>
        <w:adjustRightInd w:val="0"/>
        <w:snapToGrid w:val="0"/>
        <w:spacing w:before="0" w:after="0" w:line="560" w:lineRule="exact"/>
        <w:jc w:val="center"/>
        <w:rPr>
          <w:color w:val="auto"/>
          <w:highlight w:val="none"/>
        </w:rPr>
      </w:pPr>
      <w:bookmarkStart w:id="1581" w:name="_Toc95223538"/>
      <w:r>
        <w:rPr>
          <w:rFonts w:hint="eastAsia"/>
          <w:color w:val="auto"/>
          <w:highlight w:val="none"/>
        </w:rPr>
        <w:t>（6）</w:t>
      </w:r>
      <w:r>
        <w:rPr>
          <w:color w:val="auto"/>
          <w:highlight w:val="none"/>
        </w:rPr>
        <w:t>项目管理机构</w:t>
      </w:r>
    </w:p>
    <w:p w14:paraId="573CF676">
      <w:pPr>
        <w:pStyle w:val="6"/>
        <w:jc w:val="center"/>
        <w:rPr>
          <w:color w:val="auto"/>
          <w:highlight w:val="none"/>
        </w:rPr>
      </w:pPr>
      <w:r>
        <w:rPr>
          <w:rFonts w:hint="eastAsia"/>
          <w:color w:val="auto"/>
          <w:highlight w:val="none"/>
        </w:rPr>
        <w:t>附表1：</w:t>
      </w:r>
      <w:r>
        <w:rPr>
          <w:color w:val="auto"/>
          <w:highlight w:val="none"/>
        </w:rPr>
        <w:t>项目管理机构</w:t>
      </w:r>
      <w:r>
        <w:rPr>
          <w:rFonts w:hint="eastAsia"/>
          <w:color w:val="auto"/>
          <w:highlight w:val="none"/>
        </w:rPr>
        <w:t>主要人员</w:t>
      </w:r>
      <w:r>
        <w:rPr>
          <w:color w:val="auto"/>
          <w:highlight w:val="none"/>
        </w:rPr>
        <w:t>组成表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1E2C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restart"/>
            <w:noWrap w:val="0"/>
            <w:vAlign w:val="center"/>
          </w:tcPr>
          <w:p w14:paraId="6D448F73">
            <w:pPr>
              <w:adjustRightInd w:val="0"/>
              <w:snapToGrid w:val="0"/>
              <w:spacing w:line="560" w:lineRule="exact"/>
              <w:jc w:val="center"/>
              <w:rPr>
                <w:color w:val="auto"/>
                <w:szCs w:val="21"/>
                <w:highlight w:val="none"/>
              </w:rPr>
            </w:pPr>
            <w:r>
              <w:rPr>
                <w:color w:val="auto"/>
                <w:szCs w:val="21"/>
                <w:highlight w:val="none"/>
              </w:rPr>
              <w:t>职务</w:t>
            </w:r>
          </w:p>
        </w:tc>
        <w:tc>
          <w:tcPr>
            <w:tcW w:w="814" w:type="dxa"/>
            <w:vMerge w:val="restart"/>
            <w:noWrap w:val="0"/>
            <w:vAlign w:val="center"/>
          </w:tcPr>
          <w:p w14:paraId="37A2D53A">
            <w:pPr>
              <w:adjustRightInd w:val="0"/>
              <w:snapToGrid w:val="0"/>
              <w:spacing w:line="560" w:lineRule="exact"/>
              <w:jc w:val="center"/>
              <w:rPr>
                <w:color w:val="auto"/>
                <w:szCs w:val="21"/>
                <w:highlight w:val="none"/>
              </w:rPr>
            </w:pPr>
            <w:r>
              <w:rPr>
                <w:color w:val="auto"/>
                <w:szCs w:val="21"/>
                <w:highlight w:val="none"/>
              </w:rPr>
              <w:t>姓名</w:t>
            </w:r>
          </w:p>
        </w:tc>
        <w:tc>
          <w:tcPr>
            <w:tcW w:w="812" w:type="dxa"/>
            <w:vMerge w:val="restart"/>
            <w:noWrap w:val="0"/>
            <w:vAlign w:val="center"/>
          </w:tcPr>
          <w:p w14:paraId="25414583">
            <w:pPr>
              <w:adjustRightInd w:val="0"/>
              <w:snapToGrid w:val="0"/>
              <w:spacing w:line="560" w:lineRule="exact"/>
              <w:jc w:val="center"/>
              <w:rPr>
                <w:color w:val="auto"/>
                <w:szCs w:val="21"/>
                <w:highlight w:val="none"/>
              </w:rPr>
            </w:pPr>
            <w:r>
              <w:rPr>
                <w:color w:val="auto"/>
                <w:szCs w:val="21"/>
                <w:highlight w:val="none"/>
              </w:rPr>
              <w:t>职称</w:t>
            </w:r>
          </w:p>
        </w:tc>
        <w:tc>
          <w:tcPr>
            <w:tcW w:w="6505" w:type="dxa"/>
            <w:gridSpan w:val="5"/>
            <w:noWrap w:val="0"/>
            <w:vAlign w:val="center"/>
          </w:tcPr>
          <w:p w14:paraId="15220769">
            <w:pPr>
              <w:adjustRightInd w:val="0"/>
              <w:snapToGrid w:val="0"/>
              <w:spacing w:line="560" w:lineRule="exact"/>
              <w:jc w:val="center"/>
              <w:rPr>
                <w:color w:val="auto"/>
                <w:szCs w:val="21"/>
                <w:highlight w:val="none"/>
              </w:rPr>
            </w:pPr>
            <w:r>
              <w:rPr>
                <w:color w:val="auto"/>
                <w:szCs w:val="21"/>
                <w:highlight w:val="none"/>
              </w:rPr>
              <w:t>执业或职业资格证明</w:t>
            </w:r>
          </w:p>
        </w:tc>
        <w:tc>
          <w:tcPr>
            <w:tcW w:w="759" w:type="dxa"/>
            <w:noWrap w:val="0"/>
            <w:vAlign w:val="center"/>
          </w:tcPr>
          <w:p w14:paraId="11174FCE">
            <w:pPr>
              <w:adjustRightInd w:val="0"/>
              <w:snapToGrid w:val="0"/>
              <w:spacing w:line="560" w:lineRule="exact"/>
              <w:jc w:val="center"/>
              <w:rPr>
                <w:color w:val="auto"/>
                <w:szCs w:val="21"/>
                <w:highlight w:val="none"/>
              </w:rPr>
            </w:pPr>
            <w:r>
              <w:rPr>
                <w:color w:val="auto"/>
                <w:szCs w:val="21"/>
                <w:highlight w:val="none"/>
              </w:rPr>
              <w:t>备注</w:t>
            </w:r>
          </w:p>
        </w:tc>
      </w:tr>
      <w:tr w14:paraId="63C2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noWrap w:val="0"/>
            <w:vAlign w:val="center"/>
          </w:tcPr>
          <w:p w14:paraId="3A4F48EB">
            <w:pPr>
              <w:adjustRightInd w:val="0"/>
              <w:snapToGrid w:val="0"/>
              <w:spacing w:line="560" w:lineRule="exact"/>
              <w:jc w:val="center"/>
              <w:rPr>
                <w:color w:val="auto"/>
                <w:szCs w:val="21"/>
                <w:highlight w:val="none"/>
              </w:rPr>
            </w:pPr>
          </w:p>
        </w:tc>
        <w:tc>
          <w:tcPr>
            <w:tcW w:w="814" w:type="dxa"/>
            <w:vMerge w:val="continue"/>
            <w:noWrap w:val="0"/>
            <w:vAlign w:val="center"/>
          </w:tcPr>
          <w:p w14:paraId="3BFB46E3">
            <w:pPr>
              <w:adjustRightInd w:val="0"/>
              <w:snapToGrid w:val="0"/>
              <w:spacing w:line="560" w:lineRule="exact"/>
              <w:jc w:val="center"/>
              <w:rPr>
                <w:color w:val="auto"/>
                <w:szCs w:val="21"/>
                <w:highlight w:val="none"/>
              </w:rPr>
            </w:pPr>
          </w:p>
        </w:tc>
        <w:tc>
          <w:tcPr>
            <w:tcW w:w="812" w:type="dxa"/>
            <w:vMerge w:val="continue"/>
            <w:noWrap w:val="0"/>
            <w:vAlign w:val="center"/>
          </w:tcPr>
          <w:p w14:paraId="1C71E514">
            <w:pPr>
              <w:adjustRightInd w:val="0"/>
              <w:snapToGrid w:val="0"/>
              <w:spacing w:line="560" w:lineRule="exact"/>
              <w:jc w:val="center"/>
              <w:rPr>
                <w:color w:val="auto"/>
                <w:szCs w:val="21"/>
                <w:highlight w:val="none"/>
              </w:rPr>
            </w:pPr>
          </w:p>
        </w:tc>
        <w:tc>
          <w:tcPr>
            <w:tcW w:w="1220" w:type="dxa"/>
            <w:noWrap w:val="0"/>
            <w:vAlign w:val="center"/>
          </w:tcPr>
          <w:p w14:paraId="2F37B2C9">
            <w:pPr>
              <w:adjustRightInd w:val="0"/>
              <w:snapToGrid w:val="0"/>
              <w:spacing w:line="560" w:lineRule="exact"/>
              <w:jc w:val="center"/>
              <w:rPr>
                <w:color w:val="auto"/>
                <w:szCs w:val="21"/>
                <w:highlight w:val="none"/>
              </w:rPr>
            </w:pPr>
            <w:r>
              <w:rPr>
                <w:color w:val="auto"/>
                <w:szCs w:val="21"/>
                <w:highlight w:val="none"/>
              </w:rPr>
              <w:t>证书名称</w:t>
            </w:r>
          </w:p>
        </w:tc>
        <w:tc>
          <w:tcPr>
            <w:tcW w:w="812" w:type="dxa"/>
            <w:noWrap w:val="0"/>
            <w:vAlign w:val="center"/>
          </w:tcPr>
          <w:p w14:paraId="130BA8E7">
            <w:pPr>
              <w:adjustRightInd w:val="0"/>
              <w:snapToGrid w:val="0"/>
              <w:spacing w:line="560" w:lineRule="exact"/>
              <w:jc w:val="center"/>
              <w:rPr>
                <w:color w:val="auto"/>
                <w:szCs w:val="21"/>
                <w:highlight w:val="none"/>
              </w:rPr>
            </w:pPr>
            <w:r>
              <w:rPr>
                <w:color w:val="auto"/>
                <w:szCs w:val="21"/>
                <w:highlight w:val="none"/>
              </w:rPr>
              <w:t>级别</w:t>
            </w:r>
          </w:p>
        </w:tc>
        <w:tc>
          <w:tcPr>
            <w:tcW w:w="814" w:type="dxa"/>
            <w:noWrap w:val="0"/>
            <w:vAlign w:val="center"/>
          </w:tcPr>
          <w:p w14:paraId="017FE5A7">
            <w:pPr>
              <w:adjustRightInd w:val="0"/>
              <w:snapToGrid w:val="0"/>
              <w:spacing w:line="560" w:lineRule="exact"/>
              <w:jc w:val="center"/>
              <w:rPr>
                <w:color w:val="auto"/>
                <w:szCs w:val="21"/>
                <w:highlight w:val="none"/>
              </w:rPr>
            </w:pPr>
            <w:r>
              <w:rPr>
                <w:color w:val="auto"/>
                <w:szCs w:val="21"/>
                <w:highlight w:val="none"/>
              </w:rPr>
              <w:t>证号</w:t>
            </w:r>
          </w:p>
        </w:tc>
        <w:tc>
          <w:tcPr>
            <w:tcW w:w="811" w:type="dxa"/>
            <w:noWrap w:val="0"/>
            <w:vAlign w:val="center"/>
          </w:tcPr>
          <w:p w14:paraId="34AC0161">
            <w:pPr>
              <w:adjustRightInd w:val="0"/>
              <w:snapToGrid w:val="0"/>
              <w:spacing w:line="560" w:lineRule="exact"/>
              <w:jc w:val="center"/>
              <w:rPr>
                <w:color w:val="auto"/>
                <w:szCs w:val="21"/>
                <w:highlight w:val="none"/>
              </w:rPr>
            </w:pPr>
            <w:r>
              <w:rPr>
                <w:color w:val="auto"/>
                <w:szCs w:val="21"/>
                <w:highlight w:val="none"/>
              </w:rPr>
              <w:t>专业</w:t>
            </w:r>
          </w:p>
        </w:tc>
        <w:tc>
          <w:tcPr>
            <w:tcW w:w="2848" w:type="dxa"/>
            <w:noWrap w:val="0"/>
            <w:vAlign w:val="center"/>
          </w:tcPr>
          <w:p w14:paraId="716D39AB">
            <w:pPr>
              <w:adjustRightInd w:val="0"/>
              <w:snapToGrid w:val="0"/>
              <w:spacing w:line="560" w:lineRule="exact"/>
              <w:jc w:val="center"/>
              <w:rPr>
                <w:color w:val="auto"/>
                <w:szCs w:val="21"/>
                <w:highlight w:val="none"/>
              </w:rPr>
            </w:pPr>
            <w:r>
              <w:rPr>
                <w:color w:val="auto"/>
                <w:szCs w:val="21"/>
                <w:highlight w:val="none"/>
              </w:rPr>
              <w:t>养老保险</w:t>
            </w:r>
          </w:p>
        </w:tc>
        <w:tc>
          <w:tcPr>
            <w:tcW w:w="759" w:type="dxa"/>
            <w:noWrap w:val="0"/>
            <w:vAlign w:val="center"/>
          </w:tcPr>
          <w:p w14:paraId="3A379804">
            <w:pPr>
              <w:adjustRightInd w:val="0"/>
              <w:snapToGrid w:val="0"/>
              <w:spacing w:line="560" w:lineRule="exact"/>
              <w:jc w:val="center"/>
              <w:rPr>
                <w:color w:val="auto"/>
                <w:szCs w:val="21"/>
                <w:highlight w:val="none"/>
              </w:rPr>
            </w:pPr>
          </w:p>
        </w:tc>
      </w:tr>
      <w:tr w14:paraId="1869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center"/>
          </w:tcPr>
          <w:p w14:paraId="74F34D36">
            <w:pPr>
              <w:adjustRightInd w:val="0"/>
              <w:snapToGrid w:val="0"/>
              <w:spacing w:line="560" w:lineRule="exact"/>
              <w:jc w:val="center"/>
              <w:rPr>
                <w:color w:val="auto"/>
                <w:szCs w:val="21"/>
                <w:highlight w:val="none"/>
              </w:rPr>
            </w:pPr>
            <w:r>
              <w:rPr>
                <w:rFonts w:hint="eastAsia"/>
                <w:color w:val="auto"/>
                <w:szCs w:val="21"/>
                <w:highlight w:val="none"/>
              </w:rPr>
              <w:t>项目经理（建造师）</w:t>
            </w:r>
          </w:p>
        </w:tc>
        <w:tc>
          <w:tcPr>
            <w:tcW w:w="814" w:type="dxa"/>
            <w:noWrap w:val="0"/>
            <w:vAlign w:val="center"/>
          </w:tcPr>
          <w:p w14:paraId="5EEFA71A">
            <w:pPr>
              <w:adjustRightInd w:val="0"/>
              <w:snapToGrid w:val="0"/>
              <w:spacing w:line="560" w:lineRule="exact"/>
              <w:jc w:val="center"/>
              <w:rPr>
                <w:color w:val="auto"/>
                <w:szCs w:val="21"/>
                <w:highlight w:val="none"/>
              </w:rPr>
            </w:pPr>
          </w:p>
        </w:tc>
        <w:tc>
          <w:tcPr>
            <w:tcW w:w="812" w:type="dxa"/>
            <w:noWrap w:val="0"/>
            <w:vAlign w:val="center"/>
          </w:tcPr>
          <w:p w14:paraId="4B40ACF5">
            <w:pPr>
              <w:adjustRightInd w:val="0"/>
              <w:snapToGrid w:val="0"/>
              <w:spacing w:line="560" w:lineRule="exact"/>
              <w:jc w:val="center"/>
              <w:rPr>
                <w:color w:val="auto"/>
                <w:szCs w:val="21"/>
                <w:highlight w:val="none"/>
              </w:rPr>
            </w:pPr>
          </w:p>
        </w:tc>
        <w:tc>
          <w:tcPr>
            <w:tcW w:w="1220" w:type="dxa"/>
            <w:noWrap w:val="0"/>
            <w:vAlign w:val="center"/>
          </w:tcPr>
          <w:p w14:paraId="7E51C9C8">
            <w:pPr>
              <w:adjustRightInd w:val="0"/>
              <w:snapToGrid w:val="0"/>
              <w:spacing w:line="560" w:lineRule="exact"/>
              <w:jc w:val="center"/>
              <w:rPr>
                <w:color w:val="auto"/>
                <w:szCs w:val="21"/>
                <w:highlight w:val="none"/>
              </w:rPr>
            </w:pPr>
          </w:p>
        </w:tc>
        <w:tc>
          <w:tcPr>
            <w:tcW w:w="812" w:type="dxa"/>
            <w:noWrap w:val="0"/>
            <w:vAlign w:val="center"/>
          </w:tcPr>
          <w:p w14:paraId="259563FF">
            <w:pPr>
              <w:adjustRightInd w:val="0"/>
              <w:snapToGrid w:val="0"/>
              <w:spacing w:line="560" w:lineRule="exact"/>
              <w:jc w:val="center"/>
              <w:rPr>
                <w:color w:val="auto"/>
                <w:szCs w:val="21"/>
                <w:highlight w:val="none"/>
              </w:rPr>
            </w:pPr>
          </w:p>
        </w:tc>
        <w:tc>
          <w:tcPr>
            <w:tcW w:w="814" w:type="dxa"/>
            <w:noWrap w:val="0"/>
            <w:vAlign w:val="center"/>
          </w:tcPr>
          <w:p w14:paraId="285CB247">
            <w:pPr>
              <w:adjustRightInd w:val="0"/>
              <w:snapToGrid w:val="0"/>
              <w:spacing w:line="560" w:lineRule="exact"/>
              <w:jc w:val="center"/>
              <w:rPr>
                <w:color w:val="auto"/>
                <w:szCs w:val="21"/>
                <w:highlight w:val="none"/>
              </w:rPr>
            </w:pPr>
          </w:p>
        </w:tc>
        <w:tc>
          <w:tcPr>
            <w:tcW w:w="811" w:type="dxa"/>
            <w:noWrap w:val="0"/>
            <w:vAlign w:val="center"/>
          </w:tcPr>
          <w:p w14:paraId="0DA73B8D">
            <w:pPr>
              <w:adjustRightInd w:val="0"/>
              <w:snapToGrid w:val="0"/>
              <w:spacing w:line="560" w:lineRule="exact"/>
              <w:jc w:val="center"/>
              <w:rPr>
                <w:color w:val="auto"/>
                <w:szCs w:val="21"/>
                <w:highlight w:val="none"/>
              </w:rPr>
            </w:pPr>
          </w:p>
        </w:tc>
        <w:tc>
          <w:tcPr>
            <w:tcW w:w="2848" w:type="dxa"/>
            <w:noWrap w:val="0"/>
            <w:vAlign w:val="center"/>
          </w:tcPr>
          <w:p w14:paraId="62873DA8">
            <w:pPr>
              <w:adjustRightInd w:val="0"/>
              <w:snapToGrid w:val="0"/>
              <w:spacing w:line="560" w:lineRule="exact"/>
              <w:jc w:val="center"/>
              <w:rPr>
                <w:color w:val="auto"/>
                <w:szCs w:val="21"/>
                <w:highlight w:val="none"/>
              </w:rPr>
            </w:pPr>
          </w:p>
        </w:tc>
        <w:tc>
          <w:tcPr>
            <w:tcW w:w="759" w:type="dxa"/>
            <w:noWrap w:val="0"/>
            <w:vAlign w:val="center"/>
          </w:tcPr>
          <w:p w14:paraId="00C6169C">
            <w:pPr>
              <w:adjustRightInd w:val="0"/>
              <w:snapToGrid w:val="0"/>
              <w:spacing w:line="560" w:lineRule="exact"/>
              <w:jc w:val="center"/>
              <w:rPr>
                <w:color w:val="auto"/>
                <w:szCs w:val="21"/>
                <w:highlight w:val="none"/>
              </w:rPr>
            </w:pPr>
          </w:p>
        </w:tc>
      </w:tr>
      <w:tr w14:paraId="7A23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6CFC752E">
            <w:pPr>
              <w:adjustRightInd w:val="0"/>
              <w:snapToGrid w:val="0"/>
              <w:spacing w:line="560" w:lineRule="exact"/>
              <w:jc w:val="center"/>
              <w:rPr>
                <w:color w:val="auto"/>
                <w:szCs w:val="21"/>
                <w:highlight w:val="none"/>
              </w:rPr>
            </w:pPr>
            <w:r>
              <w:rPr>
                <w:rFonts w:hint="eastAsia"/>
                <w:color w:val="auto"/>
                <w:szCs w:val="21"/>
                <w:highlight w:val="none"/>
              </w:rPr>
              <w:t>技术负责人</w:t>
            </w:r>
          </w:p>
        </w:tc>
        <w:tc>
          <w:tcPr>
            <w:tcW w:w="814" w:type="dxa"/>
            <w:noWrap w:val="0"/>
            <w:vAlign w:val="top"/>
          </w:tcPr>
          <w:p w14:paraId="46FA531E">
            <w:pPr>
              <w:adjustRightInd w:val="0"/>
              <w:snapToGrid w:val="0"/>
              <w:spacing w:line="560" w:lineRule="exact"/>
              <w:jc w:val="center"/>
              <w:rPr>
                <w:color w:val="auto"/>
                <w:szCs w:val="21"/>
                <w:highlight w:val="none"/>
              </w:rPr>
            </w:pPr>
          </w:p>
        </w:tc>
        <w:tc>
          <w:tcPr>
            <w:tcW w:w="812" w:type="dxa"/>
            <w:noWrap w:val="0"/>
            <w:vAlign w:val="top"/>
          </w:tcPr>
          <w:p w14:paraId="38F7FE51">
            <w:pPr>
              <w:adjustRightInd w:val="0"/>
              <w:snapToGrid w:val="0"/>
              <w:spacing w:line="560" w:lineRule="exact"/>
              <w:jc w:val="center"/>
              <w:rPr>
                <w:color w:val="auto"/>
                <w:szCs w:val="21"/>
                <w:highlight w:val="none"/>
              </w:rPr>
            </w:pPr>
          </w:p>
        </w:tc>
        <w:tc>
          <w:tcPr>
            <w:tcW w:w="1220" w:type="dxa"/>
            <w:noWrap w:val="0"/>
            <w:vAlign w:val="top"/>
          </w:tcPr>
          <w:p w14:paraId="441FAB25">
            <w:pPr>
              <w:adjustRightInd w:val="0"/>
              <w:snapToGrid w:val="0"/>
              <w:spacing w:line="560" w:lineRule="exact"/>
              <w:jc w:val="center"/>
              <w:rPr>
                <w:color w:val="auto"/>
                <w:szCs w:val="21"/>
                <w:highlight w:val="none"/>
              </w:rPr>
            </w:pPr>
          </w:p>
        </w:tc>
        <w:tc>
          <w:tcPr>
            <w:tcW w:w="812" w:type="dxa"/>
            <w:noWrap w:val="0"/>
            <w:vAlign w:val="top"/>
          </w:tcPr>
          <w:p w14:paraId="65DB2073">
            <w:pPr>
              <w:adjustRightInd w:val="0"/>
              <w:snapToGrid w:val="0"/>
              <w:spacing w:line="560" w:lineRule="exact"/>
              <w:jc w:val="center"/>
              <w:rPr>
                <w:color w:val="auto"/>
                <w:szCs w:val="21"/>
                <w:highlight w:val="none"/>
              </w:rPr>
            </w:pPr>
          </w:p>
        </w:tc>
        <w:tc>
          <w:tcPr>
            <w:tcW w:w="814" w:type="dxa"/>
            <w:noWrap w:val="0"/>
            <w:vAlign w:val="top"/>
          </w:tcPr>
          <w:p w14:paraId="64CF66BF">
            <w:pPr>
              <w:adjustRightInd w:val="0"/>
              <w:snapToGrid w:val="0"/>
              <w:spacing w:line="560" w:lineRule="exact"/>
              <w:jc w:val="center"/>
              <w:rPr>
                <w:color w:val="auto"/>
                <w:szCs w:val="21"/>
                <w:highlight w:val="none"/>
              </w:rPr>
            </w:pPr>
          </w:p>
        </w:tc>
        <w:tc>
          <w:tcPr>
            <w:tcW w:w="811" w:type="dxa"/>
            <w:noWrap w:val="0"/>
            <w:vAlign w:val="top"/>
          </w:tcPr>
          <w:p w14:paraId="7A7DCFD4">
            <w:pPr>
              <w:adjustRightInd w:val="0"/>
              <w:snapToGrid w:val="0"/>
              <w:spacing w:line="560" w:lineRule="exact"/>
              <w:jc w:val="center"/>
              <w:rPr>
                <w:color w:val="auto"/>
                <w:szCs w:val="21"/>
                <w:highlight w:val="none"/>
              </w:rPr>
            </w:pPr>
          </w:p>
        </w:tc>
        <w:tc>
          <w:tcPr>
            <w:tcW w:w="2848" w:type="dxa"/>
            <w:noWrap w:val="0"/>
            <w:vAlign w:val="top"/>
          </w:tcPr>
          <w:p w14:paraId="42B70ED1">
            <w:pPr>
              <w:adjustRightInd w:val="0"/>
              <w:snapToGrid w:val="0"/>
              <w:spacing w:line="560" w:lineRule="exact"/>
              <w:jc w:val="center"/>
              <w:rPr>
                <w:color w:val="auto"/>
                <w:szCs w:val="21"/>
                <w:highlight w:val="none"/>
              </w:rPr>
            </w:pPr>
          </w:p>
        </w:tc>
        <w:tc>
          <w:tcPr>
            <w:tcW w:w="759" w:type="dxa"/>
            <w:noWrap w:val="0"/>
            <w:vAlign w:val="top"/>
          </w:tcPr>
          <w:p w14:paraId="7834BFF1">
            <w:pPr>
              <w:adjustRightInd w:val="0"/>
              <w:snapToGrid w:val="0"/>
              <w:spacing w:line="560" w:lineRule="exact"/>
              <w:jc w:val="center"/>
              <w:rPr>
                <w:color w:val="auto"/>
                <w:szCs w:val="21"/>
                <w:highlight w:val="none"/>
              </w:rPr>
            </w:pPr>
          </w:p>
        </w:tc>
      </w:tr>
      <w:tr w14:paraId="6066A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70BECF00">
            <w:pPr>
              <w:adjustRightInd w:val="0"/>
              <w:snapToGrid w:val="0"/>
              <w:spacing w:line="560" w:lineRule="exact"/>
              <w:jc w:val="center"/>
              <w:rPr>
                <w:color w:val="auto"/>
                <w:szCs w:val="21"/>
                <w:highlight w:val="none"/>
              </w:rPr>
            </w:pPr>
          </w:p>
        </w:tc>
        <w:tc>
          <w:tcPr>
            <w:tcW w:w="814" w:type="dxa"/>
            <w:noWrap w:val="0"/>
            <w:vAlign w:val="top"/>
          </w:tcPr>
          <w:p w14:paraId="599CD74A">
            <w:pPr>
              <w:adjustRightInd w:val="0"/>
              <w:snapToGrid w:val="0"/>
              <w:spacing w:line="560" w:lineRule="exact"/>
              <w:jc w:val="center"/>
              <w:rPr>
                <w:color w:val="auto"/>
                <w:szCs w:val="21"/>
                <w:highlight w:val="none"/>
              </w:rPr>
            </w:pPr>
          </w:p>
        </w:tc>
        <w:tc>
          <w:tcPr>
            <w:tcW w:w="812" w:type="dxa"/>
            <w:noWrap w:val="0"/>
            <w:vAlign w:val="top"/>
          </w:tcPr>
          <w:p w14:paraId="5999D7A5">
            <w:pPr>
              <w:adjustRightInd w:val="0"/>
              <w:snapToGrid w:val="0"/>
              <w:spacing w:line="560" w:lineRule="exact"/>
              <w:jc w:val="center"/>
              <w:rPr>
                <w:color w:val="auto"/>
                <w:szCs w:val="21"/>
                <w:highlight w:val="none"/>
              </w:rPr>
            </w:pPr>
          </w:p>
        </w:tc>
        <w:tc>
          <w:tcPr>
            <w:tcW w:w="1220" w:type="dxa"/>
            <w:noWrap w:val="0"/>
            <w:vAlign w:val="top"/>
          </w:tcPr>
          <w:p w14:paraId="2D7174E7">
            <w:pPr>
              <w:adjustRightInd w:val="0"/>
              <w:snapToGrid w:val="0"/>
              <w:spacing w:line="560" w:lineRule="exact"/>
              <w:jc w:val="center"/>
              <w:rPr>
                <w:color w:val="auto"/>
                <w:szCs w:val="21"/>
                <w:highlight w:val="none"/>
              </w:rPr>
            </w:pPr>
          </w:p>
        </w:tc>
        <w:tc>
          <w:tcPr>
            <w:tcW w:w="812" w:type="dxa"/>
            <w:noWrap w:val="0"/>
            <w:vAlign w:val="top"/>
          </w:tcPr>
          <w:p w14:paraId="5019E5E0">
            <w:pPr>
              <w:adjustRightInd w:val="0"/>
              <w:snapToGrid w:val="0"/>
              <w:spacing w:line="560" w:lineRule="exact"/>
              <w:jc w:val="center"/>
              <w:rPr>
                <w:color w:val="auto"/>
                <w:szCs w:val="21"/>
                <w:highlight w:val="none"/>
              </w:rPr>
            </w:pPr>
          </w:p>
        </w:tc>
        <w:tc>
          <w:tcPr>
            <w:tcW w:w="814" w:type="dxa"/>
            <w:noWrap w:val="0"/>
            <w:vAlign w:val="top"/>
          </w:tcPr>
          <w:p w14:paraId="14223F7A">
            <w:pPr>
              <w:adjustRightInd w:val="0"/>
              <w:snapToGrid w:val="0"/>
              <w:spacing w:line="560" w:lineRule="exact"/>
              <w:jc w:val="center"/>
              <w:rPr>
                <w:color w:val="auto"/>
                <w:szCs w:val="21"/>
                <w:highlight w:val="none"/>
              </w:rPr>
            </w:pPr>
          </w:p>
        </w:tc>
        <w:tc>
          <w:tcPr>
            <w:tcW w:w="811" w:type="dxa"/>
            <w:noWrap w:val="0"/>
            <w:vAlign w:val="top"/>
          </w:tcPr>
          <w:p w14:paraId="08E99BD2">
            <w:pPr>
              <w:adjustRightInd w:val="0"/>
              <w:snapToGrid w:val="0"/>
              <w:spacing w:line="560" w:lineRule="exact"/>
              <w:jc w:val="center"/>
              <w:rPr>
                <w:color w:val="auto"/>
                <w:szCs w:val="21"/>
                <w:highlight w:val="none"/>
              </w:rPr>
            </w:pPr>
          </w:p>
        </w:tc>
        <w:tc>
          <w:tcPr>
            <w:tcW w:w="2848" w:type="dxa"/>
            <w:noWrap w:val="0"/>
            <w:vAlign w:val="top"/>
          </w:tcPr>
          <w:p w14:paraId="04599FB5">
            <w:pPr>
              <w:adjustRightInd w:val="0"/>
              <w:snapToGrid w:val="0"/>
              <w:spacing w:line="560" w:lineRule="exact"/>
              <w:jc w:val="center"/>
              <w:rPr>
                <w:color w:val="auto"/>
                <w:szCs w:val="21"/>
                <w:highlight w:val="none"/>
              </w:rPr>
            </w:pPr>
          </w:p>
        </w:tc>
        <w:tc>
          <w:tcPr>
            <w:tcW w:w="759" w:type="dxa"/>
            <w:noWrap w:val="0"/>
            <w:vAlign w:val="top"/>
          </w:tcPr>
          <w:p w14:paraId="4B1080E0">
            <w:pPr>
              <w:adjustRightInd w:val="0"/>
              <w:snapToGrid w:val="0"/>
              <w:spacing w:line="560" w:lineRule="exact"/>
              <w:jc w:val="center"/>
              <w:rPr>
                <w:color w:val="auto"/>
                <w:szCs w:val="21"/>
                <w:highlight w:val="none"/>
              </w:rPr>
            </w:pPr>
          </w:p>
        </w:tc>
      </w:tr>
      <w:tr w14:paraId="1592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5CAD7014">
            <w:pPr>
              <w:adjustRightInd w:val="0"/>
              <w:snapToGrid w:val="0"/>
              <w:spacing w:line="560" w:lineRule="exact"/>
              <w:jc w:val="center"/>
              <w:rPr>
                <w:color w:val="auto"/>
                <w:szCs w:val="21"/>
                <w:highlight w:val="none"/>
              </w:rPr>
            </w:pPr>
          </w:p>
        </w:tc>
        <w:tc>
          <w:tcPr>
            <w:tcW w:w="814" w:type="dxa"/>
            <w:noWrap w:val="0"/>
            <w:vAlign w:val="top"/>
          </w:tcPr>
          <w:p w14:paraId="5E35BF89">
            <w:pPr>
              <w:adjustRightInd w:val="0"/>
              <w:snapToGrid w:val="0"/>
              <w:spacing w:line="560" w:lineRule="exact"/>
              <w:jc w:val="center"/>
              <w:rPr>
                <w:color w:val="auto"/>
                <w:szCs w:val="21"/>
                <w:highlight w:val="none"/>
              </w:rPr>
            </w:pPr>
          </w:p>
        </w:tc>
        <w:tc>
          <w:tcPr>
            <w:tcW w:w="812" w:type="dxa"/>
            <w:noWrap w:val="0"/>
            <w:vAlign w:val="top"/>
          </w:tcPr>
          <w:p w14:paraId="1C4C4D61">
            <w:pPr>
              <w:adjustRightInd w:val="0"/>
              <w:snapToGrid w:val="0"/>
              <w:spacing w:line="560" w:lineRule="exact"/>
              <w:jc w:val="center"/>
              <w:rPr>
                <w:color w:val="auto"/>
                <w:szCs w:val="21"/>
                <w:highlight w:val="none"/>
              </w:rPr>
            </w:pPr>
          </w:p>
        </w:tc>
        <w:tc>
          <w:tcPr>
            <w:tcW w:w="1220" w:type="dxa"/>
            <w:noWrap w:val="0"/>
            <w:vAlign w:val="top"/>
          </w:tcPr>
          <w:p w14:paraId="5E7D2A2B">
            <w:pPr>
              <w:adjustRightInd w:val="0"/>
              <w:snapToGrid w:val="0"/>
              <w:spacing w:line="560" w:lineRule="exact"/>
              <w:jc w:val="center"/>
              <w:rPr>
                <w:color w:val="auto"/>
                <w:szCs w:val="21"/>
                <w:highlight w:val="none"/>
              </w:rPr>
            </w:pPr>
          </w:p>
        </w:tc>
        <w:tc>
          <w:tcPr>
            <w:tcW w:w="812" w:type="dxa"/>
            <w:noWrap w:val="0"/>
            <w:vAlign w:val="top"/>
          </w:tcPr>
          <w:p w14:paraId="12741D64">
            <w:pPr>
              <w:adjustRightInd w:val="0"/>
              <w:snapToGrid w:val="0"/>
              <w:spacing w:line="560" w:lineRule="exact"/>
              <w:jc w:val="center"/>
              <w:rPr>
                <w:color w:val="auto"/>
                <w:szCs w:val="21"/>
                <w:highlight w:val="none"/>
              </w:rPr>
            </w:pPr>
          </w:p>
        </w:tc>
        <w:tc>
          <w:tcPr>
            <w:tcW w:w="814" w:type="dxa"/>
            <w:noWrap w:val="0"/>
            <w:vAlign w:val="top"/>
          </w:tcPr>
          <w:p w14:paraId="5A448670">
            <w:pPr>
              <w:adjustRightInd w:val="0"/>
              <w:snapToGrid w:val="0"/>
              <w:spacing w:line="560" w:lineRule="exact"/>
              <w:jc w:val="center"/>
              <w:rPr>
                <w:color w:val="auto"/>
                <w:szCs w:val="21"/>
                <w:highlight w:val="none"/>
              </w:rPr>
            </w:pPr>
          </w:p>
        </w:tc>
        <w:tc>
          <w:tcPr>
            <w:tcW w:w="811" w:type="dxa"/>
            <w:noWrap w:val="0"/>
            <w:vAlign w:val="top"/>
          </w:tcPr>
          <w:p w14:paraId="5DE8E9D8">
            <w:pPr>
              <w:adjustRightInd w:val="0"/>
              <w:snapToGrid w:val="0"/>
              <w:spacing w:line="560" w:lineRule="exact"/>
              <w:jc w:val="center"/>
              <w:rPr>
                <w:color w:val="auto"/>
                <w:szCs w:val="21"/>
                <w:highlight w:val="none"/>
              </w:rPr>
            </w:pPr>
          </w:p>
        </w:tc>
        <w:tc>
          <w:tcPr>
            <w:tcW w:w="2848" w:type="dxa"/>
            <w:noWrap w:val="0"/>
            <w:vAlign w:val="top"/>
          </w:tcPr>
          <w:p w14:paraId="57BC0818">
            <w:pPr>
              <w:adjustRightInd w:val="0"/>
              <w:snapToGrid w:val="0"/>
              <w:spacing w:line="560" w:lineRule="exact"/>
              <w:jc w:val="center"/>
              <w:rPr>
                <w:color w:val="auto"/>
                <w:szCs w:val="21"/>
                <w:highlight w:val="none"/>
              </w:rPr>
            </w:pPr>
          </w:p>
        </w:tc>
        <w:tc>
          <w:tcPr>
            <w:tcW w:w="759" w:type="dxa"/>
            <w:noWrap w:val="0"/>
            <w:vAlign w:val="top"/>
          </w:tcPr>
          <w:p w14:paraId="3C30FCD2">
            <w:pPr>
              <w:adjustRightInd w:val="0"/>
              <w:snapToGrid w:val="0"/>
              <w:spacing w:line="560" w:lineRule="exact"/>
              <w:jc w:val="center"/>
              <w:rPr>
                <w:color w:val="auto"/>
                <w:szCs w:val="21"/>
                <w:highlight w:val="none"/>
              </w:rPr>
            </w:pPr>
          </w:p>
        </w:tc>
      </w:tr>
      <w:tr w14:paraId="0400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4F96B33E">
            <w:pPr>
              <w:adjustRightInd w:val="0"/>
              <w:snapToGrid w:val="0"/>
              <w:spacing w:line="560" w:lineRule="exact"/>
              <w:jc w:val="center"/>
              <w:rPr>
                <w:color w:val="auto"/>
                <w:szCs w:val="21"/>
                <w:highlight w:val="none"/>
              </w:rPr>
            </w:pPr>
          </w:p>
        </w:tc>
        <w:tc>
          <w:tcPr>
            <w:tcW w:w="814" w:type="dxa"/>
            <w:noWrap w:val="0"/>
            <w:vAlign w:val="top"/>
          </w:tcPr>
          <w:p w14:paraId="74073610">
            <w:pPr>
              <w:adjustRightInd w:val="0"/>
              <w:snapToGrid w:val="0"/>
              <w:spacing w:line="560" w:lineRule="exact"/>
              <w:jc w:val="center"/>
              <w:rPr>
                <w:color w:val="auto"/>
                <w:szCs w:val="21"/>
                <w:highlight w:val="none"/>
              </w:rPr>
            </w:pPr>
          </w:p>
        </w:tc>
        <w:tc>
          <w:tcPr>
            <w:tcW w:w="812" w:type="dxa"/>
            <w:noWrap w:val="0"/>
            <w:vAlign w:val="top"/>
          </w:tcPr>
          <w:p w14:paraId="4F28149A">
            <w:pPr>
              <w:adjustRightInd w:val="0"/>
              <w:snapToGrid w:val="0"/>
              <w:spacing w:line="560" w:lineRule="exact"/>
              <w:jc w:val="center"/>
              <w:rPr>
                <w:color w:val="auto"/>
                <w:szCs w:val="21"/>
                <w:highlight w:val="none"/>
              </w:rPr>
            </w:pPr>
          </w:p>
        </w:tc>
        <w:tc>
          <w:tcPr>
            <w:tcW w:w="1220" w:type="dxa"/>
            <w:noWrap w:val="0"/>
            <w:vAlign w:val="top"/>
          </w:tcPr>
          <w:p w14:paraId="644FE72A">
            <w:pPr>
              <w:adjustRightInd w:val="0"/>
              <w:snapToGrid w:val="0"/>
              <w:spacing w:line="560" w:lineRule="exact"/>
              <w:jc w:val="center"/>
              <w:rPr>
                <w:color w:val="auto"/>
                <w:szCs w:val="21"/>
                <w:highlight w:val="none"/>
              </w:rPr>
            </w:pPr>
          </w:p>
        </w:tc>
        <w:tc>
          <w:tcPr>
            <w:tcW w:w="812" w:type="dxa"/>
            <w:noWrap w:val="0"/>
            <w:vAlign w:val="top"/>
          </w:tcPr>
          <w:p w14:paraId="368AA62E">
            <w:pPr>
              <w:adjustRightInd w:val="0"/>
              <w:snapToGrid w:val="0"/>
              <w:spacing w:line="560" w:lineRule="exact"/>
              <w:jc w:val="center"/>
              <w:rPr>
                <w:color w:val="auto"/>
                <w:szCs w:val="21"/>
                <w:highlight w:val="none"/>
              </w:rPr>
            </w:pPr>
          </w:p>
        </w:tc>
        <w:tc>
          <w:tcPr>
            <w:tcW w:w="814" w:type="dxa"/>
            <w:noWrap w:val="0"/>
            <w:vAlign w:val="top"/>
          </w:tcPr>
          <w:p w14:paraId="3CB3799D">
            <w:pPr>
              <w:adjustRightInd w:val="0"/>
              <w:snapToGrid w:val="0"/>
              <w:spacing w:line="560" w:lineRule="exact"/>
              <w:jc w:val="center"/>
              <w:rPr>
                <w:color w:val="auto"/>
                <w:szCs w:val="21"/>
                <w:highlight w:val="none"/>
              </w:rPr>
            </w:pPr>
          </w:p>
        </w:tc>
        <w:tc>
          <w:tcPr>
            <w:tcW w:w="811" w:type="dxa"/>
            <w:noWrap w:val="0"/>
            <w:vAlign w:val="top"/>
          </w:tcPr>
          <w:p w14:paraId="1B5E4EFC">
            <w:pPr>
              <w:adjustRightInd w:val="0"/>
              <w:snapToGrid w:val="0"/>
              <w:spacing w:line="560" w:lineRule="exact"/>
              <w:jc w:val="center"/>
              <w:rPr>
                <w:color w:val="auto"/>
                <w:szCs w:val="21"/>
                <w:highlight w:val="none"/>
              </w:rPr>
            </w:pPr>
          </w:p>
        </w:tc>
        <w:tc>
          <w:tcPr>
            <w:tcW w:w="2848" w:type="dxa"/>
            <w:noWrap w:val="0"/>
            <w:vAlign w:val="top"/>
          </w:tcPr>
          <w:p w14:paraId="0B048A65">
            <w:pPr>
              <w:adjustRightInd w:val="0"/>
              <w:snapToGrid w:val="0"/>
              <w:spacing w:line="560" w:lineRule="exact"/>
              <w:jc w:val="center"/>
              <w:rPr>
                <w:color w:val="auto"/>
                <w:szCs w:val="21"/>
                <w:highlight w:val="none"/>
              </w:rPr>
            </w:pPr>
          </w:p>
        </w:tc>
        <w:tc>
          <w:tcPr>
            <w:tcW w:w="759" w:type="dxa"/>
            <w:noWrap w:val="0"/>
            <w:vAlign w:val="top"/>
          </w:tcPr>
          <w:p w14:paraId="3210F442">
            <w:pPr>
              <w:adjustRightInd w:val="0"/>
              <w:snapToGrid w:val="0"/>
              <w:spacing w:line="560" w:lineRule="exact"/>
              <w:jc w:val="center"/>
              <w:rPr>
                <w:color w:val="auto"/>
                <w:szCs w:val="21"/>
                <w:highlight w:val="none"/>
              </w:rPr>
            </w:pPr>
          </w:p>
        </w:tc>
      </w:tr>
      <w:tr w14:paraId="0588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top"/>
          </w:tcPr>
          <w:p w14:paraId="2B1416AA">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71DF6C80">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614A8453">
            <w:pPr>
              <w:adjustRightInd w:val="0"/>
              <w:snapToGrid w:val="0"/>
              <w:spacing w:line="560" w:lineRule="exact"/>
              <w:jc w:val="center"/>
              <w:rPr>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42D055D3">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493D72BF">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30C6618A">
            <w:pPr>
              <w:adjustRightInd w:val="0"/>
              <w:snapToGrid w:val="0"/>
              <w:spacing w:line="560" w:lineRule="exact"/>
              <w:jc w:val="center"/>
              <w:rPr>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57CB07D4">
            <w:pPr>
              <w:adjustRightInd w:val="0"/>
              <w:snapToGrid w:val="0"/>
              <w:spacing w:line="560" w:lineRule="exact"/>
              <w:jc w:val="center"/>
              <w:rPr>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noWrap w:val="0"/>
            <w:vAlign w:val="top"/>
          </w:tcPr>
          <w:p w14:paraId="52F63DDB">
            <w:pPr>
              <w:adjustRightInd w:val="0"/>
              <w:snapToGrid w:val="0"/>
              <w:spacing w:line="560" w:lineRule="exact"/>
              <w:jc w:val="center"/>
              <w:rPr>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14:paraId="357C238D">
            <w:pPr>
              <w:adjustRightInd w:val="0"/>
              <w:snapToGrid w:val="0"/>
              <w:spacing w:line="560" w:lineRule="exact"/>
              <w:jc w:val="center"/>
              <w:rPr>
                <w:color w:val="auto"/>
                <w:szCs w:val="21"/>
                <w:highlight w:val="none"/>
              </w:rPr>
            </w:pPr>
          </w:p>
        </w:tc>
      </w:tr>
      <w:tr w14:paraId="1438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top"/>
          </w:tcPr>
          <w:p w14:paraId="2C75515D">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637D4D17">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31906AC">
            <w:pPr>
              <w:adjustRightInd w:val="0"/>
              <w:snapToGrid w:val="0"/>
              <w:spacing w:line="560" w:lineRule="exact"/>
              <w:jc w:val="center"/>
              <w:rPr>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50F52589">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68B1F8EB">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57B75A17">
            <w:pPr>
              <w:adjustRightInd w:val="0"/>
              <w:snapToGrid w:val="0"/>
              <w:spacing w:line="560" w:lineRule="exact"/>
              <w:jc w:val="center"/>
              <w:rPr>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49959363">
            <w:pPr>
              <w:adjustRightInd w:val="0"/>
              <w:snapToGrid w:val="0"/>
              <w:spacing w:line="560" w:lineRule="exact"/>
              <w:jc w:val="center"/>
              <w:rPr>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noWrap w:val="0"/>
            <w:vAlign w:val="top"/>
          </w:tcPr>
          <w:p w14:paraId="7DD73499">
            <w:pPr>
              <w:adjustRightInd w:val="0"/>
              <w:snapToGrid w:val="0"/>
              <w:spacing w:line="560" w:lineRule="exact"/>
              <w:jc w:val="center"/>
              <w:rPr>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14:paraId="35FC5FB9">
            <w:pPr>
              <w:adjustRightInd w:val="0"/>
              <w:snapToGrid w:val="0"/>
              <w:spacing w:line="560" w:lineRule="exact"/>
              <w:jc w:val="center"/>
              <w:rPr>
                <w:color w:val="auto"/>
                <w:szCs w:val="21"/>
                <w:highlight w:val="none"/>
              </w:rPr>
            </w:pPr>
          </w:p>
        </w:tc>
      </w:tr>
    </w:tbl>
    <w:p w14:paraId="1BA5E731">
      <w:pPr>
        <w:adjustRightInd w:val="0"/>
        <w:snapToGrid w:val="0"/>
        <w:spacing w:line="560" w:lineRule="exact"/>
        <w:rPr>
          <w:rFonts w:hint="eastAsia"/>
          <w:color w:val="auto"/>
          <w:highlight w:val="none"/>
        </w:rPr>
      </w:pPr>
      <w:r>
        <w:rPr>
          <w:rFonts w:hint="eastAsia"/>
          <w:b/>
          <w:color w:val="auto"/>
          <w:szCs w:val="21"/>
          <w:highlight w:val="none"/>
        </w:rPr>
        <w:t>备注：</w:t>
      </w:r>
      <w:r>
        <w:rPr>
          <w:rFonts w:hint="eastAsia"/>
          <w:color w:val="auto"/>
          <w:highlight w:val="none"/>
        </w:rPr>
        <w:t>根据安徽省住房和城乡建设厅《关于调整招标投标活动中有关住房城乡建设领域现场专业人员证书要求的通知》（建市函〔2019〕1112 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5B7EB371">
      <w:pPr>
        <w:spacing w:line="560" w:lineRule="exact"/>
        <w:rPr>
          <w:rFonts w:hint="eastAsia"/>
          <w:color w:val="auto"/>
          <w:highlight w:val="none"/>
        </w:rPr>
      </w:pPr>
    </w:p>
    <w:p w14:paraId="6928E4DC">
      <w:pPr>
        <w:pStyle w:val="6"/>
        <w:jc w:val="center"/>
        <w:rPr>
          <w:color w:val="auto"/>
          <w:sz w:val="23"/>
          <w:szCs w:val="23"/>
          <w:highlight w:val="none"/>
        </w:rPr>
      </w:pPr>
      <w:r>
        <w:rPr>
          <w:rFonts w:hint="eastAsia"/>
          <w:color w:val="auto"/>
          <w:highlight w:val="none"/>
        </w:rPr>
        <w:t>附表2：拟任项目经理（建造师）</w:t>
      </w:r>
      <w:r>
        <w:rPr>
          <w:color w:val="auto"/>
          <w:highlight w:val="none"/>
        </w:rPr>
        <w:t>简历表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728A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2143962B">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姓  名</w:t>
            </w:r>
          </w:p>
        </w:tc>
        <w:tc>
          <w:tcPr>
            <w:tcW w:w="1185" w:type="dxa"/>
            <w:gridSpan w:val="2"/>
            <w:noWrap w:val="0"/>
            <w:vAlign w:val="center"/>
          </w:tcPr>
          <w:p w14:paraId="5C688394">
            <w:pPr>
              <w:adjustRightInd w:val="0"/>
              <w:snapToGrid w:val="0"/>
              <w:spacing w:line="560" w:lineRule="exact"/>
              <w:jc w:val="center"/>
              <w:rPr>
                <w:rFonts w:ascii="宋体" w:hAnsi="宋体"/>
                <w:color w:val="auto"/>
                <w:szCs w:val="21"/>
                <w:highlight w:val="none"/>
              </w:rPr>
            </w:pPr>
          </w:p>
        </w:tc>
        <w:tc>
          <w:tcPr>
            <w:tcW w:w="1018" w:type="dxa"/>
            <w:noWrap w:val="0"/>
            <w:vAlign w:val="center"/>
          </w:tcPr>
          <w:p w14:paraId="6D5303F9">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年 龄</w:t>
            </w:r>
          </w:p>
        </w:tc>
        <w:tc>
          <w:tcPr>
            <w:tcW w:w="1170" w:type="dxa"/>
            <w:noWrap w:val="0"/>
            <w:vAlign w:val="center"/>
          </w:tcPr>
          <w:p w14:paraId="3660763B">
            <w:pPr>
              <w:adjustRightInd w:val="0"/>
              <w:snapToGrid w:val="0"/>
              <w:spacing w:line="560" w:lineRule="exact"/>
              <w:jc w:val="center"/>
              <w:rPr>
                <w:rFonts w:ascii="宋体" w:hAnsi="宋体"/>
                <w:color w:val="auto"/>
                <w:szCs w:val="21"/>
                <w:highlight w:val="none"/>
              </w:rPr>
            </w:pPr>
          </w:p>
        </w:tc>
        <w:tc>
          <w:tcPr>
            <w:tcW w:w="2339" w:type="dxa"/>
            <w:gridSpan w:val="3"/>
            <w:noWrap w:val="0"/>
            <w:vAlign w:val="center"/>
          </w:tcPr>
          <w:p w14:paraId="488664A4">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学历</w:t>
            </w:r>
          </w:p>
        </w:tc>
        <w:tc>
          <w:tcPr>
            <w:tcW w:w="2345" w:type="dxa"/>
            <w:noWrap w:val="0"/>
            <w:vAlign w:val="center"/>
          </w:tcPr>
          <w:p w14:paraId="32290CAA">
            <w:pPr>
              <w:adjustRightInd w:val="0"/>
              <w:snapToGrid w:val="0"/>
              <w:spacing w:line="560" w:lineRule="exact"/>
              <w:rPr>
                <w:rFonts w:ascii="宋体" w:hAnsi="宋体"/>
                <w:color w:val="auto"/>
                <w:szCs w:val="21"/>
                <w:highlight w:val="none"/>
              </w:rPr>
            </w:pPr>
          </w:p>
        </w:tc>
      </w:tr>
      <w:tr w14:paraId="2622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1D14E551">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称</w:t>
            </w:r>
          </w:p>
        </w:tc>
        <w:tc>
          <w:tcPr>
            <w:tcW w:w="1185" w:type="dxa"/>
            <w:gridSpan w:val="2"/>
            <w:noWrap w:val="0"/>
            <w:vAlign w:val="center"/>
          </w:tcPr>
          <w:p w14:paraId="5E3D599C">
            <w:pPr>
              <w:adjustRightInd w:val="0"/>
              <w:snapToGrid w:val="0"/>
              <w:spacing w:line="560" w:lineRule="exact"/>
              <w:jc w:val="center"/>
              <w:rPr>
                <w:rFonts w:ascii="宋体" w:hAnsi="宋体"/>
                <w:color w:val="auto"/>
                <w:szCs w:val="21"/>
                <w:highlight w:val="none"/>
              </w:rPr>
            </w:pPr>
          </w:p>
        </w:tc>
        <w:tc>
          <w:tcPr>
            <w:tcW w:w="1018" w:type="dxa"/>
            <w:noWrap w:val="0"/>
            <w:vAlign w:val="center"/>
          </w:tcPr>
          <w:p w14:paraId="1AF464C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务</w:t>
            </w:r>
          </w:p>
        </w:tc>
        <w:tc>
          <w:tcPr>
            <w:tcW w:w="1170" w:type="dxa"/>
            <w:noWrap w:val="0"/>
            <w:vAlign w:val="center"/>
          </w:tcPr>
          <w:p w14:paraId="108FF582">
            <w:pPr>
              <w:adjustRightInd w:val="0"/>
              <w:snapToGrid w:val="0"/>
              <w:spacing w:line="560" w:lineRule="exact"/>
              <w:jc w:val="center"/>
              <w:rPr>
                <w:rFonts w:ascii="宋体" w:hAnsi="宋体"/>
                <w:color w:val="auto"/>
                <w:szCs w:val="21"/>
                <w:highlight w:val="none"/>
              </w:rPr>
            </w:pPr>
          </w:p>
        </w:tc>
        <w:tc>
          <w:tcPr>
            <w:tcW w:w="2339" w:type="dxa"/>
            <w:gridSpan w:val="3"/>
            <w:noWrap w:val="0"/>
            <w:vAlign w:val="center"/>
          </w:tcPr>
          <w:p w14:paraId="6A9A9F20">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345" w:type="dxa"/>
            <w:noWrap w:val="0"/>
            <w:vAlign w:val="center"/>
          </w:tcPr>
          <w:p w14:paraId="11910B45">
            <w:pPr>
              <w:adjustRightInd w:val="0"/>
              <w:snapToGrid w:val="0"/>
              <w:spacing w:line="560" w:lineRule="exact"/>
              <w:rPr>
                <w:rFonts w:ascii="宋体" w:hAnsi="宋体"/>
                <w:color w:val="auto"/>
                <w:szCs w:val="21"/>
                <w:highlight w:val="none"/>
              </w:rPr>
            </w:pPr>
          </w:p>
        </w:tc>
      </w:tr>
      <w:tr w14:paraId="7384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24C7B8C4">
            <w:pPr>
              <w:adjustRightInd w:val="0"/>
              <w:snapToGrid w:val="0"/>
              <w:spacing w:line="560" w:lineRule="exact"/>
              <w:rPr>
                <w:rFonts w:ascii="宋体" w:hAnsi="宋体"/>
                <w:color w:val="auto"/>
                <w:szCs w:val="21"/>
                <w:highlight w:val="none"/>
              </w:rPr>
            </w:pPr>
            <w:r>
              <w:rPr>
                <w:rFonts w:ascii="宋体" w:hAnsi="宋体"/>
                <w:color w:val="auto"/>
                <w:szCs w:val="21"/>
                <w:highlight w:val="none"/>
              </w:rPr>
              <w:t>毕业学校</w:t>
            </w:r>
          </w:p>
        </w:tc>
        <w:tc>
          <w:tcPr>
            <w:tcW w:w="8057" w:type="dxa"/>
            <w:gridSpan w:val="8"/>
            <w:noWrap w:val="0"/>
            <w:vAlign w:val="top"/>
          </w:tcPr>
          <w:p w14:paraId="6846659B">
            <w:pPr>
              <w:adjustRightInd w:val="0"/>
              <w:snapToGrid w:val="0"/>
              <w:spacing w:line="56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0D25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noWrap w:val="0"/>
            <w:vAlign w:val="center"/>
          </w:tcPr>
          <w:p w14:paraId="1559BEB8">
            <w:pPr>
              <w:adjustRightInd w:val="0"/>
              <w:snapToGrid w:val="0"/>
              <w:spacing w:line="560" w:lineRule="exact"/>
              <w:rPr>
                <w:rFonts w:ascii="宋体" w:hAnsi="宋体"/>
                <w:color w:val="auto"/>
                <w:szCs w:val="21"/>
                <w:highlight w:val="none"/>
              </w:rPr>
            </w:pPr>
            <w:r>
              <w:rPr>
                <w:rFonts w:ascii="宋体" w:hAnsi="宋体"/>
                <w:color w:val="auto"/>
                <w:szCs w:val="21"/>
                <w:highlight w:val="none"/>
              </w:rPr>
              <w:t>主要工作经历</w:t>
            </w:r>
          </w:p>
        </w:tc>
      </w:tr>
      <w:tr w14:paraId="5D65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noWrap w:val="0"/>
            <w:vAlign w:val="center"/>
          </w:tcPr>
          <w:p w14:paraId="7C5BDD2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时  间</w:t>
            </w:r>
          </w:p>
        </w:tc>
        <w:tc>
          <w:tcPr>
            <w:tcW w:w="3756" w:type="dxa"/>
            <w:gridSpan w:val="4"/>
            <w:noWrap w:val="0"/>
            <w:vAlign w:val="center"/>
          </w:tcPr>
          <w:p w14:paraId="5D1D8A8D">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参加过的类似项目</w:t>
            </w:r>
          </w:p>
        </w:tc>
        <w:tc>
          <w:tcPr>
            <w:tcW w:w="1385" w:type="dxa"/>
            <w:noWrap w:val="0"/>
            <w:vAlign w:val="center"/>
          </w:tcPr>
          <w:p w14:paraId="65D74288">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担任职务</w:t>
            </w:r>
          </w:p>
        </w:tc>
        <w:tc>
          <w:tcPr>
            <w:tcW w:w="2522" w:type="dxa"/>
            <w:gridSpan w:val="2"/>
            <w:noWrap w:val="0"/>
            <w:vAlign w:val="center"/>
          </w:tcPr>
          <w:p w14:paraId="18E5C992">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发包人及联系电话</w:t>
            </w:r>
          </w:p>
        </w:tc>
      </w:tr>
      <w:tr w14:paraId="7A68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7C530671">
            <w:pPr>
              <w:adjustRightInd w:val="0"/>
              <w:snapToGrid w:val="0"/>
              <w:spacing w:line="560" w:lineRule="exact"/>
              <w:rPr>
                <w:rFonts w:eastAsia="黑体"/>
                <w:color w:val="auto"/>
                <w:szCs w:val="21"/>
                <w:highlight w:val="none"/>
              </w:rPr>
            </w:pPr>
          </w:p>
        </w:tc>
        <w:tc>
          <w:tcPr>
            <w:tcW w:w="3756" w:type="dxa"/>
            <w:gridSpan w:val="4"/>
            <w:noWrap w:val="0"/>
            <w:vAlign w:val="top"/>
          </w:tcPr>
          <w:p w14:paraId="0F7D1313">
            <w:pPr>
              <w:adjustRightInd w:val="0"/>
              <w:snapToGrid w:val="0"/>
              <w:spacing w:line="560" w:lineRule="exact"/>
              <w:rPr>
                <w:rFonts w:eastAsia="黑体"/>
                <w:color w:val="auto"/>
                <w:szCs w:val="21"/>
                <w:highlight w:val="none"/>
              </w:rPr>
            </w:pPr>
          </w:p>
        </w:tc>
        <w:tc>
          <w:tcPr>
            <w:tcW w:w="1385" w:type="dxa"/>
            <w:noWrap w:val="0"/>
            <w:vAlign w:val="top"/>
          </w:tcPr>
          <w:p w14:paraId="10C6C1E5">
            <w:pPr>
              <w:adjustRightInd w:val="0"/>
              <w:snapToGrid w:val="0"/>
              <w:spacing w:line="560" w:lineRule="exact"/>
              <w:rPr>
                <w:rFonts w:eastAsia="黑体"/>
                <w:color w:val="auto"/>
                <w:szCs w:val="21"/>
                <w:highlight w:val="none"/>
              </w:rPr>
            </w:pPr>
          </w:p>
        </w:tc>
        <w:tc>
          <w:tcPr>
            <w:tcW w:w="2522" w:type="dxa"/>
            <w:gridSpan w:val="2"/>
            <w:noWrap w:val="0"/>
            <w:vAlign w:val="top"/>
          </w:tcPr>
          <w:p w14:paraId="3AD5B66C">
            <w:pPr>
              <w:adjustRightInd w:val="0"/>
              <w:snapToGrid w:val="0"/>
              <w:spacing w:line="560" w:lineRule="exact"/>
              <w:rPr>
                <w:rFonts w:eastAsia="黑体"/>
                <w:color w:val="auto"/>
                <w:szCs w:val="21"/>
                <w:highlight w:val="none"/>
              </w:rPr>
            </w:pPr>
          </w:p>
        </w:tc>
      </w:tr>
      <w:tr w14:paraId="4A50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078E77B8">
            <w:pPr>
              <w:adjustRightInd w:val="0"/>
              <w:snapToGrid w:val="0"/>
              <w:spacing w:line="560" w:lineRule="exact"/>
              <w:rPr>
                <w:rFonts w:eastAsia="黑体"/>
                <w:color w:val="auto"/>
                <w:szCs w:val="21"/>
                <w:highlight w:val="none"/>
              </w:rPr>
            </w:pPr>
          </w:p>
        </w:tc>
        <w:tc>
          <w:tcPr>
            <w:tcW w:w="3756" w:type="dxa"/>
            <w:gridSpan w:val="4"/>
            <w:noWrap w:val="0"/>
            <w:vAlign w:val="top"/>
          </w:tcPr>
          <w:p w14:paraId="79508686">
            <w:pPr>
              <w:adjustRightInd w:val="0"/>
              <w:snapToGrid w:val="0"/>
              <w:spacing w:line="560" w:lineRule="exact"/>
              <w:rPr>
                <w:rFonts w:eastAsia="黑体"/>
                <w:color w:val="auto"/>
                <w:szCs w:val="21"/>
                <w:highlight w:val="none"/>
              </w:rPr>
            </w:pPr>
          </w:p>
        </w:tc>
        <w:tc>
          <w:tcPr>
            <w:tcW w:w="1385" w:type="dxa"/>
            <w:noWrap w:val="0"/>
            <w:vAlign w:val="top"/>
          </w:tcPr>
          <w:p w14:paraId="7E37EB5A">
            <w:pPr>
              <w:adjustRightInd w:val="0"/>
              <w:snapToGrid w:val="0"/>
              <w:spacing w:line="560" w:lineRule="exact"/>
              <w:rPr>
                <w:rFonts w:eastAsia="黑体"/>
                <w:color w:val="auto"/>
                <w:szCs w:val="21"/>
                <w:highlight w:val="none"/>
              </w:rPr>
            </w:pPr>
          </w:p>
        </w:tc>
        <w:tc>
          <w:tcPr>
            <w:tcW w:w="2522" w:type="dxa"/>
            <w:gridSpan w:val="2"/>
            <w:noWrap w:val="0"/>
            <w:vAlign w:val="top"/>
          </w:tcPr>
          <w:p w14:paraId="36F27921">
            <w:pPr>
              <w:adjustRightInd w:val="0"/>
              <w:snapToGrid w:val="0"/>
              <w:spacing w:line="560" w:lineRule="exact"/>
              <w:rPr>
                <w:rFonts w:eastAsia="黑体"/>
                <w:color w:val="auto"/>
                <w:szCs w:val="21"/>
                <w:highlight w:val="none"/>
              </w:rPr>
            </w:pPr>
          </w:p>
        </w:tc>
      </w:tr>
      <w:tr w14:paraId="1AB9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41CB5425">
            <w:pPr>
              <w:adjustRightInd w:val="0"/>
              <w:snapToGrid w:val="0"/>
              <w:spacing w:line="560" w:lineRule="exact"/>
              <w:rPr>
                <w:rFonts w:eastAsia="黑体"/>
                <w:color w:val="auto"/>
                <w:szCs w:val="21"/>
                <w:highlight w:val="none"/>
              </w:rPr>
            </w:pPr>
          </w:p>
        </w:tc>
        <w:tc>
          <w:tcPr>
            <w:tcW w:w="3756" w:type="dxa"/>
            <w:gridSpan w:val="4"/>
            <w:noWrap w:val="0"/>
            <w:vAlign w:val="top"/>
          </w:tcPr>
          <w:p w14:paraId="701EC1EE">
            <w:pPr>
              <w:adjustRightInd w:val="0"/>
              <w:snapToGrid w:val="0"/>
              <w:spacing w:line="560" w:lineRule="exact"/>
              <w:rPr>
                <w:rFonts w:eastAsia="黑体"/>
                <w:color w:val="auto"/>
                <w:szCs w:val="21"/>
                <w:highlight w:val="none"/>
              </w:rPr>
            </w:pPr>
          </w:p>
        </w:tc>
        <w:tc>
          <w:tcPr>
            <w:tcW w:w="1385" w:type="dxa"/>
            <w:noWrap w:val="0"/>
            <w:vAlign w:val="top"/>
          </w:tcPr>
          <w:p w14:paraId="022815AF">
            <w:pPr>
              <w:adjustRightInd w:val="0"/>
              <w:snapToGrid w:val="0"/>
              <w:spacing w:line="560" w:lineRule="exact"/>
              <w:rPr>
                <w:rFonts w:eastAsia="黑体"/>
                <w:color w:val="auto"/>
                <w:szCs w:val="21"/>
                <w:highlight w:val="none"/>
              </w:rPr>
            </w:pPr>
          </w:p>
        </w:tc>
        <w:tc>
          <w:tcPr>
            <w:tcW w:w="2522" w:type="dxa"/>
            <w:gridSpan w:val="2"/>
            <w:noWrap w:val="0"/>
            <w:vAlign w:val="top"/>
          </w:tcPr>
          <w:p w14:paraId="3D8EA26B">
            <w:pPr>
              <w:adjustRightInd w:val="0"/>
              <w:snapToGrid w:val="0"/>
              <w:spacing w:line="560" w:lineRule="exact"/>
              <w:rPr>
                <w:rFonts w:eastAsia="黑体"/>
                <w:color w:val="auto"/>
                <w:szCs w:val="21"/>
                <w:highlight w:val="none"/>
              </w:rPr>
            </w:pPr>
          </w:p>
        </w:tc>
      </w:tr>
      <w:tr w14:paraId="14F6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5851AE1B">
            <w:pPr>
              <w:adjustRightInd w:val="0"/>
              <w:snapToGrid w:val="0"/>
              <w:spacing w:line="560" w:lineRule="exact"/>
              <w:rPr>
                <w:rFonts w:eastAsia="黑体"/>
                <w:color w:val="auto"/>
                <w:szCs w:val="21"/>
                <w:highlight w:val="none"/>
              </w:rPr>
            </w:pPr>
          </w:p>
        </w:tc>
        <w:tc>
          <w:tcPr>
            <w:tcW w:w="3756" w:type="dxa"/>
            <w:gridSpan w:val="4"/>
            <w:noWrap w:val="0"/>
            <w:vAlign w:val="top"/>
          </w:tcPr>
          <w:p w14:paraId="568BC7AD">
            <w:pPr>
              <w:adjustRightInd w:val="0"/>
              <w:snapToGrid w:val="0"/>
              <w:spacing w:line="560" w:lineRule="exact"/>
              <w:rPr>
                <w:rFonts w:eastAsia="黑体"/>
                <w:color w:val="auto"/>
                <w:szCs w:val="21"/>
                <w:highlight w:val="none"/>
              </w:rPr>
            </w:pPr>
          </w:p>
        </w:tc>
        <w:tc>
          <w:tcPr>
            <w:tcW w:w="1385" w:type="dxa"/>
            <w:noWrap w:val="0"/>
            <w:vAlign w:val="top"/>
          </w:tcPr>
          <w:p w14:paraId="2E0C337D">
            <w:pPr>
              <w:adjustRightInd w:val="0"/>
              <w:snapToGrid w:val="0"/>
              <w:spacing w:line="560" w:lineRule="exact"/>
              <w:rPr>
                <w:rFonts w:eastAsia="黑体"/>
                <w:color w:val="auto"/>
                <w:szCs w:val="21"/>
                <w:highlight w:val="none"/>
              </w:rPr>
            </w:pPr>
          </w:p>
        </w:tc>
        <w:tc>
          <w:tcPr>
            <w:tcW w:w="2522" w:type="dxa"/>
            <w:gridSpan w:val="2"/>
            <w:noWrap w:val="0"/>
            <w:vAlign w:val="top"/>
          </w:tcPr>
          <w:p w14:paraId="46E360FE">
            <w:pPr>
              <w:adjustRightInd w:val="0"/>
              <w:snapToGrid w:val="0"/>
              <w:spacing w:line="560" w:lineRule="exact"/>
              <w:rPr>
                <w:rFonts w:eastAsia="黑体"/>
                <w:color w:val="auto"/>
                <w:szCs w:val="21"/>
                <w:highlight w:val="none"/>
              </w:rPr>
            </w:pPr>
          </w:p>
        </w:tc>
      </w:tr>
      <w:tr w14:paraId="4579D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4543D827">
            <w:pPr>
              <w:adjustRightInd w:val="0"/>
              <w:snapToGrid w:val="0"/>
              <w:spacing w:line="560" w:lineRule="exact"/>
              <w:rPr>
                <w:rFonts w:eastAsia="黑体"/>
                <w:color w:val="auto"/>
                <w:szCs w:val="21"/>
                <w:highlight w:val="none"/>
              </w:rPr>
            </w:pPr>
          </w:p>
        </w:tc>
        <w:tc>
          <w:tcPr>
            <w:tcW w:w="3756" w:type="dxa"/>
            <w:gridSpan w:val="4"/>
            <w:noWrap w:val="0"/>
            <w:vAlign w:val="top"/>
          </w:tcPr>
          <w:p w14:paraId="729D676B">
            <w:pPr>
              <w:adjustRightInd w:val="0"/>
              <w:snapToGrid w:val="0"/>
              <w:spacing w:line="560" w:lineRule="exact"/>
              <w:rPr>
                <w:rFonts w:eastAsia="黑体"/>
                <w:color w:val="auto"/>
                <w:szCs w:val="21"/>
                <w:highlight w:val="none"/>
              </w:rPr>
            </w:pPr>
          </w:p>
        </w:tc>
        <w:tc>
          <w:tcPr>
            <w:tcW w:w="1385" w:type="dxa"/>
            <w:noWrap w:val="0"/>
            <w:vAlign w:val="top"/>
          </w:tcPr>
          <w:p w14:paraId="1B4F5357">
            <w:pPr>
              <w:adjustRightInd w:val="0"/>
              <w:snapToGrid w:val="0"/>
              <w:spacing w:line="560" w:lineRule="exact"/>
              <w:rPr>
                <w:rFonts w:eastAsia="黑体"/>
                <w:color w:val="auto"/>
                <w:szCs w:val="21"/>
                <w:highlight w:val="none"/>
              </w:rPr>
            </w:pPr>
          </w:p>
        </w:tc>
        <w:tc>
          <w:tcPr>
            <w:tcW w:w="2522" w:type="dxa"/>
            <w:gridSpan w:val="2"/>
            <w:noWrap w:val="0"/>
            <w:vAlign w:val="top"/>
          </w:tcPr>
          <w:p w14:paraId="7053C3EC">
            <w:pPr>
              <w:adjustRightInd w:val="0"/>
              <w:snapToGrid w:val="0"/>
              <w:spacing w:line="560" w:lineRule="exact"/>
              <w:rPr>
                <w:rFonts w:eastAsia="黑体"/>
                <w:color w:val="auto"/>
                <w:szCs w:val="21"/>
                <w:highlight w:val="none"/>
              </w:rPr>
            </w:pPr>
          </w:p>
        </w:tc>
      </w:tr>
      <w:tr w14:paraId="5AAE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05409FEF">
            <w:pPr>
              <w:adjustRightInd w:val="0"/>
              <w:snapToGrid w:val="0"/>
              <w:spacing w:line="560" w:lineRule="exact"/>
              <w:rPr>
                <w:rFonts w:eastAsia="黑体"/>
                <w:color w:val="auto"/>
                <w:szCs w:val="21"/>
                <w:highlight w:val="none"/>
              </w:rPr>
            </w:pPr>
          </w:p>
        </w:tc>
        <w:tc>
          <w:tcPr>
            <w:tcW w:w="3756" w:type="dxa"/>
            <w:gridSpan w:val="4"/>
            <w:noWrap w:val="0"/>
            <w:vAlign w:val="top"/>
          </w:tcPr>
          <w:p w14:paraId="5685EDA5">
            <w:pPr>
              <w:adjustRightInd w:val="0"/>
              <w:snapToGrid w:val="0"/>
              <w:spacing w:line="560" w:lineRule="exact"/>
              <w:rPr>
                <w:rFonts w:eastAsia="黑体"/>
                <w:color w:val="auto"/>
                <w:szCs w:val="21"/>
                <w:highlight w:val="none"/>
              </w:rPr>
            </w:pPr>
          </w:p>
        </w:tc>
        <w:tc>
          <w:tcPr>
            <w:tcW w:w="1385" w:type="dxa"/>
            <w:noWrap w:val="0"/>
            <w:vAlign w:val="top"/>
          </w:tcPr>
          <w:p w14:paraId="58756382">
            <w:pPr>
              <w:adjustRightInd w:val="0"/>
              <w:snapToGrid w:val="0"/>
              <w:spacing w:line="560" w:lineRule="exact"/>
              <w:rPr>
                <w:rFonts w:eastAsia="黑体"/>
                <w:color w:val="auto"/>
                <w:szCs w:val="21"/>
                <w:highlight w:val="none"/>
              </w:rPr>
            </w:pPr>
          </w:p>
        </w:tc>
        <w:tc>
          <w:tcPr>
            <w:tcW w:w="2522" w:type="dxa"/>
            <w:gridSpan w:val="2"/>
            <w:noWrap w:val="0"/>
            <w:vAlign w:val="top"/>
          </w:tcPr>
          <w:p w14:paraId="1D176649">
            <w:pPr>
              <w:adjustRightInd w:val="0"/>
              <w:snapToGrid w:val="0"/>
              <w:spacing w:line="560" w:lineRule="exact"/>
              <w:rPr>
                <w:rFonts w:eastAsia="黑体"/>
                <w:color w:val="auto"/>
                <w:szCs w:val="21"/>
                <w:highlight w:val="none"/>
              </w:rPr>
            </w:pPr>
          </w:p>
        </w:tc>
      </w:tr>
      <w:tr w14:paraId="0BC4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5EF689EB">
            <w:pPr>
              <w:adjustRightInd w:val="0"/>
              <w:snapToGrid w:val="0"/>
              <w:spacing w:line="560" w:lineRule="exact"/>
              <w:rPr>
                <w:rFonts w:eastAsia="黑体"/>
                <w:color w:val="auto"/>
                <w:szCs w:val="21"/>
                <w:highlight w:val="none"/>
              </w:rPr>
            </w:pPr>
          </w:p>
        </w:tc>
        <w:tc>
          <w:tcPr>
            <w:tcW w:w="3756" w:type="dxa"/>
            <w:gridSpan w:val="4"/>
            <w:noWrap w:val="0"/>
            <w:vAlign w:val="top"/>
          </w:tcPr>
          <w:p w14:paraId="6D9016E6">
            <w:pPr>
              <w:adjustRightInd w:val="0"/>
              <w:snapToGrid w:val="0"/>
              <w:spacing w:line="560" w:lineRule="exact"/>
              <w:rPr>
                <w:rFonts w:eastAsia="黑体"/>
                <w:color w:val="auto"/>
                <w:szCs w:val="21"/>
                <w:highlight w:val="none"/>
              </w:rPr>
            </w:pPr>
          </w:p>
        </w:tc>
        <w:tc>
          <w:tcPr>
            <w:tcW w:w="1385" w:type="dxa"/>
            <w:noWrap w:val="0"/>
            <w:vAlign w:val="top"/>
          </w:tcPr>
          <w:p w14:paraId="1878FD6A">
            <w:pPr>
              <w:adjustRightInd w:val="0"/>
              <w:snapToGrid w:val="0"/>
              <w:spacing w:line="560" w:lineRule="exact"/>
              <w:rPr>
                <w:rFonts w:eastAsia="黑体"/>
                <w:color w:val="auto"/>
                <w:szCs w:val="21"/>
                <w:highlight w:val="none"/>
              </w:rPr>
            </w:pPr>
          </w:p>
        </w:tc>
        <w:tc>
          <w:tcPr>
            <w:tcW w:w="2522" w:type="dxa"/>
            <w:gridSpan w:val="2"/>
            <w:noWrap w:val="0"/>
            <w:vAlign w:val="top"/>
          </w:tcPr>
          <w:p w14:paraId="745A35E9">
            <w:pPr>
              <w:adjustRightInd w:val="0"/>
              <w:snapToGrid w:val="0"/>
              <w:spacing w:line="560" w:lineRule="exact"/>
              <w:rPr>
                <w:rFonts w:eastAsia="黑体"/>
                <w:color w:val="auto"/>
                <w:szCs w:val="21"/>
                <w:highlight w:val="none"/>
              </w:rPr>
            </w:pPr>
          </w:p>
        </w:tc>
      </w:tr>
      <w:tr w14:paraId="1D61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77BECB54">
            <w:pPr>
              <w:adjustRightInd w:val="0"/>
              <w:snapToGrid w:val="0"/>
              <w:spacing w:line="560" w:lineRule="exact"/>
              <w:rPr>
                <w:rFonts w:eastAsia="黑体"/>
                <w:color w:val="auto"/>
                <w:szCs w:val="21"/>
                <w:highlight w:val="none"/>
              </w:rPr>
            </w:pPr>
          </w:p>
        </w:tc>
        <w:tc>
          <w:tcPr>
            <w:tcW w:w="3756" w:type="dxa"/>
            <w:gridSpan w:val="4"/>
            <w:noWrap w:val="0"/>
            <w:vAlign w:val="top"/>
          </w:tcPr>
          <w:p w14:paraId="28375588">
            <w:pPr>
              <w:adjustRightInd w:val="0"/>
              <w:snapToGrid w:val="0"/>
              <w:spacing w:line="560" w:lineRule="exact"/>
              <w:rPr>
                <w:rFonts w:eastAsia="黑体"/>
                <w:color w:val="auto"/>
                <w:szCs w:val="21"/>
                <w:highlight w:val="none"/>
              </w:rPr>
            </w:pPr>
          </w:p>
        </w:tc>
        <w:tc>
          <w:tcPr>
            <w:tcW w:w="1385" w:type="dxa"/>
            <w:noWrap w:val="0"/>
            <w:vAlign w:val="top"/>
          </w:tcPr>
          <w:p w14:paraId="37652501">
            <w:pPr>
              <w:adjustRightInd w:val="0"/>
              <w:snapToGrid w:val="0"/>
              <w:spacing w:line="560" w:lineRule="exact"/>
              <w:rPr>
                <w:rFonts w:eastAsia="黑体"/>
                <w:color w:val="auto"/>
                <w:szCs w:val="21"/>
                <w:highlight w:val="none"/>
              </w:rPr>
            </w:pPr>
          </w:p>
        </w:tc>
        <w:tc>
          <w:tcPr>
            <w:tcW w:w="2522" w:type="dxa"/>
            <w:gridSpan w:val="2"/>
            <w:noWrap w:val="0"/>
            <w:vAlign w:val="top"/>
          </w:tcPr>
          <w:p w14:paraId="345461A6">
            <w:pPr>
              <w:adjustRightInd w:val="0"/>
              <w:snapToGrid w:val="0"/>
              <w:spacing w:line="560" w:lineRule="exact"/>
              <w:rPr>
                <w:rFonts w:eastAsia="黑体"/>
                <w:color w:val="auto"/>
                <w:szCs w:val="21"/>
                <w:highlight w:val="none"/>
              </w:rPr>
            </w:pPr>
          </w:p>
        </w:tc>
      </w:tr>
      <w:tr w14:paraId="2AA6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66A59846">
            <w:pPr>
              <w:adjustRightInd w:val="0"/>
              <w:snapToGrid w:val="0"/>
              <w:spacing w:line="560" w:lineRule="exact"/>
              <w:rPr>
                <w:rFonts w:eastAsia="黑体"/>
                <w:color w:val="auto"/>
                <w:szCs w:val="21"/>
                <w:highlight w:val="none"/>
              </w:rPr>
            </w:pPr>
          </w:p>
        </w:tc>
        <w:tc>
          <w:tcPr>
            <w:tcW w:w="3756" w:type="dxa"/>
            <w:gridSpan w:val="4"/>
            <w:noWrap w:val="0"/>
            <w:vAlign w:val="top"/>
          </w:tcPr>
          <w:p w14:paraId="1B3EBDCD">
            <w:pPr>
              <w:adjustRightInd w:val="0"/>
              <w:snapToGrid w:val="0"/>
              <w:spacing w:line="560" w:lineRule="exact"/>
              <w:rPr>
                <w:rFonts w:eastAsia="黑体"/>
                <w:color w:val="auto"/>
                <w:szCs w:val="21"/>
                <w:highlight w:val="none"/>
              </w:rPr>
            </w:pPr>
          </w:p>
        </w:tc>
        <w:tc>
          <w:tcPr>
            <w:tcW w:w="1385" w:type="dxa"/>
            <w:noWrap w:val="0"/>
            <w:vAlign w:val="top"/>
          </w:tcPr>
          <w:p w14:paraId="0767D951">
            <w:pPr>
              <w:adjustRightInd w:val="0"/>
              <w:snapToGrid w:val="0"/>
              <w:spacing w:line="560" w:lineRule="exact"/>
              <w:rPr>
                <w:rFonts w:eastAsia="黑体"/>
                <w:color w:val="auto"/>
                <w:szCs w:val="21"/>
                <w:highlight w:val="none"/>
              </w:rPr>
            </w:pPr>
          </w:p>
        </w:tc>
        <w:tc>
          <w:tcPr>
            <w:tcW w:w="2522" w:type="dxa"/>
            <w:gridSpan w:val="2"/>
            <w:noWrap w:val="0"/>
            <w:vAlign w:val="top"/>
          </w:tcPr>
          <w:p w14:paraId="653513D4">
            <w:pPr>
              <w:adjustRightInd w:val="0"/>
              <w:snapToGrid w:val="0"/>
              <w:spacing w:line="560" w:lineRule="exact"/>
              <w:rPr>
                <w:rFonts w:eastAsia="黑体"/>
                <w:color w:val="auto"/>
                <w:szCs w:val="21"/>
                <w:highlight w:val="none"/>
              </w:rPr>
            </w:pPr>
          </w:p>
        </w:tc>
      </w:tr>
      <w:tr w14:paraId="05F5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06388175">
            <w:pPr>
              <w:adjustRightInd w:val="0"/>
              <w:snapToGrid w:val="0"/>
              <w:spacing w:line="560" w:lineRule="exact"/>
              <w:rPr>
                <w:rFonts w:eastAsia="黑体"/>
                <w:color w:val="auto"/>
                <w:szCs w:val="21"/>
                <w:highlight w:val="none"/>
              </w:rPr>
            </w:pPr>
          </w:p>
        </w:tc>
        <w:tc>
          <w:tcPr>
            <w:tcW w:w="3756" w:type="dxa"/>
            <w:gridSpan w:val="4"/>
            <w:noWrap w:val="0"/>
            <w:vAlign w:val="top"/>
          </w:tcPr>
          <w:p w14:paraId="2349B0BD">
            <w:pPr>
              <w:adjustRightInd w:val="0"/>
              <w:snapToGrid w:val="0"/>
              <w:spacing w:line="560" w:lineRule="exact"/>
              <w:rPr>
                <w:rFonts w:eastAsia="黑体"/>
                <w:color w:val="auto"/>
                <w:szCs w:val="21"/>
                <w:highlight w:val="none"/>
              </w:rPr>
            </w:pPr>
          </w:p>
        </w:tc>
        <w:tc>
          <w:tcPr>
            <w:tcW w:w="1385" w:type="dxa"/>
            <w:noWrap w:val="0"/>
            <w:vAlign w:val="top"/>
          </w:tcPr>
          <w:p w14:paraId="4EBDA550">
            <w:pPr>
              <w:adjustRightInd w:val="0"/>
              <w:snapToGrid w:val="0"/>
              <w:spacing w:line="560" w:lineRule="exact"/>
              <w:rPr>
                <w:rFonts w:eastAsia="黑体"/>
                <w:color w:val="auto"/>
                <w:szCs w:val="21"/>
                <w:highlight w:val="none"/>
              </w:rPr>
            </w:pPr>
          </w:p>
        </w:tc>
        <w:tc>
          <w:tcPr>
            <w:tcW w:w="2522" w:type="dxa"/>
            <w:gridSpan w:val="2"/>
            <w:noWrap w:val="0"/>
            <w:vAlign w:val="top"/>
          </w:tcPr>
          <w:p w14:paraId="0B0CA817">
            <w:pPr>
              <w:adjustRightInd w:val="0"/>
              <w:snapToGrid w:val="0"/>
              <w:spacing w:line="560" w:lineRule="exact"/>
              <w:rPr>
                <w:rFonts w:eastAsia="黑体"/>
                <w:color w:val="auto"/>
                <w:szCs w:val="21"/>
                <w:highlight w:val="none"/>
              </w:rPr>
            </w:pPr>
          </w:p>
        </w:tc>
      </w:tr>
      <w:tr w14:paraId="7D12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592EF721">
            <w:pPr>
              <w:adjustRightInd w:val="0"/>
              <w:snapToGrid w:val="0"/>
              <w:spacing w:line="560" w:lineRule="exact"/>
              <w:rPr>
                <w:rFonts w:eastAsia="黑体"/>
                <w:color w:val="auto"/>
                <w:szCs w:val="21"/>
                <w:highlight w:val="none"/>
              </w:rPr>
            </w:pPr>
          </w:p>
        </w:tc>
        <w:tc>
          <w:tcPr>
            <w:tcW w:w="3756" w:type="dxa"/>
            <w:gridSpan w:val="4"/>
            <w:noWrap w:val="0"/>
            <w:vAlign w:val="top"/>
          </w:tcPr>
          <w:p w14:paraId="3C9E059A">
            <w:pPr>
              <w:adjustRightInd w:val="0"/>
              <w:snapToGrid w:val="0"/>
              <w:spacing w:line="560" w:lineRule="exact"/>
              <w:rPr>
                <w:rFonts w:eastAsia="黑体"/>
                <w:color w:val="auto"/>
                <w:szCs w:val="21"/>
                <w:highlight w:val="none"/>
              </w:rPr>
            </w:pPr>
          </w:p>
        </w:tc>
        <w:tc>
          <w:tcPr>
            <w:tcW w:w="1385" w:type="dxa"/>
            <w:noWrap w:val="0"/>
            <w:vAlign w:val="top"/>
          </w:tcPr>
          <w:p w14:paraId="5422575F">
            <w:pPr>
              <w:adjustRightInd w:val="0"/>
              <w:snapToGrid w:val="0"/>
              <w:spacing w:line="560" w:lineRule="exact"/>
              <w:rPr>
                <w:rFonts w:eastAsia="黑体"/>
                <w:color w:val="auto"/>
                <w:szCs w:val="21"/>
                <w:highlight w:val="none"/>
              </w:rPr>
            </w:pPr>
          </w:p>
        </w:tc>
        <w:tc>
          <w:tcPr>
            <w:tcW w:w="2522" w:type="dxa"/>
            <w:gridSpan w:val="2"/>
            <w:noWrap w:val="0"/>
            <w:vAlign w:val="top"/>
          </w:tcPr>
          <w:p w14:paraId="1B7544A6">
            <w:pPr>
              <w:adjustRightInd w:val="0"/>
              <w:snapToGrid w:val="0"/>
              <w:spacing w:line="560" w:lineRule="exact"/>
              <w:rPr>
                <w:rFonts w:eastAsia="黑体"/>
                <w:color w:val="auto"/>
                <w:szCs w:val="21"/>
                <w:highlight w:val="none"/>
              </w:rPr>
            </w:pPr>
          </w:p>
        </w:tc>
      </w:tr>
    </w:tbl>
    <w:p w14:paraId="2A020045">
      <w:pPr>
        <w:pStyle w:val="6"/>
        <w:jc w:val="center"/>
        <w:rPr>
          <w:color w:val="auto"/>
          <w:sz w:val="23"/>
          <w:szCs w:val="23"/>
          <w:highlight w:val="none"/>
        </w:rPr>
      </w:pPr>
      <w:r>
        <w:rPr>
          <w:rFonts w:hint="eastAsia"/>
          <w:color w:val="auto"/>
          <w:highlight w:val="none"/>
        </w:rPr>
        <w:t>附表3：拟任项目技术负责人简历表</w:t>
      </w:r>
    </w:p>
    <w:tbl>
      <w:tblPr>
        <w:tblStyle w:val="2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022D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3B4D39D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姓  名</w:t>
            </w:r>
          </w:p>
        </w:tc>
        <w:tc>
          <w:tcPr>
            <w:tcW w:w="1190" w:type="dxa"/>
            <w:gridSpan w:val="2"/>
            <w:noWrap w:val="0"/>
            <w:vAlign w:val="center"/>
          </w:tcPr>
          <w:p w14:paraId="4D13ED18">
            <w:pPr>
              <w:adjustRightInd w:val="0"/>
              <w:snapToGrid w:val="0"/>
              <w:spacing w:line="560" w:lineRule="exact"/>
              <w:jc w:val="center"/>
              <w:rPr>
                <w:rFonts w:ascii="宋体" w:hAnsi="宋体"/>
                <w:color w:val="auto"/>
                <w:szCs w:val="21"/>
                <w:highlight w:val="none"/>
              </w:rPr>
            </w:pPr>
          </w:p>
        </w:tc>
        <w:tc>
          <w:tcPr>
            <w:tcW w:w="1023" w:type="dxa"/>
            <w:noWrap w:val="0"/>
            <w:vAlign w:val="center"/>
          </w:tcPr>
          <w:p w14:paraId="41CFC874">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年 龄</w:t>
            </w:r>
          </w:p>
        </w:tc>
        <w:tc>
          <w:tcPr>
            <w:tcW w:w="1175" w:type="dxa"/>
            <w:noWrap w:val="0"/>
            <w:vAlign w:val="center"/>
          </w:tcPr>
          <w:p w14:paraId="582416E7">
            <w:pPr>
              <w:adjustRightInd w:val="0"/>
              <w:snapToGrid w:val="0"/>
              <w:spacing w:line="560" w:lineRule="exact"/>
              <w:jc w:val="center"/>
              <w:rPr>
                <w:rFonts w:ascii="宋体" w:hAnsi="宋体"/>
                <w:color w:val="auto"/>
                <w:szCs w:val="21"/>
                <w:highlight w:val="none"/>
              </w:rPr>
            </w:pPr>
          </w:p>
        </w:tc>
        <w:tc>
          <w:tcPr>
            <w:tcW w:w="2349" w:type="dxa"/>
            <w:gridSpan w:val="3"/>
            <w:noWrap w:val="0"/>
            <w:vAlign w:val="center"/>
          </w:tcPr>
          <w:p w14:paraId="7E255030">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学历</w:t>
            </w:r>
          </w:p>
        </w:tc>
        <w:tc>
          <w:tcPr>
            <w:tcW w:w="2355" w:type="dxa"/>
            <w:noWrap w:val="0"/>
            <w:vAlign w:val="center"/>
          </w:tcPr>
          <w:p w14:paraId="320086EC">
            <w:pPr>
              <w:adjustRightInd w:val="0"/>
              <w:snapToGrid w:val="0"/>
              <w:spacing w:line="560" w:lineRule="exact"/>
              <w:rPr>
                <w:rFonts w:ascii="宋体" w:hAnsi="宋体"/>
                <w:color w:val="auto"/>
                <w:szCs w:val="21"/>
                <w:highlight w:val="none"/>
              </w:rPr>
            </w:pPr>
          </w:p>
        </w:tc>
      </w:tr>
      <w:tr w14:paraId="0964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036EF38D">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称</w:t>
            </w:r>
          </w:p>
        </w:tc>
        <w:tc>
          <w:tcPr>
            <w:tcW w:w="1190" w:type="dxa"/>
            <w:gridSpan w:val="2"/>
            <w:noWrap w:val="0"/>
            <w:vAlign w:val="center"/>
          </w:tcPr>
          <w:p w14:paraId="43F44D58">
            <w:pPr>
              <w:adjustRightInd w:val="0"/>
              <w:snapToGrid w:val="0"/>
              <w:spacing w:line="560" w:lineRule="exact"/>
              <w:jc w:val="center"/>
              <w:rPr>
                <w:rFonts w:ascii="宋体" w:hAnsi="宋体"/>
                <w:color w:val="auto"/>
                <w:szCs w:val="21"/>
                <w:highlight w:val="none"/>
              </w:rPr>
            </w:pPr>
          </w:p>
        </w:tc>
        <w:tc>
          <w:tcPr>
            <w:tcW w:w="1023" w:type="dxa"/>
            <w:noWrap w:val="0"/>
            <w:vAlign w:val="center"/>
          </w:tcPr>
          <w:p w14:paraId="2728DEF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务</w:t>
            </w:r>
          </w:p>
        </w:tc>
        <w:tc>
          <w:tcPr>
            <w:tcW w:w="1175" w:type="dxa"/>
            <w:noWrap w:val="0"/>
            <w:vAlign w:val="center"/>
          </w:tcPr>
          <w:p w14:paraId="30AD3DFE">
            <w:pPr>
              <w:adjustRightInd w:val="0"/>
              <w:snapToGrid w:val="0"/>
              <w:spacing w:line="560" w:lineRule="exact"/>
              <w:jc w:val="center"/>
              <w:rPr>
                <w:rFonts w:ascii="宋体" w:hAnsi="宋体"/>
                <w:color w:val="auto"/>
                <w:szCs w:val="21"/>
                <w:highlight w:val="none"/>
              </w:rPr>
            </w:pPr>
          </w:p>
        </w:tc>
        <w:tc>
          <w:tcPr>
            <w:tcW w:w="2349" w:type="dxa"/>
            <w:gridSpan w:val="3"/>
            <w:noWrap w:val="0"/>
            <w:vAlign w:val="center"/>
          </w:tcPr>
          <w:p w14:paraId="394E72F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355" w:type="dxa"/>
            <w:noWrap w:val="0"/>
            <w:vAlign w:val="center"/>
          </w:tcPr>
          <w:p w14:paraId="617F9D64">
            <w:pPr>
              <w:adjustRightInd w:val="0"/>
              <w:snapToGrid w:val="0"/>
              <w:spacing w:line="560" w:lineRule="exact"/>
              <w:rPr>
                <w:rFonts w:ascii="宋体" w:hAnsi="宋体"/>
                <w:color w:val="auto"/>
                <w:szCs w:val="21"/>
                <w:highlight w:val="none"/>
              </w:rPr>
            </w:pPr>
          </w:p>
        </w:tc>
      </w:tr>
      <w:tr w14:paraId="1AD1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1FAAC81C">
            <w:pPr>
              <w:adjustRightInd w:val="0"/>
              <w:snapToGrid w:val="0"/>
              <w:spacing w:line="560" w:lineRule="exact"/>
              <w:rPr>
                <w:rFonts w:ascii="宋体" w:hAnsi="宋体"/>
                <w:color w:val="auto"/>
                <w:szCs w:val="21"/>
                <w:highlight w:val="none"/>
              </w:rPr>
            </w:pPr>
            <w:r>
              <w:rPr>
                <w:rFonts w:ascii="宋体" w:hAnsi="宋体"/>
                <w:color w:val="auto"/>
                <w:szCs w:val="21"/>
                <w:highlight w:val="none"/>
              </w:rPr>
              <w:t>毕业学校</w:t>
            </w:r>
          </w:p>
        </w:tc>
        <w:tc>
          <w:tcPr>
            <w:tcW w:w="8092" w:type="dxa"/>
            <w:gridSpan w:val="8"/>
            <w:noWrap w:val="0"/>
            <w:vAlign w:val="top"/>
          </w:tcPr>
          <w:p w14:paraId="65505943">
            <w:pPr>
              <w:adjustRightInd w:val="0"/>
              <w:snapToGrid w:val="0"/>
              <w:spacing w:line="56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662A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noWrap w:val="0"/>
            <w:vAlign w:val="center"/>
          </w:tcPr>
          <w:p w14:paraId="260A2FE6">
            <w:pPr>
              <w:adjustRightInd w:val="0"/>
              <w:snapToGrid w:val="0"/>
              <w:spacing w:line="560" w:lineRule="exact"/>
              <w:rPr>
                <w:rFonts w:ascii="宋体" w:hAnsi="宋体"/>
                <w:color w:val="auto"/>
                <w:szCs w:val="21"/>
                <w:highlight w:val="none"/>
              </w:rPr>
            </w:pPr>
            <w:r>
              <w:rPr>
                <w:rFonts w:ascii="宋体" w:hAnsi="宋体"/>
                <w:color w:val="auto"/>
                <w:szCs w:val="21"/>
                <w:highlight w:val="none"/>
              </w:rPr>
              <w:t>主要工作经历</w:t>
            </w:r>
          </w:p>
        </w:tc>
      </w:tr>
      <w:tr w14:paraId="46C6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noWrap w:val="0"/>
            <w:vAlign w:val="center"/>
          </w:tcPr>
          <w:p w14:paraId="4B5B32BF">
            <w:pPr>
              <w:adjustRightInd w:val="0"/>
              <w:snapToGrid w:val="0"/>
              <w:spacing w:line="560" w:lineRule="exact"/>
              <w:rPr>
                <w:rFonts w:ascii="宋体" w:hAnsi="宋体"/>
                <w:color w:val="auto"/>
                <w:szCs w:val="21"/>
                <w:highlight w:val="none"/>
              </w:rPr>
            </w:pPr>
            <w:r>
              <w:rPr>
                <w:rFonts w:ascii="宋体" w:hAnsi="宋体"/>
                <w:color w:val="auto"/>
                <w:szCs w:val="21"/>
                <w:highlight w:val="none"/>
              </w:rPr>
              <w:t>时  间</w:t>
            </w:r>
          </w:p>
        </w:tc>
        <w:tc>
          <w:tcPr>
            <w:tcW w:w="3773" w:type="dxa"/>
            <w:gridSpan w:val="4"/>
            <w:noWrap w:val="0"/>
            <w:vAlign w:val="center"/>
          </w:tcPr>
          <w:p w14:paraId="34A428BC">
            <w:pPr>
              <w:adjustRightInd w:val="0"/>
              <w:snapToGrid w:val="0"/>
              <w:spacing w:line="560" w:lineRule="exact"/>
              <w:rPr>
                <w:rFonts w:ascii="宋体" w:hAnsi="宋体"/>
                <w:color w:val="auto"/>
                <w:szCs w:val="21"/>
                <w:highlight w:val="none"/>
              </w:rPr>
            </w:pPr>
            <w:r>
              <w:rPr>
                <w:rFonts w:ascii="宋体" w:hAnsi="宋体"/>
                <w:color w:val="auto"/>
                <w:szCs w:val="21"/>
                <w:highlight w:val="none"/>
              </w:rPr>
              <w:t>参加过的类似项目</w:t>
            </w:r>
          </w:p>
        </w:tc>
        <w:tc>
          <w:tcPr>
            <w:tcW w:w="1390" w:type="dxa"/>
            <w:noWrap w:val="0"/>
            <w:vAlign w:val="center"/>
          </w:tcPr>
          <w:p w14:paraId="113AD342">
            <w:pPr>
              <w:adjustRightInd w:val="0"/>
              <w:snapToGrid w:val="0"/>
              <w:spacing w:line="560" w:lineRule="exact"/>
              <w:rPr>
                <w:rFonts w:ascii="宋体" w:hAnsi="宋体"/>
                <w:color w:val="auto"/>
                <w:szCs w:val="21"/>
                <w:highlight w:val="none"/>
              </w:rPr>
            </w:pPr>
            <w:r>
              <w:rPr>
                <w:rFonts w:ascii="宋体" w:hAnsi="宋体"/>
                <w:color w:val="auto"/>
                <w:szCs w:val="21"/>
                <w:highlight w:val="none"/>
              </w:rPr>
              <w:t>担任职务</w:t>
            </w:r>
          </w:p>
        </w:tc>
        <w:tc>
          <w:tcPr>
            <w:tcW w:w="2533" w:type="dxa"/>
            <w:gridSpan w:val="2"/>
            <w:noWrap w:val="0"/>
            <w:vAlign w:val="center"/>
          </w:tcPr>
          <w:p w14:paraId="4F623822">
            <w:pPr>
              <w:adjustRightInd w:val="0"/>
              <w:snapToGrid w:val="0"/>
              <w:spacing w:line="560" w:lineRule="exact"/>
              <w:rPr>
                <w:rFonts w:ascii="宋体" w:hAnsi="宋体"/>
                <w:color w:val="auto"/>
                <w:szCs w:val="21"/>
                <w:highlight w:val="none"/>
              </w:rPr>
            </w:pPr>
            <w:r>
              <w:rPr>
                <w:rFonts w:ascii="宋体" w:hAnsi="宋体"/>
                <w:color w:val="auto"/>
                <w:szCs w:val="21"/>
                <w:highlight w:val="none"/>
              </w:rPr>
              <w:t>发包人及联系电话</w:t>
            </w:r>
          </w:p>
        </w:tc>
      </w:tr>
      <w:tr w14:paraId="1019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09F93021">
            <w:pPr>
              <w:adjustRightInd w:val="0"/>
              <w:snapToGrid w:val="0"/>
              <w:spacing w:line="560" w:lineRule="exact"/>
              <w:rPr>
                <w:rFonts w:eastAsia="黑体"/>
                <w:color w:val="auto"/>
                <w:szCs w:val="21"/>
                <w:highlight w:val="none"/>
              </w:rPr>
            </w:pPr>
          </w:p>
        </w:tc>
        <w:tc>
          <w:tcPr>
            <w:tcW w:w="3773" w:type="dxa"/>
            <w:gridSpan w:val="4"/>
            <w:noWrap w:val="0"/>
            <w:vAlign w:val="top"/>
          </w:tcPr>
          <w:p w14:paraId="43CB1322">
            <w:pPr>
              <w:adjustRightInd w:val="0"/>
              <w:snapToGrid w:val="0"/>
              <w:spacing w:line="560" w:lineRule="exact"/>
              <w:rPr>
                <w:rFonts w:eastAsia="黑体"/>
                <w:color w:val="auto"/>
                <w:szCs w:val="21"/>
                <w:highlight w:val="none"/>
              </w:rPr>
            </w:pPr>
          </w:p>
        </w:tc>
        <w:tc>
          <w:tcPr>
            <w:tcW w:w="1390" w:type="dxa"/>
            <w:noWrap w:val="0"/>
            <w:vAlign w:val="top"/>
          </w:tcPr>
          <w:p w14:paraId="7811B017">
            <w:pPr>
              <w:adjustRightInd w:val="0"/>
              <w:snapToGrid w:val="0"/>
              <w:spacing w:line="560" w:lineRule="exact"/>
              <w:rPr>
                <w:rFonts w:eastAsia="黑体"/>
                <w:color w:val="auto"/>
                <w:szCs w:val="21"/>
                <w:highlight w:val="none"/>
              </w:rPr>
            </w:pPr>
          </w:p>
        </w:tc>
        <w:tc>
          <w:tcPr>
            <w:tcW w:w="2533" w:type="dxa"/>
            <w:gridSpan w:val="2"/>
            <w:noWrap w:val="0"/>
            <w:vAlign w:val="top"/>
          </w:tcPr>
          <w:p w14:paraId="006F3AA7">
            <w:pPr>
              <w:adjustRightInd w:val="0"/>
              <w:snapToGrid w:val="0"/>
              <w:spacing w:line="560" w:lineRule="exact"/>
              <w:rPr>
                <w:rFonts w:eastAsia="黑体"/>
                <w:color w:val="auto"/>
                <w:szCs w:val="21"/>
                <w:highlight w:val="none"/>
              </w:rPr>
            </w:pPr>
          </w:p>
        </w:tc>
      </w:tr>
      <w:tr w14:paraId="60FA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16C3EFAB">
            <w:pPr>
              <w:adjustRightInd w:val="0"/>
              <w:snapToGrid w:val="0"/>
              <w:spacing w:line="560" w:lineRule="exact"/>
              <w:rPr>
                <w:rFonts w:eastAsia="黑体"/>
                <w:color w:val="auto"/>
                <w:szCs w:val="21"/>
                <w:highlight w:val="none"/>
              </w:rPr>
            </w:pPr>
          </w:p>
        </w:tc>
        <w:tc>
          <w:tcPr>
            <w:tcW w:w="3773" w:type="dxa"/>
            <w:gridSpan w:val="4"/>
            <w:noWrap w:val="0"/>
            <w:vAlign w:val="top"/>
          </w:tcPr>
          <w:p w14:paraId="7416D879">
            <w:pPr>
              <w:adjustRightInd w:val="0"/>
              <w:snapToGrid w:val="0"/>
              <w:spacing w:line="560" w:lineRule="exact"/>
              <w:rPr>
                <w:rFonts w:eastAsia="黑体"/>
                <w:color w:val="auto"/>
                <w:szCs w:val="21"/>
                <w:highlight w:val="none"/>
              </w:rPr>
            </w:pPr>
          </w:p>
        </w:tc>
        <w:tc>
          <w:tcPr>
            <w:tcW w:w="1390" w:type="dxa"/>
            <w:noWrap w:val="0"/>
            <w:vAlign w:val="top"/>
          </w:tcPr>
          <w:p w14:paraId="07871374">
            <w:pPr>
              <w:adjustRightInd w:val="0"/>
              <w:snapToGrid w:val="0"/>
              <w:spacing w:line="560" w:lineRule="exact"/>
              <w:rPr>
                <w:rFonts w:eastAsia="黑体"/>
                <w:color w:val="auto"/>
                <w:szCs w:val="21"/>
                <w:highlight w:val="none"/>
              </w:rPr>
            </w:pPr>
          </w:p>
        </w:tc>
        <w:tc>
          <w:tcPr>
            <w:tcW w:w="2533" w:type="dxa"/>
            <w:gridSpan w:val="2"/>
            <w:noWrap w:val="0"/>
            <w:vAlign w:val="top"/>
          </w:tcPr>
          <w:p w14:paraId="4B73E7A8">
            <w:pPr>
              <w:adjustRightInd w:val="0"/>
              <w:snapToGrid w:val="0"/>
              <w:spacing w:line="560" w:lineRule="exact"/>
              <w:rPr>
                <w:rFonts w:eastAsia="黑体"/>
                <w:color w:val="auto"/>
                <w:szCs w:val="21"/>
                <w:highlight w:val="none"/>
              </w:rPr>
            </w:pPr>
          </w:p>
        </w:tc>
      </w:tr>
      <w:tr w14:paraId="18FD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6FBFA3E">
            <w:pPr>
              <w:adjustRightInd w:val="0"/>
              <w:snapToGrid w:val="0"/>
              <w:spacing w:line="560" w:lineRule="exact"/>
              <w:rPr>
                <w:rFonts w:eastAsia="黑体"/>
                <w:color w:val="auto"/>
                <w:szCs w:val="21"/>
                <w:highlight w:val="none"/>
              </w:rPr>
            </w:pPr>
          </w:p>
        </w:tc>
        <w:tc>
          <w:tcPr>
            <w:tcW w:w="3773" w:type="dxa"/>
            <w:gridSpan w:val="4"/>
            <w:noWrap w:val="0"/>
            <w:vAlign w:val="top"/>
          </w:tcPr>
          <w:p w14:paraId="03768D29">
            <w:pPr>
              <w:adjustRightInd w:val="0"/>
              <w:snapToGrid w:val="0"/>
              <w:spacing w:line="560" w:lineRule="exact"/>
              <w:rPr>
                <w:rFonts w:eastAsia="黑体"/>
                <w:color w:val="auto"/>
                <w:szCs w:val="21"/>
                <w:highlight w:val="none"/>
              </w:rPr>
            </w:pPr>
          </w:p>
        </w:tc>
        <w:tc>
          <w:tcPr>
            <w:tcW w:w="1390" w:type="dxa"/>
            <w:noWrap w:val="0"/>
            <w:vAlign w:val="top"/>
          </w:tcPr>
          <w:p w14:paraId="0C956DC2">
            <w:pPr>
              <w:adjustRightInd w:val="0"/>
              <w:snapToGrid w:val="0"/>
              <w:spacing w:line="560" w:lineRule="exact"/>
              <w:rPr>
                <w:rFonts w:eastAsia="黑体"/>
                <w:color w:val="auto"/>
                <w:szCs w:val="21"/>
                <w:highlight w:val="none"/>
              </w:rPr>
            </w:pPr>
          </w:p>
        </w:tc>
        <w:tc>
          <w:tcPr>
            <w:tcW w:w="2533" w:type="dxa"/>
            <w:gridSpan w:val="2"/>
            <w:noWrap w:val="0"/>
            <w:vAlign w:val="top"/>
          </w:tcPr>
          <w:p w14:paraId="68D5A39C">
            <w:pPr>
              <w:adjustRightInd w:val="0"/>
              <w:snapToGrid w:val="0"/>
              <w:spacing w:line="560" w:lineRule="exact"/>
              <w:rPr>
                <w:rFonts w:eastAsia="黑体"/>
                <w:color w:val="auto"/>
                <w:szCs w:val="21"/>
                <w:highlight w:val="none"/>
              </w:rPr>
            </w:pPr>
          </w:p>
        </w:tc>
      </w:tr>
      <w:tr w14:paraId="53E8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71D281D8">
            <w:pPr>
              <w:adjustRightInd w:val="0"/>
              <w:snapToGrid w:val="0"/>
              <w:spacing w:line="560" w:lineRule="exact"/>
              <w:rPr>
                <w:rFonts w:eastAsia="黑体"/>
                <w:color w:val="auto"/>
                <w:szCs w:val="21"/>
                <w:highlight w:val="none"/>
              </w:rPr>
            </w:pPr>
          </w:p>
        </w:tc>
        <w:tc>
          <w:tcPr>
            <w:tcW w:w="3773" w:type="dxa"/>
            <w:gridSpan w:val="4"/>
            <w:noWrap w:val="0"/>
            <w:vAlign w:val="top"/>
          </w:tcPr>
          <w:p w14:paraId="551F8E51">
            <w:pPr>
              <w:adjustRightInd w:val="0"/>
              <w:snapToGrid w:val="0"/>
              <w:spacing w:line="560" w:lineRule="exact"/>
              <w:rPr>
                <w:rFonts w:eastAsia="黑体"/>
                <w:color w:val="auto"/>
                <w:szCs w:val="21"/>
                <w:highlight w:val="none"/>
              </w:rPr>
            </w:pPr>
          </w:p>
        </w:tc>
        <w:tc>
          <w:tcPr>
            <w:tcW w:w="1390" w:type="dxa"/>
            <w:noWrap w:val="0"/>
            <w:vAlign w:val="top"/>
          </w:tcPr>
          <w:p w14:paraId="11E4B9FD">
            <w:pPr>
              <w:adjustRightInd w:val="0"/>
              <w:snapToGrid w:val="0"/>
              <w:spacing w:line="560" w:lineRule="exact"/>
              <w:rPr>
                <w:rFonts w:eastAsia="黑体"/>
                <w:color w:val="auto"/>
                <w:szCs w:val="21"/>
                <w:highlight w:val="none"/>
              </w:rPr>
            </w:pPr>
          </w:p>
        </w:tc>
        <w:tc>
          <w:tcPr>
            <w:tcW w:w="2533" w:type="dxa"/>
            <w:gridSpan w:val="2"/>
            <w:noWrap w:val="0"/>
            <w:vAlign w:val="top"/>
          </w:tcPr>
          <w:p w14:paraId="43E25812">
            <w:pPr>
              <w:adjustRightInd w:val="0"/>
              <w:snapToGrid w:val="0"/>
              <w:spacing w:line="560" w:lineRule="exact"/>
              <w:rPr>
                <w:rFonts w:eastAsia="黑体"/>
                <w:color w:val="auto"/>
                <w:szCs w:val="21"/>
                <w:highlight w:val="none"/>
              </w:rPr>
            </w:pPr>
          </w:p>
        </w:tc>
      </w:tr>
      <w:tr w14:paraId="1F08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25CA5EC2">
            <w:pPr>
              <w:adjustRightInd w:val="0"/>
              <w:snapToGrid w:val="0"/>
              <w:spacing w:line="560" w:lineRule="exact"/>
              <w:rPr>
                <w:rFonts w:eastAsia="黑体"/>
                <w:color w:val="auto"/>
                <w:szCs w:val="21"/>
                <w:highlight w:val="none"/>
              </w:rPr>
            </w:pPr>
          </w:p>
        </w:tc>
        <w:tc>
          <w:tcPr>
            <w:tcW w:w="3773" w:type="dxa"/>
            <w:gridSpan w:val="4"/>
            <w:noWrap w:val="0"/>
            <w:vAlign w:val="top"/>
          </w:tcPr>
          <w:p w14:paraId="4B1A889C">
            <w:pPr>
              <w:adjustRightInd w:val="0"/>
              <w:snapToGrid w:val="0"/>
              <w:spacing w:line="560" w:lineRule="exact"/>
              <w:rPr>
                <w:rFonts w:eastAsia="黑体"/>
                <w:color w:val="auto"/>
                <w:szCs w:val="21"/>
                <w:highlight w:val="none"/>
              </w:rPr>
            </w:pPr>
          </w:p>
        </w:tc>
        <w:tc>
          <w:tcPr>
            <w:tcW w:w="1390" w:type="dxa"/>
            <w:noWrap w:val="0"/>
            <w:vAlign w:val="top"/>
          </w:tcPr>
          <w:p w14:paraId="7516C0A6">
            <w:pPr>
              <w:adjustRightInd w:val="0"/>
              <w:snapToGrid w:val="0"/>
              <w:spacing w:line="560" w:lineRule="exact"/>
              <w:rPr>
                <w:rFonts w:eastAsia="黑体"/>
                <w:color w:val="auto"/>
                <w:szCs w:val="21"/>
                <w:highlight w:val="none"/>
              </w:rPr>
            </w:pPr>
          </w:p>
        </w:tc>
        <w:tc>
          <w:tcPr>
            <w:tcW w:w="2533" w:type="dxa"/>
            <w:gridSpan w:val="2"/>
            <w:noWrap w:val="0"/>
            <w:vAlign w:val="top"/>
          </w:tcPr>
          <w:p w14:paraId="26EBD57D">
            <w:pPr>
              <w:adjustRightInd w:val="0"/>
              <w:snapToGrid w:val="0"/>
              <w:spacing w:line="560" w:lineRule="exact"/>
              <w:rPr>
                <w:rFonts w:eastAsia="黑体"/>
                <w:color w:val="auto"/>
                <w:szCs w:val="21"/>
                <w:highlight w:val="none"/>
              </w:rPr>
            </w:pPr>
          </w:p>
        </w:tc>
      </w:tr>
      <w:tr w14:paraId="54DC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1CD0BAE8">
            <w:pPr>
              <w:adjustRightInd w:val="0"/>
              <w:snapToGrid w:val="0"/>
              <w:spacing w:line="560" w:lineRule="exact"/>
              <w:rPr>
                <w:rFonts w:eastAsia="黑体"/>
                <w:color w:val="auto"/>
                <w:szCs w:val="21"/>
                <w:highlight w:val="none"/>
              </w:rPr>
            </w:pPr>
          </w:p>
        </w:tc>
        <w:tc>
          <w:tcPr>
            <w:tcW w:w="3773" w:type="dxa"/>
            <w:gridSpan w:val="4"/>
            <w:noWrap w:val="0"/>
            <w:vAlign w:val="top"/>
          </w:tcPr>
          <w:p w14:paraId="3CDA32E1">
            <w:pPr>
              <w:adjustRightInd w:val="0"/>
              <w:snapToGrid w:val="0"/>
              <w:spacing w:line="560" w:lineRule="exact"/>
              <w:rPr>
                <w:rFonts w:eastAsia="黑体"/>
                <w:color w:val="auto"/>
                <w:szCs w:val="21"/>
                <w:highlight w:val="none"/>
              </w:rPr>
            </w:pPr>
          </w:p>
        </w:tc>
        <w:tc>
          <w:tcPr>
            <w:tcW w:w="1390" w:type="dxa"/>
            <w:noWrap w:val="0"/>
            <w:vAlign w:val="top"/>
          </w:tcPr>
          <w:p w14:paraId="43DFDF6F">
            <w:pPr>
              <w:adjustRightInd w:val="0"/>
              <w:snapToGrid w:val="0"/>
              <w:spacing w:line="560" w:lineRule="exact"/>
              <w:rPr>
                <w:rFonts w:eastAsia="黑体"/>
                <w:color w:val="auto"/>
                <w:szCs w:val="21"/>
                <w:highlight w:val="none"/>
              </w:rPr>
            </w:pPr>
          </w:p>
        </w:tc>
        <w:tc>
          <w:tcPr>
            <w:tcW w:w="2533" w:type="dxa"/>
            <w:gridSpan w:val="2"/>
            <w:noWrap w:val="0"/>
            <w:vAlign w:val="top"/>
          </w:tcPr>
          <w:p w14:paraId="67364424">
            <w:pPr>
              <w:adjustRightInd w:val="0"/>
              <w:snapToGrid w:val="0"/>
              <w:spacing w:line="560" w:lineRule="exact"/>
              <w:rPr>
                <w:rFonts w:eastAsia="黑体"/>
                <w:color w:val="auto"/>
                <w:szCs w:val="21"/>
                <w:highlight w:val="none"/>
              </w:rPr>
            </w:pPr>
          </w:p>
        </w:tc>
      </w:tr>
      <w:tr w14:paraId="638C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72779700">
            <w:pPr>
              <w:adjustRightInd w:val="0"/>
              <w:snapToGrid w:val="0"/>
              <w:spacing w:line="560" w:lineRule="exact"/>
              <w:rPr>
                <w:rFonts w:eastAsia="黑体"/>
                <w:color w:val="auto"/>
                <w:szCs w:val="21"/>
                <w:highlight w:val="none"/>
              </w:rPr>
            </w:pPr>
          </w:p>
        </w:tc>
        <w:tc>
          <w:tcPr>
            <w:tcW w:w="3773" w:type="dxa"/>
            <w:gridSpan w:val="4"/>
            <w:noWrap w:val="0"/>
            <w:vAlign w:val="top"/>
          </w:tcPr>
          <w:p w14:paraId="399F5373">
            <w:pPr>
              <w:adjustRightInd w:val="0"/>
              <w:snapToGrid w:val="0"/>
              <w:spacing w:line="560" w:lineRule="exact"/>
              <w:rPr>
                <w:rFonts w:eastAsia="黑体"/>
                <w:color w:val="auto"/>
                <w:szCs w:val="21"/>
                <w:highlight w:val="none"/>
              </w:rPr>
            </w:pPr>
          </w:p>
        </w:tc>
        <w:tc>
          <w:tcPr>
            <w:tcW w:w="1390" w:type="dxa"/>
            <w:noWrap w:val="0"/>
            <w:vAlign w:val="top"/>
          </w:tcPr>
          <w:p w14:paraId="7A949F9F">
            <w:pPr>
              <w:adjustRightInd w:val="0"/>
              <w:snapToGrid w:val="0"/>
              <w:spacing w:line="560" w:lineRule="exact"/>
              <w:rPr>
                <w:rFonts w:eastAsia="黑体"/>
                <w:color w:val="auto"/>
                <w:szCs w:val="21"/>
                <w:highlight w:val="none"/>
              </w:rPr>
            </w:pPr>
          </w:p>
        </w:tc>
        <w:tc>
          <w:tcPr>
            <w:tcW w:w="2533" w:type="dxa"/>
            <w:gridSpan w:val="2"/>
            <w:noWrap w:val="0"/>
            <w:vAlign w:val="top"/>
          </w:tcPr>
          <w:p w14:paraId="67963306">
            <w:pPr>
              <w:adjustRightInd w:val="0"/>
              <w:snapToGrid w:val="0"/>
              <w:spacing w:line="560" w:lineRule="exact"/>
              <w:rPr>
                <w:rFonts w:eastAsia="黑体"/>
                <w:color w:val="auto"/>
                <w:szCs w:val="21"/>
                <w:highlight w:val="none"/>
              </w:rPr>
            </w:pPr>
          </w:p>
        </w:tc>
      </w:tr>
      <w:tr w14:paraId="6EAF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3E2C0CD1">
            <w:pPr>
              <w:adjustRightInd w:val="0"/>
              <w:snapToGrid w:val="0"/>
              <w:spacing w:line="560" w:lineRule="exact"/>
              <w:rPr>
                <w:rFonts w:eastAsia="黑体"/>
                <w:color w:val="auto"/>
                <w:szCs w:val="21"/>
                <w:highlight w:val="none"/>
              </w:rPr>
            </w:pPr>
          </w:p>
        </w:tc>
        <w:tc>
          <w:tcPr>
            <w:tcW w:w="3773" w:type="dxa"/>
            <w:gridSpan w:val="4"/>
            <w:noWrap w:val="0"/>
            <w:vAlign w:val="top"/>
          </w:tcPr>
          <w:p w14:paraId="31E22CFF">
            <w:pPr>
              <w:adjustRightInd w:val="0"/>
              <w:snapToGrid w:val="0"/>
              <w:spacing w:line="560" w:lineRule="exact"/>
              <w:rPr>
                <w:rFonts w:eastAsia="黑体"/>
                <w:color w:val="auto"/>
                <w:szCs w:val="21"/>
                <w:highlight w:val="none"/>
              </w:rPr>
            </w:pPr>
          </w:p>
        </w:tc>
        <w:tc>
          <w:tcPr>
            <w:tcW w:w="1390" w:type="dxa"/>
            <w:noWrap w:val="0"/>
            <w:vAlign w:val="top"/>
          </w:tcPr>
          <w:p w14:paraId="1707D79F">
            <w:pPr>
              <w:adjustRightInd w:val="0"/>
              <w:snapToGrid w:val="0"/>
              <w:spacing w:line="560" w:lineRule="exact"/>
              <w:rPr>
                <w:rFonts w:eastAsia="黑体"/>
                <w:color w:val="auto"/>
                <w:szCs w:val="21"/>
                <w:highlight w:val="none"/>
              </w:rPr>
            </w:pPr>
          </w:p>
        </w:tc>
        <w:tc>
          <w:tcPr>
            <w:tcW w:w="2533" w:type="dxa"/>
            <w:gridSpan w:val="2"/>
            <w:noWrap w:val="0"/>
            <w:vAlign w:val="top"/>
          </w:tcPr>
          <w:p w14:paraId="5076644C">
            <w:pPr>
              <w:adjustRightInd w:val="0"/>
              <w:snapToGrid w:val="0"/>
              <w:spacing w:line="560" w:lineRule="exact"/>
              <w:rPr>
                <w:rFonts w:eastAsia="黑体"/>
                <w:color w:val="auto"/>
                <w:szCs w:val="21"/>
                <w:highlight w:val="none"/>
              </w:rPr>
            </w:pPr>
          </w:p>
        </w:tc>
      </w:tr>
      <w:tr w14:paraId="29AB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073182BA">
            <w:pPr>
              <w:adjustRightInd w:val="0"/>
              <w:snapToGrid w:val="0"/>
              <w:spacing w:line="560" w:lineRule="exact"/>
              <w:rPr>
                <w:rFonts w:eastAsia="黑体"/>
                <w:color w:val="auto"/>
                <w:szCs w:val="21"/>
                <w:highlight w:val="none"/>
              </w:rPr>
            </w:pPr>
          </w:p>
        </w:tc>
        <w:tc>
          <w:tcPr>
            <w:tcW w:w="3773" w:type="dxa"/>
            <w:gridSpan w:val="4"/>
            <w:noWrap w:val="0"/>
            <w:vAlign w:val="top"/>
          </w:tcPr>
          <w:p w14:paraId="5FC9D21B">
            <w:pPr>
              <w:adjustRightInd w:val="0"/>
              <w:snapToGrid w:val="0"/>
              <w:spacing w:line="560" w:lineRule="exact"/>
              <w:rPr>
                <w:rFonts w:eastAsia="黑体"/>
                <w:color w:val="auto"/>
                <w:szCs w:val="21"/>
                <w:highlight w:val="none"/>
              </w:rPr>
            </w:pPr>
          </w:p>
        </w:tc>
        <w:tc>
          <w:tcPr>
            <w:tcW w:w="1390" w:type="dxa"/>
            <w:noWrap w:val="0"/>
            <w:vAlign w:val="top"/>
          </w:tcPr>
          <w:p w14:paraId="7D49FB94">
            <w:pPr>
              <w:adjustRightInd w:val="0"/>
              <w:snapToGrid w:val="0"/>
              <w:spacing w:line="560" w:lineRule="exact"/>
              <w:rPr>
                <w:rFonts w:eastAsia="黑体"/>
                <w:color w:val="auto"/>
                <w:szCs w:val="21"/>
                <w:highlight w:val="none"/>
              </w:rPr>
            </w:pPr>
          </w:p>
        </w:tc>
        <w:tc>
          <w:tcPr>
            <w:tcW w:w="2533" w:type="dxa"/>
            <w:gridSpan w:val="2"/>
            <w:noWrap w:val="0"/>
            <w:vAlign w:val="top"/>
          </w:tcPr>
          <w:p w14:paraId="016DBFFF">
            <w:pPr>
              <w:adjustRightInd w:val="0"/>
              <w:snapToGrid w:val="0"/>
              <w:spacing w:line="560" w:lineRule="exact"/>
              <w:rPr>
                <w:rFonts w:eastAsia="黑体"/>
                <w:color w:val="auto"/>
                <w:szCs w:val="21"/>
                <w:highlight w:val="none"/>
              </w:rPr>
            </w:pPr>
          </w:p>
        </w:tc>
      </w:tr>
      <w:tr w14:paraId="0DA2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199CC480">
            <w:pPr>
              <w:adjustRightInd w:val="0"/>
              <w:snapToGrid w:val="0"/>
              <w:spacing w:line="560" w:lineRule="exact"/>
              <w:rPr>
                <w:rFonts w:eastAsia="黑体"/>
                <w:color w:val="auto"/>
                <w:szCs w:val="21"/>
                <w:highlight w:val="none"/>
              </w:rPr>
            </w:pPr>
          </w:p>
        </w:tc>
        <w:tc>
          <w:tcPr>
            <w:tcW w:w="3773" w:type="dxa"/>
            <w:gridSpan w:val="4"/>
            <w:noWrap w:val="0"/>
            <w:vAlign w:val="top"/>
          </w:tcPr>
          <w:p w14:paraId="46397E0C">
            <w:pPr>
              <w:adjustRightInd w:val="0"/>
              <w:snapToGrid w:val="0"/>
              <w:spacing w:line="560" w:lineRule="exact"/>
              <w:rPr>
                <w:rFonts w:eastAsia="黑体"/>
                <w:color w:val="auto"/>
                <w:szCs w:val="21"/>
                <w:highlight w:val="none"/>
              </w:rPr>
            </w:pPr>
          </w:p>
        </w:tc>
        <w:tc>
          <w:tcPr>
            <w:tcW w:w="1390" w:type="dxa"/>
            <w:noWrap w:val="0"/>
            <w:vAlign w:val="top"/>
          </w:tcPr>
          <w:p w14:paraId="1D17BE70">
            <w:pPr>
              <w:adjustRightInd w:val="0"/>
              <w:snapToGrid w:val="0"/>
              <w:spacing w:line="560" w:lineRule="exact"/>
              <w:rPr>
                <w:rFonts w:eastAsia="黑体"/>
                <w:color w:val="auto"/>
                <w:szCs w:val="21"/>
                <w:highlight w:val="none"/>
              </w:rPr>
            </w:pPr>
          </w:p>
        </w:tc>
        <w:tc>
          <w:tcPr>
            <w:tcW w:w="2533" w:type="dxa"/>
            <w:gridSpan w:val="2"/>
            <w:noWrap w:val="0"/>
            <w:vAlign w:val="top"/>
          </w:tcPr>
          <w:p w14:paraId="463C09E6">
            <w:pPr>
              <w:adjustRightInd w:val="0"/>
              <w:snapToGrid w:val="0"/>
              <w:spacing w:line="560" w:lineRule="exact"/>
              <w:rPr>
                <w:rFonts w:eastAsia="黑体"/>
                <w:color w:val="auto"/>
                <w:szCs w:val="21"/>
                <w:highlight w:val="none"/>
              </w:rPr>
            </w:pPr>
          </w:p>
        </w:tc>
      </w:tr>
      <w:tr w14:paraId="6855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F577681">
            <w:pPr>
              <w:adjustRightInd w:val="0"/>
              <w:snapToGrid w:val="0"/>
              <w:spacing w:line="560" w:lineRule="exact"/>
              <w:rPr>
                <w:rFonts w:eastAsia="黑体"/>
                <w:color w:val="auto"/>
                <w:szCs w:val="21"/>
                <w:highlight w:val="none"/>
              </w:rPr>
            </w:pPr>
          </w:p>
        </w:tc>
        <w:tc>
          <w:tcPr>
            <w:tcW w:w="3773" w:type="dxa"/>
            <w:gridSpan w:val="4"/>
            <w:noWrap w:val="0"/>
            <w:vAlign w:val="top"/>
          </w:tcPr>
          <w:p w14:paraId="19D41C82">
            <w:pPr>
              <w:adjustRightInd w:val="0"/>
              <w:snapToGrid w:val="0"/>
              <w:spacing w:line="560" w:lineRule="exact"/>
              <w:rPr>
                <w:rFonts w:eastAsia="黑体"/>
                <w:color w:val="auto"/>
                <w:szCs w:val="21"/>
                <w:highlight w:val="none"/>
              </w:rPr>
            </w:pPr>
          </w:p>
        </w:tc>
        <w:tc>
          <w:tcPr>
            <w:tcW w:w="1390" w:type="dxa"/>
            <w:noWrap w:val="0"/>
            <w:vAlign w:val="top"/>
          </w:tcPr>
          <w:p w14:paraId="4E7227C0">
            <w:pPr>
              <w:adjustRightInd w:val="0"/>
              <w:snapToGrid w:val="0"/>
              <w:spacing w:line="560" w:lineRule="exact"/>
              <w:rPr>
                <w:rFonts w:eastAsia="黑体"/>
                <w:color w:val="auto"/>
                <w:szCs w:val="21"/>
                <w:highlight w:val="none"/>
              </w:rPr>
            </w:pPr>
          </w:p>
        </w:tc>
        <w:tc>
          <w:tcPr>
            <w:tcW w:w="2533" w:type="dxa"/>
            <w:gridSpan w:val="2"/>
            <w:noWrap w:val="0"/>
            <w:vAlign w:val="top"/>
          </w:tcPr>
          <w:p w14:paraId="10CF1954">
            <w:pPr>
              <w:adjustRightInd w:val="0"/>
              <w:snapToGrid w:val="0"/>
              <w:spacing w:line="560" w:lineRule="exact"/>
              <w:rPr>
                <w:rFonts w:eastAsia="黑体"/>
                <w:color w:val="auto"/>
                <w:szCs w:val="21"/>
                <w:highlight w:val="none"/>
              </w:rPr>
            </w:pPr>
          </w:p>
        </w:tc>
      </w:tr>
      <w:tr w14:paraId="11FB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78C2B3F8">
            <w:pPr>
              <w:adjustRightInd w:val="0"/>
              <w:snapToGrid w:val="0"/>
              <w:spacing w:line="560" w:lineRule="exact"/>
              <w:rPr>
                <w:rFonts w:eastAsia="黑体"/>
                <w:color w:val="auto"/>
                <w:szCs w:val="21"/>
                <w:highlight w:val="none"/>
              </w:rPr>
            </w:pPr>
          </w:p>
        </w:tc>
        <w:tc>
          <w:tcPr>
            <w:tcW w:w="3773" w:type="dxa"/>
            <w:gridSpan w:val="4"/>
            <w:noWrap w:val="0"/>
            <w:vAlign w:val="top"/>
          </w:tcPr>
          <w:p w14:paraId="28912529">
            <w:pPr>
              <w:adjustRightInd w:val="0"/>
              <w:snapToGrid w:val="0"/>
              <w:spacing w:line="560" w:lineRule="exact"/>
              <w:rPr>
                <w:rFonts w:eastAsia="黑体"/>
                <w:color w:val="auto"/>
                <w:szCs w:val="21"/>
                <w:highlight w:val="none"/>
              </w:rPr>
            </w:pPr>
          </w:p>
        </w:tc>
        <w:tc>
          <w:tcPr>
            <w:tcW w:w="1390" w:type="dxa"/>
            <w:noWrap w:val="0"/>
            <w:vAlign w:val="top"/>
          </w:tcPr>
          <w:p w14:paraId="7AD5DF0E">
            <w:pPr>
              <w:adjustRightInd w:val="0"/>
              <w:snapToGrid w:val="0"/>
              <w:spacing w:line="560" w:lineRule="exact"/>
              <w:rPr>
                <w:rFonts w:eastAsia="黑体"/>
                <w:color w:val="auto"/>
                <w:szCs w:val="21"/>
                <w:highlight w:val="none"/>
              </w:rPr>
            </w:pPr>
          </w:p>
        </w:tc>
        <w:tc>
          <w:tcPr>
            <w:tcW w:w="2533" w:type="dxa"/>
            <w:gridSpan w:val="2"/>
            <w:noWrap w:val="0"/>
            <w:vAlign w:val="top"/>
          </w:tcPr>
          <w:p w14:paraId="41F28AC3">
            <w:pPr>
              <w:adjustRightInd w:val="0"/>
              <w:snapToGrid w:val="0"/>
              <w:spacing w:line="560" w:lineRule="exact"/>
              <w:rPr>
                <w:rFonts w:eastAsia="黑体"/>
                <w:color w:val="auto"/>
                <w:szCs w:val="21"/>
                <w:highlight w:val="none"/>
              </w:rPr>
            </w:pPr>
          </w:p>
        </w:tc>
      </w:tr>
    </w:tbl>
    <w:p w14:paraId="67272081">
      <w:pPr>
        <w:pStyle w:val="5"/>
        <w:adjustRightInd w:val="0"/>
        <w:snapToGrid w:val="0"/>
        <w:spacing w:before="0" w:after="0" w:line="560" w:lineRule="exact"/>
        <w:jc w:val="center"/>
        <w:rPr>
          <w:rFonts w:hint="eastAsia"/>
          <w:color w:val="auto"/>
          <w:highlight w:val="none"/>
        </w:rPr>
      </w:pPr>
      <w:r>
        <w:rPr>
          <w:rFonts w:hint="eastAsia"/>
          <w:color w:val="auto"/>
          <w:highlight w:val="none"/>
        </w:rPr>
        <w:t>（7）其他资格审查资料</w:t>
      </w:r>
      <w:bookmarkEnd w:id="1581"/>
    </w:p>
    <w:p w14:paraId="724C1A27">
      <w:pPr>
        <w:adjustRightInd w:val="0"/>
        <w:snapToGrid w:val="0"/>
        <w:spacing w:line="560" w:lineRule="exact"/>
        <w:jc w:val="center"/>
        <w:rPr>
          <w:rFonts w:hint="eastAsia"/>
          <w:color w:val="auto"/>
          <w:highlight w:val="none"/>
        </w:rPr>
      </w:pPr>
      <w:r>
        <w:rPr>
          <w:rFonts w:hint="eastAsia"/>
          <w:color w:val="auto"/>
          <w:highlight w:val="none"/>
        </w:rPr>
        <w:t>可扩展填写</w:t>
      </w:r>
    </w:p>
    <w:p w14:paraId="25B57381">
      <w:pPr>
        <w:adjustRightInd w:val="0"/>
        <w:snapToGrid w:val="0"/>
        <w:spacing w:line="560" w:lineRule="exact"/>
        <w:rPr>
          <w:rFonts w:hint="eastAsia" w:eastAsia="黑体"/>
          <w:color w:val="auto"/>
          <w:sz w:val="20"/>
          <w:szCs w:val="20"/>
          <w:highlight w:val="none"/>
        </w:rPr>
      </w:pPr>
    </w:p>
    <w:p w14:paraId="2CAA9114">
      <w:pPr>
        <w:adjustRightInd w:val="0"/>
        <w:snapToGrid w:val="0"/>
        <w:spacing w:line="560" w:lineRule="exact"/>
        <w:rPr>
          <w:rFonts w:hint="eastAsia" w:eastAsia="黑体"/>
          <w:color w:val="auto"/>
          <w:sz w:val="20"/>
          <w:szCs w:val="20"/>
          <w:highlight w:val="none"/>
        </w:rPr>
      </w:pPr>
    </w:p>
    <w:p w14:paraId="07630990">
      <w:pPr>
        <w:adjustRightInd w:val="0"/>
        <w:snapToGrid w:val="0"/>
        <w:spacing w:line="560" w:lineRule="exact"/>
        <w:rPr>
          <w:rFonts w:hint="eastAsia" w:eastAsia="黑体"/>
          <w:color w:val="auto"/>
          <w:sz w:val="20"/>
          <w:szCs w:val="20"/>
          <w:highlight w:val="none"/>
        </w:rPr>
      </w:pPr>
    </w:p>
    <w:p w14:paraId="1CB67D39">
      <w:pPr>
        <w:adjustRightInd w:val="0"/>
        <w:snapToGrid w:val="0"/>
        <w:spacing w:line="560" w:lineRule="exact"/>
        <w:jc w:val="center"/>
        <w:rPr>
          <w:rFonts w:hint="eastAsia"/>
          <w:b/>
          <w:color w:val="auto"/>
          <w:sz w:val="28"/>
          <w:szCs w:val="28"/>
          <w:highlight w:val="none"/>
        </w:rPr>
      </w:pPr>
    </w:p>
    <w:p w14:paraId="199C67D3">
      <w:pPr>
        <w:adjustRightInd w:val="0"/>
        <w:snapToGrid w:val="0"/>
        <w:spacing w:line="560" w:lineRule="exact"/>
        <w:jc w:val="center"/>
        <w:rPr>
          <w:rFonts w:hint="eastAsia"/>
          <w:b/>
          <w:color w:val="auto"/>
          <w:sz w:val="28"/>
          <w:szCs w:val="28"/>
          <w:highlight w:val="none"/>
        </w:rPr>
      </w:pPr>
    </w:p>
    <w:p w14:paraId="030FD160">
      <w:pPr>
        <w:adjustRightInd w:val="0"/>
        <w:snapToGrid w:val="0"/>
        <w:spacing w:line="560" w:lineRule="exact"/>
        <w:jc w:val="center"/>
        <w:rPr>
          <w:rFonts w:hint="eastAsia"/>
          <w:b/>
          <w:color w:val="auto"/>
          <w:sz w:val="28"/>
          <w:szCs w:val="28"/>
          <w:highlight w:val="none"/>
        </w:rPr>
      </w:pPr>
    </w:p>
    <w:p w14:paraId="5D7026FF">
      <w:pPr>
        <w:adjustRightInd w:val="0"/>
        <w:snapToGrid w:val="0"/>
        <w:spacing w:line="560" w:lineRule="exact"/>
        <w:jc w:val="center"/>
        <w:rPr>
          <w:rFonts w:hint="eastAsia"/>
          <w:b/>
          <w:color w:val="auto"/>
          <w:sz w:val="28"/>
          <w:szCs w:val="28"/>
          <w:highlight w:val="none"/>
        </w:rPr>
      </w:pPr>
    </w:p>
    <w:p w14:paraId="113724FE">
      <w:pPr>
        <w:adjustRightInd w:val="0"/>
        <w:snapToGrid w:val="0"/>
        <w:spacing w:line="560" w:lineRule="exact"/>
        <w:jc w:val="center"/>
        <w:rPr>
          <w:rFonts w:hint="eastAsia"/>
          <w:b/>
          <w:color w:val="auto"/>
          <w:sz w:val="28"/>
          <w:szCs w:val="28"/>
          <w:highlight w:val="none"/>
        </w:rPr>
      </w:pPr>
    </w:p>
    <w:p w14:paraId="03238A3B">
      <w:pPr>
        <w:adjustRightInd w:val="0"/>
        <w:snapToGrid w:val="0"/>
        <w:spacing w:line="560" w:lineRule="exact"/>
        <w:jc w:val="center"/>
        <w:rPr>
          <w:rFonts w:hint="eastAsia"/>
          <w:b/>
          <w:color w:val="auto"/>
          <w:sz w:val="28"/>
          <w:szCs w:val="28"/>
          <w:highlight w:val="none"/>
        </w:rPr>
      </w:pPr>
    </w:p>
    <w:p w14:paraId="5FA56DAB">
      <w:pPr>
        <w:adjustRightInd w:val="0"/>
        <w:snapToGrid w:val="0"/>
        <w:spacing w:line="560" w:lineRule="exact"/>
        <w:jc w:val="center"/>
        <w:rPr>
          <w:rFonts w:hint="eastAsia"/>
          <w:b/>
          <w:color w:val="auto"/>
          <w:sz w:val="28"/>
          <w:szCs w:val="28"/>
          <w:highlight w:val="none"/>
        </w:rPr>
      </w:pPr>
    </w:p>
    <w:p w14:paraId="43B9AB74">
      <w:pPr>
        <w:adjustRightInd w:val="0"/>
        <w:snapToGrid w:val="0"/>
        <w:spacing w:line="560" w:lineRule="exact"/>
        <w:jc w:val="center"/>
        <w:rPr>
          <w:rFonts w:hint="eastAsia"/>
          <w:b/>
          <w:color w:val="auto"/>
          <w:sz w:val="28"/>
          <w:szCs w:val="28"/>
          <w:highlight w:val="none"/>
        </w:rPr>
      </w:pPr>
    </w:p>
    <w:p w14:paraId="555B2746">
      <w:pPr>
        <w:adjustRightInd w:val="0"/>
        <w:snapToGrid w:val="0"/>
        <w:spacing w:line="560" w:lineRule="exact"/>
        <w:jc w:val="center"/>
        <w:rPr>
          <w:rFonts w:hint="eastAsia"/>
          <w:b/>
          <w:color w:val="auto"/>
          <w:sz w:val="28"/>
          <w:szCs w:val="28"/>
          <w:highlight w:val="none"/>
        </w:rPr>
      </w:pPr>
    </w:p>
    <w:p w14:paraId="19F2F2C4">
      <w:pPr>
        <w:adjustRightInd w:val="0"/>
        <w:snapToGrid w:val="0"/>
        <w:spacing w:line="560" w:lineRule="exact"/>
        <w:jc w:val="center"/>
        <w:rPr>
          <w:rFonts w:hint="eastAsia"/>
          <w:b/>
          <w:color w:val="auto"/>
          <w:sz w:val="28"/>
          <w:szCs w:val="28"/>
          <w:highlight w:val="none"/>
        </w:rPr>
      </w:pPr>
    </w:p>
    <w:p w14:paraId="0E42B49E">
      <w:pPr>
        <w:adjustRightInd w:val="0"/>
        <w:snapToGrid w:val="0"/>
        <w:spacing w:line="560" w:lineRule="exact"/>
        <w:jc w:val="center"/>
        <w:rPr>
          <w:rFonts w:hint="eastAsia"/>
          <w:b/>
          <w:color w:val="auto"/>
          <w:sz w:val="28"/>
          <w:szCs w:val="28"/>
          <w:highlight w:val="none"/>
        </w:rPr>
      </w:pPr>
    </w:p>
    <w:p w14:paraId="27D04FFC">
      <w:pPr>
        <w:adjustRightInd w:val="0"/>
        <w:snapToGrid w:val="0"/>
        <w:spacing w:line="560" w:lineRule="exact"/>
        <w:jc w:val="center"/>
        <w:rPr>
          <w:rFonts w:hint="eastAsia"/>
          <w:b/>
          <w:color w:val="auto"/>
          <w:sz w:val="28"/>
          <w:szCs w:val="28"/>
          <w:highlight w:val="none"/>
        </w:rPr>
      </w:pPr>
    </w:p>
    <w:p w14:paraId="5FDF3220">
      <w:pPr>
        <w:adjustRightInd w:val="0"/>
        <w:snapToGrid w:val="0"/>
        <w:spacing w:line="560" w:lineRule="exact"/>
        <w:jc w:val="center"/>
        <w:rPr>
          <w:rFonts w:hint="eastAsia"/>
          <w:b/>
          <w:color w:val="auto"/>
          <w:sz w:val="28"/>
          <w:szCs w:val="28"/>
          <w:highlight w:val="none"/>
        </w:rPr>
      </w:pPr>
    </w:p>
    <w:p w14:paraId="4F26ED98">
      <w:pPr>
        <w:adjustRightInd w:val="0"/>
        <w:snapToGrid w:val="0"/>
        <w:spacing w:line="560" w:lineRule="exact"/>
        <w:jc w:val="center"/>
        <w:rPr>
          <w:rFonts w:hint="eastAsia"/>
          <w:b/>
          <w:color w:val="auto"/>
          <w:sz w:val="28"/>
          <w:szCs w:val="28"/>
          <w:highlight w:val="none"/>
        </w:rPr>
      </w:pPr>
    </w:p>
    <w:p w14:paraId="1EC470A7">
      <w:pPr>
        <w:pStyle w:val="19"/>
        <w:rPr>
          <w:rFonts w:hint="eastAsia"/>
          <w:color w:val="auto"/>
          <w:highlight w:val="none"/>
        </w:rPr>
      </w:pPr>
    </w:p>
    <w:p w14:paraId="36DAD98C">
      <w:pPr>
        <w:adjustRightInd w:val="0"/>
        <w:snapToGrid w:val="0"/>
        <w:spacing w:line="560" w:lineRule="exact"/>
        <w:jc w:val="center"/>
        <w:rPr>
          <w:rFonts w:hint="eastAsia"/>
          <w:b/>
          <w:color w:val="auto"/>
          <w:sz w:val="28"/>
          <w:szCs w:val="28"/>
          <w:highlight w:val="none"/>
        </w:rPr>
      </w:pPr>
    </w:p>
    <w:p w14:paraId="482D7A89">
      <w:pPr>
        <w:adjustRightInd w:val="0"/>
        <w:snapToGrid w:val="0"/>
        <w:spacing w:line="560" w:lineRule="exact"/>
        <w:jc w:val="center"/>
        <w:rPr>
          <w:rFonts w:hint="eastAsia"/>
          <w:b/>
          <w:color w:val="auto"/>
          <w:sz w:val="28"/>
          <w:szCs w:val="28"/>
          <w:highlight w:val="none"/>
        </w:rPr>
      </w:pPr>
    </w:p>
    <w:p w14:paraId="78FC77FD">
      <w:pPr>
        <w:pStyle w:val="19"/>
        <w:adjustRightInd w:val="0"/>
        <w:snapToGrid w:val="0"/>
        <w:spacing w:after="0" w:line="560" w:lineRule="exact"/>
        <w:ind w:left="0" w:leftChars="0" w:firstLine="562"/>
        <w:rPr>
          <w:rFonts w:hint="eastAsia"/>
          <w:b/>
          <w:color w:val="auto"/>
          <w:sz w:val="28"/>
          <w:szCs w:val="28"/>
          <w:highlight w:val="none"/>
        </w:rPr>
      </w:pPr>
    </w:p>
    <w:p w14:paraId="6AF46D1E">
      <w:pPr>
        <w:adjustRightInd w:val="0"/>
        <w:snapToGrid w:val="0"/>
        <w:spacing w:line="560" w:lineRule="exact"/>
        <w:rPr>
          <w:rFonts w:hint="eastAsia"/>
          <w:b/>
          <w:color w:val="auto"/>
          <w:sz w:val="28"/>
          <w:szCs w:val="28"/>
          <w:highlight w:val="none"/>
        </w:rPr>
      </w:pPr>
    </w:p>
    <w:p w14:paraId="08AACA92">
      <w:pPr>
        <w:pStyle w:val="19"/>
        <w:adjustRightInd w:val="0"/>
        <w:snapToGrid w:val="0"/>
        <w:spacing w:after="0" w:line="560" w:lineRule="exact"/>
        <w:ind w:left="0" w:leftChars="0" w:firstLine="562"/>
        <w:rPr>
          <w:rFonts w:hint="eastAsia"/>
          <w:b/>
          <w:color w:val="auto"/>
          <w:sz w:val="28"/>
          <w:szCs w:val="28"/>
          <w:highlight w:val="none"/>
        </w:rPr>
      </w:pPr>
    </w:p>
    <w:p w14:paraId="5522CBE9">
      <w:pPr>
        <w:adjustRightInd w:val="0"/>
        <w:snapToGrid w:val="0"/>
        <w:spacing w:line="560" w:lineRule="exact"/>
        <w:rPr>
          <w:rFonts w:hint="eastAsia"/>
          <w:b/>
          <w:color w:val="auto"/>
          <w:sz w:val="28"/>
          <w:szCs w:val="28"/>
          <w:highlight w:val="none"/>
        </w:rPr>
      </w:pPr>
      <w:bookmarkStart w:id="1582" w:name="_Toc58229121"/>
      <w:bookmarkStart w:id="1583" w:name="_Toc15058940"/>
      <w:bookmarkStart w:id="1584" w:name="_Toc484173797"/>
      <w:bookmarkStart w:id="1585" w:name="_Toc506107353"/>
      <w:bookmarkStart w:id="1586" w:name="_Toc499804616"/>
      <w:bookmarkStart w:id="1587" w:name="_Toc60061581"/>
      <w:bookmarkStart w:id="1588" w:name="_Toc11719"/>
      <w:bookmarkStart w:id="1589" w:name="_Toc324404893"/>
    </w:p>
    <w:p w14:paraId="4E481EB5">
      <w:pPr>
        <w:adjustRightInd w:val="0"/>
        <w:snapToGrid w:val="0"/>
        <w:spacing w:line="560" w:lineRule="exact"/>
        <w:jc w:val="center"/>
        <w:rPr>
          <w:b/>
          <w:color w:val="auto"/>
          <w:sz w:val="28"/>
          <w:szCs w:val="28"/>
          <w:highlight w:val="none"/>
        </w:rPr>
        <w:sectPr>
          <w:pgSz w:w="11910" w:h="16840"/>
          <w:pgMar w:top="1060" w:right="660" w:bottom="1020" w:left="1120" w:header="0" w:footer="833" w:gutter="0"/>
          <w:cols w:space="720" w:num="1"/>
        </w:sectPr>
      </w:pPr>
    </w:p>
    <w:p w14:paraId="6CA57A1D">
      <w:pPr>
        <w:adjustRightInd w:val="0"/>
        <w:snapToGrid w:val="0"/>
        <w:spacing w:line="560" w:lineRule="exact"/>
        <w:jc w:val="center"/>
        <w:rPr>
          <w:rFonts w:hint="eastAsia" w:ascii="宋体"/>
          <w:b/>
          <w:color w:val="auto"/>
          <w:sz w:val="28"/>
          <w:szCs w:val="28"/>
          <w:highlight w:val="none"/>
        </w:rPr>
      </w:pPr>
      <w:r>
        <w:rPr>
          <w:rFonts w:hint="eastAsia"/>
          <w:b/>
          <w:color w:val="auto"/>
          <w:sz w:val="28"/>
          <w:szCs w:val="28"/>
          <w:highlight w:val="none"/>
        </w:rPr>
        <w:t>①法定代表人身份证</w:t>
      </w:r>
      <w:bookmarkEnd w:id="1582"/>
      <w:bookmarkEnd w:id="1583"/>
      <w:bookmarkEnd w:id="1584"/>
      <w:bookmarkEnd w:id="1585"/>
      <w:bookmarkEnd w:id="1586"/>
      <w:bookmarkEnd w:id="1587"/>
      <w:r>
        <w:rPr>
          <w:rFonts w:hint="eastAsia"/>
          <w:b/>
          <w:color w:val="auto"/>
          <w:sz w:val="28"/>
          <w:szCs w:val="28"/>
          <w:highlight w:val="none"/>
        </w:rPr>
        <w:t>明或授权委托书</w:t>
      </w:r>
      <w:bookmarkEnd w:id="1507"/>
      <w:bookmarkEnd w:id="1508"/>
      <w:bookmarkEnd w:id="1509"/>
      <w:bookmarkEnd w:id="1510"/>
      <w:bookmarkEnd w:id="1511"/>
      <w:bookmarkEnd w:id="1512"/>
      <w:bookmarkEnd w:id="1513"/>
      <w:bookmarkEnd w:id="1514"/>
      <w:bookmarkEnd w:id="1588"/>
      <w:bookmarkEnd w:id="1589"/>
    </w:p>
    <w:p w14:paraId="6BA9E25F">
      <w:pPr>
        <w:pStyle w:val="42"/>
        <w:adjustRightInd w:val="0"/>
        <w:snapToGrid w:val="0"/>
        <w:spacing w:line="560" w:lineRule="exact"/>
        <w:rPr>
          <w:rFonts w:hint="eastAsia" w:ascii="宋体"/>
          <w:b/>
          <w:color w:val="auto"/>
          <w:sz w:val="30"/>
          <w:szCs w:val="30"/>
          <w:highlight w:val="none"/>
        </w:rPr>
      </w:pPr>
      <w:r>
        <w:rPr>
          <w:rFonts w:hint="eastAsia" w:ascii="宋体"/>
          <w:color w:val="auto"/>
          <w:sz w:val="30"/>
          <w:szCs w:val="30"/>
          <w:highlight w:val="none"/>
        </w:rPr>
        <w:t>1.法定代表人身份证明</w:t>
      </w:r>
    </w:p>
    <w:p w14:paraId="2C3D256A">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投标人名称：</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645A6C34">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 xml:space="preserve">单位性质：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7BA67167">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地    址：</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7BECA048">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成立时间：</w:t>
      </w: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05674608">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经营期限：</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2DE13E87">
      <w:pPr>
        <w:adjustRightInd w:val="0"/>
        <w:snapToGrid w:val="0"/>
        <w:spacing w:line="560" w:lineRule="exact"/>
        <w:jc w:val="left"/>
        <w:rPr>
          <w:rFonts w:hint="eastAsia" w:ascii="宋体"/>
          <w:color w:val="auto"/>
          <w:sz w:val="28"/>
          <w:szCs w:val="28"/>
          <w:highlight w:val="none"/>
          <w:u w:val="single"/>
        </w:rPr>
      </w:pPr>
      <w:r>
        <w:rPr>
          <w:rFonts w:hint="eastAsia" w:ascii="宋体"/>
          <w:color w:val="auto"/>
          <w:spacing w:val="240"/>
          <w:sz w:val="28"/>
          <w:szCs w:val="28"/>
          <w:highlight w:val="none"/>
        </w:rPr>
        <w:t>姓</w:t>
      </w:r>
      <w:r>
        <w:rPr>
          <w:rFonts w:hint="eastAsia" w:ascii="宋体"/>
          <w:color w:val="auto"/>
          <w:sz w:val="28"/>
          <w:szCs w:val="28"/>
          <w:highlight w:val="none"/>
        </w:rPr>
        <w:t>名：</w:t>
      </w:r>
      <w:r>
        <w:rPr>
          <w:rFonts w:hint="eastAsia" w:ascii="宋体"/>
          <w:color w:val="auto"/>
          <w:sz w:val="28"/>
          <w:szCs w:val="28"/>
          <w:highlight w:val="none"/>
          <w:u w:val="single"/>
        </w:rPr>
        <w:t xml:space="preserve">           </w:t>
      </w:r>
      <w:r>
        <w:rPr>
          <w:rFonts w:hint="eastAsia" w:ascii="宋体"/>
          <w:color w:val="auto"/>
          <w:sz w:val="28"/>
          <w:szCs w:val="28"/>
          <w:highlight w:val="none"/>
        </w:rPr>
        <w:t>身份证号码：</w:t>
      </w:r>
      <w:r>
        <w:rPr>
          <w:rFonts w:hint="eastAsia" w:ascii="宋体"/>
          <w:color w:val="auto"/>
          <w:sz w:val="28"/>
          <w:szCs w:val="28"/>
          <w:highlight w:val="none"/>
          <w:u w:val="single"/>
        </w:rPr>
        <w:t xml:space="preserve">             </w:t>
      </w:r>
      <w:r>
        <w:rPr>
          <w:rFonts w:hint="eastAsia" w:ascii="宋体"/>
          <w:color w:val="auto"/>
          <w:sz w:val="28"/>
          <w:szCs w:val="28"/>
          <w:highlight w:val="none"/>
        </w:rPr>
        <w:t>性别</w:t>
      </w:r>
      <w:r>
        <w:rPr>
          <w:rFonts w:hint="eastAsia" w:ascii="宋体"/>
          <w:color w:val="auto"/>
          <w:sz w:val="28"/>
          <w:szCs w:val="28"/>
          <w:highlight w:val="none"/>
          <w:u w:val="single"/>
        </w:rPr>
        <w:t xml:space="preserve">：            </w:t>
      </w:r>
      <w:r>
        <w:rPr>
          <w:rFonts w:hint="eastAsia" w:ascii="宋体"/>
          <w:color w:val="auto"/>
          <w:sz w:val="28"/>
          <w:szCs w:val="28"/>
          <w:highlight w:val="none"/>
        </w:rPr>
        <w:t>年龄：</w:t>
      </w:r>
      <w:r>
        <w:rPr>
          <w:rFonts w:hint="eastAsia" w:ascii="宋体"/>
          <w:color w:val="auto"/>
          <w:sz w:val="28"/>
          <w:szCs w:val="28"/>
          <w:highlight w:val="none"/>
          <w:u w:val="single"/>
        </w:rPr>
        <w:t xml:space="preserve">＿  </w:t>
      </w:r>
      <w:r>
        <w:rPr>
          <w:rFonts w:hint="eastAsia" w:ascii="宋体"/>
          <w:color w:val="auto"/>
          <w:sz w:val="28"/>
          <w:szCs w:val="28"/>
          <w:highlight w:val="none"/>
        </w:rPr>
        <w:t>职务：</w:t>
      </w:r>
      <w:r>
        <w:rPr>
          <w:rFonts w:hint="eastAsia" w:ascii="宋体"/>
          <w:color w:val="auto"/>
          <w:sz w:val="28"/>
          <w:szCs w:val="28"/>
          <w:highlight w:val="none"/>
          <w:u w:val="single"/>
        </w:rPr>
        <w:t xml:space="preserve">       </w:t>
      </w:r>
      <w:r>
        <w:rPr>
          <w:rFonts w:hint="eastAsia" w:ascii="宋体"/>
          <w:color w:val="auto"/>
          <w:sz w:val="28"/>
          <w:szCs w:val="28"/>
          <w:highlight w:val="none"/>
        </w:rPr>
        <w:t>_，系</w:t>
      </w:r>
      <w:r>
        <w:rPr>
          <w:rFonts w:hint="eastAsia" w:ascii="宋体"/>
          <w:color w:val="auto"/>
          <w:sz w:val="28"/>
          <w:szCs w:val="28"/>
          <w:highlight w:val="none"/>
          <w:u w:val="single"/>
        </w:rPr>
        <w:t xml:space="preserve">                       </w:t>
      </w:r>
      <w:r>
        <w:rPr>
          <w:rFonts w:hint="eastAsia" w:ascii="宋体"/>
          <w:color w:val="auto"/>
          <w:sz w:val="28"/>
          <w:szCs w:val="28"/>
          <w:highlight w:val="none"/>
        </w:rPr>
        <w:t>（投标人名称）的法定代表人。</w:t>
      </w:r>
    </w:p>
    <w:p w14:paraId="78551140">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特此证明。</w:t>
      </w:r>
    </w:p>
    <w:p w14:paraId="425CFB9A">
      <w:pPr>
        <w:adjustRightInd w:val="0"/>
        <w:snapToGrid w:val="0"/>
        <w:spacing w:line="560" w:lineRule="exact"/>
        <w:rPr>
          <w:rFonts w:hint="eastAsia" w:ascii="宋体"/>
          <w:color w:val="auto"/>
          <w:sz w:val="28"/>
          <w:szCs w:val="28"/>
          <w:highlight w:val="none"/>
        </w:rPr>
      </w:pPr>
    </w:p>
    <w:p w14:paraId="1152440F">
      <w:pPr>
        <w:adjustRightInd w:val="0"/>
        <w:snapToGrid w:val="0"/>
        <w:spacing w:line="560" w:lineRule="exact"/>
        <w:rPr>
          <w:rFonts w:hint="eastAsia" w:ascii="宋体"/>
          <w:color w:val="auto"/>
          <w:sz w:val="28"/>
          <w:szCs w:val="28"/>
          <w:highlight w:val="none"/>
        </w:rPr>
      </w:pPr>
    </w:p>
    <w:p w14:paraId="16B8FE71">
      <w:pPr>
        <w:adjustRightInd w:val="0"/>
        <w:snapToGrid w:val="0"/>
        <w:spacing w:line="560" w:lineRule="exact"/>
        <w:rPr>
          <w:rFonts w:hint="eastAsia" w:ascii="宋体"/>
          <w:color w:val="auto"/>
          <w:sz w:val="28"/>
          <w:szCs w:val="28"/>
          <w:highlight w:val="none"/>
        </w:rPr>
      </w:pPr>
    </w:p>
    <w:p w14:paraId="49BF8AE8">
      <w:pPr>
        <w:adjustRightInd w:val="0"/>
        <w:snapToGrid w:val="0"/>
        <w:spacing w:line="560" w:lineRule="exact"/>
        <w:ind w:firstLine="4340" w:firstLineChars="1550"/>
        <w:rPr>
          <w:rFonts w:hint="eastAsia" w:ascii="宋体"/>
          <w:color w:val="auto"/>
          <w:sz w:val="28"/>
          <w:szCs w:val="28"/>
          <w:highlight w:val="non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659CA84D">
      <w:pPr>
        <w:adjustRightInd w:val="0"/>
        <w:snapToGrid w:val="0"/>
        <w:spacing w:line="560" w:lineRule="exact"/>
        <w:rPr>
          <w:rFonts w:hint="eastAsia" w:ascii="宋体"/>
          <w:color w:val="auto"/>
          <w:sz w:val="28"/>
          <w:szCs w:val="28"/>
          <w:highlight w:val="none"/>
        </w:rPr>
      </w:pPr>
      <w:r>
        <w:rPr>
          <w:rFonts w:hint="eastAsia" w:ascii="宋体"/>
          <w:color w:val="auto"/>
          <w:sz w:val="28"/>
          <w:szCs w:val="28"/>
          <w:highlight w:val="none"/>
        </w:rPr>
        <w:t xml:space="preserve">                                        年    月     日</w:t>
      </w:r>
    </w:p>
    <w:p w14:paraId="560480D8">
      <w:pPr>
        <w:adjustRightInd w:val="0"/>
        <w:snapToGrid w:val="0"/>
        <w:spacing w:line="560" w:lineRule="exact"/>
        <w:rPr>
          <w:rFonts w:hint="eastAsia" w:ascii="宋体"/>
          <w:color w:val="auto"/>
          <w:sz w:val="28"/>
          <w:szCs w:val="28"/>
          <w:highlight w:val="none"/>
        </w:rPr>
      </w:pPr>
    </w:p>
    <w:p w14:paraId="39B07517">
      <w:pPr>
        <w:adjustRightInd w:val="0"/>
        <w:snapToGrid w:val="0"/>
        <w:spacing w:line="560" w:lineRule="exact"/>
        <w:rPr>
          <w:rFonts w:hint="eastAsia" w:ascii="宋体"/>
          <w:color w:val="auto"/>
          <w:sz w:val="28"/>
          <w:szCs w:val="28"/>
          <w:highlight w:val="none"/>
        </w:rPr>
      </w:pPr>
    </w:p>
    <w:p w14:paraId="2FB86DFA">
      <w:pPr>
        <w:pStyle w:val="42"/>
        <w:adjustRightInd w:val="0"/>
        <w:snapToGrid w:val="0"/>
        <w:spacing w:line="560" w:lineRule="exact"/>
        <w:rPr>
          <w:rFonts w:hint="eastAsia" w:ascii="宋体"/>
          <w:color w:val="auto"/>
          <w:sz w:val="30"/>
          <w:szCs w:val="30"/>
          <w:highlight w:val="none"/>
        </w:rPr>
      </w:pPr>
    </w:p>
    <w:p w14:paraId="0A83D81C">
      <w:pPr>
        <w:rPr>
          <w:rFonts w:hint="eastAsia"/>
          <w:color w:val="auto"/>
          <w:highlight w:val="none"/>
        </w:rPr>
      </w:pPr>
    </w:p>
    <w:p w14:paraId="5D8BC863">
      <w:pPr>
        <w:pStyle w:val="19"/>
        <w:rPr>
          <w:rFonts w:hint="eastAsia"/>
          <w:color w:val="auto"/>
          <w:highlight w:val="none"/>
        </w:rPr>
      </w:pPr>
    </w:p>
    <w:p w14:paraId="36A97E6C">
      <w:pPr>
        <w:rPr>
          <w:rFonts w:hint="eastAsia"/>
          <w:color w:val="auto"/>
          <w:highlight w:val="none"/>
        </w:rPr>
      </w:pPr>
    </w:p>
    <w:p w14:paraId="0859C7CC">
      <w:pPr>
        <w:pStyle w:val="19"/>
        <w:rPr>
          <w:rFonts w:hint="eastAsia"/>
          <w:color w:val="auto"/>
          <w:highlight w:val="none"/>
        </w:rPr>
      </w:pPr>
    </w:p>
    <w:p w14:paraId="0E6C9CF9">
      <w:pPr>
        <w:rPr>
          <w:rFonts w:hint="eastAsia"/>
          <w:color w:val="auto"/>
          <w:highlight w:val="none"/>
        </w:rPr>
      </w:pPr>
    </w:p>
    <w:p w14:paraId="3321055A">
      <w:pPr>
        <w:pStyle w:val="19"/>
        <w:rPr>
          <w:rFonts w:hint="eastAsia"/>
          <w:color w:val="auto"/>
          <w:highlight w:val="none"/>
        </w:rPr>
      </w:pPr>
    </w:p>
    <w:p w14:paraId="589C642E">
      <w:pPr>
        <w:pStyle w:val="42"/>
        <w:adjustRightInd w:val="0"/>
        <w:snapToGrid w:val="0"/>
        <w:spacing w:line="560" w:lineRule="exact"/>
        <w:rPr>
          <w:rFonts w:hint="eastAsia" w:ascii="宋体"/>
          <w:color w:val="auto"/>
          <w:sz w:val="30"/>
          <w:szCs w:val="30"/>
          <w:highlight w:val="none"/>
        </w:rPr>
      </w:pPr>
    </w:p>
    <w:p w14:paraId="25A0A6F6">
      <w:pPr>
        <w:rPr>
          <w:rFonts w:hint="eastAsia"/>
          <w:color w:val="auto"/>
          <w:highlight w:val="none"/>
        </w:rPr>
      </w:pPr>
    </w:p>
    <w:p w14:paraId="159405CC">
      <w:pPr>
        <w:rPr>
          <w:rFonts w:hint="eastAsia"/>
          <w:color w:val="auto"/>
          <w:highlight w:val="none"/>
        </w:rPr>
      </w:pPr>
    </w:p>
    <w:p w14:paraId="074EAE54">
      <w:pPr>
        <w:pStyle w:val="42"/>
        <w:adjustRightInd w:val="0"/>
        <w:snapToGrid w:val="0"/>
        <w:spacing w:line="560" w:lineRule="exact"/>
        <w:rPr>
          <w:rFonts w:hint="eastAsia" w:ascii="宋体"/>
          <w:color w:val="auto"/>
          <w:sz w:val="30"/>
          <w:szCs w:val="30"/>
          <w:highlight w:val="none"/>
        </w:rPr>
      </w:pPr>
    </w:p>
    <w:p w14:paraId="2B198B95">
      <w:pPr>
        <w:pStyle w:val="42"/>
        <w:adjustRightInd w:val="0"/>
        <w:snapToGrid w:val="0"/>
        <w:spacing w:line="560" w:lineRule="exact"/>
        <w:rPr>
          <w:rFonts w:hint="eastAsia" w:ascii="宋体"/>
          <w:color w:val="auto"/>
          <w:sz w:val="30"/>
          <w:szCs w:val="30"/>
          <w:highlight w:val="none"/>
        </w:rPr>
      </w:pPr>
    </w:p>
    <w:p w14:paraId="1C403B3A">
      <w:pPr>
        <w:pStyle w:val="42"/>
        <w:adjustRightInd w:val="0"/>
        <w:snapToGrid w:val="0"/>
        <w:spacing w:line="560" w:lineRule="exact"/>
        <w:rPr>
          <w:rFonts w:hint="eastAsia" w:ascii="宋体"/>
          <w:color w:val="auto"/>
          <w:sz w:val="30"/>
          <w:szCs w:val="30"/>
          <w:highlight w:val="none"/>
        </w:rPr>
      </w:pPr>
      <w:r>
        <w:rPr>
          <w:rFonts w:hint="eastAsia" w:ascii="宋体"/>
          <w:color w:val="auto"/>
          <w:sz w:val="30"/>
          <w:szCs w:val="30"/>
          <w:highlight w:val="none"/>
        </w:rPr>
        <w:t>2. 授权委托书</w:t>
      </w:r>
    </w:p>
    <w:p w14:paraId="01FC2A5D">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 xml:space="preserve">本人 </w:t>
      </w:r>
      <w:r>
        <w:rPr>
          <w:rFonts w:hint="eastAsia" w:ascii="宋体"/>
          <w:color w:val="auto"/>
          <w:sz w:val="28"/>
          <w:szCs w:val="28"/>
          <w:highlight w:val="none"/>
          <w:u w:val="single"/>
        </w:rPr>
        <w:t xml:space="preserve">    </w:t>
      </w:r>
      <w:r>
        <w:rPr>
          <w:rFonts w:hint="eastAsia" w:ascii="宋体"/>
          <w:color w:val="auto"/>
          <w:sz w:val="28"/>
          <w:szCs w:val="28"/>
          <w:highlight w:val="none"/>
        </w:rPr>
        <w:t>（姓名）系</w:t>
      </w:r>
      <w:r>
        <w:rPr>
          <w:rFonts w:hint="eastAsia" w:ascii="宋体"/>
          <w:color w:val="auto"/>
          <w:sz w:val="28"/>
          <w:szCs w:val="28"/>
          <w:highlight w:val="none"/>
          <w:u w:val="single"/>
        </w:rPr>
        <w:t xml:space="preserve">       </w:t>
      </w:r>
      <w:r>
        <w:rPr>
          <w:rFonts w:hint="eastAsia" w:ascii="宋体"/>
          <w:color w:val="auto"/>
          <w:sz w:val="28"/>
          <w:szCs w:val="28"/>
          <w:highlight w:val="none"/>
        </w:rPr>
        <w:t>（投标人）的法定代表人，现委托</w:t>
      </w:r>
      <w:r>
        <w:rPr>
          <w:rFonts w:hint="eastAsia" w:ascii="宋体"/>
          <w:color w:val="auto"/>
          <w:sz w:val="28"/>
          <w:szCs w:val="28"/>
          <w:highlight w:val="none"/>
          <w:u w:val="single"/>
        </w:rPr>
        <w:t xml:space="preserve">   </w:t>
      </w:r>
      <w:r>
        <w:rPr>
          <w:rFonts w:hint="eastAsia" w:ascii="宋体"/>
          <w:color w:val="auto"/>
          <w:sz w:val="28"/>
          <w:szCs w:val="28"/>
          <w:highlight w:val="none"/>
        </w:rPr>
        <w:t>（姓名）为我方代理人。代理人根据授权，以我方名义签署、澄清、说明、补正、递交、撤回、修改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”(项目名称、编号）投标文件，全权处理与该项目投标、评审答疑、签订合同以及与合同执行有关的一切事务，其法律后果由我方承担。</w:t>
      </w:r>
    </w:p>
    <w:p w14:paraId="18CCF7E1">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 xml:space="preserve">委托期限： </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p>
    <w:p w14:paraId="066378E0">
      <w:pPr>
        <w:adjustRightInd w:val="0"/>
        <w:snapToGrid w:val="0"/>
        <w:spacing w:line="560" w:lineRule="exact"/>
        <w:ind w:firstLine="560" w:firstLineChars="200"/>
        <w:rPr>
          <w:rFonts w:hint="eastAsia" w:ascii="宋体"/>
          <w:color w:val="auto"/>
          <w:sz w:val="28"/>
          <w:szCs w:val="28"/>
          <w:highlight w:val="none"/>
        </w:rPr>
      </w:pPr>
      <w:r>
        <w:rPr>
          <w:rFonts w:hint="eastAsia" w:ascii="宋体"/>
          <w:color w:val="auto"/>
          <w:sz w:val="28"/>
          <w:szCs w:val="28"/>
          <w:highlight w:val="none"/>
        </w:rPr>
        <w:t>代理人无转委托权。</w:t>
      </w:r>
    </w:p>
    <w:p w14:paraId="0751F461">
      <w:pPr>
        <w:adjustRightInd w:val="0"/>
        <w:snapToGrid w:val="0"/>
        <w:spacing w:line="560" w:lineRule="exact"/>
        <w:ind w:firstLine="560" w:firstLineChars="200"/>
        <w:rPr>
          <w:rFonts w:hint="eastAsia" w:ascii="宋体"/>
          <w:b/>
          <w:color w:val="auto"/>
          <w:sz w:val="28"/>
          <w:szCs w:val="28"/>
          <w:highlight w:val="none"/>
        </w:rPr>
      </w:pPr>
      <w:r>
        <w:rPr>
          <w:rFonts w:hint="eastAsia" w:ascii="宋体"/>
          <w:color w:val="auto"/>
          <w:sz w:val="28"/>
          <w:szCs w:val="28"/>
          <w:highlight w:val="none"/>
        </w:rPr>
        <w:t>附：</w:t>
      </w:r>
      <w:r>
        <w:rPr>
          <w:rFonts w:hint="eastAsia" w:ascii="宋体"/>
          <w:b/>
          <w:color w:val="auto"/>
          <w:sz w:val="28"/>
          <w:szCs w:val="28"/>
          <w:highlight w:val="none"/>
        </w:rPr>
        <w:t>委托代理人有效身份证扫描件</w:t>
      </w:r>
    </w:p>
    <w:p w14:paraId="20011CF4">
      <w:pPr>
        <w:adjustRightInd w:val="0"/>
        <w:snapToGrid w:val="0"/>
        <w:spacing w:line="560" w:lineRule="exact"/>
        <w:ind w:firstLine="1116" w:firstLineChars="397"/>
        <w:rPr>
          <w:rFonts w:hint="eastAsia" w:ascii="宋体"/>
          <w:b/>
          <w:color w:val="auto"/>
          <w:sz w:val="28"/>
          <w:szCs w:val="28"/>
          <w:highlight w:val="none"/>
        </w:rPr>
      </w:pPr>
      <w:r>
        <w:rPr>
          <w:rFonts w:hint="eastAsia" w:ascii="宋体"/>
          <w:b/>
          <w:color w:val="auto"/>
          <w:sz w:val="28"/>
          <w:szCs w:val="28"/>
          <w:highlight w:val="none"/>
        </w:rPr>
        <w:t>法定代表人有效身份证扫描件</w:t>
      </w:r>
    </w:p>
    <w:p w14:paraId="28FBF836">
      <w:pPr>
        <w:adjustRightInd w:val="0"/>
        <w:snapToGrid w:val="0"/>
        <w:spacing w:line="560" w:lineRule="exact"/>
        <w:ind w:firstLine="560" w:firstLineChars="200"/>
        <w:rPr>
          <w:rFonts w:hint="eastAsia" w:ascii="宋体"/>
          <w:color w:val="auto"/>
          <w:sz w:val="28"/>
          <w:szCs w:val="28"/>
          <w:highlight w:val="none"/>
        </w:rPr>
      </w:pPr>
    </w:p>
    <w:p w14:paraId="6425FD42">
      <w:pPr>
        <w:adjustRightInd w:val="0"/>
        <w:snapToGrid w:val="0"/>
        <w:spacing w:line="560" w:lineRule="exact"/>
        <w:ind w:firstLine="200"/>
        <w:rPr>
          <w:rFonts w:hint="eastAsia" w:ascii="宋体"/>
          <w:color w:val="auto"/>
          <w:sz w:val="28"/>
          <w:szCs w:val="28"/>
          <w:highlight w:val="none"/>
        </w:rPr>
      </w:pPr>
      <w:r>
        <w:rPr>
          <w:rFonts w:hint="eastAsia" w:ascii="宋体"/>
          <w:color w:val="auto"/>
          <w:sz w:val="28"/>
          <w:szCs w:val="28"/>
          <w:highlight w:val="none"/>
        </w:rPr>
        <w:t xml:space="preserve">                           投标人（签章）：</w:t>
      </w:r>
    </w:p>
    <w:p w14:paraId="5B0DF03D">
      <w:pPr>
        <w:adjustRightInd w:val="0"/>
        <w:snapToGrid w:val="0"/>
        <w:spacing w:line="560" w:lineRule="exact"/>
        <w:ind w:firstLine="2660" w:firstLineChars="950"/>
        <w:rPr>
          <w:rFonts w:hint="eastAsia" w:ascii="宋体"/>
          <w:color w:val="auto"/>
          <w:sz w:val="28"/>
          <w:szCs w:val="28"/>
          <w:highlight w:val="none"/>
        </w:rPr>
      </w:pPr>
      <w:r>
        <w:rPr>
          <w:rFonts w:hint="eastAsia" w:ascii="宋体"/>
          <w:color w:val="auto"/>
          <w:sz w:val="28"/>
          <w:szCs w:val="28"/>
          <w:highlight w:val="none"/>
        </w:rPr>
        <w:t>法定代表人（身份证号码）：             （签章）</w:t>
      </w:r>
    </w:p>
    <w:p w14:paraId="6E0A9358">
      <w:pPr>
        <w:pStyle w:val="19"/>
        <w:rPr>
          <w:rFonts w:hint="eastAsia" w:ascii="宋体"/>
          <w:color w:val="auto"/>
          <w:sz w:val="28"/>
          <w:szCs w:val="28"/>
          <w:highlight w:val="none"/>
        </w:rPr>
      </w:pPr>
      <w:r>
        <w:rPr>
          <w:rFonts w:hint="eastAsia"/>
          <w:color w:val="auto"/>
          <w:highlight w:val="none"/>
        </w:rPr>
        <w:t xml:space="preserve">                                 </w:t>
      </w:r>
      <w:r>
        <w:rPr>
          <w:rFonts w:hint="eastAsia" w:ascii="宋体"/>
          <w:color w:val="auto"/>
          <w:sz w:val="28"/>
          <w:szCs w:val="28"/>
          <w:highlight w:val="none"/>
        </w:rPr>
        <w:t xml:space="preserve">    联系方式：</w:t>
      </w:r>
    </w:p>
    <w:p w14:paraId="1CA1A1B3">
      <w:pPr>
        <w:adjustRightInd w:val="0"/>
        <w:snapToGrid w:val="0"/>
        <w:spacing w:line="560" w:lineRule="exact"/>
        <w:ind w:firstLine="2660" w:firstLineChars="950"/>
        <w:rPr>
          <w:rFonts w:hint="eastAsia" w:ascii="宋体"/>
          <w:color w:val="auto"/>
          <w:sz w:val="28"/>
          <w:szCs w:val="28"/>
          <w:highlight w:val="none"/>
        </w:rPr>
      </w:pPr>
      <w:r>
        <w:rPr>
          <w:rFonts w:hint="eastAsia" w:ascii="宋体"/>
          <w:color w:val="auto"/>
          <w:sz w:val="28"/>
          <w:szCs w:val="28"/>
          <w:highlight w:val="none"/>
        </w:rPr>
        <w:t xml:space="preserve">委托代理人（身份证号码）：      </w:t>
      </w:r>
    </w:p>
    <w:p w14:paraId="7E4164B7">
      <w:pPr>
        <w:adjustRightInd w:val="0"/>
        <w:snapToGrid w:val="0"/>
        <w:spacing w:line="560" w:lineRule="exact"/>
        <w:ind w:firstLine="2660" w:firstLineChars="950"/>
        <w:rPr>
          <w:rFonts w:hint="eastAsia" w:ascii="宋体"/>
          <w:color w:val="auto"/>
          <w:sz w:val="28"/>
          <w:szCs w:val="28"/>
          <w:highlight w:val="none"/>
        </w:rPr>
      </w:pPr>
      <w:r>
        <w:rPr>
          <w:rFonts w:hint="eastAsia" w:ascii="宋体"/>
          <w:color w:val="auto"/>
          <w:sz w:val="28"/>
          <w:szCs w:val="28"/>
          <w:highlight w:val="none"/>
        </w:rPr>
        <w:t xml:space="preserve">                联系方式：</w:t>
      </w:r>
    </w:p>
    <w:p w14:paraId="405C5FF8">
      <w:pPr>
        <w:adjustRightInd w:val="0"/>
        <w:snapToGrid w:val="0"/>
        <w:spacing w:line="560" w:lineRule="exact"/>
        <w:ind w:firstLine="3290" w:firstLineChars="1175"/>
        <w:rPr>
          <w:rFonts w:hint="eastAsia" w:ascii="宋体"/>
          <w:color w:val="auto"/>
          <w:sz w:val="28"/>
          <w:szCs w:val="28"/>
          <w:highlight w:val="none"/>
        </w:rPr>
      </w:pPr>
      <w:r>
        <w:rPr>
          <w:rFonts w:hint="eastAsia" w:ascii="宋体"/>
          <w:color w:val="auto"/>
          <w:sz w:val="28"/>
          <w:szCs w:val="28"/>
          <w:highlight w:val="none"/>
        </w:rPr>
        <w:t xml:space="preserve">              年    月    日</w:t>
      </w:r>
    </w:p>
    <w:p w14:paraId="4E973A58">
      <w:pPr>
        <w:pStyle w:val="19"/>
        <w:rPr>
          <w:rFonts w:hint="eastAsia"/>
          <w:color w:val="auto"/>
          <w:highlight w:val="none"/>
        </w:rPr>
      </w:pPr>
    </w:p>
    <w:p w14:paraId="39504BF7">
      <w:pPr>
        <w:adjustRightInd w:val="0"/>
        <w:snapToGrid w:val="0"/>
        <w:spacing w:line="560" w:lineRule="exact"/>
        <w:rPr>
          <w:rFonts w:hint="eastAsia"/>
          <w:b/>
          <w:color w:val="auto"/>
          <w:sz w:val="28"/>
          <w:szCs w:val="28"/>
          <w:highlight w:val="none"/>
        </w:rPr>
      </w:pPr>
      <w:r>
        <w:rPr>
          <w:rFonts w:hint="eastAsia"/>
          <w:b/>
          <w:color w:val="auto"/>
          <w:sz w:val="28"/>
          <w:szCs w:val="28"/>
          <w:highlight w:val="none"/>
          <w:u w:val="single"/>
        </w:rPr>
        <w:t>（上传电子投标文件时采用本授权委托书）</w:t>
      </w:r>
    </w:p>
    <w:p w14:paraId="169BEDA7">
      <w:pPr>
        <w:adjustRightInd w:val="0"/>
        <w:snapToGrid w:val="0"/>
        <w:spacing w:line="560" w:lineRule="exact"/>
        <w:jc w:val="center"/>
        <w:rPr>
          <w:rFonts w:hint="eastAsia"/>
          <w:b/>
          <w:color w:val="auto"/>
          <w:sz w:val="28"/>
          <w:szCs w:val="28"/>
          <w:highlight w:val="none"/>
        </w:rPr>
      </w:pPr>
    </w:p>
    <w:p w14:paraId="153D2516">
      <w:pPr>
        <w:adjustRightInd w:val="0"/>
        <w:snapToGrid w:val="0"/>
        <w:spacing w:line="560" w:lineRule="exact"/>
        <w:jc w:val="center"/>
        <w:rPr>
          <w:rFonts w:hint="eastAsia"/>
          <w:b/>
          <w:color w:val="auto"/>
          <w:sz w:val="28"/>
          <w:szCs w:val="28"/>
          <w:highlight w:val="none"/>
        </w:rPr>
      </w:pPr>
    </w:p>
    <w:p w14:paraId="6C56B77E">
      <w:pPr>
        <w:adjustRightInd w:val="0"/>
        <w:snapToGrid w:val="0"/>
        <w:spacing w:line="560" w:lineRule="exact"/>
        <w:jc w:val="center"/>
        <w:rPr>
          <w:rFonts w:hint="eastAsia"/>
          <w:b/>
          <w:color w:val="auto"/>
          <w:sz w:val="28"/>
          <w:szCs w:val="28"/>
          <w:highlight w:val="none"/>
        </w:rPr>
      </w:pPr>
    </w:p>
    <w:p w14:paraId="400D389D">
      <w:pPr>
        <w:adjustRightInd w:val="0"/>
        <w:snapToGrid w:val="0"/>
        <w:spacing w:line="560" w:lineRule="exact"/>
        <w:jc w:val="center"/>
        <w:rPr>
          <w:rFonts w:hint="eastAsia"/>
          <w:b/>
          <w:color w:val="auto"/>
          <w:sz w:val="28"/>
          <w:szCs w:val="28"/>
          <w:highlight w:val="none"/>
        </w:rPr>
      </w:pPr>
    </w:p>
    <w:p w14:paraId="7A886857">
      <w:pPr>
        <w:adjustRightInd w:val="0"/>
        <w:snapToGrid w:val="0"/>
        <w:spacing w:line="560" w:lineRule="exact"/>
        <w:jc w:val="center"/>
        <w:rPr>
          <w:rFonts w:hint="eastAsia"/>
          <w:b/>
          <w:color w:val="auto"/>
          <w:sz w:val="28"/>
          <w:szCs w:val="28"/>
          <w:highlight w:val="none"/>
        </w:rPr>
      </w:pPr>
    </w:p>
    <w:p w14:paraId="75A2D516">
      <w:pPr>
        <w:adjustRightInd w:val="0"/>
        <w:snapToGrid w:val="0"/>
        <w:spacing w:line="560" w:lineRule="exact"/>
        <w:jc w:val="center"/>
        <w:rPr>
          <w:rFonts w:hint="eastAsia"/>
          <w:b/>
          <w:color w:val="auto"/>
          <w:sz w:val="28"/>
          <w:szCs w:val="28"/>
          <w:highlight w:val="none"/>
        </w:rPr>
      </w:pPr>
    </w:p>
    <w:p w14:paraId="636AC72A">
      <w:pPr>
        <w:adjustRightInd w:val="0"/>
        <w:snapToGrid w:val="0"/>
        <w:spacing w:line="560" w:lineRule="exact"/>
        <w:jc w:val="center"/>
        <w:rPr>
          <w:rFonts w:hint="eastAsia"/>
          <w:b/>
          <w:color w:val="auto"/>
          <w:sz w:val="28"/>
          <w:szCs w:val="28"/>
          <w:highlight w:val="none"/>
        </w:rPr>
      </w:pPr>
    </w:p>
    <w:p w14:paraId="0DA80A7E">
      <w:pPr>
        <w:adjustRightInd w:val="0"/>
        <w:snapToGrid w:val="0"/>
        <w:spacing w:line="560" w:lineRule="exact"/>
        <w:jc w:val="center"/>
        <w:rPr>
          <w:rFonts w:hint="eastAsia"/>
          <w:b/>
          <w:color w:val="auto"/>
          <w:sz w:val="28"/>
          <w:szCs w:val="28"/>
          <w:highlight w:val="none"/>
        </w:rPr>
      </w:pPr>
    </w:p>
    <w:p w14:paraId="05FF3E46">
      <w:pPr>
        <w:adjustRightInd w:val="0"/>
        <w:snapToGrid w:val="0"/>
        <w:spacing w:line="560" w:lineRule="exact"/>
        <w:jc w:val="center"/>
        <w:rPr>
          <w:rFonts w:hint="eastAsia"/>
          <w:b/>
          <w:color w:val="auto"/>
          <w:sz w:val="28"/>
          <w:szCs w:val="28"/>
          <w:highlight w:val="none"/>
        </w:rPr>
      </w:pPr>
      <w:r>
        <w:rPr>
          <w:rFonts w:hint="eastAsia"/>
          <w:b/>
          <w:color w:val="auto"/>
          <w:sz w:val="28"/>
          <w:szCs w:val="28"/>
          <w:highlight w:val="none"/>
        </w:rPr>
        <w:t>②诚信投标承诺书  </w:t>
      </w:r>
    </w:p>
    <w:p w14:paraId="4E142D1F">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2A284D7B">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1590" w:name="_Toc503196197"/>
      <w:bookmarkStart w:id="1591" w:name="_Toc506107356"/>
      <w:bookmarkStart w:id="1592" w:name="_Toc26598"/>
      <w:r>
        <w:rPr>
          <w:rFonts w:hint="eastAsia" w:ascii="宋体" w:hAnsi="宋体"/>
          <w:color w:val="auto"/>
          <w:szCs w:val="21"/>
          <w:highlight w:val="none"/>
        </w:rPr>
        <w:t>开、公正和诚实信用</w:t>
      </w:r>
      <w:bookmarkEnd w:id="1590"/>
      <w:bookmarkEnd w:id="1591"/>
      <w:r>
        <w:rPr>
          <w:rFonts w:hint="eastAsia" w:ascii="宋体" w:hAnsi="宋体"/>
          <w:color w:val="auto"/>
          <w:szCs w:val="21"/>
          <w:highlight w:val="none"/>
        </w:rPr>
        <w:t>的</w:t>
      </w:r>
      <w:bookmarkEnd w:id="1592"/>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5AC0C22D">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7A1059DB">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A734055">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63C37C0C">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4E3AD536">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1593" w:name="OLE_LINK133"/>
      <w:bookmarkStart w:id="1594"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highlight w:val="none"/>
        </w:rPr>
        <w:t>（</w:t>
      </w:r>
      <w:bookmarkEnd w:id="1593"/>
      <w:bookmarkEnd w:id="1594"/>
      <w:r>
        <w:rPr>
          <w:rFonts w:hint="eastAsia"/>
          <w:color w:val="auto"/>
          <w:szCs w:val="21"/>
          <w:highlight w:val="none"/>
        </w:rPr>
        <w:t>若招标文件对投标人所属分公司、办事处等分支机构有上述</w:t>
      </w:r>
      <w:r>
        <w:rPr>
          <w:color w:val="auto"/>
          <w:szCs w:val="21"/>
          <w:highlight w:val="none"/>
        </w:rPr>
        <w:t>1-10</w:t>
      </w:r>
      <w:r>
        <w:rPr>
          <w:rFonts w:hint="eastAsia"/>
          <w:color w:val="auto"/>
          <w:szCs w:val="21"/>
          <w:highlight w:val="none"/>
        </w:rPr>
        <w:t>项信誉要求，在此一并承诺我公司所属分公司、办事处等分支机构没有上述</w:t>
      </w:r>
      <w:r>
        <w:rPr>
          <w:color w:val="auto"/>
          <w:szCs w:val="21"/>
          <w:highlight w:val="none"/>
        </w:rPr>
        <w:t>1-10</w:t>
      </w:r>
      <w:r>
        <w:rPr>
          <w:rFonts w:hint="eastAsia"/>
          <w:color w:val="auto"/>
          <w:szCs w:val="21"/>
          <w:highlight w:val="none"/>
        </w:rPr>
        <w:t>项情形）</w:t>
      </w:r>
    </w:p>
    <w:p w14:paraId="5E4BF04F">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3B2C98D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110743CF">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05BEA91C">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78867035">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一、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76653126">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88E91D6">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35F1BC9A">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6797BC9F">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22C7DD1F">
      <w:pPr>
        <w:adjustRightInd w:val="0"/>
        <w:snapToGrid w:val="0"/>
        <w:spacing w:line="560" w:lineRule="exact"/>
        <w:rPr>
          <w:rFonts w:hint="eastAsia" w:ascii="宋体" w:hAnsi="宋体"/>
          <w:color w:val="auto"/>
          <w:szCs w:val="21"/>
          <w:highlight w:val="none"/>
        </w:rPr>
      </w:pPr>
    </w:p>
    <w:p w14:paraId="18F1D1E8">
      <w:pPr>
        <w:adjustRightInd w:val="0"/>
        <w:snapToGrid w:val="0"/>
        <w:spacing w:line="5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5C1B2CB7">
      <w:pPr>
        <w:adjustRightInd w:val="0"/>
        <w:snapToGrid w:val="0"/>
        <w:spacing w:line="560" w:lineRule="exact"/>
        <w:rPr>
          <w:rFonts w:ascii="宋体" w:hAnsi="宋体"/>
          <w:color w:val="auto"/>
          <w:szCs w:val="21"/>
          <w:highlight w:val="none"/>
        </w:rPr>
      </w:pPr>
    </w:p>
    <w:p w14:paraId="0E39B761">
      <w:pPr>
        <w:adjustRightInd w:val="0"/>
        <w:snapToGrid w:val="0"/>
        <w:spacing w:line="5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08B52930">
      <w:pPr>
        <w:adjustRightInd w:val="0"/>
        <w:snapToGrid w:val="0"/>
        <w:spacing w:line="560" w:lineRule="exact"/>
        <w:rPr>
          <w:rFonts w:hint="eastAsia" w:ascii="宋体" w:hAnsi="宋体"/>
          <w:color w:val="auto"/>
          <w:szCs w:val="21"/>
          <w:highlight w:val="none"/>
        </w:rPr>
      </w:pPr>
    </w:p>
    <w:p w14:paraId="55150632">
      <w:pPr>
        <w:pStyle w:val="19"/>
        <w:rPr>
          <w:rFonts w:hint="eastAsia"/>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4F45E49C">
      <w:pPr>
        <w:rPr>
          <w:rFonts w:hint="eastAsia"/>
          <w:color w:val="auto"/>
          <w:highlight w:val="none"/>
        </w:rPr>
      </w:pPr>
    </w:p>
    <w:p w14:paraId="37AC2D74">
      <w:pPr>
        <w:adjustRightInd w:val="0"/>
        <w:snapToGrid w:val="0"/>
        <w:spacing w:line="560" w:lineRule="exact"/>
        <w:jc w:val="center"/>
        <w:rPr>
          <w:rFonts w:hint="eastAsia"/>
          <w:b/>
          <w:color w:val="auto"/>
          <w:sz w:val="28"/>
          <w:szCs w:val="28"/>
          <w:highlight w:val="none"/>
        </w:rPr>
      </w:pPr>
    </w:p>
    <w:p w14:paraId="26DAB656">
      <w:pPr>
        <w:adjustRightInd w:val="0"/>
        <w:snapToGrid w:val="0"/>
        <w:spacing w:line="560" w:lineRule="exact"/>
        <w:jc w:val="center"/>
        <w:rPr>
          <w:rFonts w:hint="eastAsia"/>
          <w:b/>
          <w:color w:val="auto"/>
          <w:sz w:val="28"/>
          <w:szCs w:val="28"/>
          <w:highlight w:val="none"/>
        </w:rPr>
      </w:pPr>
    </w:p>
    <w:p w14:paraId="69D1E0D1">
      <w:pPr>
        <w:rPr>
          <w:rFonts w:hint="eastAsia"/>
          <w:color w:val="auto"/>
          <w:highlight w:val="none"/>
        </w:rPr>
      </w:pPr>
    </w:p>
    <w:p w14:paraId="307962A1">
      <w:pPr>
        <w:adjustRightInd w:val="0"/>
        <w:snapToGrid w:val="0"/>
        <w:spacing w:line="560" w:lineRule="exact"/>
        <w:jc w:val="center"/>
        <w:rPr>
          <w:rFonts w:hint="eastAsia"/>
          <w:b/>
          <w:color w:val="auto"/>
          <w:sz w:val="28"/>
          <w:szCs w:val="28"/>
          <w:highlight w:val="none"/>
        </w:rPr>
      </w:pPr>
      <w:r>
        <w:rPr>
          <w:rFonts w:hint="eastAsia"/>
          <w:b/>
          <w:color w:val="auto"/>
          <w:sz w:val="28"/>
          <w:szCs w:val="28"/>
          <w:highlight w:val="none"/>
        </w:rPr>
        <w:t>②公共信用信息报告（无违法违规证明版或核查版））</w:t>
      </w:r>
    </w:p>
    <w:p w14:paraId="45864411">
      <w:pPr>
        <w:pStyle w:val="19"/>
        <w:spacing w:after="0" w:line="560" w:lineRule="exact"/>
        <w:ind w:left="0" w:leftChars="0"/>
        <w:rPr>
          <w:rFonts w:hint="eastAsia" w:ascii="宋体" w:hAnsi="宋体"/>
          <w:color w:val="auto"/>
          <w:szCs w:val="21"/>
          <w:highlight w:val="none"/>
        </w:rPr>
      </w:pPr>
      <w:r>
        <w:rPr>
          <w:rFonts w:hint="eastAsia" w:ascii="宋体" w:hAnsi="宋体"/>
          <w:color w:val="auto"/>
          <w:szCs w:val="21"/>
          <w:highlight w:val="none"/>
        </w:rPr>
        <w:t>符合条件的投标人可在信用中国（安徽）网站（网址</w:t>
      </w:r>
      <w:r>
        <w:rPr>
          <w:rFonts w:ascii="宋体" w:hAnsi="宋体"/>
          <w:color w:val="auto"/>
          <w:szCs w:val="21"/>
          <w:highlight w:val="none"/>
        </w:rPr>
        <w:fldChar w:fldCharType="begin"/>
      </w:r>
      <w:r>
        <w:rPr>
          <w:rFonts w:ascii="宋体" w:hAnsi="宋体"/>
          <w:color w:val="auto"/>
          <w:szCs w:val="21"/>
          <w:highlight w:val="none"/>
        </w:rPr>
        <w:instrText xml:space="preserve"> HYPERLINK "https://credit.ah.gov.cn/xinyongfuwu/index.html" </w:instrText>
      </w:r>
      <w:r>
        <w:rPr>
          <w:rFonts w:ascii="宋体" w:hAnsi="宋体"/>
          <w:color w:val="auto"/>
          <w:szCs w:val="21"/>
          <w:highlight w:val="none"/>
        </w:rPr>
        <w:fldChar w:fldCharType="separate"/>
      </w:r>
      <w:r>
        <w:rPr>
          <w:rStyle w:val="30"/>
          <w:rFonts w:ascii="宋体" w:hAnsi="宋体"/>
          <w:color w:val="auto"/>
          <w:szCs w:val="21"/>
          <w:highlight w:val="none"/>
        </w:rPr>
        <w:t>https://credit.ah.gov.cn/xinyongfuwu/index.html</w:t>
      </w:r>
      <w:r>
        <w:rPr>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386F12AC">
      <w:pPr>
        <w:pStyle w:val="19"/>
        <w:rPr>
          <w:rFonts w:hint="eastAsia"/>
          <w:color w:val="auto"/>
          <w:highlight w:val="none"/>
        </w:rPr>
      </w:pPr>
    </w:p>
    <w:p w14:paraId="67130ACA">
      <w:pPr>
        <w:adjustRightInd w:val="0"/>
        <w:snapToGrid w:val="0"/>
        <w:spacing w:line="560" w:lineRule="exact"/>
        <w:jc w:val="center"/>
        <w:rPr>
          <w:rFonts w:hint="eastAsia"/>
          <w:b/>
          <w:color w:val="auto"/>
          <w:sz w:val="28"/>
          <w:szCs w:val="28"/>
          <w:highlight w:val="none"/>
        </w:rPr>
      </w:pPr>
    </w:p>
    <w:p w14:paraId="4FE47C06">
      <w:pPr>
        <w:rPr>
          <w:rFonts w:hint="eastAsia"/>
          <w:b/>
          <w:color w:val="auto"/>
          <w:sz w:val="28"/>
          <w:szCs w:val="28"/>
          <w:highlight w:val="none"/>
        </w:rPr>
      </w:pPr>
    </w:p>
    <w:p w14:paraId="1886FB01">
      <w:pPr>
        <w:rPr>
          <w:rFonts w:hint="eastAsia"/>
          <w:b/>
          <w:color w:val="auto"/>
          <w:sz w:val="28"/>
          <w:szCs w:val="28"/>
          <w:highlight w:val="none"/>
        </w:rPr>
      </w:pPr>
    </w:p>
    <w:p w14:paraId="519FAB3E">
      <w:pPr>
        <w:rPr>
          <w:rFonts w:hint="eastAsia"/>
          <w:b/>
          <w:color w:val="auto"/>
          <w:sz w:val="28"/>
          <w:szCs w:val="28"/>
          <w:highlight w:val="none"/>
        </w:rPr>
      </w:pPr>
    </w:p>
    <w:p w14:paraId="5A77F8BF">
      <w:pPr>
        <w:rPr>
          <w:rFonts w:hint="eastAsia"/>
          <w:b/>
          <w:color w:val="auto"/>
          <w:sz w:val="28"/>
          <w:szCs w:val="28"/>
          <w:highlight w:val="none"/>
        </w:rPr>
      </w:pPr>
    </w:p>
    <w:p w14:paraId="097E1203">
      <w:pPr>
        <w:rPr>
          <w:rFonts w:hint="eastAsia"/>
          <w:b/>
          <w:color w:val="auto"/>
          <w:sz w:val="28"/>
          <w:szCs w:val="28"/>
          <w:highlight w:val="none"/>
        </w:rPr>
      </w:pPr>
    </w:p>
    <w:p w14:paraId="482AEDE7">
      <w:pPr>
        <w:rPr>
          <w:rFonts w:hint="eastAsia"/>
          <w:b/>
          <w:color w:val="auto"/>
          <w:sz w:val="28"/>
          <w:szCs w:val="28"/>
          <w:highlight w:val="none"/>
        </w:rPr>
      </w:pPr>
    </w:p>
    <w:p w14:paraId="1FD74E54">
      <w:pPr>
        <w:rPr>
          <w:rFonts w:hint="eastAsia"/>
          <w:b/>
          <w:color w:val="auto"/>
          <w:sz w:val="28"/>
          <w:szCs w:val="28"/>
          <w:highlight w:val="none"/>
        </w:rPr>
      </w:pPr>
    </w:p>
    <w:p w14:paraId="5DA23E86">
      <w:pPr>
        <w:rPr>
          <w:rFonts w:hint="eastAsia"/>
          <w:b/>
          <w:color w:val="auto"/>
          <w:sz w:val="28"/>
          <w:szCs w:val="28"/>
          <w:highlight w:val="none"/>
        </w:rPr>
      </w:pPr>
    </w:p>
    <w:p w14:paraId="7C5D7D87">
      <w:pPr>
        <w:rPr>
          <w:rFonts w:hint="eastAsia"/>
          <w:b/>
          <w:color w:val="auto"/>
          <w:sz w:val="28"/>
          <w:szCs w:val="28"/>
          <w:highlight w:val="none"/>
        </w:rPr>
      </w:pPr>
    </w:p>
    <w:p w14:paraId="2A44FA3D">
      <w:pPr>
        <w:rPr>
          <w:rFonts w:hint="eastAsia"/>
          <w:b/>
          <w:color w:val="auto"/>
          <w:sz w:val="28"/>
          <w:szCs w:val="28"/>
          <w:highlight w:val="none"/>
        </w:rPr>
      </w:pPr>
    </w:p>
    <w:p w14:paraId="01998DE9">
      <w:pPr>
        <w:rPr>
          <w:rFonts w:hint="eastAsia"/>
          <w:b/>
          <w:color w:val="auto"/>
          <w:sz w:val="28"/>
          <w:szCs w:val="28"/>
          <w:highlight w:val="none"/>
        </w:rPr>
      </w:pPr>
    </w:p>
    <w:p w14:paraId="71935F83">
      <w:pPr>
        <w:rPr>
          <w:rFonts w:hint="eastAsia"/>
          <w:b/>
          <w:color w:val="auto"/>
          <w:sz w:val="28"/>
          <w:szCs w:val="28"/>
          <w:highlight w:val="none"/>
        </w:rPr>
      </w:pPr>
    </w:p>
    <w:p w14:paraId="1FC56097">
      <w:pPr>
        <w:rPr>
          <w:rFonts w:hint="eastAsia"/>
          <w:b/>
          <w:color w:val="auto"/>
          <w:sz w:val="28"/>
          <w:szCs w:val="28"/>
          <w:highlight w:val="none"/>
        </w:rPr>
      </w:pPr>
    </w:p>
    <w:p w14:paraId="056E1C0B">
      <w:pPr>
        <w:rPr>
          <w:rFonts w:hint="eastAsia"/>
          <w:b/>
          <w:color w:val="auto"/>
          <w:sz w:val="28"/>
          <w:szCs w:val="28"/>
          <w:highlight w:val="none"/>
        </w:rPr>
      </w:pPr>
    </w:p>
    <w:p w14:paraId="3795528F">
      <w:pPr>
        <w:rPr>
          <w:rFonts w:hint="eastAsia"/>
          <w:b/>
          <w:color w:val="auto"/>
          <w:sz w:val="28"/>
          <w:szCs w:val="28"/>
          <w:highlight w:val="none"/>
        </w:rPr>
      </w:pPr>
    </w:p>
    <w:p w14:paraId="0E3F8C2D">
      <w:pPr>
        <w:rPr>
          <w:rFonts w:hint="eastAsia"/>
          <w:b/>
          <w:color w:val="auto"/>
          <w:sz w:val="28"/>
          <w:szCs w:val="28"/>
          <w:highlight w:val="none"/>
        </w:rPr>
      </w:pPr>
    </w:p>
    <w:p w14:paraId="4AAA3877">
      <w:pPr>
        <w:rPr>
          <w:rFonts w:hint="eastAsia"/>
          <w:b/>
          <w:color w:val="auto"/>
          <w:sz w:val="28"/>
          <w:szCs w:val="28"/>
          <w:highlight w:val="none"/>
        </w:rPr>
      </w:pPr>
    </w:p>
    <w:p w14:paraId="7462D7F2">
      <w:pPr>
        <w:rPr>
          <w:rFonts w:hint="eastAsia"/>
          <w:b/>
          <w:color w:val="auto"/>
          <w:sz w:val="28"/>
          <w:szCs w:val="28"/>
          <w:highlight w:val="none"/>
        </w:rPr>
      </w:pPr>
    </w:p>
    <w:p w14:paraId="452B6FA1">
      <w:pPr>
        <w:rPr>
          <w:rFonts w:hint="eastAsia"/>
          <w:b/>
          <w:color w:val="auto"/>
          <w:sz w:val="28"/>
          <w:szCs w:val="28"/>
          <w:highlight w:val="none"/>
        </w:rPr>
      </w:pPr>
    </w:p>
    <w:p w14:paraId="02BAAED6">
      <w:pPr>
        <w:rPr>
          <w:rFonts w:hint="eastAsia"/>
          <w:b/>
          <w:color w:val="auto"/>
          <w:sz w:val="28"/>
          <w:szCs w:val="28"/>
          <w:highlight w:val="none"/>
        </w:rPr>
      </w:pPr>
    </w:p>
    <w:p w14:paraId="253032C3">
      <w:pPr>
        <w:rPr>
          <w:rFonts w:hint="eastAsia"/>
          <w:b/>
          <w:color w:val="auto"/>
          <w:sz w:val="28"/>
          <w:szCs w:val="28"/>
          <w:highlight w:val="none"/>
        </w:rPr>
      </w:pPr>
    </w:p>
    <w:p w14:paraId="4BB89433">
      <w:pPr>
        <w:rPr>
          <w:rFonts w:hint="eastAsia"/>
          <w:b/>
          <w:color w:val="auto"/>
          <w:sz w:val="28"/>
          <w:szCs w:val="28"/>
          <w:highlight w:val="none"/>
        </w:rPr>
      </w:pPr>
    </w:p>
    <w:p w14:paraId="58369B0E">
      <w:pPr>
        <w:rPr>
          <w:rFonts w:hint="eastAsia"/>
          <w:b/>
          <w:color w:val="auto"/>
          <w:sz w:val="28"/>
          <w:szCs w:val="28"/>
          <w:highlight w:val="none"/>
        </w:rPr>
      </w:pPr>
    </w:p>
    <w:p w14:paraId="6738305E">
      <w:pPr>
        <w:rPr>
          <w:rFonts w:hint="eastAsia"/>
          <w:b/>
          <w:color w:val="auto"/>
          <w:sz w:val="28"/>
          <w:szCs w:val="28"/>
          <w:highlight w:val="none"/>
        </w:rPr>
      </w:pPr>
    </w:p>
    <w:p w14:paraId="621F53CC">
      <w:pPr>
        <w:rPr>
          <w:rFonts w:hint="eastAsia"/>
          <w:b/>
          <w:color w:val="auto"/>
          <w:sz w:val="28"/>
          <w:szCs w:val="28"/>
          <w:highlight w:val="none"/>
        </w:rPr>
      </w:pPr>
    </w:p>
    <w:p w14:paraId="5748F309">
      <w:pPr>
        <w:rPr>
          <w:rFonts w:hint="eastAsia"/>
          <w:b/>
          <w:color w:val="auto"/>
          <w:sz w:val="28"/>
          <w:szCs w:val="28"/>
          <w:highlight w:val="none"/>
        </w:rPr>
      </w:pPr>
    </w:p>
    <w:p w14:paraId="4B4EB966">
      <w:pPr>
        <w:rPr>
          <w:rFonts w:hint="eastAsia"/>
          <w:b/>
          <w:color w:val="auto"/>
          <w:sz w:val="28"/>
          <w:szCs w:val="28"/>
          <w:highlight w:val="none"/>
        </w:rPr>
      </w:pPr>
    </w:p>
    <w:p w14:paraId="75B43457">
      <w:pPr>
        <w:rPr>
          <w:rFonts w:hint="eastAsia"/>
          <w:b/>
          <w:color w:val="auto"/>
          <w:sz w:val="28"/>
          <w:szCs w:val="28"/>
          <w:highlight w:val="none"/>
        </w:rPr>
      </w:pPr>
    </w:p>
    <w:p w14:paraId="1E7188BA">
      <w:pPr>
        <w:rPr>
          <w:rFonts w:hint="eastAsia"/>
          <w:b/>
          <w:color w:val="auto"/>
          <w:sz w:val="28"/>
          <w:szCs w:val="28"/>
          <w:highlight w:val="none"/>
        </w:rPr>
      </w:pPr>
    </w:p>
    <w:p w14:paraId="30D06F39">
      <w:pPr>
        <w:rPr>
          <w:rFonts w:hint="eastAsia"/>
          <w:b/>
          <w:color w:val="auto"/>
          <w:sz w:val="28"/>
          <w:szCs w:val="28"/>
          <w:highlight w:val="none"/>
        </w:rPr>
      </w:pPr>
    </w:p>
    <w:p w14:paraId="4E2213C8">
      <w:pPr>
        <w:rPr>
          <w:rFonts w:hint="eastAsia"/>
          <w:color w:val="auto"/>
          <w:highlight w:val="none"/>
        </w:rPr>
      </w:pPr>
    </w:p>
    <w:p w14:paraId="514C66F5">
      <w:pPr>
        <w:pStyle w:val="19"/>
        <w:rPr>
          <w:rFonts w:hint="eastAsia"/>
          <w:color w:val="auto"/>
          <w:highlight w:val="none"/>
        </w:rPr>
      </w:pPr>
    </w:p>
    <w:p w14:paraId="004BCE48">
      <w:pPr>
        <w:rPr>
          <w:rFonts w:hint="eastAsia"/>
          <w:color w:val="auto"/>
          <w:highlight w:val="none"/>
        </w:rPr>
      </w:pPr>
    </w:p>
    <w:p w14:paraId="61BB7C79">
      <w:pPr>
        <w:pStyle w:val="19"/>
        <w:rPr>
          <w:rFonts w:hint="eastAsia"/>
          <w:color w:val="auto"/>
          <w:highlight w:val="none"/>
        </w:rPr>
      </w:pPr>
    </w:p>
    <w:p w14:paraId="5597B8C8">
      <w:pPr>
        <w:rPr>
          <w:rFonts w:hint="eastAsia"/>
          <w:color w:val="auto"/>
          <w:highlight w:val="none"/>
        </w:rPr>
      </w:pPr>
    </w:p>
    <w:p w14:paraId="58E8E193">
      <w:pPr>
        <w:pStyle w:val="19"/>
        <w:rPr>
          <w:rFonts w:hint="eastAsia"/>
          <w:color w:val="auto"/>
          <w:highlight w:val="none"/>
        </w:rPr>
      </w:pPr>
    </w:p>
    <w:p w14:paraId="6308A7AF">
      <w:pPr>
        <w:pStyle w:val="19"/>
        <w:rPr>
          <w:rFonts w:hint="eastAsia"/>
          <w:color w:val="auto"/>
          <w:highlight w:val="none"/>
        </w:rPr>
      </w:pPr>
    </w:p>
    <w:p w14:paraId="6FF50513">
      <w:pPr>
        <w:adjustRightInd w:val="0"/>
        <w:snapToGrid w:val="0"/>
        <w:spacing w:line="560" w:lineRule="exact"/>
        <w:jc w:val="center"/>
        <w:rPr>
          <w:rFonts w:ascii="Cambria Math" w:hAnsi="Cambria Math" w:cs="Cambria Math"/>
          <w:b/>
          <w:bCs/>
          <w:color w:val="auto"/>
          <w:sz w:val="32"/>
          <w:szCs w:val="32"/>
          <w:highlight w:val="none"/>
        </w:rPr>
        <w:sectPr>
          <w:pgSz w:w="11910" w:h="16840"/>
          <w:pgMar w:top="1060" w:right="660" w:bottom="1020" w:left="1120" w:header="0" w:footer="833" w:gutter="0"/>
          <w:cols w:space="720" w:num="1"/>
        </w:sectPr>
      </w:pPr>
    </w:p>
    <w:p w14:paraId="3C82E0FC">
      <w:pPr>
        <w:adjustRightInd w:val="0"/>
        <w:snapToGrid w:val="0"/>
        <w:spacing w:line="560" w:lineRule="exact"/>
        <w:jc w:val="center"/>
        <w:rPr>
          <w:rFonts w:hint="eastAsia" w:ascii="Cambria Math" w:hAnsi="Cambria Math" w:cs="Cambria Math"/>
          <w:b/>
          <w:bCs/>
          <w:color w:val="auto"/>
          <w:sz w:val="32"/>
          <w:szCs w:val="32"/>
          <w:highlight w:val="none"/>
        </w:rPr>
      </w:pPr>
    </w:p>
    <w:p w14:paraId="62E665BA">
      <w:pPr>
        <w:adjustRightInd w:val="0"/>
        <w:snapToGrid w:val="0"/>
        <w:spacing w:line="560" w:lineRule="exact"/>
        <w:jc w:val="center"/>
        <w:rPr>
          <w:rFonts w:hint="eastAsia" w:ascii="Cambria Math" w:hAnsi="Cambria Math" w:cs="Cambria Math"/>
          <w:b/>
          <w:bCs/>
          <w:color w:val="auto"/>
          <w:sz w:val="32"/>
          <w:szCs w:val="32"/>
          <w:highlight w:val="none"/>
        </w:rPr>
      </w:pPr>
    </w:p>
    <w:p w14:paraId="1B0D883E">
      <w:pPr>
        <w:adjustRightInd w:val="0"/>
        <w:snapToGrid w:val="0"/>
        <w:spacing w:line="560" w:lineRule="exact"/>
        <w:jc w:val="center"/>
        <w:rPr>
          <w:rFonts w:hint="eastAsia" w:ascii="Cambria Math" w:hAnsi="Cambria Math" w:cs="Cambria Math"/>
          <w:b/>
          <w:bCs/>
          <w:color w:val="auto"/>
          <w:sz w:val="32"/>
          <w:szCs w:val="32"/>
          <w:highlight w:val="none"/>
        </w:rPr>
      </w:pPr>
    </w:p>
    <w:p w14:paraId="1A70D255">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1CF3DBC8">
      <w:pPr>
        <w:adjustRightInd w:val="0"/>
        <w:snapToGrid w:val="0"/>
        <w:spacing w:line="560" w:lineRule="exact"/>
        <w:jc w:val="center"/>
        <w:rPr>
          <w:rFonts w:hint="eastAsia" w:eastAsia="黑体"/>
          <w:color w:val="auto"/>
          <w:sz w:val="20"/>
          <w:szCs w:val="20"/>
          <w:highlight w:val="none"/>
        </w:rPr>
      </w:pPr>
    </w:p>
    <w:p w14:paraId="71A0E3E3">
      <w:pPr>
        <w:adjustRightInd w:val="0"/>
        <w:snapToGrid w:val="0"/>
        <w:spacing w:line="560" w:lineRule="exact"/>
        <w:rPr>
          <w:rFonts w:hint="eastAsia" w:eastAsia="黑体"/>
          <w:color w:val="auto"/>
          <w:sz w:val="20"/>
          <w:szCs w:val="20"/>
          <w:highlight w:val="none"/>
        </w:rPr>
      </w:pPr>
    </w:p>
    <w:p w14:paraId="5A2C47E5">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5C20E2B3">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（技术标文件）</w:t>
      </w:r>
    </w:p>
    <w:p w14:paraId="734F25D4">
      <w:pPr>
        <w:adjustRightInd w:val="0"/>
        <w:snapToGrid w:val="0"/>
        <w:spacing w:line="560" w:lineRule="exact"/>
        <w:rPr>
          <w:rFonts w:eastAsia="黑体"/>
          <w:color w:val="auto"/>
          <w:sz w:val="28"/>
          <w:szCs w:val="28"/>
          <w:highlight w:val="none"/>
        </w:rPr>
      </w:pPr>
    </w:p>
    <w:p w14:paraId="78874030">
      <w:pPr>
        <w:adjustRightInd w:val="0"/>
        <w:snapToGrid w:val="0"/>
        <w:spacing w:line="560" w:lineRule="exact"/>
        <w:rPr>
          <w:rFonts w:eastAsia="黑体"/>
          <w:color w:val="auto"/>
          <w:sz w:val="28"/>
          <w:szCs w:val="28"/>
          <w:highlight w:val="none"/>
        </w:rPr>
      </w:pPr>
    </w:p>
    <w:p w14:paraId="0160946D">
      <w:pPr>
        <w:adjustRightInd w:val="0"/>
        <w:snapToGrid w:val="0"/>
        <w:spacing w:line="560" w:lineRule="exact"/>
        <w:rPr>
          <w:rFonts w:eastAsia="黑体"/>
          <w:color w:val="auto"/>
          <w:sz w:val="28"/>
          <w:szCs w:val="28"/>
          <w:highlight w:val="none"/>
        </w:rPr>
      </w:pPr>
    </w:p>
    <w:p w14:paraId="0EB3E9D3">
      <w:pPr>
        <w:adjustRightInd w:val="0"/>
        <w:snapToGrid w:val="0"/>
        <w:spacing w:line="560" w:lineRule="exact"/>
        <w:rPr>
          <w:rFonts w:eastAsia="黑体"/>
          <w:color w:val="auto"/>
          <w:sz w:val="28"/>
          <w:szCs w:val="28"/>
          <w:highlight w:val="none"/>
        </w:rPr>
      </w:pPr>
    </w:p>
    <w:p w14:paraId="14A1E212">
      <w:pPr>
        <w:adjustRightInd w:val="0"/>
        <w:snapToGrid w:val="0"/>
        <w:spacing w:line="560" w:lineRule="exact"/>
        <w:rPr>
          <w:rFonts w:hint="eastAsia" w:eastAsia="黑体"/>
          <w:color w:val="auto"/>
          <w:sz w:val="28"/>
          <w:szCs w:val="28"/>
          <w:highlight w:val="none"/>
        </w:rPr>
      </w:pPr>
    </w:p>
    <w:p w14:paraId="6C31A4A4">
      <w:pPr>
        <w:pStyle w:val="19"/>
        <w:rPr>
          <w:rFonts w:hint="eastAsia"/>
          <w:color w:val="auto"/>
          <w:highlight w:val="none"/>
        </w:rPr>
      </w:pPr>
    </w:p>
    <w:p w14:paraId="1B1C55C4">
      <w:pPr>
        <w:rPr>
          <w:color w:val="auto"/>
          <w:highlight w:val="none"/>
        </w:rPr>
      </w:pPr>
    </w:p>
    <w:p w14:paraId="71712BA1">
      <w:pPr>
        <w:adjustRightInd w:val="0"/>
        <w:snapToGrid w:val="0"/>
        <w:spacing w:line="560" w:lineRule="exact"/>
        <w:rPr>
          <w:rFonts w:eastAsia="黑体"/>
          <w:color w:val="auto"/>
          <w:sz w:val="28"/>
          <w:szCs w:val="28"/>
          <w:highlight w:val="none"/>
        </w:rPr>
      </w:pPr>
    </w:p>
    <w:p w14:paraId="2F7CE0CC">
      <w:pPr>
        <w:pStyle w:val="19"/>
        <w:adjustRightInd w:val="0"/>
        <w:snapToGrid w:val="0"/>
        <w:spacing w:after="0" w:line="560" w:lineRule="exact"/>
        <w:ind w:left="0" w:leftChars="0" w:firstLine="0" w:firstLineChars="0"/>
        <w:rPr>
          <w:color w:val="auto"/>
          <w:highlight w:val="none"/>
        </w:rPr>
      </w:pPr>
    </w:p>
    <w:p w14:paraId="601BF106">
      <w:pPr>
        <w:adjustRightInd w:val="0"/>
        <w:snapToGrid w:val="0"/>
        <w:spacing w:line="560" w:lineRule="exact"/>
        <w:rPr>
          <w:rFonts w:hint="eastAsia" w:eastAsia="黑体"/>
          <w:color w:val="auto"/>
          <w:sz w:val="28"/>
          <w:szCs w:val="28"/>
          <w:highlight w:val="none"/>
        </w:rPr>
      </w:pPr>
    </w:p>
    <w:p w14:paraId="0107869B">
      <w:pPr>
        <w:pStyle w:val="19"/>
        <w:rPr>
          <w:rFonts w:hint="eastAsia"/>
          <w:color w:val="auto"/>
          <w:highlight w:val="none"/>
        </w:rPr>
      </w:pPr>
    </w:p>
    <w:p w14:paraId="35310E38">
      <w:pPr>
        <w:rPr>
          <w:rFonts w:hint="eastAsia"/>
          <w:color w:val="auto"/>
          <w:highlight w:val="none"/>
        </w:rPr>
      </w:pPr>
    </w:p>
    <w:p w14:paraId="418F2A28">
      <w:pPr>
        <w:pStyle w:val="19"/>
        <w:rPr>
          <w:rFonts w:hint="eastAsia"/>
          <w:color w:val="auto"/>
          <w:highlight w:val="none"/>
        </w:rPr>
      </w:pPr>
    </w:p>
    <w:p w14:paraId="57E7CF55">
      <w:pPr>
        <w:rPr>
          <w:rFonts w:hint="eastAsia"/>
          <w:color w:val="auto"/>
          <w:highlight w:val="none"/>
        </w:rPr>
      </w:pPr>
    </w:p>
    <w:p w14:paraId="2CE9A068">
      <w:pPr>
        <w:pStyle w:val="19"/>
        <w:rPr>
          <w:rFonts w:hint="eastAsia"/>
          <w:color w:val="auto"/>
          <w:highlight w:val="none"/>
        </w:rPr>
      </w:pPr>
    </w:p>
    <w:p w14:paraId="615EE22D">
      <w:pPr>
        <w:rPr>
          <w:color w:val="auto"/>
          <w:highlight w:val="none"/>
        </w:rPr>
      </w:pPr>
    </w:p>
    <w:p w14:paraId="514C588C">
      <w:pPr>
        <w:adjustRightInd w:val="0"/>
        <w:snapToGrid w:val="0"/>
        <w:spacing w:line="560" w:lineRule="exact"/>
        <w:rPr>
          <w:rFonts w:eastAsia="黑体"/>
          <w:color w:val="auto"/>
          <w:sz w:val="28"/>
          <w:szCs w:val="28"/>
          <w:highlight w:val="none"/>
        </w:rPr>
      </w:pPr>
    </w:p>
    <w:p w14:paraId="11672B12">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42D915FC">
      <w:pPr>
        <w:adjustRightInd w:val="0"/>
        <w:snapToGrid w:val="0"/>
        <w:spacing w:line="560" w:lineRule="exact"/>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747A32C1">
      <w:pPr>
        <w:adjustRightInd w:val="0"/>
        <w:snapToGrid w:val="0"/>
        <w:spacing w:line="560" w:lineRule="exact"/>
        <w:jc w:val="center"/>
        <w:rPr>
          <w:rFonts w:hint="eastAsia"/>
          <w:color w:val="auto"/>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4BC1901E">
      <w:pPr>
        <w:pStyle w:val="3"/>
        <w:rPr>
          <w:rFonts w:hint="eastAsia"/>
          <w:color w:val="auto"/>
          <w:highlight w:val="none"/>
        </w:rPr>
      </w:pPr>
      <w:bookmarkStart w:id="1595" w:name="_Toc95223539"/>
      <w:r>
        <w:rPr>
          <w:rFonts w:hint="eastAsia"/>
          <w:color w:val="auto"/>
          <w:highlight w:val="none"/>
        </w:rPr>
        <w:t>投标文件二：技术标目录</w:t>
      </w:r>
      <w:bookmarkEnd w:id="1595"/>
    </w:p>
    <w:p w14:paraId="7ADEEF50">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（1）施工组织设计</w:t>
      </w:r>
    </w:p>
    <w:p w14:paraId="635AD0AD">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（2）其他技术标评审所需资料</w:t>
      </w:r>
    </w:p>
    <w:p w14:paraId="2BC5814D">
      <w:pPr>
        <w:adjustRightInd w:val="0"/>
        <w:snapToGrid w:val="0"/>
        <w:spacing w:line="560" w:lineRule="exact"/>
        <w:rPr>
          <w:rFonts w:hint="eastAsia" w:ascii="宋体" w:hAnsi="宋体"/>
          <w:color w:val="auto"/>
          <w:szCs w:val="21"/>
          <w:highlight w:val="none"/>
        </w:rPr>
      </w:pPr>
    </w:p>
    <w:p w14:paraId="3A1EC9CB">
      <w:pPr>
        <w:adjustRightInd w:val="0"/>
        <w:snapToGrid w:val="0"/>
        <w:spacing w:line="560" w:lineRule="exact"/>
        <w:rPr>
          <w:rFonts w:hint="eastAsia" w:ascii="仿宋_GB2312" w:eastAsia="仿宋_GB2312"/>
          <w:color w:val="auto"/>
          <w:szCs w:val="21"/>
          <w:highlight w:val="none"/>
        </w:rPr>
      </w:pPr>
    </w:p>
    <w:p w14:paraId="142D6927">
      <w:pPr>
        <w:adjustRightInd w:val="0"/>
        <w:snapToGrid w:val="0"/>
        <w:spacing w:line="560" w:lineRule="exact"/>
        <w:rPr>
          <w:rFonts w:hint="eastAsia" w:eastAsia="黑体"/>
          <w:color w:val="auto"/>
          <w:sz w:val="20"/>
          <w:szCs w:val="20"/>
          <w:highlight w:val="none"/>
        </w:rPr>
      </w:pPr>
    </w:p>
    <w:p w14:paraId="019EDC6F">
      <w:pPr>
        <w:adjustRightInd w:val="0"/>
        <w:snapToGrid w:val="0"/>
        <w:spacing w:line="560" w:lineRule="exact"/>
        <w:rPr>
          <w:rFonts w:hint="eastAsia"/>
          <w:color w:val="auto"/>
          <w:highlight w:val="none"/>
        </w:rPr>
      </w:pPr>
    </w:p>
    <w:p w14:paraId="07FF8412">
      <w:pPr>
        <w:adjustRightInd w:val="0"/>
        <w:snapToGrid w:val="0"/>
        <w:spacing w:line="560" w:lineRule="exact"/>
        <w:rPr>
          <w:rFonts w:hint="eastAsia"/>
          <w:color w:val="auto"/>
          <w:highlight w:val="none"/>
        </w:rPr>
      </w:pPr>
    </w:p>
    <w:p w14:paraId="6FC6B7F4">
      <w:pPr>
        <w:adjustRightInd w:val="0"/>
        <w:snapToGrid w:val="0"/>
        <w:spacing w:line="560" w:lineRule="exact"/>
        <w:rPr>
          <w:rFonts w:hint="eastAsia"/>
          <w:color w:val="auto"/>
          <w:highlight w:val="none"/>
        </w:rPr>
      </w:pPr>
    </w:p>
    <w:p w14:paraId="05551213">
      <w:pPr>
        <w:adjustRightInd w:val="0"/>
        <w:snapToGrid w:val="0"/>
        <w:spacing w:line="560" w:lineRule="exact"/>
        <w:rPr>
          <w:rFonts w:hint="eastAsia"/>
          <w:color w:val="auto"/>
          <w:highlight w:val="none"/>
        </w:rPr>
      </w:pPr>
    </w:p>
    <w:p w14:paraId="24957781">
      <w:pPr>
        <w:adjustRightInd w:val="0"/>
        <w:snapToGrid w:val="0"/>
        <w:spacing w:line="560" w:lineRule="exact"/>
        <w:rPr>
          <w:rFonts w:hint="eastAsia"/>
          <w:color w:val="auto"/>
          <w:highlight w:val="none"/>
        </w:rPr>
      </w:pPr>
    </w:p>
    <w:p w14:paraId="77549FD7">
      <w:pPr>
        <w:adjustRightInd w:val="0"/>
        <w:snapToGrid w:val="0"/>
        <w:spacing w:line="560" w:lineRule="exact"/>
        <w:rPr>
          <w:rFonts w:hint="eastAsia"/>
          <w:color w:val="auto"/>
          <w:highlight w:val="none"/>
        </w:rPr>
      </w:pPr>
    </w:p>
    <w:p w14:paraId="4F647C03">
      <w:pPr>
        <w:pStyle w:val="19"/>
        <w:rPr>
          <w:rFonts w:hint="eastAsia"/>
          <w:color w:val="auto"/>
          <w:highlight w:val="none"/>
        </w:rPr>
      </w:pPr>
    </w:p>
    <w:p w14:paraId="0C2219B3">
      <w:pPr>
        <w:rPr>
          <w:rFonts w:hint="eastAsia"/>
          <w:color w:val="auto"/>
          <w:highlight w:val="none"/>
        </w:rPr>
      </w:pPr>
    </w:p>
    <w:p w14:paraId="69580FE9">
      <w:pPr>
        <w:pStyle w:val="19"/>
        <w:rPr>
          <w:rFonts w:hint="eastAsia"/>
          <w:color w:val="auto"/>
          <w:highlight w:val="none"/>
        </w:rPr>
      </w:pPr>
    </w:p>
    <w:p w14:paraId="57C621A7">
      <w:pPr>
        <w:adjustRightInd w:val="0"/>
        <w:snapToGrid w:val="0"/>
        <w:spacing w:line="560" w:lineRule="exact"/>
        <w:rPr>
          <w:rFonts w:hint="eastAsia"/>
          <w:color w:val="auto"/>
          <w:highlight w:val="none"/>
        </w:rPr>
      </w:pPr>
    </w:p>
    <w:p w14:paraId="49F50F11">
      <w:pPr>
        <w:adjustRightInd w:val="0"/>
        <w:snapToGrid w:val="0"/>
        <w:spacing w:line="560" w:lineRule="exact"/>
        <w:rPr>
          <w:rFonts w:hint="eastAsia"/>
          <w:color w:val="auto"/>
          <w:highlight w:val="none"/>
        </w:rPr>
      </w:pPr>
    </w:p>
    <w:p w14:paraId="7949B8E4">
      <w:pPr>
        <w:adjustRightInd w:val="0"/>
        <w:snapToGrid w:val="0"/>
        <w:spacing w:line="560" w:lineRule="exact"/>
        <w:rPr>
          <w:rFonts w:hint="eastAsia"/>
          <w:color w:val="auto"/>
          <w:highlight w:val="none"/>
        </w:rPr>
      </w:pPr>
    </w:p>
    <w:p w14:paraId="40EBB39F">
      <w:pPr>
        <w:adjustRightInd w:val="0"/>
        <w:snapToGrid w:val="0"/>
        <w:spacing w:line="560" w:lineRule="exact"/>
        <w:rPr>
          <w:rFonts w:hint="eastAsia"/>
          <w:color w:val="auto"/>
          <w:highlight w:val="none"/>
        </w:rPr>
      </w:pPr>
    </w:p>
    <w:p w14:paraId="0BEA238C">
      <w:pPr>
        <w:adjustRightInd w:val="0"/>
        <w:snapToGrid w:val="0"/>
        <w:spacing w:line="560" w:lineRule="exact"/>
        <w:rPr>
          <w:rFonts w:hint="eastAsia"/>
          <w:color w:val="auto"/>
          <w:highlight w:val="none"/>
        </w:rPr>
      </w:pPr>
    </w:p>
    <w:p w14:paraId="63E5FCA9">
      <w:pPr>
        <w:adjustRightInd w:val="0"/>
        <w:snapToGrid w:val="0"/>
        <w:spacing w:line="560" w:lineRule="exact"/>
        <w:rPr>
          <w:rFonts w:hint="eastAsia"/>
          <w:color w:val="auto"/>
          <w:highlight w:val="none"/>
        </w:rPr>
      </w:pPr>
    </w:p>
    <w:p w14:paraId="10A48EB8">
      <w:pPr>
        <w:adjustRightInd w:val="0"/>
        <w:snapToGrid w:val="0"/>
        <w:spacing w:line="560" w:lineRule="exact"/>
        <w:rPr>
          <w:rFonts w:hint="eastAsia"/>
          <w:color w:val="auto"/>
          <w:highlight w:val="none"/>
        </w:rPr>
      </w:pPr>
    </w:p>
    <w:p w14:paraId="7BFAAA30">
      <w:pPr>
        <w:adjustRightInd w:val="0"/>
        <w:snapToGrid w:val="0"/>
        <w:spacing w:line="560" w:lineRule="exact"/>
        <w:rPr>
          <w:rFonts w:hint="eastAsia"/>
          <w:color w:val="auto"/>
          <w:highlight w:val="none"/>
        </w:rPr>
      </w:pPr>
    </w:p>
    <w:p w14:paraId="1E7AB03D">
      <w:pPr>
        <w:adjustRightInd w:val="0"/>
        <w:snapToGrid w:val="0"/>
        <w:spacing w:line="560" w:lineRule="exact"/>
        <w:rPr>
          <w:rFonts w:hint="eastAsia"/>
          <w:color w:val="auto"/>
          <w:highlight w:val="none"/>
        </w:rPr>
      </w:pPr>
    </w:p>
    <w:p w14:paraId="2366B09C">
      <w:pPr>
        <w:adjustRightInd w:val="0"/>
        <w:snapToGrid w:val="0"/>
        <w:spacing w:line="560" w:lineRule="exact"/>
        <w:rPr>
          <w:rFonts w:hint="eastAsia"/>
          <w:color w:val="auto"/>
          <w:highlight w:val="none"/>
        </w:rPr>
      </w:pPr>
    </w:p>
    <w:p w14:paraId="3D986E6B">
      <w:pPr>
        <w:rPr>
          <w:rFonts w:hint="eastAsia"/>
          <w:color w:val="auto"/>
          <w:highlight w:val="none"/>
        </w:rPr>
      </w:pPr>
    </w:p>
    <w:p w14:paraId="03C0B1AB">
      <w:pPr>
        <w:rPr>
          <w:rFonts w:hint="eastAsia"/>
          <w:color w:val="auto"/>
          <w:highlight w:val="none"/>
        </w:rPr>
      </w:pPr>
    </w:p>
    <w:p w14:paraId="0025B01A">
      <w:pPr>
        <w:pStyle w:val="19"/>
        <w:rPr>
          <w:rFonts w:hint="eastAsia"/>
          <w:color w:val="auto"/>
          <w:highlight w:val="none"/>
        </w:rPr>
      </w:pPr>
    </w:p>
    <w:p w14:paraId="3627D3B3">
      <w:pPr>
        <w:rPr>
          <w:color w:val="auto"/>
          <w:highlight w:val="none"/>
        </w:rPr>
        <w:sectPr>
          <w:pgSz w:w="11910" w:h="16840"/>
          <w:pgMar w:top="1060" w:right="660" w:bottom="1020" w:left="1120" w:header="0" w:footer="833" w:gutter="0"/>
          <w:cols w:space="720" w:num="1"/>
        </w:sectPr>
      </w:pPr>
    </w:p>
    <w:p w14:paraId="0161549B">
      <w:pPr>
        <w:rPr>
          <w:rFonts w:hint="eastAsia"/>
          <w:color w:val="auto"/>
          <w:highlight w:val="none"/>
        </w:rPr>
      </w:pPr>
    </w:p>
    <w:p w14:paraId="16BD9DA1">
      <w:pPr>
        <w:pStyle w:val="19"/>
        <w:rPr>
          <w:rFonts w:hint="eastAsia"/>
          <w:color w:val="auto"/>
          <w:highlight w:val="none"/>
        </w:rPr>
      </w:pPr>
    </w:p>
    <w:p w14:paraId="66A98389">
      <w:pPr>
        <w:rPr>
          <w:rFonts w:hint="eastAsia"/>
          <w:color w:val="auto"/>
          <w:highlight w:val="none"/>
        </w:rPr>
      </w:pPr>
    </w:p>
    <w:p w14:paraId="3EFAE6D5">
      <w:pPr>
        <w:pStyle w:val="19"/>
        <w:rPr>
          <w:rFonts w:hint="eastAsia"/>
          <w:color w:val="auto"/>
          <w:highlight w:val="none"/>
        </w:rPr>
      </w:pPr>
    </w:p>
    <w:p w14:paraId="0DFBABAC">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3AA03357">
      <w:pPr>
        <w:adjustRightInd w:val="0"/>
        <w:snapToGrid w:val="0"/>
        <w:spacing w:line="560" w:lineRule="exact"/>
        <w:jc w:val="center"/>
        <w:rPr>
          <w:rFonts w:hint="eastAsia" w:eastAsia="黑体"/>
          <w:color w:val="auto"/>
          <w:sz w:val="20"/>
          <w:szCs w:val="20"/>
          <w:highlight w:val="none"/>
        </w:rPr>
      </w:pPr>
    </w:p>
    <w:p w14:paraId="5FC3DC5D">
      <w:pPr>
        <w:adjustRightInd w:val="0"/>
        <w:snapToGrid w:val="0"/>
        <w:spacing w:line="560" w:lineRule="exact"/>
        <w:rPr>
          <w:rFonts w:hint="eastAsia" w:eastAsia="黑体"/>
          <w:color w:val="auto"/>
          <w:sz w:val="20"/>
          <w:szCs w:val="20"/>
          <w:highlight w:val="none"/>
        </w:rPr>
      </w:pPr>
    </w:p>
    <w:p w14:paraId="5B2E2A5F">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5A7A8D6A">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（商务标文件）</w:t>
      </w:r>
    </w:p>
    <w:p w14:paraId="2DD1276F">
      <w:pPr>
        <w:adjustRightInd w:val="0"/>
        <w:snapToGrid w:val="0"/>
        <w:spacing w:line="560" w:lineRule="exact"/>
        <w:rPr>
          <w:rFonts w:hint="eastAsia" w:eastAsia="黑体"/>
          <w:color w:val="auto"/>
          <w:sz w:val="28"/>
          <w:szCs w:val="28"/>
          <w:highlight w:val="none"/>
        </w:rPr>
      </w:pPr>
    </w:p>
    <w:p w14:paraId="0BD7FBBE">
      <w:pPr>
        <w:pStyle w:val="19"/>
        <w:adjustRightInd w:val="0"/>
        <w:snapToGrid w:val="0"/>
        <w:spacing w:after="0" w:line="560" w:lineRule="exact"/>
        <w:ind w:left="0" w:leftChars="0" w:firstLine="560"/>
        <w:rPr>
          <w:rFonts w:hint="eastAsia" w:eastAsia="黑体"/>
          <w:color w:val="auto"/>
          <w:sz w:val="28"/>
          <w:szCs w:val="28"/>
          <w:highlight w:val="none"/>
        </w:rPr>
      </w:pPr>
    </w:p>
    <w:p w14:paraId="3D6C6384">
      <w:pPr>
        <w:adjustRightInd w:val="0"/>
        <w:snapToGrid w:val="0"/>
        <w:spacing w:line="560" w:lineRule="exact"/>
        <w:rPr>
          <w:rFonts w:hint="eastAsia" w:eastAsia="黑体"/>
          <w:color w:val="auto"/>
          <w:sz w:val="28"/>
          <w:szCs w:val="28"/>
          <w:highlight w:val="none"/>
        </w:rPr>
      </w:pPr>
    </w:p>
    <w:p w14:paraId="221AE082">
      <w:pPr>
        <w:pStyle w:val="19"/>
        <w:adjustRightInd w:val="0"/>
        <w:snapToGrid w:val="0"/>
        <w:spacing w:after="0" w:line="560" w:lineRule="exact"/>
        <w:ind w:left="0" w:leftChars="0"/>
        <w:rPr>
          <w:rFonts w:hint="eastAsia"/>
          <w:color w:val="auto"/>
          <w:highlight w:val="none"/>
        </w:rPr>
      </w:pPr>
    </w:p>
    <w:p w14:paraId="5018648A">
      <w:pPr>
        <w:adjustRightInd w:val="0"/>
        <w:snapToGrid w:val="0"/>
        <w:spacing w:line="560" w:lineRule="exact"/>
        <w:rPr>
          <w:rFonts w:hint="eastAsia" w:eastAsia="黑体"/>
          <w:color w:val="auto"/>
          <w:sz w:val="28"/>
          <w:szCs w:val="28"/>
          <w:highlight w:val="none"/>
        </w:rPr>
      </w:pPr>
    </w:p>
    <w:p w14:paraId="4747406C">
      <w:pPr>
        <w:adjustRightInd w:val="0"/>
        <w:snapToGrid w:val="0"/>
        <w:spacing w:line="560" w:lineRule="exact"/>
        <w:rPr>
          <w:rFonts w:eastAsia="黑体"/>
          <w:color w:val="auto"/>
          <w:sz w:val="28"/>
          <w:szCs w:val="28"/>
          <w:highlight w:val="none"/>
        </w:rPr>
      </w:pPr>
    </w:p>
    <w:p w14:paraId="48930763">
      <w:pPr>
        <w:adjustRightInd w:val="0"/>
        <w:snapToGrid w:val="0"/>
        <w:spacing w:line="560" w:lineRule="exact"/>
        <w:rPr>
          <w:rFonts w:hint="eastAsia" w:eastAsia="黑体"/>
          <w:color w:val="auto"/>
          <w:sz w:val="28"/>
          <w:szCs w:val="28"/>
          <w:highlight w:val="none"/>
        </w:rPr>
      </w:pPr>
    </w:p>
    <w:p w14:paraId="43430BBE">
      <w:pPr>
        <w:adjustRightInd w:val="0"/>
        <w:snapToGrid w:val="0"/>
        <w:spacing w:line="560" w:lineRule="exact"/>
        <w:rPr>
          <w:rFonts w:hint="eastAsia" w:eastAsia="黑体"/>
          <w:color w:val="auto"/>
          <w:sz w:val="28"/>
          <w:szCs w:val="28"/>
          <w:highlight w:val="none"/>
        </w:rPr>
      </w:pPr>
    </w:p>
    <w:p w14:paraId="287B9000">
      <w:pPr>
        <w:adjustRightInd w:val="0"/>
        <w:snapToGrid w:val="0"/>
        <w:spacing w:line="560" w:lineRule="exact"/>
        <w:rPr>
          <w:rFonts w:hint="eastAsia" w:eastAsia="黑体"/>
          <w:color w:val="auto"/>
          <w:sz w:val="28"/>
          <w:szCs w:val="28"/>
          <w:highlight w:val="none"/>
        </w:rPr>
      </w:pPr>
    </w:p>
    <w:p w14:paraId="0A11D8EA">
      <w:pPr>
        <w:adjustRightInd w:val="0"/>
        <w:snapToGrid w:val="0"/>
        <w:spacing w:line="560" w:lineRule="exact"/>
        <w:rPr>
          <w:rFonts w:eastAsia="黑体"/>
          <w:color w:val="auto"/>
          <w:sz w:val="28"/>
          <w:szCs w:val="28"/>
          <w:highlight w:val="none"/>
        </w:rPr>
      </w:pPr>
    </w:p>
    <w:p w14:paraId="5A687328">
      <w:pPr>
        <w:adjustRightInd w:val="0"/>
        <w:snapToGrid w:val="0"/>
        <w:spacing w:line="560" w:lineRule="exact"/>
        <w:rPr>
          <w:rFonts w:eastAsia="黑体"/>
          <w:color w:val="auto"/>
          <w:sz w:val="28"/>
          <w:szCs w:val="28"/>
          <w:highlight w:val="none"/>
        </w:rPr>
      </w:pPr>
    </w:p>
    <w:p w14:paraId="76E0F786">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104F588B">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15F0EAEE">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72C3D4F9">
      <w:pPr>
        <w:adjustRightInd w:val="0"/>
        <w:snapToGrid w:val="0"/>
        <w:spacing w:line="560" w:lineRule="exact"/>
        <w:rPr>
          <w:rFonts w:hint="eastAsia"/>
          <w:color w:val="auto"/>
          <w:highlight w:val="none"/>
        </w:rPr>
      </w:pPr>
    </w:p>
    <w:p w14:paraId="7F69FD73">
      <w:pPr>
        <w:adjustRightInd w:val="0"/>
        <w:snapToGrid w:val="0"/>
        <w:spacing w:line="560" w:lineRule="exact"/>
        <w:rPr>
          <w:rFonts w:hint="eastAsia"/>
          <w:color w:val="auto"/>
          <w:highlight w:val="none"/>
        </w:rPr>
      </w:pPr>
    </w:p>
    <w:p w14:paraId="5AA9D0D2">
      <w:pPr>
        <w:pStyle w:val="3"/>
        <w:rPr>
          <w:rFonts w:hint="eastAsia"/>
          <w:color w:val="auto"/>
          <w:highlight w:val="none"/>
        </w:rPr>
      </w:pPr>
      <w:bookmarkStart w:id="1596" w:name="_Toc95223542"/>
      <w:r>
        <w:rPr>
          <w:rFonts w:hint="eastAsia"/>
          <w:color w:val="auto"/>
          <w:highlight w:val="none"/>
        </w:rPr>
        <w:t>投标文件三：商务标目录</w:t>
      </w:r>
      <w:bookmarkEnd w:id="1596"/>
    </w:p>
    <w:p w14:paraId="75C6EC84">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p>
    <w:p w14:paraId="3D098ABE">
      <w:pPr>
        <w:adjustRightInd w:val="0"/>
        <w:snapToGrid w:val="0"/>
        <w:spacing w:line="560" w:lineRule="exact"/>
        <w:ind w:firstLine="420" w:firstLineChars="200"/>
        <w:rPr>
          <w:color w:val="auto"/>
          <w:highlight w:val="none"/>
        </w:rPr>
      </w:pPr>
      <w:r>
        <w:rPr>
          <w:rFonts w:hint="eastAsia" w:ascii="宋体" w:hAnsi="宋体"/>
          <w:color w:val="auto"/>
          <w:szCs w:val="21"/>
          <w:highlight w:val="none"/>
        </w:rPr>
        <w:t>（2）工程量清单报价书；</w:t>
      </w:r>
    </w:p>
    <w:p w14:paraId="4A9A7419">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（3）招标人推荐的材料品牌响应表（如有）；</w:t>
      </w:r>
    </w:p>
    <w:p w14:paraId="09F3FB81">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（4）全国建筑市场监管公共服务平台(四库一平台)企业注册人员网页截图；</w:t>
      </w:r>
    </w:p>
    <w:p w14:paraId="3D761909">
      <w:pPr>
        <w:adjustRightInd w:val="0"/>
        <w:snapToGrid w:val="0"/>
        <w:spacing w:line="560" w:lineRule="exact"/>
        <w:ind w:firstLine="420" w:firstLineChars="200"/>
        <w:rPr>
          <w:rFonts w:hint="eastAsia"/>
          <w:color w:val="auto"/>
          <w:highlight w:val="none"/>
        </w:rPr>
      </w:pPr>
      <w:r>
        <w:rPr>
          <w:rFonts w:hint="eastAsia" w:ascii="宋体" w:hAnsi="宋体"/>
          <w:color w:val="auto"/>
          <w:szCs w:val="21"/>
          <w:highlight w:val="none"/>
        </w:rPr>
        <w:t>（5）详细评审所需其他材料。</w:t>
      </w:r>
    </w:p>
    <w:p w14:paraId="6AFCE879">
      <w:pPr>
        <w:adjustRightInd w:val="0"/>
        <w:snapToGrid w:val="0"/>
        <w:spacing w:line="560" w:lineRule="exact"/>
        <w:rPr>
          <w:rFonts w:hint="eastAsia"/>
          <w:color w:val="auto"/>
          <w:highlight w:val="none"/>
        </w:rPr>
      </w:pPr>
    </w:p>
    <w:p w14:paraId="3E3F5C6F">
      <w:pPr>
        <w:adjustRightInd w:val="0"/>
        <w:snapToGrid w:val="0"/>
        <w:spacing w:line="560" w:lineRule="exact"/>
        <w:rPr>
          <w:rFonts w:hint="eastAsia" w:eastAsia="黑体"/>
          <w:color w:val="auto"/>
          <w:sz w:val="20"/>
          <w:szCs w:val="20"/>
          <w:highlight w:val="none"/>
        </w:rPr>
      </w:pPr>
    </w:p>
    <w:p w14:paraId="03B898FD">
      <w:pPr>
        <w:adjustRightInd w:val="0"/>
        <w:snapToGrid w:val="0"/>
        <w:spacing w:line="560" w:lineRule="exact"/>
        <w:rPr>
          <w:rFonts w:hint="eastAsia" w:eastAsia="黑体"/>
          <w:color w:val="auto"/>
          <w:sz w:val="20"/>
          <w:szCs w:val="20"/>
          <w:highlight w:val="none"/>
        </w:rPr>
      </w:pPr>
    </w:p>
    <w:p w14:paraId="20D2104E">
      <w:pPr>
        <w:adjustRightInd w:val="0"/>
        <w:snapToGrid w:val="0"/>
        <w:spacing w:line="560" w:lineRule="exact"/>
        <w:rPr>
          <w:rFonts w:hint="eastAsia" w:eastAsia="黑体"/>
          <w:color w:val="auto"/>
          <w:sz w:val="20"/>
          <w:szCs w:val="20"/>
          <w:highlight w:val="none"/>
        </w:rPr>
      </w:pPr>
    </w:p>
    <w:p w14:paraId="36DED1C4">
      <w:pPr>
        <w:adjustRightInd w:val="0"/>
        <w:snapToGrid w:val="0"/>
        <w:spacing w:line="560" w:lineRule="exact"/>
        <w:ind w:right="420"/>
        <w:rPr>
          <w:rFonts w:hint="eastAsia"/>
          <w:color w:val="auto"/>
          <w:szCs w:val="21"/>
          <w:highlight w:val="none"/>
          <w:u w:val="single"/>
        </w:rPr>
      </w:pPr>
    </w:p>
    <w:p w14:paraId="1C67D26F">
      <w:pPr>
        <w:pStyle w:val="19"/>
        <w:rPr>
          <w:rFonts w:hint="eastAsia"/>
          <w:color w:val="auto"/>
          <w:highlight w:val="none"/>
        </w:rPr>
      </w:pPr>
    </w:p>
    <w:p w14:paraId="437C76C1">
      <w:pPr>
        <w:rPr>
          <w:rFonts w:hint="eastAsia"/>
          <w:color w:val="auto"/>
          <w:highlight w:val="none"/>
        </w:rPr>
      </w:pPr>
    </w:p>
    <w:p w14:paraId="2FF66C1E">
      <w:pPr>
        <w:pStyle w:val="19"/>
        <w:rPr>
          <w:rFonts w:hint="eastAsia"/>
          <w:color w:val="auto"/>
          <w:highlight w:val="none"/>
        </w:rPr>
      </w:pPr>
    </w:p>
    <w:p w14:paraId="6B9E7D6F">
      <w:pPr>
        <w:rPr>
          <w:rFonts w:hint="eastAsia"/>
          <w:color w:val="auto"/>
          <w:highlight w:val="none"/>
        </w:rPr>
      </w:pPr>
    </w:p>
    <w:p w14:paraId="7B63135A">
      <w:pPr>
        <w:pStyle w:val="19"/>
        <w:rPr>
          <w:rFonts w:hint="eastAsia"/>
          <w:color w:val="auto"/>
          <w:highlight w:val="none"/>
        </w:rPr>
      </w:pPr>
    </w:p>
    <w:p w14:paraId="295C5D80">
      <w:pPr>
        <w:rPr>
          <w:rFonts w:hint="eastAsia"/>
          <w:color w:val="auto"/>
          <w:highlight w:val="none"/>
        </w:rPr>
      </w:pPr>
    </w:p>
    <w:p w14:paraId="379E8CD6">
      <w:pPr>
        <w:pStyle w:val="19"/>
        <w:rPr>
          <w:rFonts w:hint="eastAsia"/>
          <w:color w:val="auto"/>
          <w:highlight w:val="none"/>
        </w:rPr>
      </w:pPr>
    </w:p>
    <w:p w14:paraId="44CA9E15">
      <w:pPr>
        <w:rPr>
          <w:rFonts w:hint="eastAsia"/>
          <w:color w:val="auto"/>
          <w:highlight w:val="none"/>
        </w:rPr>
      </w:pPr>
    </w:p>
    <w:p w14:paraId="4BA3C3AE">
      <w:pPr>
        <w:pStyle w:val="19"/>
        <w:rPr>
          <w:rFonts w:hint="eastAsia"/>
          <w:color w:val="auto"/>
          <w:highlight w:val="none"/>
        </w:rPr>
      </w:pPr>
    </w:p>
    <w:p w14:paraId="1AF7238A">
      <w:pPr>
        <w:rPr>
          <w:rFonts w:hint="eastAsia"/>
          <w:color w:val="auto"/>
          <w:highlight w:val="none"/>
        </w:rPr>
      </w:pPr>
    </w:p>
    <w:p w14:paraId="03BC1AB6">
      <w:pPr>
        <w:pStyle w:val="19"/>
        <w:rPr>
          <w:rFonts w:hint="eastAsia"/>
          <w:color w:val="auto"/>
          <w:highlight w:val="none"/>
        </w:rPr>
      </w:pPr>
    </w:p>
    <w:p w14:paraId="597CA643">
      <w:pPr>
        <w:rPr>
          <w:rFonts w:hint="eastAsia"/>
          <w:color w:val="auto"/>
          <w:highlight w:val="none"/>
        </w:rPr>
      </w:pPr>
    </w:p>
    <w:p w14:paraId="781DD324">
      <w:pPr>
        <w:pStyle w:val="19"/>
        <w:rPr>
          <w:rFonts w:hint="eastAsia"/>
          <w:color w:val="auto"/>
          <w:highlight w:val="none"/>
        </w:rPr>
      </w:pPr>
    </w:p>
    <w:p w14:paraId="499B4D97">
      <w:pPr>
        <w:rPr>
          <w:rFonts w:hint="eastAsia"/>
          <w:color w:val="auto"/>
          <w:highlight w:val="none"/>
        </w:rPr>
      </w:pPr>
    </w:p>
    <w:p w14:paraId="2AAD89AA">
      <w:pPr>
        <w:pStyle w:val="19"/>
        <w:rPr>
          <w:rFonts w:hint="eastAsia"/>
          <w:color w:val="auto"/>
          <w:highlight w:val="none"/>
        </w:rPr>
      </w:pPr>
    </w:p>
    <w:p w14:paraId="3965D675">
      <w:pPr>
        <w:rPr>
          <w:rFonts w:hint="eastAsia"/>
          <w:color w:val="auto"/>
          <w:highlight w:val="none"/>
        </w:rPr>
      </w:pPr>
    </w:p>
    <w:p w14:paraId="7EA01B53">
      <w:pPr>
        <w:pStyle w:val="19"/>
        <w:rPr>
          <w:rFonts w:hint="eastAsia"/>
          <w:color w:val="auto"/>
          <w:highlight w:val="none"/>
        </w:rPr>
      </w:pPr>
    </w:p>
    <w:p w14:paraId="6C636FC6">
      <w:pPr>
        <w:rPr>
          <w:rFonts w:hint="eastAsia"/>
          <w:color w:val="auto"/>
          <w:highlight w:val="none"/>
        </w:rPr>
      </w:pPr>
    </w:p>
    <w:p w14:paraId="05746818">
      <w:pPr>
        <w:pStyle w:val="19"/>
        <w:rPr>
          <w:rFonts w:hint="eastAsia"/>
          <w:color w:val="auto"/>
          <w:highlight w:val="none"/>
        </w:rPr>
      </w:pPr>
    </w:p>
    <w:p w14:paraId="522CE77E">
      <w:pPr>
        <w:rPr>
          <w:rFonts w:hint="eastAsia"/>
          <w:color w:val="auto"/>
          <w:highlight w:val="none"/>
        </w:rPr>
      </w:pPr>
    </w:p>
    <w:p w14:paraId="3F002A01">
      <w:pPr>
        <w:pStyle w:val="19"/>
        <w:rPr>
          <w:rFonts w:hint="eastAsia"/>
          <w:color w:val="auto"/>
          <w:highlight w:val="none"/>
        </w:rPr>
      </w:pPr>
    </w:p>
    <w:p w14:paraId="0F5053A6">
      <w:pPr>
        <w:rPr>
          <w:rFonts w:hint="eastAsia"/>
          <w:color w:val="auto"/>
          <w:highlight w:val="none"/>
        </w:rPr>
      </w:pPr>
    </w:p>
    <w:p w14:paraId="5FC51708">
      <w:pPr>
        <w:pStyle w:val="19"/>
        <w:rPr>
          <w:rFonts w:hint="eastAsia"/>
          <w:color w:val="auto"/>
          <w:highlight w:val="none"/>
        </w:rPr>
      </w:pPr>
    </w:p>
    <w:p w14:paraId="5867DAEA">
      <w:pPr>
        <w:pStyle w:val="19"/>
        <w:rPr>
          <w:rFonts w:hint="eastAsia"/>
          <w:color w:val="auto"/>
          <w:highlight w:val="none"/>
        </w:rPr>
      </w:pPr>
    </w:p>
    <w:p w14:paraId="67447A36">
      <w:pPr>
        <w:rPr>
          <w:rFonts w:hint="eastAsia"/>
          <w:color w:val="auto"/>
          <w:highlight w:val="none"/>
        </w:rPr>
      </w:pPr>
    </w:p>
    <w:p w14:paraId="1599FA17">
      <w:pPr>
        <w:pStyle w:val="19"/>
        <w:rPr>
          <w:rFonts w:hint="eastAsia"/>
          <w:color w:val="auto"/>
          <w:highlight w:val="none"/>
        </w:rPr>
      </w:pPr>
    </w:p>
    <w:p w14:paraId="1212830B">
      <w:pPr>
        <w:pStyle w:val="19"/>
        <w:ind w:left="0" w:leftChars="0" w:firstLine="0" w:firstLineChars="0"/>
        <w:rPr>
          <w:color w:val="auto"/>
          <w:highlight w:val="none"/>
        </w:rPr>
        <w:sectPr>
          <w:pgSz w:w="11910" w:h="16840"/>
          <w:pgMar w:top="1060" w:right="660" w:bottom="1020" w:left="1120" w:header="0" w:footer="833" w:gutter="0"/>
          <w:cols w:space="720" w:num="1"/>
        </w:sectPr>
      </w:pPr>
    </w:p>
    <w:p w14:paraId="09CF4E9A">
      <w:pPr>
        <w:pStyle w:val="19"/>
        <w:ind w:left="0" w:leftChars="0" w:firstLine="0" w:firstLineChars="0"/>
        <w:rPr>
          <w:rFonts w:hint="eastAsia"/>
          <w:color w:val="auto"/>
          <w:highlight w:val="none"/>
        </w:rPr>
      </w:pPr>
    </w:p>
    <w:p w14:paraId="2C94AC43">
      <w:pPr>
        <w:pStyle w:val="5"/>
        <w:adjustRightInd w:val="0"/>
        <w:snapToGrid w:val="0"/>
        <w:spacing w:before="0" w:after="0" w:line="560" w:lineRule="exact"/>
        <w:jc w:val="center"/>
        <w:rPr>
          <w:rFonts w:hint="eastAsia"/>
          <w:color w:val="auto"/>
          <w:highlight w:val="none"/>
        </w:rPr>
      </w:pPr>
      <w:bookmarkStart w:id="1597" w:name="_Toc95223543"/>
      <w:r>
        <w:rPr>
          <w:rFonts w:hint="eastAsia"/>
          <w:color w:val="auto"/>
          <w:highlight w:val="none"/>
        </w:rPr>
        <w:t>（1）投</w:t>
      </w:r>
      <w:r>
        <w:rPr>
          <w:color w:val="auto"/>
          <w:highlight w:val="none"/>
        </w:rPr>
        <w:t xml:space="preserve"> </w:t>
      </w:r>
      <w:r>
        <w:rPr>
          <w:rFonts w:hint="eastAsia"/>
          <w:color w:val="auto"/>
          <w:highlight w:val="none"/>
        </w:rPr>
        <w:t>标 函</w:t>
      </w:r>
      <w:bookmarkEnd w:id="1597"/>
    </w:p>
    <w:p w14:paraId="410E19DE">
      <w:pPr>
        <w:adjustRightInd w:val="0"/>
        <w:snapToGrid w:val="0"/>
        <w:spacing w:line="560" w:lineRule="exact"/>
        <w:rPr>
          <w:rFonts w:ascii="宋体" w:hAnsi="宋体"/>
          <w:color w:val="auto"/>
          <w:sz w:val="24"/>
          <w:highlight w:val="none"/>
          <w:u w:val="single"/>
        </w:rPr>
      </w:pPr>
      <w:r>
        <w:rPr>
          <w:rFonts w:hint="eastAsia"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（招标人）</w:t>
      </w:r>
      <w:r>
        <w:rPr>
          <w:rFonts w:ascii="宋体" w:hAnsi="宋体"/>
          <w:color w:val="auto"/>
          <w:sz w:val="24"/>
          <w:highlight w:val="none"/>
          <w:u w:val="single"/>
        </w:rPr>
        <w:t xml:space="preserve">      </w:t>
      </w:r>
    </w:p>
    <w:p w14:paraId="57B893B1">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1、根据你方招</w:t>
      </w:r>
      <w:bookmarkStart w:id="1598" w:name="_Toc60061591"/>
      <w:r>
        <w:rPr>
          <w:rFonts w:hint="eastAsia" w:ascii="宋体" w:hAnsi="宋体"/>
          <w:color w:val="auto"/>
          <w:sz w:val="24"/>
          <w:highlight w:val="none"/>
        </w:rPr>
        <w:t>标项目编号为</w:t>
      </w:r>
      <w:r>
        <w:rPr>
          <w:rFonts w:ascii="宋体" w:hAnsi="宋体"/>
          <w:color w:val="auto"/>
          <w:sz w:val="24"/>
          <w:highlight w:val="none"/>
          <w:u w:val="single"/>
        </w:rPr>
        <w:t xml:space="preserve">  </w:t>
      </w:r>
      <w:bookmarkEnd w:id="1598"/>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的</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招标文件，遵照《中华人民共和国招标投标法》等有关规定，经踏勘项目现场和研究上述招标文件的投标须知、合同条件、技术规范、图纸、工程量清单和其他有关文件后，我方愿以</w:t>
      </w:r>
      <w:r>
        <w:rPr>
          <w:rFonts w:ascii="宋体" w:hAnsi="宋体"/>
          <w:color w:val="auto"/>
          <w:sz w:val="24"/>
          <w:highlight w:val="none"/>
        </w:rPr>
        <w:t xml:space="preserve"> </w:t>
      </w:r>
      <w:r>
        <w:rPr>
          <w:rFonts w:hint="eastAsia" w:ascii="宋体" w:hAnsi="宋体"/>
          <w:color w:val="auto"/>
          <w:sz w:val="24"/>
          <w:highlight w:val="none"/>
        </w:rPr>
        <w:t>（币种，金额、单位）</w:t>
      </w:r>
      <w:r>
        <w:rPr>
          <w:rFonts w:hint="eastAsia" w:ascii="宋体" w:hAnsi="宋体"/>
          <w:color w:val="auto"/>
          <w:sz w:val="24"/>
          <w:highlight w:val="none"/>
          <w:u w:val="single"/>
        </w:rPr>
        <w:t xml:space="preserve">人民币           元                  </w:t>
      </w:r>
      <w:r>
        <w:rPr>
          <w:rFonts w:hint="eastAsia" w:ascii="宋体" w:hAnsi="宋体"/>
          <w:color w:val="auto"/>
          <w:sz w:val="24"/>
          <w:highlight w:val="none"/>
        </w:rPr>
        <w:t>的投标总报价承包上述工程的施工、竣工，并承担任何质量缺陷保修责任。</w:t>
      </w:r>
    </w:p>
    <w:p w14:paraId="6898C9B1">
      <w:pPr>
        <w:tabs>
          <w:tab w:val="left" w:pos="840"/>
        </w:tabs>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2、我方已详细审核全部招标文件及有关附件，承诺招标文件及有关附件中所有条款。</w:t>
      </w:r>
    </w:p>
    <w:p w14:paraId="690B88DF">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3、一旦我方中标，我方将派出</w:t>
      </w:r>
      <w:r>
        <w:rPr>
          <w:rFonts w:hint="eastAsia" w:ascii="宋体" w:hAnsi="宋体"/>
          <w:color w:val="auto"/>
          <w:sz w:val="24"/>
          <w:highlight w:val="none"/>
          <w:u w:val="single"/>
        </w:rPr>
        <w:t xml:space="preserve">           </w:t>
      </w:r>
      <w:r>
        <w:rPr>
          <w:rFonts w:hint="eastAsia" w:ascii="宋体" w:hAnsi="宋体"/>
          <w:color w:val="auto"/>
          <w:sz w:val="24"/>
          <w:highlight w:val="none"/>
        </w:rPr>
        <w:t>建造师为本工程项目经理，保证按照招标人要求开始本工程的施工，并在</w:t>
      </w:r>
      <w:r>
        <w:rPr>
          <w:rFonts w:ascii="宋体" w:hAnsi="宋体"/>
          <w:color w:val="auto"/>
          <w:sz w:val="24"/>
          <w:highlight w:val="none"/>
          <w:u w:val="single"/>
        </w:rPr>
        <w:t xml:space="preserve">       </w:t>
      </w:r>
      <w:r>
        <w:rPr>
          <w:rFonts w:hint="eastAsia" w:ascii="宋体" w:hAnsi="宋体"/>
          <w:color w:val="auto"/>
          <w:sz w:val="24"/>
          <w:highlight w:val="none"/>
        </w:rPr>
        <w:t>个日历天（工期）内完成本合同的施工，并移交整个工程，工程质量达到</w:t>
      </w:r>
      <w:r>
        <w:rPr>
          <w:rFonts w:ascii="宋体" w:hAnsi="宋体"/>
          <w:color w:val="auto"/>
          <w:sz w:val="24"/>
          <w:highlight w:val="none"/>
          <w:u w:val="single"/>
        </w:rPr>
        <w:t xml:space="preserve">          </w:t>
      </w:r>
      <w:r>
        <w:rPr>
          <w:rFonts w:hint="eastAsia" w:ascii="宋体" w:hAnsi="宋体"/>
          <w:color w:val="auto"/>
          <w:sz w:val="24"/>
          <w:highlight w:val="none"/>
        </w:rPr>
        <w:t xml:space="preserve"> 标准。</w:t>
      </w:r>
    </w:p>
    <w:p w14:paraId="0CA9B5EC">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405EB83E">
      <w:pPr>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5、如果我方中标我方将按照招标文件的规定提交履约担保。工程验收合格后，方可退还。</w:t>
      </w:r>
    </w:p>
    <w:p w14:paraId="2D88B6CB">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6、我方承诺在招标文件规定的投标有效期内不撤销投标文件。</w:t>
      </w:r>
    </w:p>
    <w:p w14:paraId="31BEEB18">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7、我单位提供如下通讯地址：</w:t>
      </w:r>
      <w:r>
        <w:rPr>
          <w:rFonts w:hint="eastAsia" w:ascii="宋体" w:hAnsi="宋体"/>
          <w:color w:val="auto"/>
          <w:sz w:val="24"/>
          <w:highlight w:val="none"/>
          <w:u w:val="single"/>
        </w:rPr>
        <w:t xml:space="preserve">                </w:t>
      </w:r>
      <w:r>
        <w:rPr>
          <w:rFonts w:hint="eastAsia" w:ascii="宋体" w:hAnsi="宋体"/>
          <w:color w:val="auto"/>
          <w:sz w:val="24"/>
          <w:highlight w:val="none"/>
        </w:rPr>
        <w:t>电子邮箱（地址），确认本项目相关法律文书均通过提供的以上地址送达，相关文书只要发送至以上电子邮箱（地址）即视为送达，投标人愿意承担一切法律后果。</w:t>
      </w:r>
    </w:p>
    <w:p w14:paraId="001EE9F3">
      <w:pPr>
        <w:adjustRightInd w:val="0"/>
        <w:snapToGrid w:val="0"/>
        <w:spacing w:line="5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u w:val="single"/>
        </w:rPr>
        <w:t xml:space="preserve">                           </w:t>
      </w:r>
      <w:r>
        <w:rPr>
          <w:rFonts w:hint="eastAsia" w:ascii="宋体" w:hAnsi="宋体"/>
          <w:color w:val="auto"/>
          <w:sz w:val="24"/>
          <w:highlight w:val="none"/>
        </w:rPr>
        <w:t>（其他补充说明）。</w:t>
      </w:r>
    </w:p>
    <w:p w14:paraId="39E2734C">
      <w:pPr>
        <w:adjustRightInd w:val="0"/>
        <w:snapToGrid w:val="0"/>
        <w:spacing w:line="560" w:lineRule="exact"/>
        <w:ind w:firstLine="480" w:firstLineChars="200"/>
        <w:rPr>
          <w:rFonts w:hint="eastAsia" w:ascii="宋体" w:hAnsi="宋体"/>
          <w:color w:val="auto"/>
          <w:sz w:val="24"/>
          <w:highlight w:val="none"/>
        </w:rPr>
      </w:pPr>
    </w:p>
    <w:p w14:paraId="25B2D7D5">
      <w:pPr>
        <w:adjustRightInd w:val="0"/>
        <w:snapToGrid w:val="0"/>
        <w:spacing w:line="560" w:lineRule="exact"/>
        <w:ind w:firstLine="480" w:firstLineChars="200"/>
        <w:rPr>
          <w:rFonts w:ascii="宋体" w:hAnsi="宋体"/>
          <w:color w:val="auto"/>
          <w:sz w:val="24"/>
          <w:highlight w:val="none"/>
          <w:u w:val="singl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（签章）</w:t>
      </w:r>
      <w:r>
        <w:rPr>
          <w:rFonts w:ascii="宋体" w:hAnsi="宋体"/>
          <w:color w:val="auto"/>
          <w:sz w:val="24"/>
          <w:highlight w:val="none"/>
          <w:u w:val="single"/>
        </w:rPr>
        <w:t xml:space="preserve">   </w:t>
      </w:r>
    </w:p>
    <w:p w14:paraId="28E5CA4D">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（签章）联系人：                 </w:t>
      </w:r>
    </w:p>
    <w:p w14:paraId="300BB8A1">
      <w:pPr>
        <w:adjustRightInd w:val="0"/>
        <w:snapToGrid w:val="0"/>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3D8FC0A0">
      <w:pPr>
        <w:adjustRightInd w:val="0"/>
        <w:snapToGrid w:val="0"/>
        <w:spacing w:line="560" w:lineRule="exact"/>
        <w:ind w:firstLine="480" w:firstLineChars="200"/>
        <w:rPr>
          <w:rFonts w:ascii="宋体" w:hAnsi="宋体"/>
          <w:color w:val="auto"/>
          <w:sz w:val="24"/>
          <w:highlight w:val="none"/>
          <w:u w:val="single"/>
        </w:rPr>
      </w:pPr>
      <w:r>
        <w:rPr>
          <w:rFonts w:hint="eastAsia" w:ascii="宋体" w:hAnsi="宋体"/>
          <w:color w:val="auto"/>
          <w:sz w:val="24"/>
          <w:highlight w:val="none"/>
        </w:rPr>
        <w:t>邮政编码：</w:t>
      </w:r>
      <w:r>
        <w:rPr>
          <w:rFonts w:ascii="宋体" w:hAnsi="宋体"/>
          <w:color w:val="auto"/>
          <w:sz w:val="24"/>
          <w:highlight w:val="none"/>
          <w:u w:val="single"/>
        </w:rPr>
        <w:t xml:space="preserve">            </w:t>
      </w:r>
      <w:r>
        <w:rPr>
          <w:rFonts w:hint="eastAsia" w:ascii="宋体" w:hAnsi="宋体"/>
          <w:color w:val="auto"/>
          <w:sz w:val="24"/>
          <w:highlight w:val="none"/>
        </w:rPr>
        <w:t>联系人手机号码：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1A614A4">
      <w:pPr>
        <w:adjustRightInd w:val="0"/>
        <w:snapToGrid w:val="0"/>
        <w:spacing w:line="560" w:lineRule="exact"/>
        <w:ind w:firstLine="480" w:firstLineChars="200"/>
        <w:rPr>
          <w:color w:val="auto"/>
          <w:szCs w:val="21"/>
          <w:highlight w:val="none"/>
          <w:u w:val="singl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51C0220F">
      <w:pPr>
        <w:pStyle w:val="5"/>
        <w:adjustRightInd w:val="0"/>
        <w:snapToGrid w:val="0"/>
        <w:spacing w:before="0" w:after="0" w:line="560" w:lineRule="exact"/>
        <w:jc w:val="center"/>
        <w:rPr>
          <w:color w:val="auto"/>
          <w:highlight w:val="none"/>
        </w:rPr>
        <w:sectPr>
          <w:pgSz w:w="11910" w:h="16840"/>
          <w:pgMar w:top="1060" w:right="660" w:bottom="1020" w:left="1120" w:header="0" w:footer="833" w:gutter="0"/>
          <w:cols w:space="720" w:num="1"/>
        </w:sectPr>
      </w:pPr>
      <w:bookmarkStart w:id="1599" w:name="_Toc95223544"/>
    </w:p>
    <w:p w14:paraId="5892242B">
      <w:pPr>
        <w:pStyle w:val="5"/>
        <w:adjustRightInd w:val="0"/>
        <w:snapToGrid w:val="0"/>
        <w:spacing w:before="0" w:after="0" w:line="560" w:lineRule="exact"/>
        <w:jc w:val="center"/>
        <w:rPr>
          <w:rFonts w:hint="eastAsia"/>
          <w:color w:val="auto"/>
          <w:highlight w:val="none"/>
        </w:rPr>
      </w:pPr>
      <w:r>
        <w:rPr>
          <w:rFonts w:hint="eastAsia"/>
          <w:color w:val="auto"/>
          <w:highlight w:val="none"/>
        </w:rPr>
        <w:t>（2）工程量清单报价书</w:t>
      </w:r>
      <w:bookmarkEnd w:id="1599"/>
    </w:p>
    <w:p w14:paraId="058DC8A9">
      <w:pPr>
        <w:jc w:val="center"/>
        <w:rPr>
          <w:rFonts w:ascii="Calibri" w:hAnsi="Calibri"/>
          <w:color w:val="auto"/>
          <w:sz w:val="32"/>
          <w:szCs w:val="32"/>
          <w:highlight w:val="none"/>
        </w:rPr>
      </w:pPr>
    </w:p>
    <w:p w14:paraId="1BFD76A7">
      <w:pPr>
        <w:jc w:val="center"/>
        <w:rPr>
          <w:rFonts w:ascii="Calibri" w:hAnsi="Calibri"/>
          <w:color w:val="auto"/>
          <w:sz w:val="32"/>
          <w:szCs w:val="32"/>
          <w:highlight w:val="none"/>
        </w:rPr>
      </w:pPr>
      <w:r>
        <w:rPr>
          <w:rFonts w:hint="eastAsia" w:ascii="仿宋_GB2312" w:hAnsi="Calibri" w:eastAsia="仿宋_GB2312"/>
          <w:b/>
          <w:color w:val="auto"/>
          <w:sz w:val="36"/>
          <w:szCs w:val="36"/>
          <w:highlight w:val="none"/>
        </w:rPr>
        <w:t>①</w:t>
      </w:r>
      <w:r>
        <w:rPr>
          <w:rFonts w:hint="eastAsia" w:ascii="Calibri" w:hAnsi="Calibri"/>
          <w:b/>
          <w:color w:val="auto"/>
          <w:sz w:val="36"/>
          <w:szCs w:val="36"/>
          <w:highlight w:val="none"/>
        </w:rPr>
        <w:t>工程量清单报价书（封面）</w:t>
      </w:r>
      <w:r>
        <w:rPr>
          <w:rFonts w:hint="eastAsia" w:ascii="Calibri" w:hAnsi="Calibri"/>
          <w:color w:val="auto"/>
          <w:sz w:val="32"/>
          <w:szCs w:val="32"/>
          <w:highlight w:val="none"/>
          <w:vertAlign w:val="superscript"/>
        </w:rPr>
        <w:t>1</w:t>
      </w:r>
    </w:p>
    <w:p w14:paraId="443E9169">
      <w:pPr>
        <w:jc w:val="center"/>
        <w:rPr>
          <w:rFonts w:ascii="Calibri" w:hAnsi="Calibri"/>
          <w:b/>
          <w:color w:val="auto"/>
          <w:sz w:val="32"/>
          <w:szCs w:val="32"/>
          <w:highlight w:val="none"/>
        </w:rPr>
      </w:pPr>
    </w:p>
    <w:p w14:paraId="61FCAC91">
      <w:pPr>
        <w:ind w:firstLine="643" w:firstLineChars="200"/>
        <w:jc w:val="center"/>
        <w:rPr>
          <w:rFonts w:ascii="Calibri" w:hAnsi="Calibri"/>
          <w:b/>
          <w:color w:val="auto"/>
          <w:sz w:val="32"/>
          <w:szCs w:val="32"/>
          <w:highlight w:val="none"/>
        </w:rPr>
      </w:pPr>
      <w:r>
        <w:rPr>
          <w:rFonts w:hint="eastAsia" w:ascii="Calibri" w:hAnsi="Calibri"/>
          <w:b/>
          <w:color w:val="auto"/>
          <w:sz w:val="32"/>
          <w:szCs w:val="32"/>
          <w:highlight w:val="none"/>
        </w:rPr>
        <w:t>投标总价</w:t>
      </w:r>
    </w:p>
    <w:p w14:paraId="4F94A307">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招标人：</w:t>
      </w:r>
      <w:r>
        <w:rPr>
          <w:rFonts w:hint="eastAsia" w:ascii="Calibri" w:hAnsi="Calibri"/>
          <w:color w:val="auto"/>
          <w:sz w:val="32"/>
          <w:szCs w:val="32"/>
          <w:highlight w:val="none"/>
          <w:u w:val="single"/>
        </w:rPr>
        <w:t xml:space="preserve">                                                 </w:t>
      </w:r>
    </w:p>
    <w:p w14:paraId="7E84443E">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工程名称：</w:t>
      </w:r>
      <w:r>
        <w:rPr>
          <w:rFonts w:hint="eastAsia" w:ascii="Calibri" w:hAnsi="Calibri"/>
          <w:color w:val="auto"/>
          <w:sz w:val="32"/>
          <w:szCs w:val="32"/>
          <w:highlight w:val="none"/>
          <w:u w:val="single"/>
        </w:rPr>
        <w:t xml:space="preserve">                                               </w:t>
      </w:r>
    </w:p>
    <w:p w14:paraId="0E99BA2B">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投标总价（小写）：</w:t>
      </w:r>
      <w:r>
        <w:rPr>
          <w:rFonts w:hint="eastAsia" w:ascii="Calibri" w:hAnsi="Calibri"/>
          <w:color w:val="auto"/>
          <w:sz w:val="32"/>
          <w:szCs w:val="32"/>
          <w:highlight w:val="none"/>
          <w:u w:val="single"/>
        </w:rPr>
        <w:t xml:space="preserve">                                       </w:t>
      </w:r>
    </w:p>
    <w:p w14:paraId="6BCF421C">
      <w:pPr>
        <w:spacing w:line="800" w:lineRule="exact"/>
        <w:ind w:firstLine="1920" w:firstLineChars="600"/>
        <w:rPr>
          <w:rFonts w:ascii="Calibri" w:hAnsi="Calibri"/>
          <w:color w:val="auto"/>
          <w:sz w:val="32"/>
          <w:szCs w:val="32"/>
          <w:highlight w:val="none"/>
        </w:rPr>
      </w:pPr>
      <w:r>
        <w:rPr>
          <w:rFonts w:hint="eastAsia" w:ascii="Calibri" w:hAnsi="Calibri"/>
          <w:color w:val="auto"/>
          <w:sz w:val="32"/>
          <w:szCs w:val="32"/>
          <w:highlight w:val="none"/>
        </w:rPr>
        <w:t>（大写）：</w:t>
      </w:r>
      <w:r>
        <w:rPr>
          <w:rFonts w:hint="eastAsia" w:ascii="Calibri" w:hAnsi="Calibri"/>
          <w:color w:val="auto"/>
          <w:sz w:val="32"/>
          <w:szCs w:val="32"/>
          <w:highlight w:val="none"/>
          <w:u w:val="single"/>
        </w:rPr>
        <w:t xml:space="preserve">                                       </w:t>
      </w:r>
    </w:p>
    <w:p w14:paraId="52C3D918">
      <w:pPr>
        <w:spacing w:line="800" w:lineRule="exact"/>
        <w:ind w:firstLine="640" w:firstLineChars="200"/>
        <w:rPr>
          <w:rFonts w:ascii="Calibri" w:hAnsi="Calibri"/>
          <w:color w:val="auto"/>
          <w:sz w:val="32"/>
          <w:szCs w:val="32"/>
          <w:highlight w:val="none"/>
        </w:rPr>
      </w:pPr>
    </w:p>
    <w:p w14:paraId="71508916">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投 标 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(单位盖章)</w:t>
      </w:r>
    </w:p>
    <w:p w14:paraId="13D112CB">
      <w:pPr>
        <w:spacing w:line="800" w:lineRule="exact"/>
        <w:ind w:firstLine="640" w:firstLineChars="200"/>
        <w:rPr>
          <w:rFonts w:ascii="Calibri" w:hAnsi="Calibri"/>
          <w:color w:val="auto"/>
          <w:sz w:val="32"/>
          <w:szCs w:val="32"/>
          <w:highlight w:val="none"/>
        </w:rPr>
      </w:pPr>
    </w:p>
    <w:p w14:paraId="5DCCDBC0">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法定代表人：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(签字或盖章)</w:t>
      </w:r>
    </w:p>
    <w:p w14:paraId="6603AAEA">
      <w:pPr>
        <w:spacing w:line="800" w:lineRule="exact"/>
        <w:ind w:firstLine="640" w:firstLineChars="200"/>
        <w:rPr>
          <w:rFonts w:ascii="Calibri" w:hAnsi="Calibri"/>
          <w:color w:val="auto"/>
          <w:sz w:val="32"/>
          <w:szCs w:val="32"/>
          <w:highlight w:val="none"/>
        </w:rPr>
      </w:pPr>
    </w:p>
    <w:p w14:paraId="546E8163">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编制人：</w:t>
      </w:r>
      <w:r>
        <w:rPr>
          <w:rFonts w:hint="eastAsia" w:ascii="Calibri" w:hAnsi="Calibri"/>
          <w:color w:val="auto"/>
          <w:sz w:val="32"/>
          <w:szCs w:val="32"/>
          <w:highlight w:val="none"/>
          <w:u w:val="single"/>
        </w:rPr>
        <w:t xml:space="preserve">                                                 </w:t>
      </w:r>
    </w:p>
    <w:p w14:paraId="70B4BEC8">
      <w:pPr>
        <w:spacing w:line="800" w:lineRule="exact"/>
        <w:ind w:firstLine="2720" w:firstLineChars="850"/>
        <w:rPr>
          <w:rFonts w:ascii="Calibri" w:hAnsi="Calibri"/>
          <w:color w:val="auto"/>
          <w:sz w:val="32"/>
          <w:szCs w:val="32"/>
          <w:highlight w:val="none"/>
          <w:u w:val="single"/>
        </w:rPr>
      </w:pPr>
      <w:r>
        <w:rPr>
          <w:rFonts w:hint="eastAsia" w:ascii="Calibri" w:hAnsi="Calibri"/>
          <w:color w:val="auto"/>
          <w:sz w:val="32"/>
          <w:szCs w:val="32"/>
          <w:highlight w:val="none"/>
        </w:rPr>
        <w:t xml:space="preserve"> (注册造价工程师签字并盖执业专用章)</w:t>
      </w:r>
    </w:p>
    <w:p w14:paraId="1F5C7DD2">
      <w:pPr>
        <w:spacing w:line="800" w:lineRule="exact"/>
        <w:ind w:firstLine="640" w:firstLineChars="200"/>
        <w:rPr>
          <w:rFonts w:ascii="Calibri" w:hAnsi="Calibri"/>
          <w:color w:val="auto"/>
          <w:sz w:val="32"/>
          <w:szCs w:val="32"/>
          <w:highlight w:val="none"/>
        </w:rPr>
      </w:pPr>
    </w:p>
    <w:p w14:paraId="03C8DE13">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编制时间：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月</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日</w:t>
      </w:r>
    </w:p>
    <w:p w14:paraId="5D5AD624">
      <w:pPr>
        <w:rPr>
          <w:rFonts w:ascii="Calibri" w:hAnsi="Calibri"/>
          <w:color w:val="auto"/>
          <w:sz w:val="32"/>
          <w:szCs w:val="32"/>
          <w:highlight w:val="none"/>
        </w:rPr>
      </w:pPr>
    </w:p>
    <w:p w14:paraId="5CAE8654">
      <w:pPr>
        <w:rPr>
          <w:rFonts w:ascii="宋体" w:hAnsi="宋体"/>
          <w:color w:val="auto"/>
          <w:sz w:val="18"/>
          <w:szCs w:val="18"/>
          <w:highlight w:val="none"/>
        </w:rPr>
      </w:pPr>
      <w:r>
        <w:rPr>
          <w:rFonts w:hint="eastAsia" w:ascii="宋体" w:hAnsi="宋体"/>
          <w:color w:val="auto"/>
          <w:sz w:val="18"/>
          <w:szCs w:val="18"/>
          <w:highlight w:val="none"/>
        </w:rPr>
        <w:t>1注：投标文件格式中工程量清单报价书（封面）及投标报价编制人信息表与投标文件制作工具导出文件不一致的，以投标文件格式文件为准。</w:t>
      </w:r>
    </w:p>
    <w:p w14:paraId="0D96BD9F">
      <w:pPr>
        <w:jc w:val="center"/>
        <w:rPr>
          <w:rFonts w:hint="eastAsia" w:ascii="宋体" w:hAnsi="宋体"/>
          <w:color w:val="auto"/>
          <w:sz w:val="32"/>
          <w:szCs w:val="32"/>
          <w:highlight w:val="none"/>
        </w:rPr>
      </w:pPr>
    </w:p>
    <w:p w14:paraId="00EC89FD">
      <w:pPr>
        <w:rPr>
          <w:rFonts w:hint="eastAsia" w:ascii="宋体" w:hAnsi="宋体"/>
          <w:color w:val="auto"/>
          <w:sz w:val="32"/>
          <w:szCs w:val="32"/>
          <w:highlight w:val="none"/>
        </w:rPr>
      </w:pPr>
    </w:p>
    <w:p w14:paraId="0390F4C2">
      <w:pPr>
        <w:jc w:val="center"/>
        <w:rPr>
          <w:rFonts w:hint="eastAsia" w:ascii="宋体" w:hAnsi="宋体"/>
          <w:color w:val="auto"/>
          <w:sz w:val="32"/>
          <w:szCs w:val="32"/>
          <w:highlight w:val="none"/>
        </w:rPr>
      </w:pPr>
    </w:p>
    <w:p w14:paraId="6DF1D18C">
      <w:pPr>
        <w:jc w:val="center"/>
        <w:rPr>
          <w:rFonts w:ascii="Calibri" w:hAnsi="Calibri"/>
          <w:color w:val="auto"/>
          <w:sz w:val="32"/>
          <w:szCs w:val="32"/>
          <w:highlight w:val="none"/>
        </w:rPr>
      </w:pPr>
      <w:r>
        <w:rPr>
          <w:rFonts w:hint="eastAsia" w:ascii="宋体" w:hAnsi="宋体"/>
          <w:color w:val="auto"/>
          <w:sz w:val="32"/>
          <w:szCs w:val="32"/>
          <w:highlight w:val="none"/>
        </w:rPr>
        <w:t>②</w:t>
      </w:r>
      <w:r>
        <w:rPr>
          <w:rFonts w:hint="eastAsia" w:ascii="Calibri" w:hAnsi="Calibri"/>
          <w:color w:val="auto"/>
          <w:sz w:val="32"/>
          <w:szCs w:val="32"/>
          <w:highlight w:val="none"/>
        </w:rPr>
        <w:t>投标报价编制人信息表</w:t>
      </w:r>
      <w:r>
        <w:rPr>
          <w:rFonts w:hint="eastAsia" w:ascii="Calibri" w:hAnsi="Calibri"/>
          <w:color w:val="auto"/>
          <w:sz w:val="32"/>
          <w:szCs w:val="32"/>
          <w:highlight w:val="none"/>
          <w:vertAlign w:val="superscript"/>
        </w:rPr>
        <w:t>1</w:t>
      </w:r>
    </w:p>
    <w:p w14:paraId="72B74434">
      <w:pPr>
        <w:jc w:val="center"/>
        <w:rPr>
          <w:rFonts w:ascii="Calibri" w:hAnsi="Calibri"/>
          <w:color w:val="auto"/>
          <w:sz w:val="32"/>
          <w:szCs w:val="32"/>
          <w:highlight w:val="none"/>
        </w:rPr>
      </w:pPr>
    </w:p>
    <w:tbl>
      <w:tblPr>
        <w:tblStyle w:val="20"/>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274DB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6FD8F8A9">
            <w:pPr>
              <w:jc w:val="center"/>
              <w:rPr>
                <w:rFonts w:ascii="Calibri" w:hAnsi="Calibri"/>
                <w:color w:val="auto"/>
                <w:szCs w:val="22"/>
                <w:highlight w:val="none"/>
              </w:rPr>
            </w:pPr>
            <w:r>
              <w:rPr>
                <w:rFonts w:hint="eastAsia" w:ascii="Calibri" w:hAnsi="Calibri"/>
                <w:color w:val="auto"/>
                <w:szCs w:val="22"/>
                <w:highlight w:val="none"/>
              </w:rPr>
              <w:t>序号</w:t>
            </w:r>
          </w:p>
        </w:tc>
        <w:tc>
          <w:tcPr>
            <w:tcW w:w="1216" w:type="dxa"/>
            <w:noWrap w:val="0"/>
            <w:vAlign w:val="center"/>
          </w:tcPr>
          <w:p w14:paraId="5347E433">
            <w:pPr>
              <w:jc w:val="center"/>
              <w:rPr>
                <w:rFonts w:ascii="Calibri" w:hAnsi="Calibri"/>
                <w:color w:val="auto"/>
                <w:szCs w:val="22"/>
                <w:highlight w:val="none"/>
              </w:rPr>
            </w:pPr>
            <w:r>
              <w:rPr>
                <w:rFonts w:hint="eastAsia" w:ascii="Calibri" w:hAnsi="Calibri"/>
                <w:color w:val="auto"/>
                <w:szCs w:val="22"/>
                <w:highlight w:val="none"/>
              </w:rPr>
              <w:t>姓名</w:t>
            </w:r>
          </w:p>
        </w:tc>
        <w:tc>
          <w:tcPr>
            <w:tcW w:w="2951" w:type="dxa"/>
            <w:noWrap w:val="0"/>
            <w:vAlign w:val="center"/>
          </w:tcPr>
          <w:p w14:paraId="672D6532">
            <w:pPr>
              <w:jc w:val="center"/>
              <w:rPr>
                <w:rFonts w:ascii="Calibri" w:hAnsi="Calibri"/>
                <w:color w:val="auto"/>
                <w:szCs w:val="22"/>
                <w:highlight w:val="none"/>
              </w:rPr>
            </w:pPr>
            <w:r>
              <w:rPr>
                <w:rFonts w:hint="eastAsia" w:ascii="Calibri" w:hAnsi="Calibri"/>
                <w:color w:val="auto"/>
                <w:szCs w:val="22"/>
                <w:highlight w:val="none"/>
              </w:rPr>
              <w:t>身份证号码</w:t>
            </w:r>
          </w:p>
        </w:tc>
        <w:tc>
          <w:tcPr>
            <w:tcW w:w="1737" w:type="dxa"/>
            <w:noWrap w:val="0"/>
            <w:vAlign w:val="center"/>
          </w:tcPr>
          <w:p w14:paraId="125EE69A">
            <w:pPr>
              <w:jc w:val="center"/>
              <w:rPr>
                <w:rFonts w:ascii="Calibri" w:hAnsi="Calibri"/>
                <w:color w:val="auto"/>
                <w:szCs w:val="22"/>
                <w:highlight w:val="none"/>
              </w:rPr>
            </w:pPr>
            <w:r>
              <w:rPr>
                <w:rFonts w:hint="eastAsia" w:ascii="Calibri" w:hAnsi="Calibri"/>
                <w:color w:val="auto"/>
                <w:szCs w:val="22"/>
                <w:highlight w:val="none"/>
              </w:rPr>
              <w:t>手机号码</w:t>
            </w:r>
          </w:p>
        </w:tc>
        <w:tc>
          <w:tcPr>
            <w:tcW w:w="1563" w:type="dxa"/>
            <w:noWrap w:val="0"/>
            <w:vAlign w:val="center"/>
          </w:tcPr>
          <w:p w14:paraId="2AE054A6">
            <w:pPr>
              <w:jc w:val="center"/>
              <w:rPr>
                <w:rFonts w:ascii="Calibri" w:hAnsi="Calibri"/>
                <w:color w:val="auto"/>
                <w:szCs w:val="22"/>
                <w:highlight w:val="none"/>
              </w:rPr>
            </w:pPr>
            <w:r>
              <w:rPr>
                <w:rFonts w:hint="eastAsia" w:ascii="Calibri" w:hAnsi="Calibri"/>
                <w:color w:val="auto"/>
                <w:szCs w:val="22"/>
                <w:highlight w:val="none"/>
              </w:rPr>
              <w:t>单位名称</w:t>
            </w:r>
          </w:p>
        </w:tc>
        <w:tc>
          <w:tcPr>
            <w:tcW w:w="1967" w:type="dxa"/>
            <w:noWrap w:val="0"/>
            <w:vAlign w:val="center"/>
          </w:tcPr>
          <w:p w14:paraId="28D9C068">
            <w:pPr>
              <w:jc w:val="center"/>
              <w:rPr>
                <w:rFonts w:ascii="Calibri" w:hAnsi="Calibri"/>
                <w:color w:val="auto"/>
                <w:szCs w:val="22"/>
                <w:highlight w:val="none"/>
              </w:rPr>
            </w:pPr>
            <w:r>
              <w:rPr>
                <w:rFonts w:hint="eastAsia" w:ascii="Calibri" w:hAnsi="Calibri"/>
                <w:color w:val="auto"/>
                <w:szCs w:val="22"/>
                <w:highlight w:val="none"/>
              </w:rPr>
              <w:t>注册造价工程师注册证书号</w:t>
            </w:r>
          </w:p>
        </w:tc>
      </w:tr>
      <w:tr w14:paraId="17E2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3D59D50E">
            <w:pPr>
              <w:jc w:val="center"/>
              <w:rPr>
                <w:rFonts w:ascii="Calibri" w:hAnsi="Calibri"/>
                <w:color w:val="auto"/>
                <w:szCs w:val="22"/>
                <w:highlight w:val="none"/>
              </w:rPr>
            </w:pPr>
          </w:p>
        </w:tc>
        <w:tc>
          <w:tcPr>
            <w:tcW w:w="1216" w:type="dxa"/>
            <w:noWrap w:val="0"/>
            <w:vAlign w:val="center"/>
          </w:tcPr>
          <w:p w14:paraId="1A9CB527">
            <w:pPr>
              <w:jc w:val="center"/>
              <w:rPr>
                <w:rFonts w:ascii="Calibri" w:hAnsi="Calibri"/>
                <w:color w:val="auto"/>
                <w:szCs w:val="22"/>
                <w:highlight w:val="none"/>
              </w:rPr>
            </w:pPr>
          </w:p>
        </w:tc>
        <w:tc>
          <w:tcPr>
            <w:tcW w:w="2951" w:type="dxa"/>
            <w:noWrap w:val="0"/>
            <w:vAlign w:val="center"/>
          </w:tcPr>
          <w:p w14:paraId="0FA34E3B">
            <w:pPr>
              <w:jc w:val="center"/>
              <w:rPr>
                <w:rFonts w:ascii="Calibri" w:hAnsi="Calibri"/>
                <w:color w:val="auto"/>
                <w:szCs w:val="22"/>
                <w:highlight w:val="none"/>
              </w:rPr>
            </w:pPr>
          </w:p>
        </w:tc>
        <w:tc>
          <w:tcPr>
            <w:tcW w:w="1737" w:type="dxa"/>
            <w:noWrap w:val="0"/>
            <w:vAlign w:val="center"/>
          </w:tcPr>
          <w:p w14:paraId="1E7E39B3">
            <w:pPr>
              <w:jc w:val="center"/>
              <w:rPr>
                <w:rFonts w:ascii="Calibri" w:hAnsi="Calibri"/>
                <w:color w:val="auto"/>
                <w:szCs w:val="22"/>
                <w:highlight w:val="none"/>
              </w:rPr>
            </w:pPr>
          </w:p>
        </w:tc>
        <w:tc>
          <w:tcPr>
            <w:tcW w:w="1563" w:type="dxa"/>
            <w:noWrap w:val="0"/>
            <w:vAlign w:val="center"/>
          </w:tcPr>
          <w:p w14:paraId="1C2E5414">
            <w:pPr>
              <w:jc w:val="center"/>
              <w:rPr>
                <w:rFonts w:ascii="Calibri" w:hAnsi="Calibri"/>
                <w:color w:val="auto"/>
                <w:szCs w:val="22"/>
                <w:highlight w:val="none"/>
              </w:rPr>
            </w:pPr>
          </w:p>
        </w:tc>
        <w:tc>
          <w:tcPr>
            <w:tcW w:w="1967" w:type="dxa"/>
            <w:noWrap w:val="0"/>
            <w:vAlign w:val="center"/>
          </w:tcPr>
          <w:p w14:paraId="13DCDC3D">
            <w:pPr>
              <w:jc w:val="center"/>
              <w:rPr>
                <w:rFonts w:ascii="Calibri" w:hAnsi="Calibri"/>
                <w:color w:val="auto"/>
                <w:szCs w:val="22"/>
                <w:highlight w:val="none"/>
              </w:rPr>
            </w:pPr>
          </w:p>
        </w:tc>
      </w:tr>
      <w:tr w14:paraId="10FE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44842D5A">
            <w:pPr>
              <w:jc w:val="center"/>
              <w:rPr>
                <w:rFonts w:ascii="Calibri" w:hAnsi="Calibri"/>
                <w:color w:val="auto"/>
                <w:szCs w:val="22"/>
                <w:highlight w:val="none"/>
              </w:rPr>
            </w:pPr>
          </w:p>
        </w:tc>
        <w:tc>
          <w:tcPr>
            <w:tcW w:w="1216" w:type="dxa"/>
            <w:noWrap w:val="0"/>
            <w:vAlign w:val="center"/>
          </w:tcPr>
          <w:p w14:paraId="05726A66">
            <w:pPr>
              <w:jc w:val="center"/>
              <w:rPr>
                <w:rFonts w:ascii="Calibri" w:hAnsi="Calibri"/>
                <w:color w:val="auto"/>
                <w:szCs w:val="22"/>
                <w:highlight w:val="none"/>
              </w:rPr>
            </w:pPr>
          </w:p>
        </w:tc>
        <w:tc>
          <w:tcPr>
            <w:tcW w:w="2951" w:type="dxa"/>
            <w:noWrap w:val="0"/>
            <w:vAlign w:val="center"/>
          </w:tcPr>
          <w:p w14:paraId="5A2380A4">
            <w:pPr>
              <w:jc w:val="center"/>
              <w:rPr>
                <w:rFonts w:ascii="Calibri" w:hAnsi="Calibri"/>
                <w:color w:val="auto"/>
                <w:szCs w:val="22"/>
                <w:highlight w:val="none"/>
              </w:rPr>
            </w:pPr>
          </w:p>
        </w:tc>
        <w:tc>
          <w:tcPr>
            <w:tcW w:w="1737" w:type="dxa"/>
            <w:noWrap w:val="0"/>
            <w:vAlign w:val="center"/>
          </w:tcPr>
          <w:p w14:paraId="562617D9">
            <w:pPr>
              <w:jc w:val="center"/>
              <w:rPr>
                <w:rFonts w:ascii="Calibri" w:hAnsi="Calibri"/>
                <w:color w:val="auto"/>
                <w:szCs w:val="22"/>
                <w:highlight w:val="none"/>
              </w:rPr>
            </w:pPr>
          </w:p>
        </w:tc>
        <w:tc>
          <w:tcPr>
            <w:tcW w:w="1563" w:type="dxa"/>
            <w:noWrap w:val="0"/>
            <w:vAlign w:val="center"/>
          </w:tcPr>
          <w:p w14:paraId="60232BA7">
            <w:pPr>
              <w:jc w:val="center"/>
              <w:rPr>
                <w:rFonts w:ascii="Calibri" w:hAnsi="Calibri"/>
                <w:color w:val="auto"/>
                <w:szCs w:val="22"/>
                <w:highlight w:val="none"/>
              </w:rPr>
            </w:pPr>
          </w:p>
        </w:tc>
        <w:tc>
          <w:tcPr>
            <w:tcW w:w="1967" w:type="dxa"/>
            <w:noWrap w:val="0"/>
            <w:vAlign w:val="center"/>
          </w:tcPr>
          <w:p w14:paraId="166FA8C1">
            <w:pPr>
              <w:jc w:val="center"/>
              <w:rPr>
                <w:rFonts w:ascii="Calibri" w:hAnsi="Calibri"/>
                <w:color w:val="auto"/>
                <w:szCs w:val="22"/>
                <w:highlight w:val="none"/>
              </w:rPr>
            </w:pPr>
          </w:p>
        </w:tc>
      </w:tr>
    </w:tbl>
    <w:p w14:paraId="7285D941">
      <w:pPr>
        <w:rPr>
          <w:rFonts w:ascii="宋体" w:hAnsi="宋体"/>
          <w:b/>
          <w:color w:val="auto"/>
          <w:sz w:val="24"/>
          <w:highlight w:val="none"/>
        </w:rPr>
      </w:pPr>
    </w:p>
    <w:p w14:paraId="3ED72B7E">
      <w:pPr>
        <w:spacing w:line="560" w:lineRule="exact"/>
        <w:rPr>
          <w:rFonts w:ascii="宋体" w:hAnsi="宋体"/>
          <w:b/>
          <w:color w:val="auto"/>
          <w:sz w:val="24"/>
          <w:highlight w:val="none"/>
        </w:rPr>
      </w:pPr>
      <w:r>
        <w:rPr>
          <w:rFonts w:hint="eastAsia" w:ascii="宋体" w:hAnsi="宋体"/>
          <w:b/>
          <w:color w:val="auto"/>
          <w:sz w:val="24"/>
          <w:highlight w:val="none"/>
        </w:rPr>
        <w:t>注：</w:t>
      </w:r>
    </w:p>
    <w:p w14:paraId="45432291">
      <w:pPr>
        <w:spacing w:line="560" w:lineRule="exact"/>
        <w:rPr>
          <w:rFonts w:ascii="宋体" w:hAnsi="宋体"/>
          <w:color w:val="auto"/>
          <w:sz w:val="24"/>
          <w:highlight w:val="none"/>
        </w:rPr>
      </w:pPr>
      <w:r>
        <w:rPr>
          <w:rFonts w:hint="eastAsia" w:ascii="宋体" w:hAnsi="宋体"/>
          <w:color w:val="auto"/>
          <w:sz w:val="24"/>
          <w:highlight w:val="none"/>
        </w:rPr>
        <w:t>1. 提供投标报价编制人员的注册造价工程师证书扫描件或影印件；</w:t>
      </w:r>
    </w:p>
    <w:p w14:paraId="7888E0B8">
      <w:pPr>
        <w:spacing w:line="560" w:lineRule="exact"/>
        <w:rPr>
          <w:rFonts w:ascii="宋体" w:hAnsi="宋体"/>
          <w:color w:val="auto"/>
          <w:sz w:val="24"/>
          <w:highlight w:val="none"/>
        </w:rPr>
      </w:pPr>
      <w:r>
        <w:rPr>
          <w:rFonts w:hint="eastAsia" w:ascii="宋体" w:hAnsi="宋体"/>
          <w:color w:val="auto"/>
          <w:sz w:val="24"/>
          <w:highlight w:val="none"/>
        </w:rPr>
        <w:t>2. 若投标报价编制人员为投标人委托的造价咨询单位注册造价人员，须提供与造价咨询单位签订的委托协议。</w:t>
      </w:r>
    </w:p>
    <w:p w14:paraId="49E2CC85">
      <w:pPr>
        <w:spacing w:line="560" w:lineRule="exact"/>
        <w:rPr>
          <w:rFonts w:ascii="宋体" w:hAnsi="宋体"/>
          <w:color w:val="auto"/>
          <w:sz w:val="24"/>
          <w:highlight w:val="none"/>
        </w:rPr>
      </w:pPr>
      <w:r>
        <w:rPr>
          <w:rFonts w:hint="eastAsia" w:ascii="宋体" w:hAnsi="宋体"/>
          <w:color w:val="auto"/>
          <w:sz w:val="24"/>
          <w:highlight w:val="none"/>
        </w:rPr>
        <w:t>3. 表格内容将作为公安机关和行政主管部门调查串通投标、允许他人以自己名义从事工程造价业务等违法违规行为的重要依据。</w:t>
      </w:r>
    </w:p>
    <w:p w14:paraId="08F54C40">
      <w:pPr>
        <w:spacing w:line="560" w:lineRule="exact"/>
        <w:rPr>
          <w:rFonts w:ascii="宋体" w:hAnsi="宋体"/>
          <w:color w:val="auto"/>
          <w:sz w:val="24"/>
          <w:highlight w:val="none"/>
        </w:rPr>
      </w:pPr>
      <w:r>
        <w:rPr>
          <w:rFonts w:hint="eastAsia" w:ascii="宋体" w:hAnsi="宋体"/>
          <w:color w:val="auto"/>
          <w:sz w:val="24"/>
          <w:highlight w:val="none"/>
        </w:rPr>
        <w:t>4. 投标人填写内容务必真实准确，否则将承担投标失败、中标无效的风险。</w:t>
      </w:r>
    </w:p>
    <w:p w14:paraId="4EB697CD">
      <w:pPr>
        <w:spacing w:line="560" w:lineRule="exact"/>
        <w:rPr>
          <w:rFonts w:ascii="宋体" w:hAnsi="宋体"/>
          <w:color w:val="auto"/>
          <w:sz w:val="24"/>
          <w:highlight w:val="none"/>
        </w:rPr>
      </w:pPr>
    </w:p>
    <w:p w14:paraId="65A44872">
      <w:pPr>
        <w:spacing w:line="560" w:lineRule="exact"/>
        <w:rPr>
          <w:rFonts w:ascii="宋体" w:hAnsi="宋体"/>
          <w:color w:val="auto"/>
          <w:sz w:val="24"/>
          <w:highlight w:val="none"/>
        </w:rPr>
      </w:pPr>
    </w:p>
    <w:p w14:paraId="205561E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③工程量清单报价书正文格式：见2018版“工程量清单计价文件”格式，在滁州市公共资源交易中心网站下载招标文件后，使用投标文件制作工具导出“招标清单文件”，即为“工程量清单计价文件”正文格式。</w:t>
      </w:r>
    </w:p>
    <w:p w14:paraId="0472D4DF">
      <w:pPr>
        <w:rPr>
          <w:rFonts w:ascii="宋体" w:hAnsi="宋体"/>
          <w:color w:val="auto"/>
          <w:sz w:val="24"/>
          <w:highlight w:val="none"/>
        </w:rPr>
      </w:pPr>
    </w:p>
    <w:p w14:paraId="0C1FD910">
      <w:pPr>
        <w:rPr>
          <w:rFonts w:ascii="宋体" w:hAnsi="宋体"/>
          <w:color w:val="auto"/>
          <w:sz w:val="24"/>
          <w:highlight w:val="none"/>
        </w:rPr>
      </w:pPr>
    </w:p>
    <w:p w14:paraId="76BCFBD7">
      <w:pPr>
        <w:rPr>
          <w:rFonts w:ascii="宋体" w:hAnsi="宋体"/>
          <w:color w:val="auto"/>
          <w:sz w:val="24"/>
          <w:highlight w:val="none"/>
        </w:rPr>
      </w:pPr>
    </w:p>
    <w:p w14:paraId="26D7C99B">
      <w:pPr>
        <w:rPr>
          <w:rFonts w:ascii="宋体" w:hAnsi="宋体"/>
          <w:color w:val="auto"/>
          <w:sz w:val="24"/>
          <w:highlight w:val="none"/>
        </w:rPr>
      </w:pPr>
    </w:p>
    <w:p w14:paraId="2809286D">
      <w:pPr>
        <w:rPr>
          <w:rFonts w:ascii="宋体" w:hAnsi="宋体"/>
          <w:color w:val="auto"/>
          <w:sz w:val="24"/>
          <w:highlight w:val="none"/>
        </w:rPr>
      </w:pPr>
    </w:p>
    <w:p w14:paraId="3E461BD6">
      <w:pPr>
        <w:rPr>
          <w:rFonts w:ascii="宋体" w:hAnsi="宋体"/>
          <w:color w:val="auto"/>
          <w:sz w:val="22"/>
          <w:highlight w:val="none"/>
        </w:rPr>
      </w:pPr>
    </w:p>
    <w:p w14:paraId="1A747132">
      <w:pPr>
        <w:rPr>
          <w:rFonts w:ascii="宋体" w:hAnsi="宋体"/>
          <w:color w:val="auto"/>
          <w:sz w:val="18"/>
          <w:highlight w:val="none"/>
        </w:rPr>
      </w:pPr>
      <w:r>
        <w:rPr>
          <w:rFonts w:hint="eastAsia" w:ascii="宋体" w:hAnsi="宋体"/>
          <w:color w:val="auto"/>
          <w:sz w:val="18"/>
          <w:highlight w:val="none"/>
          <w:vertAlign w:val="superscript"/>
        </w:rPr>
        <w:t>1</w:t>
      </w:r>
      <w:r>
        <w:rPr>
          <w:rFonts w:hint="eastAsia" w:ascii="宋体" w:hAnsi="宋体"/>
          <w:color w:val="auto"/>
          <w:sz w:val="18"/>
          <w:highlight w:val="none"/>
        </w:rPr>
        <w:t>注：投标文件格式中工程量清单报价书（封面）及投标报价编制人信息表与投标文件制作工具导出文件不一致的，以投标文件格式文件为准。</w:t>
      </w:r>
    </w:p>
    <w:p w14:paraId="5C88D672">
      <w:pPr>
        <w:jc w:val="center"/>
        <w:rPr>
          <w:rFonts w:hint="eastAsia" w:ascii="Calibri" w:hAnsi="Calibri"/>
          <w:color w:val="auto"/>
          <w:sz w:val="32"/>
          <w:szCs w:val="32"/>
          <w:highlight w:val="none"/>
        </w:rPr>
      </w:pPr>
    </w:p>
    <w:p w14:paraId="390AD36C">
      <w:pPr>
        <w:pStyle w:val="19"/>
        <w:rPr>
          <w:rFonts w:hint="eastAsia"/>
          <w:color w:val="auto"/>
          <w:highlight w:val="none"/>
        </w:rPr>
      </w:pPr>
    </w:p>
    <w:p w14:paraId="4976FC98">
      <w:pPr>
        <w:pStyle w:val="5"/>
        <w:adjustRightInd w:val="0"/>
        <w:snapToGrid w:val="0"/>
        <w:spacing w:before="0" w:after="0" w:line="560" w:lineRule="exact"/>
        <w:jc w:val="center"/>
        <w:rPr>
          <w:color w:val="auto"/>
          <w:highlight w:val="none"/>
        </w:rPr>
      </w:pPr>
      <w:bookmarkStart w:id="1600" w:name="_Toc95223545"/>
      <w:r>
        <w:rPr>
          <w:rFonts w:hint="eastAsia"/>
          <w:color w:val="auto"/>
          <w:highlight w:val="none"/>
        </w:rPr>
        <w:t>（3）</w:t>
      </w:r>
      <w:r>
        <w:rPr>
          <w:color w:val="auto"/>
          <w:highlight w:val="none"/>
        </w:rPr>
        <w:t>招标人推荐的材料品牌响应表</w:t>
      </w:r>
      <w:bookmarkEnd w:id="1600"/>
    </w:p>
    <w:p w14:paraId="1E557978">
      <w:pPr>
        <w:pStyle w:val="9"/>
        <w:tabs>
          <w:tab w:val="left" w:pos="6462"/>
          <w:tab w:val="left" w:pos="6988"/>
          <w:tab w:val="left" w:pos="7722"/>
        </w:tabs>
        <w:adjustRightInd w:val="0"/>
        <w:snapToGrid w:val="0"/>
        <w:spacing w:after="0" w:line="560" w:lineRule="exact"/>
        <w:jc w:val="center"/>
        <w:rPr>
          <w:color w:val="auto"/>
          <w:highlight w:val="none"/>
        </w:rPr>
      </w:pPr>
      <w:r>
        <w:rPr>
          <w:color w:val="auto"/>
          <w:highlight w:val="none"/>
        </w:rPr>
        <w:t>工程</w:t>
      </w:r>
      <w:r>
        <w:rPr>
          <w:color w:val="auto"/>
          <w:spacing w:val="-3"/>
          <w:highlight w:val="none"/>
        </w:rPr>
        <w:t>名</w:t>
      </w:r>
      <w:r>
        <w:rPr>
          <w:color w:val="auto"/>
          <w:highlight w:val="none"/>
        </w:rPr>
        <w:t>称：</w:t>
      </w:r>
      <w:r>
        <w:rPr>
          <w:rFonts w:hint="eastAsia"/>
          <w:color w:val="auto"/>
          <w:highlight w:val="none"/>
        </w:rPr>
        <w:t xml:space="preserve"> </w:t>
      </w:r>
      <w:r>
        <w:rPr>
          <w:color w:val="auto"/>
          <w:highlight w:val="none"/>
        </w:rPr>
        <w:tab/>
      </w:r>
      <w:r>
        <w:rPr>
          <w:color w:val="auto"/>
          <w:highlight w:val="none"/>
        </w:rPr>
        <w:t>第</w:t>
      </w:r>
      <w:r>
        <w:rPr>
          <w:color w:val="auto"/>
          <w:highlight w:val="none"/>
        </w:rPr>
        <w:tab/>
      </w:r>
      <w:r>
        <w:rPr>
          <w:color w:val="auto"/>
          <w:spacing w:val="-3"/>
          <w:highlight w:val="none"/>
        </w:rPr>
        <w:t>页</w:t>
      </w:r>
      <w:r>
        <w:rPr>
          <w:color w:val="auto"/>
          <w:highlight w:val="none"/>
        </w:rPr>
        <w:t>共</w:t>
      </w:r>
      <w:r>
        <w:rPr>
          <w:color w:val="auto"/>
          <w:highlight w:val="none"/>
        </w:rPr>
        <w:tab/>
      </w:r>
      <w:r>
        <w:rPr>
          <w:color w:val="auto"/>
          <w:highlight w:val="none"/>
        </w:rPr>
        <w:t>页</w:t>
      </w:r>
    </w:p>
    <w:p w14:paraId="6316BEF8">
      <w:pPr>
        <w:pStyle w:val="9"/>
        <w:tabs>
          <w:tab w:val="left" w:pos="6462"/>
          <w:tab w:val="left" w:pos="6988"/>
          <w:tab w:val="left" w:pos="7722"/>
        </w:tabs>
        <w:adjustRightInd w:val="0"/>
        <w:snapToGrid w:val="0"/>
        <w:spacing w:after="0" w:line="560" w:lineRule="exact"/>
        <w:jc w:val="center"/>
        <w:rPr>
          <w:b/>
          <w:color w:val="auto"/>
          <w:sz w:val="28"/>
          <w:highlight w:val="none"/>
        </w:rPr>
      </w:pPr>
      <w:r>
        <w:rPr>
          <w:b/>
          <w:color w:val="auto"/>
          <w:sz w:val="28"/>
          <w:highlight w:val="none"/>
        </w:rPr>
        <w:t>品牌推荐表（如要求）</w:t>
      </w:r>
    </w:p>
    <w:p w14:paraId="186E292F">
      <w:pPr>
        <w:pStyle w:val="9"/>
        <w:adjustRightInd w:val="0"/>
        <w:snapToGrid w:val="0"/>
        <w:spacing w:after="0" w:line="560" w:lineRule="exact"/>
        <w:rPr>
          <w:b/>
          <w:color w:val="auto"/>
          <w:sz w:val="5"/>
          <w:highlight w:val="none"/>
        </w:rPr>
      </w:pPr>
    </w:p>
    <w:tbl>
      <w:tblPr>
        <w:tblStyle w:val="20"/>
        <w:tblW w:w="7816" w:type="dxa"/>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6EC58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noWrap w:val="0"/>
            <w:vAlign w:val="top"/>
          </w:tcPr>
          <w:p w14:paraId="3F65147A">
            <w:pPr>
              <w:pStyle w:val="39"/>
              <w:adjustRightInd w:val="0"/>
              <w:snapToGrid w:val="0"/>
              <w:spacing w:line="560" w:lineRule="exact"/>
              <w:jc w:val="center"/>
              <w:rPr>
                <w:rFonts w:hint="eastAsia" w:ascii="黑体" w:eastAsia="黑体"/>
                <w:color w:val="auto"/>
                <w:highlight w:val="none"/>
              </w:rPr>
            </w:pPr>
            <w:r>
              <w:rPr>
                <w:rFonts w:hint="eastAsia" w:ascii="黑体" w:eastAsia="黑体"/>
                <w:color w:val="auto"/>
                <w:highlight w:val="none"/>
              </w:rPr>
              <w:t>序号</w:t>
            </w:r>
          </w:p>
        </w:tc>
        <w:tc>
          <w:tcPr>
            <w:tcW w:w="1685" w:type="dxa"/>
            <w:noWrap w:val="0"/>
            <w:vAlign w:val="top"/>
          </w:tcPr>
          <w:p w14:paraId="197B4FF2">
            <w:pPr>
              <w:pStyle w:val="39"/>
              <w:adjustRightInd w:val="0"/>
              <w:snapToGrid w:val="0"/>
              <w:spacing w:line="560" w:lineRule="exact"/>
              <w:rPr>
                <w:rFonts w:hint="eastAsia" w:ascii="黑体" w:eastAsia="黑体"/>
                <w:color w:val="auto"/>
                <w:highlight w:val="none"/>
              </w:rPr>
            </w:pPr>
            <w:r>
              <w:rPr>
                <w:rFonts w:hint="eastAsia" w:ascii="黑体" w:eastAsia="黑体"/>
                <w:color w:val="auto"/>
                <w:highlight w:val="none"/>
              </w:rPr>
              <w:t>材料、设备名称</w:t>
            </w:r>
          </w:p>
        </w:tc>
        <w:tc>
          <w:tcPr>
            <w:tcW w:w="794" w:type="dxa"/>
            <w:noWrap w:val="0"/>
            <w:vAlign w:val="top"/>
          </w:tcPr>
          <w:p w14:paraId="79003A34">
            <w:pPr>
              <w:pStyle w:val="39"/>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1</w:t>
            </w:r>
          </w:p>
        </w:tc>
        <w:tc>
          <w:tcPr>
            <w:tcW w:w="794" w:type="dxa"/>
            <w:noWrap w:val="0"/>
            <w:vAlign w:val="top"/>
          </w:tcPr>
          <w:p w14:paraId="46252828">
            <w:pPr>
              <w:pStyle w:val="39"/>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2</w:t>
            </w:r>
          </w:p>
        </w:tc>
        <w:tc>
          <w:tcPr>
            <w:tcW w:w="794" w:type="dxa"/>
            <w:noWrap w:val="0"/>
            <w:vAlign w:val="top"/>
          </w:tcPr>
          <w:p w14:paraId="5C53E880">
            <w:pPr>
              <w:pStyle w:val="39"/>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3</w:t>
            </w:r>
          </w:p>
        </w:tc>
        <w:tc>
          <w:tcPr>
            <w:tcW w:w="791" w:type="dxa"/>
            <w:noWrap w:val="0"/>
            <w:vAlign w:val="top"/>
          </w:tcPr>
          <w:p w14:paraId="0A59253F">
            <w:pPr>
              <w:pStyle w:val="39"/>
              <w:adjustRightInd w:val="0"/>
              <w:snapToGrid w:val="0"/>
              <w:spacing w:line="560" w:lineRule="exact"/>
              <w:rPr>
                <w:rFonts w:hint="eastAsia" w:ascii="黑体" w:eastAsia="黑体"/>
                <w:color w:val="auto"/>
                <w:highlight w:val="none"/>
              </w:rPr>
            </w:pPr>
            <w:r>
              <w:rPr>
                <w:rFonts w:hint="eastAsia" w:ascii="黑体" w:eastAsia="黑体"/>
                <w:color w:val="auto"/>
                <w:highlight w:val="none"/>
              </w:rPr>
              <w:t>品牌 4</w:t>
            </w:r>
          </w:p>
        </w:tc>
        <w:tc>
          <w:tcPr>
            <w:tcW w:w="635" w:type="dxa"/>
            <w:noWrap w:val="0"/>
            <w:vAlign w:val="top"/>
          </w:tcPr>
          <w:p w14:paraId="3E7A60C4">
            <w:pPr>
              <w:pStyle w:val="39"/>
              <w:adjustRightInd w:val="0"/>
              <w:snapToGrid w:val="0"/>
              <w:spacing w:line="560" w:lineRule="exact"/>
              <w:rPr>
                <w:rFonts w:hint="eastAsia" w:ascii="黑体" w:eastAsia="黑体"/>
                <w:color w:val="auto"/>
                <w:highlight w:val="none"/>
              </w:rPr>
            </w:pPr>
            <w:r>
              <w:rPr>
                <w:rFonts w:hint="eastAsia" w:ascii="黑体" w:eastAsia="黑体"/>
                <w:color w:val="auto"/>
                <w:highlight w:val="none"/>
              </w:rPr>
              <w:t>备注</w:t>
            </w:r>
          </w:p>
        </w:tc>
        <w:tc>
          <w:tcPr>
            <w:tcW w:w="1687" w:type="dxa"/>
            <w:noWrap w:val="0"/>
            <w:vAlign w:val="top"/>
          </w:tcPr>
          <w:p w14:paraId="1542B799">
            <w:pPr>
              <w:pStyle w:val="39"/>
              <w:adjustRightInd w:val="0"/>
              <w:snapToGrid w:val="0"/>
              <w:spacing w:line="560" w:lineRule="exact"/>
              <w:rPr>
                <w:rFonts w:hint="eastAsia" w:ascii="黑体" w:eastAsia="黑体"/>
                <w:color w:val="auto"/>
                <w:highlight w:val="none"/>
              </w:rPr>
            </w:pPr>
            <w:r>
              <w:rPr>
                <w:rFonts w:hint="eastAsia" w:ascii="黑体" w:eastAsia="黑体"/>
                <w:color w:val="auto"/>
                <w:highlight w:val="none"/>
              </w:rPr>
              <w:t>投标人选定品牌</w:t>
            </w:r>
          </w:p>
        </w:tc>
      </w:tr>
      <w:tr w14:paraId="2F655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80D3821">
            <w:pPr>
              <w:pStyle w:val="39"/>
              <w:adjustRightInd w:val="0"/>
              <w:snapToGrid w:val="0"/>
              <w:spacing w:line="560" w:lineRule="exact"/>
              <w:jc w:val="center"/>
              <w:rPr>
                <w:color w:val="auto"/>
                <w:highlight w:val="none"/>
              </w:rPr>
            </w:pPr>
            <w:r>
              <w:rPr>
                <w:color w:val="auto"/>
                <w:highlight w:val="none"/>
              </w:rPr>
              <w:t>1</w:t>
            </w:r>
          </w:p>
        </w:tc>
        <w:tc>
          <w:tcPr>
            <w:tcW w:w="1685" w:type="dxa"/>
            <w:noWrap w:val="0"/>
            <w:vAlign w:val="top"/>
          </w:tcPr>
          <w:p w14:paraId="23CCA8A2">
            <w:pPr>
              <w:pStyle w:val="39"/>
              <w:adjustRightInd w:val="0"/>
              <w:snapToGrid w:val="0"/>
              <w:spacing w:line="560" w:lineRule="exact"/>
              <w:rPr>
                <w:rFonts w:ascii="Times New Roman"/>
                <w:color w:val="auto"/>
                <w:sz w:val="20"/>
                <w:highlight w:val="none"/>
              </w:rPr>
            </w:pPr>
          </w:p>
        </w:tc>
        <w:tc>
          <w:tcPr>
            <w:tcW w:w="794" w:type="dxa"/>
            <w:noWrap w:val="0"/>
            <w:vAlign w:val="top"/>
          </w:tcPr>
          <w:p w14:paraId="100E2C67">
            <w:pPr>
              <w:pStyle w:val="39"/>
              <w:adjustRightInd w:val="0"/>
              <w:snapToGrid w:val="0"/>
              <w:spacing w:line="560" w:lineRule="exact"/>
              <w:rPr>
                <w:rFonts w:ascii="Times New Roman"/>
                <w:color w:val="auto"/>
                <w:sz w:val="20"/>
                <w:highlight w:val="none"/>
              </w:rPr>
            </w:pPr>
          </w:p>
        </w:tc>
        <w:tc>
          <w:tcPr>
            <w:tcW w:w="794" w:type="dxa"/>
            <w:noWrap w:val="0"/>
            <w:vAlign w:val="top"/>
          </w:tcPr>
          <w:p w14:paraId="1CF6F1A3">
            <w:pPr>
              <w:pStyle w:val="39"/>
              <w:adjustRightInd w:val="0"/>
              <w:snapToGrid w:val="0"/>
              <w:spacing w:line="560" w:lineRule="exact"/>
              <w:rPr>
                <w:rFonts w:ascii="Times New Roman"/>
                <w:color w:val="auto"/>
                <w:sz w:val="20"/>
                <w:highlight w:val="none"/>
              </w:rPr>
            </w:pPr>
          </w:p>
        </w:tc>
        <w:tc>
          <w:tcPr>
            <w:tcW w:w="794" w:type="dxa"/>
            <w:noWrap w:val="0"/>
            <w:vAlign w:val="top"/>
          </w:tcPr>
          <w:p w14:paraId="1267B8C7">
            <w:pPr>
              <w:pStyle w:val="39"/>
              <w:adjustRightInd w:val="0"/>
              <w:snapToGrid w:val="0"/>
              <w:spacing w:line="560" w:lineRule="exact"/>
              <w:rPr>
                <w:rFonts w:ascii="Times New Roman"/>
                <w:color w:val="auto"/>
                <w:sz w:val="20"/>
                <w:highlight w:val="none"/>
              </w:rPr>
            </w:pPr>
          </w:p>
        </w:tc>
        <w:tc>
          <w:tcPr>
            <w:tcW w:w="791" w:type="dxa"/>
            <w:noWrap w:val="0"/>
            <w:vAlign w:val="top"/>
          </w:tcPr>
          <w:p w14:paraId="4156D535">
            <w:pPr>
              <w:pStyle w:val="39"/>
              <w:adjustRightInd w:val="0"/>
              <w:snapToGrid w:val="0"/>
              <w:spacing w:line="560" w:lineRule="exact"/>
              <w:rPr>
                <w:rFonts w:ascii="Times New Roman"/>
                <w:color w:val="auto"/>
                <w:sz w:val="20"/>
                <w:highlight w:val="none"/>
              </w:rPr>
            </w:pPr>
          </w:p>
        </w:tc>
        <w:tc>
          <w:tcPr>
            <w:tcW w:w="635" w:type="dxa"/>
            <w:noWrap w:val="0"/>
            <w:vAlign w:val="top"/>
          </w:tcPr>
          <w:p w14:paraId="67486246">
            <w:pPr>
              <w:pStyle w:val="39"/>
              <w:adjustRightInd w:val="0"/>
              <w:snapToGrid w:val="0"/>
              <w:spacing w:line="560" w:lineRule="exact"/>
              <w:rPr>
                <w:rFonts w:ascii="Times New Roman"/>
                <w:color w:val="auto"/>
                <w:sz w:val="20"/>
                <w:highlight w:val="none"/>
              </w:rPr>
            </w:pPr>
          </w:p>
        </w:tc>
        <w:tc>
          <w:tcPr>
            <w:tcW w:w="1687" w:type="dxa"/>
            <w:noWrap w:val="0"/>
            <w:vAlign w:val="top"/>
          </w:tcPr>
          <w:p w14:paraId="3B163352">
            <w:pPr>
              <w:pStyle w:val="39"/>
              <w:adjustRightInd w:val="0"/>
              <w:snapToGrid w:val="0"/>
              <w:spacing w:line="560" w:lineRule="exact"/>
              <w:rPr>
                <w:rFonts w:ascii="Times New Roman"/>
                <w:color w:val="auto"/>
                <w:sz w:val="20"/>
                <w:highlight w:val="none"/>
              </w:rPr>
            </w:pPr>
          </w:p>
        </w:tc>
      </w:tr>
      <w:tr w14:paraId="32EF5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4164CDA1">
            <w:pPr>
              <w:pStyle w:val="39"/>
              <w:adjustRightInd w:val="0"/>
              <w:snapToGrid w:val="0"/>
              <w:spacing w:line="560" w:lineRule="exact"/>
              <w:jc w:val="center"/>
              <w:rPr>
                <w:color w:val="auto"/>
                <w:highlight w:val="none"/>
              </w:rPr>
            </w:pPr>
            <w:r>
              <w:rPr>
                <w:color w:val="auto"/>
                <w:highlight w:val="none"/>
              </w:rPr>
              <w:t>2</w:t>
            </w:r>
          </w:p>
        </w:tc>
        <w:tc>
          <w:tcPr>
            <w:tcW w:w="1685" w:type="dxa"/>
            <w:noWrap w:val="0"/>
            <w:vAlign w:val="top"/>
          </w:tcPr>
          <w:p w14:paraId="6A813050">
            <w:pPr>
              <w:pStyle w:val="39"/>
              <w:adjustRightInd w:val="0"/>
              <w:snapToGrid w:val="0"/>
              <w:spacing w:line="560" w:lineRule="exact"/>
              <w:rPr>
                <w:rFonts w:ascii="Times New Roman"/>
                <w:color w:val="auto"/>
                <w:sz w:val="20"/>
                <w:highlight w:val="none"/>
              </w:rPr>
            </w:pPr>
          </w:p>
        </w:tc>
        <w:tc>
          <w:tcPr>
            <w:tcW w:w="794" w:type="dxa"/>
            <w:noWrap w:val="0"/>
            <w:vAlign w:val="top"/>
          </w:tcPr>
          <w:p w14:paraId="6355F7CA">
            <w:pPr>
              <w:pStyle w:val="39"/>
              <w:adjustRightInd w:val="0"/>
              <w:snapToGrid w:val="0"/>
              <w:spacing w:line="560" w:lineRule="exact"/>
              <w:rPr>
                <w:rFonts w:ascii="Times New Roman"/>
                <w:color w:val="auto"/>
                <w:sz w:val="20"/>
                <w:highlight w:val="none"/>
              </w:rPr>
            </w:pPr>
          </w:p>
        </w:tc>
        <w:tc>
          <w:tcPr>
            <w:tcW w:w="794" w:type="dxa"/>
            <w:noWrap w:val="0"/>
            <w:vAlign w:val="top"/>
          </w:tcPr>
          <w:p w14:paraId="286AE43C">
            <w:pPr>
              <w:pStyle w:val="39"/>
              <w:adjustRightInd w:val="0"/>
              <w:snapToGrid w:val="0"/>
              <w:spacing w:line="560" w:lineRule="exact"/>
              <w:rPr>
                <w:rFonts w:ascii="Times New Roman"/>
                <w:color w:val="auto"/>
                <w:sz w:val="20"/>
                <w:highlight w:val="none"/>
              </w:rPr>
            </w:pPr>
          </w:p>
        </w:tc>
        <w:tc>
          <w:tcPr>
            <w:tcW w:w="794" w:type="dxa"/>
            <w:noWrap w:val="0"/>
            <w:vAlign w:val="top"/>
          </w:tcPr>
          <w:p w14:paraId="34C1CED1">
            <w:pPr>
              <w:pStyle w:val="39"/>
              <w:adjustRightInd w:val="0"/>
              <w:snapToGrid w:val="0"/>
              <w:spacing w:line="560" w:lineRule="exact"/>
              <w:rPr>
                <w:rFonts w:ascii="Times New Roman"/>
                <w:color w:val="auto"/>
                <w:sz w:val="20"/>
                <w:highlight w:val="none"/>
              </w:rPr>
            </w:pPr>
          </w:p>
        </w:tc>
        <w:tc>
          <w:tcPr>
            <w:tcW w:w="791" w:type="dxa"/>
            <w:noWrap w:val="0"/>
            <w:vAlign w:val="top"/>
          </w:tcPr>
          <w:p w14:paraId="391C0053">
            <w:pPr>
              <w:pStyle w:val="39"/>
              <w:adjustRightInd w:val="0"/>
              <w:snapToGrid w:val="0"/>
              <w:spacing w:line="560" w:lineRule="exact"/>
              <w:rPr>
                <w:rFonts w:ascii="Times New Roman"/>
                <w:color w:val="auto"/>
                <w:sz w:val="20"/>
                <w:highlight w:val="none"/>
              </w:rPr>
            </w:pPr>
          </w:p>
        </w:tc>
        <w:tc>
          <w:tcPr>
            <w:tcW w:w="635" w:type="dxa"/>
            <w:noWrap w:val="0"/>
            <w:vAlign w:val="top"/>
          </w:tcPr>
          <w:p w14:paraId="36CE3EB6">
            <w:pPr>
              <w:pStyle w:val="39"/>
              <w:adjustRightInd w:val="0"/>
              <w:snapToGrid w:val="0"/>
              <w:spacing w:line="560" w:lineRule="exact"/>
              <w:rPr>
                <w:rFonts w:ascii="Times New Roman"/>
                <w:color w:val="auto"/>
                <w:sz w:val="20"/>
                <w:highlight w:val="none"/>
              </w:rPr>
            </w:pPr>
          </w:p>
        </w:tc>
        <w:tc>
          <w:tcPr>
            <w:tcW w:w="1687" w:type="dxa"/>
            <w:noWrap w:val="0"/>
            <w:vAlign w:val="top"/>
          </w:tcPr>
          <w:p w14:paraId="537C95EE">
            <w:pPr>
              <w:pStyle w:val="39"/>
              <w:adjustRightInd w:val="0"/>
              <w:snapToGrid w:val="0"/>
              <w:spacing w:line="560" w:lineRule="exact"/>
              <w:rPr>
                <w:rFonts w:ascii="Times New Roman"/>
                <w:color w:val="auto"/>
                <w:sz w:val="20"/>
                <w:highlight w:val="none"/>
              </w:rPr>
            </w:pPr>
          </w:p>
        </w:tc>
      </w:tr>
      <w:tr w14:paraId="3C566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noWrap w:val="0"/>
            <w:vAlign w:val="top"/>
          </w:tcPr>
          <w:p w14:paraId="611BA6AB">
            <w:pPr>
              <w:pStyle w:val="39"/>
              <w:adjustRightInd w:val="0"/>
              <w:snapToGrid w:val="0"/>
              <w:spacing w:line="560" w:lineRule="exact"/>
              <w:jc w:val="center"/>
              <w:rPr>
                <w:color w:val="auto"/>
                <w:highlight w:val="none"/>
              </w:rPr>
            </w:pPr>
            <w:r>
              <w:rPr>
                <w:color w:val="auto"/>
                <w:highlight w:val="none"/>
              </w:rPr>
              <w:t>3</w:t>
            </w:r>
          </w:p>
        </w:tc>
        <w:tc>
          <w:tcPr>
            <w:tcW w:w="1685" w:type="dxa"/>
            <w:tcBorders>
              <w:bottom w:val="single" w:color="000000" w:sz="6" w:space="0"/>
            </w:tcBorders>
            <w:noWrap w:val="0"/>
            <w:vAlign w:val="top"/>
          </w:tcPr>
          <w:p w14:paraId="1A5D3888">
            <w:pPr>
              <w:pStyle w:val="39"/>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63B2EA69">
            <w:pPr>
              <w:pStyle w:val="39"/>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6F125B9F">
            <w:pPr>
              <w:pStyle w:val="39"/>
              <w:adjustRightInd w:val="0"/>
              <w:snapToGrid w:val="0"/>
              <w:spacing w:line="560" w:lineRule="exact"/>
              <w:rPr>
                <w:rFonts w:ascii="Times New Roman"/>
                <w:color w:val="auto"/>
                <w:sz w:val="20"/>
                <w:highlight w:val="none"/>
              </w:rPr>
            </w:pPr>
          </w:p>
        </w:tc>
        <w:tc>
          <w:tcPr>
            <w:tcW w:w="794" w:type="dxa"/>
            <w:tcBorders>
              <w:bottom w:val="single" w:color="000000" w:sz="6" w:space="0"/>
            </w:tcBorders>
            <w:noWrap w:val="0"/>
            <w:vAlign w:val="top"/>
          </w:tcPr>
          <w:p w14:paraId="30096D98">
            <w:pPr>
              <w:pStyle w:val="39"/>
              <w:adjustRightInd w:val="0"/>
              <w:snapToGrid w:val="0"/>
              <w:spacing w:line="560" w:lineRule="exact"/>
              <w:rPr>
                <w:rFonts w:ascii="Times New Roman"/>
                <w:color w:val="auto"/>
                <w:sz w:val="20"/>
                <w:highlight w:val="none"/>
              </w:rPr>
            </w:pPr>
          </w:p>
        </w:tc>
        <w:tc>
          <w:tcPr>
            <w:tcW w:w="791" w:type="dxa"/>
            <w:tcBorders>
              <w:bottom w:val="single" w:color="000000" w:sz="6" w:space="0"/>
            </w:tcBorders>
            <w:noWrap w:val="0"/>
            <w:vAlign w:val="top"/>
          </w:tcPr>
          <w:p w14:paraId="36A0220C">
            <w:pPr>
              <w:pStyle w:val="39"/>
              <w:adjustRightInd w:val="0"/>
              <w:snapToGrid w:val="0"/>
              <w:spacing w:line="560" w:lineRule="exact"/>
              <w:rPr>
                <w:rFonts w:ascii="Times New Roman"/>
                <w:color w:val="auto"/>
                <w:sz w:val="20"/>
                <w:highlight w:val="none"/>
              </w:rPr>
            </w:pPr>
          </w:p>
        </w:tc>
        <w:tc>
          <w:tcPr>
            <w:tcW w:w="635" w:type="dxa"/>
            <w:tcBorders>
              <w:bottom w:val="single" w:color="000000" w:sz="6" w:space="0"/>
            </w:tcBorders>
            <w:noWrap w:val="0"/>
            <w:vAlign w:val="top"/>
          </w:tcPr>
          <w:p w14:paraId="612AD4FE">
            <w:pPr>
              <w:pStyle w:val="39"/>
              <w:adjustRightInd w:val="0"/>
              <w:snapToGrid w:val="0"/>
              <w:spacing w:line="560" w:lineRule="exact"/>
              <w:rPr>
                <w:rFonts w:ascii="Times New Roman"/>
                <w:color w:val="auto"/>
                <w:sz w:val="20"/>
                <w:highlight w:val="none"/>
              </w:rPr>
            </w:pPr>
          </w:p>
        </w:tc>
        <w:tc>
          <w:tcPr>
            <w:tcW w:w="1687" w:type="dxa"/>
            <w:tcBorders>
              <w:bottom w:val="single" w:color="000000" w:sz="6" w:space="0"/>
            </w:tcBorders>
            <w:noWrap w:val="0"/>
            <w:vAlign w:val="top"/>
          </w:tcPr>
          <w:p w14:paraId="0E5EE2FB">
            <w:pPr>
              <w:pStyle w:val="39"/>
              <w:adjustRightInd w:val="0"/>
              <w:snapToGrid w:val="0"/>
              <w:spacing w:line="560" w:lineRule="exact"/>
              <w:rPr>
                <w:rFonts w:ascii="Times New Roman"/>
                <w:color w:val="auto"/>
                <w:sz w:val="20"/>
                <w:highlight w:val="none"/>
              </w:rPr>
            </w:pPr>
          </w:p>
        </w:tc>
      </w:tr>
      <w:tr w14:paraId="418AB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top w:val="single" w:color="000000" w:sz="6" w:space="0"/>
            </w:tcBorders>
            <w:noWrap w:val="0"/>
            <w:vAlign w:val="top"/>
          </w:tcPr>
          <w:p w14:paraId="7AE6D4D1">
            <w:pPr>
              <w:pStyle w:val="39"/>
              <w:adjustRightInd w:val="0"/>
              <w:snapToGrid w:val="0"/>
              <w:spacing w:line="560" w:lineRule="exact"/>
              <w:jc w:val="center"/>
              <w:rPr>
                <w:color w:val="auto"/>
                <w:highlight w:val="none"/>
              </w:rPr>
            </w:pPr>
            <w:r>
              <w:rPr>
                <w:color w:val="auto"/>
                <w:highlight w:val="none"/>
              </w:rPr>
              <w:t>4</w:t>
            </w:r>
          </w:p>
        </w:tc>
        <w:tc>
          <w:tcPr>
            <w:tcW w:w="1685" w:type="dxa"/>
            <w:tcBorders>
              <w:top w:val="single" w:color="000000" w:sz="6" w:space="0"/>
            </w:tcBorders>
            <w:noWrap w:val="0"/>
            <w:vAlign w:val="top"/>
          </w:tcPr>
          <w:p w14:paraId="08B7EF05">
            <w:pPr>
              <w:pStyle w:val="39"/>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6062D2AE">
            <w:pPr>
              <w:pStyle w:val="39"/>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0990E4D4">
            <w:pPr>
              <w:pStyle w:val="39"/>
              <w:adjustRightInd w:val="0"/>
              <w:snapToGrid w:val="0"/>
              <w:spacing w:line="560" w:lineRule="exact"/>
              <w:rPr>
                <w:rFonts w:ascii="Times New Roman"/>
                <w:color w:val="auto"/>
                <w:sz w:val="20"/>
                <w:highlight w:val="none"/>
              </w:rPr>
            </w:pPr>
          </w:p>
        </w:tc>
        <w:tc>
          <w:tcPr>
            <w:tcW w:w="794" w:type="dxa"/>
            <w:tcBorders>
              <w:top w:val="single" w:color="000000" w:sz="6" w:space="0"/>
            </w:tcBorders>
            <w:noWrap w:val="0"/>
            <w:vAlign w:val="top"/>
          </w:tcPr>
          <w:p w14:paraId="0148FBDC">
            <w:pPr>
              <w:pStyle w:val="39"/>
              <w:adjustRightInd w:val="0"/>
              <w:snapToGrid w:val="0"/>
              <w:spacing w:line="560" w:lineRule="exact"/>
              <w:rPr>
                <w:rFonts w:ascii="Times New Roman"/>
                <w:color w:val="auto"/>
                <w:sz w:val="20"/>
                <w:highlight w:val="none"/>
              </w:rPr>
            </w:pPr>
          </w:p>
        </w:tc>
        <w:tc>
          <w:tcPr>
            <w:tcW w:w="791" w:type="dxa"/>
            <w:tcBorders>
              <w:top w:val="single" w:color="000000" w:sz="6" w:space="0"/>
            </w:tcBorders>
            <w:noWrap w:val="0"/>
            <w:vAlign w:val="top"/>
          </w:tcPr>
          <w:p w14:paraId="2C4110C7">
            <w:pPr>
              <w:pStyle w:val="39"/>
              <w:adjustRightInd w:val="0"/>
              <w:snapToGrid w:val="0"/>
              <w:spacing w:line="560" w:lineRule="exact"/>
              <w:rPr>
                <w:rFonts w:ascii="Times New Roman"/>
                <w:color w:val="auto"/>
                <w:sz w:val="20"/>
                <w:highlight w:val="none"/>
              </w:rPr>
            </w:pPr>
          </w:p>
        </w:tc>
        <w:tc>
          <w:tcPr>
            <w:tcW w:w="635" w:type="dxa"/>
            <w:tcBorders>
              <w:top w:val="single" w:color="000000" w:sz="6" w:space="0"/>
            </w:tcBorders>
            <w:noWrap w:val="0"/>
            <w:vAlign w:val="top"/>
          </w:tcPr>
          <w:p w14:paraId="1D4D7557">
            <w:pPr>
              <w:pStyle w:val="39"/>
              <w:adjustRightInd w:val="0"/>
              <w:snapToGrid w:val="0"/>
              <w:spacing w:line="560" w:lineRule="exact"/>
              <w:rPr>
                <w:rFonts w:ascii="Times New Roman"/>
                <w:color w:val="auto"/>
                <w:sz w:val="20"/>
                <w:highlight w:val="none"/>
              </w:rPr>
            </w:pPr>
          </w:p>
        </w:tc>
        <w:tc>
          <w:tcPr>
            <w:tcW w:w="1687" w:type="dxa"/>
            <w:tcBorders>
              <w:top w:val="single" w:color="000000" w:sz="6" w:space="0"/>
            </w:tcBorders>
            <w:noWrap w:val="0"/>
            <w:vAlign w:val="top"/>
          </w:tcPr>
          <w:p w14:paraId="639BF30B">
            <w:pPr>
              <w:pStyle w:val="39"/>
              <w:adjustRightInd w:val="0"/>
              <w:snapToGrid w:val="0"/>
              <w:spacing w:line="560" w:lineRule="exact"/>
              <w:rPr>
                <w:rFonts w:ascii="Times New Roman"/>
                <w:color w:val="auto"/>
                <w:sz w:val="20"/>
                <w:highlight w:val="none"/>
              </w:rPr>
            </w:pPr>
          </w:p>
        </w:tc>
      </w:tr>
      <w:tr w14:paraId="38BE0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2C8D4318">
            <w:pPr>
              <w:pStyle w:val="39"/>
              <w:adjustRightInd w:val="0"/>
              <w:snapToGrid w:val="0"/>
              <w:spacing w:line="560" w:lineRule="exact"/>
              <w:jc w:val="center"/>
              <w:rPr>
                <w:color w:val="auto"/>
                <w:highlight w:val="none"/>
              </w:rPr>
            </w:pPr>
            <w:r>
              <w:rPr>
                <w:color w:val="auto"/>
                <w:highlight w:val="none"/>
              </w:rPr>
              <w:t>5</w:t>
            </w:r>
          </w:p>
        </w:tc>
        <w:tc>
          <w:tcPr>
            <w:tcW w:w="1685" w:type="dxa"/>
            <w:noWrap w:val="0"/>
            <w:vAlign w:val="top"/>
          </w:tcPr>
          <w:p w14:paraId="01933372">
            <w:pPr>
              <w:pStyle w:val="39"/>
              <w:adjustRightInd w:val="0"/>
              <w:snapToGrid w:val="0"/>
              <w:spacing w:line="560" w:lineRule="exact"/>
              <w:rPr>
                <w:rFonts w:ascii="Times New Roman"/>
                <w:color w:val="auto"/>
                <w:sz w:val="20"/>
                <w:highlight w:val="none"/>
              </w:rPr>
            </w:pPr>
          </w:p>
        </w:tc>
        <w:tc>
          <w:tcPr>
            <w:tcW w:w="794" w:type="dxa"/>
            <w:noWrap w:val="0"/>
            <w:vAlign w:val="top"/>
          </w:tcPr>
          <w:p w14:paraId="2A0D0446">
            <w:pPr>
              <w:pStyle w:val="39"/>
              <w:adjustRightInd w:val="0"/>
              <w:snapToGrid w:val="0"/>
              <w:spacing w:line="560" w:lineRule="exact"/>
              <w:rPr>
                <w:rFonts w:ascii="Times New Roman"/>
                <w:color w:val="auto"/>
                <w:sz w:val="20"/>
                <w:highlight w:val="none"/>
              </w:rPr>
            </w:pPr>
          </w:p>
        </w:tc>
        <w:tc>
          <w:tcPr>
            <w:tcW w:w="794" w:type="dxa"/>
            <w:noWrap w:val="0"/>
            <w:vAlign w:val="top"/>
          </w:tcPr>
          <w:p w14:paraId="3F1C9DE7">
            <w:pPr>
              <w:pStyle w:val="39"/>
              <w:adjustRightInd w:val="0"/>
              <w:snapToGrid w:val="0"/>
              <w:spacing w:line="560" w:lineRule="exact"/>
              <w:rPr>
                <w:rFonts w:ascii="Times New Roman"/>
                <w:color w:val="auto"/>
                <w:sz w:val="20"/>
                <w:highlight w:val="none"/>
              </w:rPr>
            </w:pPr>
          </w:p>
        </w:tc>
        <w:tc>
          <w:tcPr>
            <w:tcW w:w="794" w:type="dxa"/>
            <w:noWrap w:val="0"/>
            <w:vAlign w:val="top"/>
          </w:tcPr>
          <w:p w14:paraId="72FE7C4B">
            <w:pPr>
              <w:pStyle w:val="39"/>
              <w:adjustRightInd w:val="0"/>
              <w:snapToGrid w:val="0"/>
              <w:spacing w:line="560" w:lineRule="exact"/>
              <w:rPr>
                <w:rFonts w:ascii="Times New Roman"/>
                <w:color w:val="auto"/>
                <w:sz w:val="20"/>
                <w:highlight w:val="none"/>
              </w:rPr>
            </w:pPr>
          </w:p>
        </w:tc>
        <w:tc>
          <w:tcPr>
            <w:tcW w:w="791" w:type="dxa"/>
            <w:noWrap w:val="0"/>
            <w:vAlign w:val="top"/>
          </w:tcPr>
          <w:p w14:paraId="48B9D5FD">
            <w:pPr>
              <w:pStyle w:val="39"/>
              <w:adjustRightInd w:val="0"/>
              <w:snapToGrid w:val="0"/>
              <w:spacing w:line="560" w:lineRule="exact"/>
              <w:rPr>
                <w:rFonts w:ascii="Times New Roman"/>
                <w:color w:val="auto"/>
                <w:sz w:val="20"/>
                <w:highlight w:val="none"/>
              </w:rPr>
            </w:pPr>
          </w:p>
        </w:tc>
        <w:tc>
          <w:tcPr>
            <w:tcW w:w="635" w:type="dxa"/>
            <w:noWrap w:val="0"/>
            <w:vAlign w:val="top"/>
          </w:tcPr>
          <w:p w14:paraId="6306E626">
            <w:pPr>
              <w:pStyle w:val="39"/>
              <w:adjustRightInd w:val="0"/>
              <w:snapToGrid w:val="0"/>
              <w:spacing w:line="560" w:lineRule="exact"/>
              <w:rPr>
                <w:rFonts w:ascii="Times New Roman"/>
                <w:color w:val="auto"/>
                <w:sz w:val="20"/>
                <w:highlight w:val="none"/>
              </w:rPr>
            </w:pPr>
          </w:p>
        </w:tc>
        <w:tc>
          <w:tcPr>
            <w:tcW w:w="1687" w:type="dxa"/>
            <w:noWrap w:val="0"/>
            <w:vAlign w:val="top"/>
          </w:tcPr>
          <w:p w14:paraId="6F2C2A7E">
            <w:pPr>
              <w:pStyle w:val="39"/>
              <w:adjustRightInd w:val="0"/>
              <w:snapToGrid w:val="0"/>
              <w:spacing w:line="560" w:lineRule="exact"/>
              <w:rPr>
                <w:rFonts w:ascii="Times New Roman"/>
                <w:color w:val="auto"/>
                <w:sz w:val="20"/>
                <w:highlight w:val="none"/>
              </w:rPr>
            </w:pPr>
          </w:p>
        </w:tc>
      </w:tr>
      <w:tr w14:paraId="0885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56F14DD">
            <w:pPr>
              <w:pStyle w:val="39"/>
              <w:adjustRightInd w:val="0"/>
              <w:snapToGrid w:val="0"/>
              <w:spacing w:line="560" w:lineRule="exact"/>
              <w:jc w:val="center"/>
              <w:rPr>
                <w:color w:val="auto"/>
                <w:highlight w:val="none"/>
              </w:rPr>
            </w:pPr>
            <w:r>
              <w:rPr>
                <w:color w:val="auto"/>
                <w:highlight w:val="none"/>
              </w:rPr>
              <w:t>6</w:t>
            </w:r>
          </w:p>
        </w:tc>
        <w:tc>
          <w:tcPr>
            <w:tcW w:w="1685" w:type="dxa"/>
            <w:noWrap w:val="0"/>
            <w:vAlign w:val="top"/>
          </w:tcPr>
          <w:p w14:paraId="5F1C8B80">
            <w:pPr>
              <w:pStyle w:val="39"/>
              <w:adjustRightInd w:val="0"/>
              <w:snapToGrid w:val="0"/>
              <w:spacing w:line="560" w:lineRule="exact"/>
              <w:rPr>
                <w:rFonts w:ascii="Times New Roman"/>
                <w:color w:val="auto"/>
                <w:sz w:val="20"/>
                <w:highlight w:val="none"/>
              </w:rPr>
            </w:pPr>
          </w:p>
        </w:tc>
        <w:tc>
          <w:tcPr>
            <w:tcW w:w="794" w:type="dxa"/>
            <w:noWrap w:val="0"/>
            <w:vAlign w:val="top"/>
          </w:tcPr>
          <w:p w14:paraId="26A5C78E">
            <w:pPr>
              <w:pStyle w:val="39"/>
              <w:adjustRightInd w:val="0"/>
              <w:snapToGrid w:val="0"/>
              <w:spacing w:line="560" w:lineRule="exact"/>
              <w:rPr>
                <w:rFonts w:ascii="Times New Roman"/>
                <w:color w:val="auto"/>
                <w:sz w:val="20"/>
                <w:highlight w:val="none"/>
              </w:rPr>
            </w:pPr>
          </w:p>
        </w:tc>
        <w:tc>
          <w:tcPr>
            <w:tcW w:w="794" w:type="dxa"/>
            <w:noWrap w:val="0"/>
            <w:vAlign w:val="top"/>
          </w:tcPr>
          <w:p w14:paraId="3323A88C">
            <w:pPr>
              <w:pStyle w:val="39"/>
              <w:adjustRightInd w:val="0"/>
              <w:snapToGrid w:val="0"/>
              <w:spacing w:line="560" w:lineRule="exact"/>
              <w:rPr>
                <w:rFonts w:ascii="Times New Roman"/>
                <w:color w:val="auto"/>
                <w:sz w:val="20"/>
                <w:highlight w:val="none"/>
              </w:rPr>
            </w:pPr>
          </w:p>
        </w:tc>
        <w:tc>
          <w:tcPr>
            <w:tcW w:w="794" w:type="dxa"/>
            <w:noWrap w:val="0"/>
            <w:vAlign w:val="top"/>
          </w:tcPr>
          <w:p w14:paraId="4B213533">
            <w:pPr>
              <w:pStyle w:val="39"/>
              <w:adjustRightInd w:val="0"/>
              <w:snapToGrid w:val="0"/>
              <w:spacing w:line="560" w:lineRule="exact"/>
              <w:rPr>
                <w:rFonts w:ascii="Times New Roman"/>
                <w:color w:val="auto"/>
                <w:sz w:val="20"/>
                <w:highlight w:val="none"/>
              </w:rPr>
            </w:pPr>
          </w:p>
        </w:tc>
        <w:tc>
          <w:tcPr>
            <w:tcW w:w="791" w:type="dxa"/>
            <w:noWrap w:val="0"/>
            <w:vAlign w:val="top"/>
          </w:tcPr>
          <w:p w14:paraId="019F6F07">
            <w:pPr>
              <w:pStyle w:val="39"/>
              <w:adjustRightInd w:val="0"/>
              <w:snapToGrid w:val="0"/>
              <w:spacing w:line="560" w:lineRule="exact"/>
              <w:rPr>
                <w:rFonts w:ascii="Times New Roman"/>
                <w:color w:val="auto"/>
                <w:sz w:val="20"/>
                <w:highlight w:val="none"/>
              </w:rPr>
            </w:pPr>
          </w:p>
        </w:tc>
        <w:tc>
          <w:tcPr>
            <w:tcW w:w="635" w:type="dxa"/>
            <w:noWrap w:val="0"/>
            <w:vAlign w:val="top"/>
          </w:tcPr>
          <w:p w14:paraId="3347714A">
            <w:pPr>
              <w:pStyle w:val="39"/>
              <w:adjustRightInd w:val="0"/>
              <w:snapToGrid w:val="0"/>
              <w:spacing w:line="560" w:lineRule="exact"/>
              <w:rPr>
                <w:rFonts w:ascii="Times New Roman"/>
                <w:color w:val="auto"/>
                <w:sz w:val="20"/>
                <w:highlight w:val="none"/>
              </w:rPr>
            </w:pPr>
          </w:p>
        </w:tc>
        <w:tc>
          <w:tcPr>
            <w:tcW w:w="1687" w:type="dxa"/>
            <w:noWrap w:val="0"/>
            <w:vAlign w:val="top"/>
          </w:tcPr>
          <w:p w14:paraId="2C25AA39">
            <w:pPr>
              <w:pStyle w:val="39"/>
              <w:adjustRightInd w:val="0"/>
              <w:snapToGrid w:val="0"/>
              <w:spacing w:line="560" w:lineRule="exact"/>
              <w:rPr>
                <w:rFonts w:ascii="Times New Roman"/>
                <w:color w:val="auto"/>
                <w:sz w:val="20"/>
                <w:highlight w:val="none"/>
              </w:rPr>
            </w:pPr>
          </w:p>
        </w:tc>
      </w:tr>
      <w:tr w14:paraId="5AD22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577859D7">
            <w:pPr>
              <w:pStyle w:val="39"/>
              <w:adjustRightInd w:val="0"/>
              <w:snapToGrid w:val="0"/>
              <w:spacing w:line="560" w:lineRule="exact"/>
              <w:rPr>
                <w:rFonts w:ascii="Times New Roman"/>
                <w:color w:val="auto"/>
                <w:sz w:val="20"/>
                <w:highlight w:val="none"/>
              </w:rPr>
            </w:pPr>
          </w:p>
        </w:tc>
        <w:tc>
          <w:tcPr>
            <w:tcW w:w="1685" w:type="dxa"/>
            <w:noWrap w:val="0"/>
            <w:vAlign w:val="top"/>
          </w:tcPr>
          <w:p w14:paraId="57CF2B83">
            <w:pPr>
              <w:pStyle w:val="39"/>
              <w:adjustRightInd w:val="0"/>
              <w:snapToGrid w:val="0"/>
              <w:spacing w:line="560" w:lineRule="exact"/>
              <w:rPr>
                <w:rFonts w:ascii="Times New Roman"/>
                <w:color w:val="auto"/>
                <w:sz w:val="20"/>
                <w:highlight w:val="none"/>
              </w:rPr>
            </w:pPr>
          </w:p>
        </w:tc>
        <w:tc>
          <w:tcPr>
            <w:tcW w:w="794" w:type="dxa"/>
            <w:noWrap w:val="0"/>
            <w:vAlign w:val="top"/>
          </w:tcPr>
          <w:p w14:paraId="36B225C6">
            <w:pPr>
              <w:pStyle w:val="39"/>
              <w:adjustRightInd w:val="0"/>
              <w:snapToGrid w:val="0"/>
              <w:spacing w:line="560" w:lineRule="exact"/>
              <w:rPr>
                <w:rFonts w:ascii="Times New Roman"/>
                <w:color w:val="auto"/>
                <w:sz w:val="20"/>
                <w:highlight w:val="none"/>
              </w:rPr>
            </w:pPr>
          </w:p>
        </w:tc>
        <w:tc>
          <w:tcPr>
            <w:tcW w:w="794" w:type="dxa"/>
            <w:noWrap w:val="0"/>
            <w:vAlign w:val="top"/>
          </w:tcPr>
          <w:p w14:paraId="0D0C8D4B">
            <w:pPr>
              <w:pStyle w:val="39"/>
              <w:adjustRightInd w:val="0"/>
              <w:snapToGrid w:val="0"/>
              <w:spacing w:line="560" w:lineRule="exact"/>
              <w:rPr>
                <w:rFonts w:ascii="Times New Roman"/>
                <w:color w:val="auto"/>
                <w:sz w:val="20"/>
                <w:highlight w:val="none"/>
              </w:rPr>
            </w:pPr>
          </w:p>
        </w:tc>
        <w:tc>
          <w:tcPr>
            <w:tcW w:w="794" w:type="dxa"/>
            <w:noWrap w:val="0"/>
            <w:vAlign w:val="top"/>
          </w:tcPr>
          <w:p w14:paraId="72540662">
            <w:pPr>
              <w:pStyle w:val="39"/>
              <w:adjustRightInd w:val="0"/>
              <w:snapToGrid w:val="0"/>
              <w:spacing w:line="560" w:lineRule="exact"/>
              <w:rPr>
                <w:rFonts w:ascii="Times New Roman"/>
                <w:color w:val="auto"/>
                <w:sz w:val="20"/>
                <w:highlight w:val="none"/>
              </w:rPr>
            </w:pPr>
          </w:p>
        </w:tc>
        <w:tc>
          <w:tcPr>
            <w:tcW w:w="791" w:type="dxa"/>
            <w:noWrap w:val="0"/>
            <w:vAlign w:val="top"/>
          </w:tcPr>
          <w:p w14:paraId="327115FA">
            <w:pPr>
              <w:pStyle w:val="39"/>
              <w:adjustRightInd w:val="0"/>
              <w:snapToGrid w:val="0"/>
              <w:spacing w:line="560" w:lineRule="exact"/>
              <w:rPr>
                <w:rFonts w:ascii="Times New Roman"/>
                <w:color w:val="auto"/>
                <w:sz w:val="20"/>
                <w:highlight w:val="none"/>
              </w:rPr>
            </w:pPr>
          </w:p>
        </w:tc>
        <w:tc>
          <w:tcPr>
            <w:tcW w:w="635" w:type="dxa"/>
            <w:noWrap w:val="0"/>
            <w:vAlign w:val="top"/>
          </w:tcPr>
          <w:p w14:paraId="054F32F2">
            <w:pPr>
              <w:pStyle w:val="39"/>
              <w:adjustRightInd w:val="0"/>
              <w:snapToGrid w:val="0"/>
              <w:spacing w:line="560" w:lineRule="exact"/>
              <w:rPr>
                <w:rFonts w:ascii="Times New Roman"/>
                <w:color w:val="auto"/>
                <w:sz w:val="20"/>
                <w:highlight w:val="none"/>
              </w:rPr>
            </w:pPr>
          </w:p>
        </w:tc>
        <w:tc>
          <w:tcPr>
            <w:tcW w:w="1687" w:type="dxa"/>
            <w:noWrap w:val="0"/>
            <w:vAlign w:val="top"/>
          </w:tcPr>
          <w:p w14:paraId="3F02E6F5">
            <w:pPr>
              <w:pStyle w:val="39"/>
              <w:adjustRightInd w:val="0"/>
              <w:snapToGrid w:val="0"/>
              <w:spacing w:line="560" w:lineRule="exact"/>
              <w:rPr>
                <w:rFonts w:ascii="Times New Roman"/>
                <w:color w:val="auto"/>
                <w:sz w:val="20"/>
                <w:highlight w:val="none"/>
              </w:rPr>
            </w:pPr>
          </w:p>
        </w:tc>
      </w:tr>
      <w:tr w14:paraId="5664E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6752699B">
            <w:pPr>
              <w:pStyle w:val="39"/>
              <w:adjustRightInd w:val="0"/>
              <w:snapToGrid w:val="0"/>
              <w:spacing w:line="560" w:lineRule="exact"/>
              <w:rPr>
                <w:rFonts w:ascii="Times New Roman"/>
                <w:color w:val="auto"/>
                <w:sz w:val="20"/>
                <w:highlight w:val="none"/>
              </w:rPr>
            </w:pPr>
          </w:p>
        </w:tc>
        <w:tc>
          <w:tcPr>
            <w:tcW w:w="1685" w:type="dxa"/>
            <w:noWrap w:val="0"/>
            <w:vAlign w:val="top"/>
          </w:tcPr>
          <w:p w14:paraId="6F398B25">
            <w:pPr>
              <w:pStyle w:val="39"/>
              <w:adjustRightInd w:val="0"/>
              <w:snapToGrid w:val="0"/>
              <w:spacing w:line="560" w:lineRule="exact"/>
              <w:rPr>
                <w:rFonts w:ascii="Times New Roman"/>
                <w:color w:val="auto"/>
                <w:sz w:val="20"/>
                <w:highlight w:val="none"/>
              </w:rPr>
            </w:pPr>
          </w:p>
        </w:tc>
        <w:tc>
          <w:tcPr>
            <w:tcW w:w="794" w:type="dxa"/>
            <w:noWrap w:val="0"/>
            <w:vAlign w:val="top"/>
          </w:tcPr>
          <w:p w14:paraId="64E10165">
            <w:pPr>
              <w:pStyle w:val="39"/>
              <w:adjustRightInd w:val="0"/>
              <w:snapToGrid w:val="0"/>
              <w:spacing w:line="560" w:lineRule="exact"/>
              <w:rPr>
                <w:rFonts w:ascii="Times New Roman"/>
                <w:color w:val="auto"/>
                <w:sz w:val="20"/>
                <w:highlight w:val="none"/>
              </w:rPr>
            </w:pPr>
          </w:p>
        </w:tc>
        <w:tc>
          <w:tcPr>
            <w:tcW w:w="794" w:type="dxa"/>
            <w:noWrap w:val="0"/>
            <w:vAlign w:val="top"/>
          </w:tcPr>
          <w:p w14:paraId="6958D534">
            <w:pPr>
              <w:pStyle w:val="39"/>
              <w:adjustRightInd w:val="0"/>
              <w:snapToGrid w:val="0"/>
              <w:spacing w:line="560" w:lineRule="exact"/>
              <w:rPr>
                <w:rFonts w:ascii="Times New Roman"/>
                <w:color w:val="auto"/>
                <w:sz w:val="20"/>
                <w:highlight w:val="none"/>
              </w:rPr>
            </w:pPr>
          </w:p>
        </w:tc>
        <w:tc>
          <w:tcPr>
            <w:tcW w:w="794" w:type="dxa"/>
            <w:noWrap w:val="0"/>
            <w:vAlign w:val="top"/>
          </w:tcPr>
          <w:p w14:paraId="66A7D6C8">
            <w:pPr>
              <w:pStyle w:val="39"/>
              <w:adjustRightInd w:val="0"/>
              <w:snapToGrid w:val="0"/>
              <w:spacing w:line="560" w:lineRule="exact"/>
              <w:rPr>
                <w:rFonts w:ascii="Times New Roman"/>
                <w:color w:val="auto"/>
                <w:sz w:val="20"/>
                <w:highlight w:val="none"/>
              </w:rPr>
            </w:pPr>
          </w:p>
        </w:tc>
        <w:tc>
          <w:tcPr>
            <w:tcW w:w="791" w:type="dxa"/>
            <w:noWrap w:val="0"/>
            <w:vAlign w:val="top"/>
          </w:tcPr>
          <w:p w14:paraId="19F5A922">
            <w:pPr>
              <w:pStyle w:val="39"/>
              <w:adjustRightInd w:val="0"/>
              <w:snapToGrid w:val="0"/>
              <w:spacing w:line="560" w:lineRule="exact"/>
              <w:rPr>
                <w:rFonts w:ascii="Times New Roman"/>
                <w:color w:val="auto"/>
                <w:sz w:val="20"/>
                <w:highlight w:val="none"/>
              </w:rPr>
            </w:pPr>
          </w:p>
        </w:tc>
        <w:tc>
          <w:tcPr>
            <w:tcW w:w="635" w:type="dxa"/>
            <w:noWrap w:val="0"/>
            <w:vAlign w:val="top"/>
          </w:tcPr>
          <w:p w14:paraId="7A24D837">
            <w:pPr>
              <w:pStyle w:val="39"/>
              <w:adjustRightInd w:val="0"/>
              <w:snapToGrid w:val="0"/>
              <w:spacing w:line="560" w:lineRule="exact"/>
              <w:rPr>
                <w:rFonts w:ascii="Times New Roman"/>
                <w:color w:val="auto"/>
                <w:sz w:val="20"/>
                <w:highlight w:val="none"/>
              </w:rPr>
            </w:pPr>
          </w:p>
        </w:tc>
        <w:tc>
          <w:tcPr>
            <w:tcW w:w="1687" w:type="dxa"/>
            <w:noWrap w:val="0"/>
            <w:vAlign w:val="top"/>
          </w:tcPr>
          <w:p w14:paraId="201AB004">
            <w:pPr>
              <w:pStyle w:val="39"/>
              <w:adjustRightInd w:val="0"/>
              <w:snapToGrid w:val="0"/>
              <w:spacing w:line="560" w:lineRule="exact"/>
              <w:rPr>
                <w:rFonts w:ascii="Times New Roman"/>
                <w:color w:val="auto"/>
                <w:sz w:val="20"/>
                <w:highlight w:val="none"/>
              </w:rPr>
            </w:pPr>
          </w:p>
        </w:tc>
      </w:tr>
      <w:tr w14:paraId="5E3B0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3F7E41CD">
            <w:pPr>
              <w:pStyle w:val="39"/>
              <w:adjustRightInd w:val="0"/>
              <w:snapToGrid w:val="0"/>
              <w:spacing w:line="560" w:lineRule="exact"/>
              <w:rPr>
                <w:rFonts w:ascii="Times New Roman"/>
                <w:color w:val="auto"/>
                <w:sz w:val="20"/>
                <w:highlight w:val="none"/>
              </w:rPr>
            </w:pPr>
          </w:p>
        </w:tc>
        <w:tc>
          <w:tcPr>
            <w:tcW w:w="1685" w:type="dxa"/>
            <w:noWrap w:val="0"/>
            <w:vAlign w:val="top"/>
          </w:tcPr>
          <w:p w14:paraId="728AF7A4">
            <w:pPr>
              <w:pStyle w:val="39"/>
              <w:adjustRightInd w:val="0"/>
              <w:snapToGrid w:val="0"/>
              <w:spacing w:line="560" w:lineRule="exact"/>
              <w:rPr>
                <w:rFonts w:ascii="Times New Roman"/>
                <w:color w:val="auto"/>
                <w:sz w:val="20"/>
                <w:highlight w:val="none"/>
              </w:rPr>
            </w:pPr>
          </w:p>
        </w:tc>
        <w:tc>
          <w:tcPr>
            <w:tcW w:w="794" w:type="dxa"/>
            <w:noWrap w:val="0"/>
            <w:vAlign w:val="top"/>
          </w:tcPr>
          <w:p w14:paraId="75E8FDE6">
            <w:pPr>
              <w:pStyle w:val="39"/>
              <w:adjustRightInd w:val="0"/>
              <w:snapToGrid w:val="0"/>
              <w:spacing w:line="560" w:lineRule="exact"/>
              <w:rPr>
                <w:rFonts w:ascii="Times New Roman"/>
                <w:color w:val="auto"/>
                <w:sz w:val="20"/>
                <w:highlight w:val="none"/>
              </w:rPr>
            </w:pPr>
          </w:p>
        </w:tc>
        <w:tc>
          <w:tcPr>
            <w:tcW w:w="794" w:type="dxa"/>
            <w:noWrap w:val="0"/>
            <w:vAlign w:val="top"/>
          </w:tcPr>
          <w:p w14:paraId="4DE233DA">
            <w:pPr>
              <w:pStyle w:val="39"/>
              <w:adjustRightInd w:val="0"/>
              <w:snapToGrid w:val="0"/>
              <w:spacing w:line="560" w:lineRule="exact"/>
              <w:rPr>
                <w:rFonts w:ascii="Times New Roman"/>
                <w:color w:val="auto"/>
                <w:sz w:val="20"/>
                <w:highlight w:val="none"/>
              </w:rPr>
            </w:pPr>
          </w:p>
        </w:tc>
        <w:tc>
          <w:tcPr>
            <w:tcW w:w="794" w:type="dxa"/>
            <w:noWrap w:val="0"/>
            <w:vAlign w:val="top"/>
          </w:tcPr>
          <w:p w14:paraId="1B0F10AA">
            <w:pPr>
              <w:pStyle w:val="39"/>
              <w:adjustRightInd w:val="0"/>
              <w:snapToGrid w:val="0"/>
              <w:spacing w:line="560" w:lineRule="exact"/>
              <w:rPr>
                <w:rFonts w:ascii="Times New Roman"/>
                <w:color w:val="auto"/>
                <w:sz w:val="20"/>
                <w:highlight w:val="none"/>
              </w:rPr>
            </w:pPr>
          </w:p>
        </w:tc>
        <w:tc>
          <w:tcPr>
            <w:tcW w:w="791" w:type="dxa"/>
            <w:noWrap w:val="0"/>
            <w:vAlign w:val="top"/>
          </w:tcPr>
          <w:p w14:paraId="734854DC">
            <w:pPr>
              <w:pStyle w:val="39"/>
              <w:adjustRightInd w:val="0"/>
              <w:snapToGrid w:val="0"/>
              <w:spacing w:line="560" w:lineRule="exact"/>
              <w:rPr>
                <w:rFonts w:ascii="Times New Roman"/>
                <w:color w:val="auto"/>
                <w:sz w:val="20"/>
                <w:highlight w:val="none"/>
              </w:rPr>
            </w:pPr>
          </w:p>
        </w:tc>
        <w:tc>
          <w:tcPr>
            <w:tcW w:w="635" w:type="dxa"/>
            <w:noWrap w:val="0"/>
            <w:vAlign w:val="top"/>
          </w:tcPr>
          <w:p w14:paraId="1338F01D">
            <w:pPr>
              <w:pStyle w:val="39"/>
              <w:adjustRightInd w:val="0"/>
              <w:snapToGrid w:val="0"/>
              <w:spacing w:line="560" w:lineRule="exact"/>
              <w:rPr>
                <w:rFonts w:ascii="Times New Roman"/>
                <w:color w:val="auto"/>
                <w:sz w:val="20"/>
                <w:highlight w:val="none"/>
              </w:rPr>
            </w:pPr>
          </w:p>
        </w:tc>
        <w:tc>
          <w:tcPr>
            <w:tcW w:w="1687" w:type="dxa"/>
            <w:noWrap w:val="0"/>
            <w:vAlign w:val="top"/>
          </w:tcPr>
          <w:p w14:paraId="6F1835AC">
            <w:pPr>
              <w:pStyle w:val="39"/>
              <w:adjustRightInd w:val="0"/>
              <w:snapToGrid w:val="0"/>
              <w:spacing w:line="560" w:lineRule="exact"/>
              <w:rPr>
                <w:rFonts w:ascii="Times New Roman"/>
                <w:color w:val="auto"/>
                <w:sz w:val="20"/>
                <w:highlight w:val="none"/>
              </w:rPr>
            </w:pPr>
          </w:p>
        </w:tc>
      </w:tr>
      <w:tr w14:paraId="37985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36" w:type="dxa"/>
            <w:noWrap w:val="0"/>
            <w:vAlign w:val="top"/>
          </w:tcPr>
          <w:p w14:paraId="5DB4325E">
            <w:pPr>
              <w:pStyle w:val="39"/>
              <w:adjustRightInd w:val="0"/>
              <w:snapToGrid w:val="0"/>
              <w:spacing w:line="560" w:lineRule="exact"/>
              <w:rPr>
                <w:rFonts w:ascii="Times New Roman"/>
                <w:color w:val="auto"/>
                <w:sz w:val="20"/>
                <w:highlight w:val="none"/>
              </w:rPr>
            </w:pPr>
          </w:p>
        </w:tc>
        <w:tc>
          <w:tcPr>
            <w:tcW w:w="1685" w:type="dxa"/>
            <w:noWrap w:val="0"/>
            <w:vAlign w:val="top"/>
          </w:tcPr>
          <w:p w14:paraId="7CAABE4C">
            <w:pPr>
              <w:pStyle w:val="39"/>
              <w:adjustRightInd w:val="0"/>
              <w:snapToGrid w:val="0"/>
              <w:spacing w:line="560" w:lineRule="exact"/>
              <w:rPr>
                <w:rFonts w:ascii="Times New Roman"/>
                <w:color w:val="auto"/>
                <w:sz w:val="20"/>
                <w:highlight w:val="none"/>
              </w:rPr>
            </w:pPr>
          </w:p>
        </w:tc>
        <w:tc>
          <w:tcPr>
            <w:tcW w:w="794" w:type="dxa"/>
            <w:noWrap w:val="0"/>
            <w:vAlign w:val="top"/>
          </w:tcPr>
          <w:p w14:paraId="0C82D5CD">
            <w:pPr>
              <w:pStyle w:val="39"/>
              <w:adjustRightInd w:val="0"/>
              <w:snapToGrid w:val="0"/>
              <w:spacing w:line="560" w:lineRule="exact"/>
              <w:rPr>
                <w:rFonts w:ascii="Times New Roman"/>
                <w:color w:val="auto"/>
                <w:sz w:val="20"/>
                <w:highlight w:val="none"/>
              </w:rPr>
            </w:pPr>
          </w:p>
        </w:tc>
        <w:tc>
          <w:tcPr>
            <w:tcW w:w="794" w:type="dxa"/>
            <w:noWrap w:val="0"/>
            <w:vAlign w:val="top"/>
          </w:tcPr>
          <w:p w14:paraId="458FF9D5">
            <w:pPr>
              <w:pStyle w:val="39"/>
              <w:adjustRightInd w:val="0"/>
              <w:snapToGrid w:val="0"/>
              <w:spacing w:line="560" w:lineRule="exact"/>
              <w:rPr>
                <w:rFonts w:ascii="Times New Roman"/>
                <w:color w:val="auto"/>
                <w:sz w:val="20"/>
                <w:highlight w:val="none"/>
              </w:rPr>
            </w:pPr>
          </w:p>
        </w:tc>
        <w:tc>
          <w:tcPr>
            <w:tcW w:w="794" w:type="dxa"/>
            <w:noWrap w:val="0"/>
            <w:vAlign w:val="top"/>
          </w:tcPr>
          <w:p w14:paraId="040F5BD2">
            <w:pPr>
              <w:pStyle w:val="39"/>
              <w:adjustRightInd w:val="0"/>
              <w:snapToGrid w:val="0"/>
              <w:spacing w:line="560" w:lineRule="exact"/>
              <w:rPr>
                <w:rFonts w:ascii="Times New Roman"/>
                <w:color w:val="auto"/>
                <w:sz w:val="20"/>
                <w:highlight w:val="none"/>
              </w:rPr>
            </w:pPr>
          </w:p>
        </w:tc>
        <w:tc>
          <w:tcPr>
            <w:tcW w:w="791" w:type="dxa"/>
            <w:noWrap w:val="0"/>
            <w:vAlign w:val="top"/>
          </w:tcPr>
          <w:p w14:paraId="12C98812">
            <w:pPr>
              <w:pStyle w:val="39"/>
              <w:adjustRightInd w:val="0"/>
              <w:snapToGrid w:val="0"/>
              <w:spacing w:line="560" w:lineRule="exact"/>
              <w:rPr>
                <w:rFonts w:ascii="Times New Roman"/>
                <w:color w:val="auto"/>
                <w:sz w:val="20"/>
                <w:highlight w:val="none"/>
              </w:rPr>
            </w:pPr>
          </w:p>
        </w:tc>
        <w:tc>
          <w:tcPr>
            <w:tcW w:w="635" w:type="dxa"/>
            <w:noWrap w:val="0"/>
            <w:vAlign w:val="top"/>
          </w:tcPr>
          <w:p w14:paraId="6AA9C0E8">
            <w:pPr>
              <w:pStyle w:val="39"/>
              <w:adjustRightInd w:val="0"/>
              <w:snapToGrid w:val="0"/>
              <w:spacing w:line="560" w:lineRule="exact"/>
              <w:rPr>
                <w:rFonts w:ascii="Times New Roman"/>
                <w:color w:val="auto"/>
                <w:sz w:val="20"/>
                <w:highlight w:val="none"/>
              </w:rPr>
            </w:pPr>
          </w:p>
        </w:tc>
        <w:tc>
          <w:tcPr>
            <w:tcW w:w="1687" w:type="dxa"/>
            <w:noWrap w:val="0"/>
            <w:vAlign w:val="top"/>
          </w:tcPr>
          <w:p w14:paraId="7E20AD6B">
            <w:pPr>
              <w:pStyle w:val="39"/>
              <w:adjustRightInd w:val="0"/>
              <w:snapToGrid w:val="0"/>
              <w:spacing w:line="560" w:lineRule="exact"/>
              <w:rPr>
                <w:rFonts w:ascii="Times New Roman"/>
                <w:color w:val="auto"/>
                <w:sz w:val="20"/>
                <w:highlight w:val="none"/>
              </w:rPr>
            </w:pPr>
          </w:p>
        </w:tc>
      </w:tr>
      <w:tr w14:paraId="05872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6" w:type="dxa"/>
            <w:noWrap w:val="0"/>
            <w:vAlign w:val="top"/>
          </w:tcPr>
          <w:p w14:paraId="6EB78365">
            <w:pPr>
              <w:pStyle w:val="39"/>
              <w:adjustRightInd w:val="0"/>
              <w:snapToGrid w:val="0"/>
              <w:spacing w:line="560" w:lineRule="exact"/>
              <w:rPr>
                <w:rFonts w:ascii="Times New Roman"/>
                <w:color w:val="auto"/>
                <w:sz w:val="20"/>
                <w:highlight w:val="none"/>
              </w:rPr>
            </w:pPr>
          </w:p>
        </w:tc>
        <w:tc>
          <w:tcPr>
            <w:tcW w:w="1685" w:type="dxa"/>
            <w:noWrap w:val="0"/>
            <w:vAlign w:val="top"/>
          </w:tcPr>
          <w:p w14:paraId="16BDF398">
            <w:pPr>
              <w:pStyle w:val="39"/>
              <w:adjustRightInd w:val="0"/>
              <w:snapToGrid w:val="0"/>
              <w:spacing w:line="560" w:lineRule="exact"/>
              <w:rPr>
                <w:rFonts w:ascii="Times New Roman"/>
                <w:color w:val="auto"/>
                <w:sz w:val="20"/>
                <w:highlight w:val="none"/>
              </w:rPr>
            </w:pPr>
          </w:p>
        </w:tc>
        <w:tc>
          <w:tcPr>
            <w:tcW w:w="794" w:type="dxa"/>
            <w:noWrap w:val="0"/>
            <w:vAlign w:val="top"/>
          </w:tcPr>
          <w:p w14:paraId="4BCE81FF">
            <w:pPr>
              <w:pStyle w:val="39"/>
              <w:adjustRightInd w:val="0"/>
              <w:snapToGrid w:val="0"/>
              <w:spacing w:line="560" w:lineRule="exact"/>
              <w:rPr>
                <w:rFonts w:ascii="Times New Roman"/>
                <w:color w:val="auto"/>
                <w:sz w:val="20"/>
                <w:highlight w:val="none"/>
              </w:rPr>
            </w:pPr>
          </w:p>
        </w:tc>
        <w:tc>
          <w:tcPr>
            <w:tcW w:w="794" w:type="dxa"/>
            <w:noWrap w:val="0"/>
            <w:vAlign w:val="top"/>
          </w:tcPr>
          <w:p w14:paraId="7A4AE9D6">
            <w:pPr>
              <w:pStyle w:val="39"/>
              <w:adjustRightInd w:val="0"/>
              <w:snapToGrid w:val="0"/>
              <w:spacing w:line="560" w:lineRule="exact"/>
              <w:rPr>
                <w:rFonts w:ascii="Times New Roman"/>
                <w:color w:val="auto"/>
                <w:sz w:val="20"/>
                <w:highlight w:val="none"/>
              </w:rPr>
            </w:pPr>
          </w:p>
        </w:tc>
        <w:tc>
          <w:tcPr>
            <w:tcW w:w="794" w:type="dxa"/>
            <w:noWrap w:val="0"/>
            <w:vAlign w:val="top"/>
          </w:tcPr>
          <w:p w14:paraId="69E82A90">
            <w:pPr>
              <w:pStyle w:val="39"/>
              <w:adjustRightInd w:val="0"/>
              <w:snapToGrid w:val="0"/>
              <w:spacing w:line="560" w:lineRule="exact"/>
              <w:rPr>
                <w:rFonts w:ascii="Times New Roman"/>
                <w:color w:val="auto"/>
                <w:sz w:val="20"/>
                <w:highlight w:val="none"/>
              </w:rPr>
            </w:pPr>
          </w:p>
        </w:tc>
        <w:tc>
          <w:tcPr>
            <w:tcW w:w="791" w:type="dxa"/>
            <w:noWrap w:val="0"/>
            <w:vAlign w:val="top"/>
          </w:tcPr>
          <w:p w14:paraId="006FA68C">
            <w:pPr>
              <w:pStyle w:val="39"/>
              <w:adjustRightInd w:val="0"/>
              <w:snapToGrid w:val="0"/>
              <w:spacing w:line="560" w:lineRule="exact"/>
              <w:rPr>
                <w:rFonts w:ascii="Times New Roman"/>
                <w:color w:val="auto"/>
                <w:sz w:val="20"/>
                <w:highlight w:val="none"/>
              </w:rPr>
            </w:pPr>
          </w:p>
        </w:tc>
        <w:tc>
          <w:tcPr>
            <w:tcW w:w="635" w:type="dxa"/>
            <w:noWrap w:val="0"/>
            <w:vAlign w:val="top"/>
          </w:tcPr>
          <w:p w14:paraId="6615F24F">
            <w:pPr>
              <w:pStyle w:val="39"/>
              <w:adjustRightInd w:val="0"/>
              <w:snapToGrid w:val="0"/>
              <w:spacing w:line="560" w:lineRule="exact"/>
              <w:rPr>
                <w:rFonts w:ascii="Times New Roman"/>
                <w:color w:val="auto"/>
                <w:sz w:val="20"/>
                <w:highlight w:val="none"/>
              </w:rPr>
            </w:pPr>
          </w:p>
        </w:tc>
        <w:tc>
          <w:tcPr>
            <w:tcW w:w="1687" w:type="dxa"/>
            <w:noWrap w:val="0"/>
            <w:vAlign w:val="top"/>
          </w:tcPr>
          <w:p w14:paraId="5CE5939A">
            <w:pPr>
              <w:pStyle w:val="39"/>
              <w:adjustRightInd w:val="0"/>
              <w:snapToGrid w:val="0"/>
              <w:spacing w:line="560" w:lineRule="exact"/>
              <w:rPr>
                <w:rFonts w:ascii="Times New Roman"/>
                <w:color w:val="auto"/>
                <w:sz w:val="20"/>
                <w:highlight w:val="none"/>
              </w:rPr>
            </w:pPr>
          </w:p>
        </w:tc>
      </w:tr>
      <w:tr w14:paraId="66833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6A7EE199">
            <w:pPr>
              <w:pStyle w:val="39"/>
              <w:adjustRightInd w:val="0"/>
              <w:snapToGrid w:val="0"/>
              <w:spacing w:line="560" w:lineRule="exact"/>
              <w:rPr>
                <w:rFonts w:ascii="Times New Roman"/>
                <w:color w:val="auto"/>
                <w:sz w:val="20"/>
                <w:highlight w:val="none"/>
              </w:rPr>
            </w:pPr>
          </w:p>
        </w:tc>
        <w:tc>
          <w:tcPr>
            <w:tcW w:w="1685" w:type="dxa"/>
            <w:noWrap w:val="0"/>
            <w:vAlign w:val="top"/>
          </w:tcPr>
          <w:p w14:paraId="1BDF81F8">
            <w:pPr>
              <w:pStyle w:val="39"/>
              <w:adjustRightInd w:val="0"/>
              <w:snapToGrid w:val="0"/>
              <w:spacing w:line="560" w:lineRule="exact"/>
              <w:rPr>
                <w:rFonts w:ascii="Times New Roman"/>
                <w:color w:val="auto"/>
                <w:sz w:val="20"/>
                <w:highlight w:val="none"/>
              </w:rPr>
            </w:pPr>
          </w:p>
        </w:tc>
        <w:tc>
          <w:tcPr>
            <w:tcW w:w="794" w:type="dxa"/>
            <w:noWrap w:val="0"/>
            <w:vAlign w:val="top"/>
          </w:tcPr>
          <w:p w14:paraId="50FF07C9">
            <w:pPr>
              <w:pStyle w:val="39"/>
              <w:adjustRightInd w:val="0"/>
              <w:snapToGrid w:val="0"/>
              <w:spacing w:line="560" w:lineRule="exact"/>
              <w:rPr>
                <w:rFonts w:ascii="Times New Roman"/>
                <w:color w:val="auto"/>
                <w:sz w:val="20"/>
                <w:highlight w:val="none"/>
              </w:rPr>
            </w:pPr>
          </w:p>
        </w:tc>
        <w:tc>
          <w:tcPr>
            <w:tcW w:w="794" w:type="dxa"/>
            <w:noWrap w:val="0"/>
            <w:vAlign w:val="top"/>
          </w:tcPr>
          <w:p w14:paraId="436D30EA">
            <w:pPr>
              <w:pStyle w:val="39"/>
              <w:adjustRightInd w:val="0"/>
              <w:snapToGrid w:val="0"/>
              <w:spacing w:line="560" w:lineRule="exact"/>
              <w:rPr>
                <w:rFonts w:ascii="Times New Roman"/>
                <w:color w:val="auto"/>
                <w:sz w:val="20"/>
                <w:highlight w:val="none"/>
              </w:rPr>
            </w:pPr>
          </w:p>
        </w:tc>
        <w:tc>
          <w:tcPr>
            <w:tcW w:w="794" w:type="dxa"/>
            <w:noWrap w:val="0"/>
            <w:vAlign w:val="top"/>
          </w:tcPr>
          <w:p w14:paraId="7312BDC4">
            <w:pPr>
              <w:pStyle w:val="39"/>
              <w:adjustRightInd w:val="0"/>
              <w:snapToGrid w:val="0"/>
              <w:spacing w:line="560" w:lineRule="exact"/>
              <w:rPr>
                <w:rFonts w:ascii="Times New Roman"/>
                <w:color w:val="auto"/>
                <w:sz w:val="20"/>
                <w:highlight w:val="none"/>
              </w:rPr>
            </w:pPr>
          </w:p>
        </w:tc>
        <w:tc>
          <w:tcPr>
            <w:tcW w:w="791" w:type="dxa"/>
            <w:noWrap w:val="0"/>
            <w:vAlign w:val="top"/>
          </w:tcPr>
          <w:p w14:paraId="2251A41C">
            <w:pPr>
              <w:pStyle w:val="39"/>
              <w:adjustRightInd w:val="0"/>
              <w:snapToGrid w:val="0"/>
              <w:spacing w:line="560" w:lineRule="exact"/>
              <w:rPr>
                <w:rFonts w:ascii="Times New Roman"/>
                <w:color w:val="auto"/>
                <w:sz w:val="20"/>
                <w:highlight w:val="none"/>
              </w:rPr>
            </w:pPr>
          </w:p>
        </w:tc>
        <w:tc>
          <w:tcPr>
            <w:tcW w:w="635" w:type="dxa"/>
            <w:noWrap w:val="0"/>
            <w:vAlign w:val="top"/>
          </w:tcPr>
          <w:p w14:paraId="0E704529">
            <w:pPr>
              <w:pStyle w:val="39"/>
              <w:adjustRightInd w:val="0"/>
              <w:snapToGrid w:val="0"/>
              <w:spacing w:line="560" w:lineRule="exact"/>
              <w:rPr>
                <w:rFonts w:ascii="Times New Roman"/>
                <w:color w:val="auto"/>
                <w:sz w:val="20"/>
                <w:highlight w:val="none"/>
              </w:rPr>
            </w:pPr>
          </w:p>
        </w:tc>
        <w:tc>
          <w:tcPr>
            <w:tcW w:w="1687" w:type="dxa"/>
            <w:noWrap w:val="0"/>
            <w:vAlign w:val="top"/>
          </w:tcPr>
          <w:p w14:paraId="46B360E1">
            <w:pPr>
              <w:pStyle w:val="39"/>
              <w:adjustRightInd w:val="0"/>
              <w:snapToGrid w:val="0"/>
              <w:spacing w:line="560" w:lineRule="exact"/>
              <w:rPr>
                <w:rFonts w:ascii="Times New Roman"/>
                <w:color w:val="auto"/>
                <w:sz w:val="20"/>
                <w:highlight w:val="none"/>
              </w:rPr>
            </w:pPr>
          </w:p>
        </w:tc>
      </w:tr>
      <w:tr w14:paraId="699DD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7E0AE25">
            <w:pPr>
              <w:pStyle w:val="39"/>
              <w:adjustRightInd w:val="0"/>
              <w:snapToGrid w:val="0"/>
              <w:spacing w:line="560" w:lineRule="exact"/>
              <w:rPr>
                <w:rFonts w:ascii="Times New Roman"/>
                <w:color w:val="auto"/>
                <w:sz w:val="20"/>
                <w:highlight w:val="none"/>
              </w:rPr>
            </w:pPr>
          </w:p>
        </w:tc>
        <w:tc>
          <w:tcPr>
            <w:tcW w:w="1685" w:type="dxa"/>
            <w:noWrap w:val="0"/>
            <w:vAlign w:val="top"/>
          </w:tcPr>
          <w:p w14:paraId="7CC33F39">
            <w:pPr>
              <w:pStyle w:val="39"/>
              <w:adjustRightInd w:val="0"/>
              <w:snapToGrid w:val="0"/>
              <w:spacing w:line="560" w:lineRule="exact"/>
              <w:rPr>
                <w:rFonts w:ascii="Times New Roman"/>
                <w:color w:val="auto"/>
                <w:sz w:val="20"/>
                <w:highlight w:val="none"/>
              </w:rPr>
            </w:pPr>
          </w:p>
        </w:tc>
        <w:tc>
          <w:tcPr>
            <w:tcW w:w="794" w:type="dxa"/>
            <w:noWrap w:val="0"/>
            <w:vAlign w:val="top"/>
          </w:tcPr>
          <w:p w14:paraId="656CB9D7">
            <w:pPr>
              <w:pStyle w:val="39"/>
              <w:adjustRightInd w:val="0"/>
              <w:snapToGrid w:val="0"/>
              <w:spacing w:line="560" w:lineRule="exact"/>
              <w:rPr>
                <w:rFonts w:ascii="Times New Roman"/>
                <w:color w:val="auto"/>
                <w:sz w:val="20"/>
                <w:highlight w:val="none"/>
              </w:rPr>
            </w:pPr>
          </w:p>
        </w:tc>
        <w:tc>
          <w:tcPr>
            <w:tcW w:w="794" w:type="dxa"/>
            <w:noWrap w:val="0"/>
            <w:vAlign w:val="top"/>
          </w:tcPr>
          <w:p w14:paraId="2AD652FA">
            <w:pPr>
              <w:pStyle w:val="39"/>
              <w:adjustRightInd w:val="0"/>
              <w:snapToGrid w:val="0"/>
              <w:spacing w:line="560" w:lineRule="exact"/>
              <w:rPr>
                <w:rFonts w:ascii="Times New Roman"/>
                <w:color w:val="auto"/>
                <w:sz w:val="20"/>
                <w:highlight w:val="none"/>
              </w:rPr>
            </w:pPr>
          </w:p>
        </w:tc>
        <w:tc>
          <w:tcPr>
            <w:tcW w:w="794" w:type="dxa"/>
            <w:noWrap w:val="0"/>
            <w:vAlign w:val="top"/>
          </w:tcPr>
          <w:p w14:paraId="2EAD4968">
            <w:pPr>
              <w:pStyle w:val="39"/>
              <w:adjustRightInd w:val="0"/>
              <w:snapToGrid w:val="0"/>
              <w:spacing w:line="560" w:lineRule="exact"/>
              <w:rPr>
                <w:rFonts w:ascii="Times New Roman"/>
                <w:color w:val="auto"/>
                <w:sz w:val="20"/>
                <w:highlight w:val="none"/>
              </w:rPr>
            </w:pPr>
          </w:p>
        </w:tc>
        <w:tc>
          <w:tcPr>
            <w:tcW w:w="791" w:type="dxa"/>
            <w:noWrap w:val="0"/>
            <w:vAlign w:val="top"/>
          </w:tcPr>
          <w:p w14:paraId="0493CBFE">
            <w:pPr>
              <w:pStyle w:val="39"/>
              <w:adjustRightInd w:val="0"/>
              <w:snapToGrid w:val="0"/>
              <w:spacing w:line="560" w:lineRule="exact"/>
              <w:rPr>
                <w:rFonts w:ascii="Times New Roman"/>
                <w:color w:val="auto"/>
                <w:sz w:val="20"/>
                <w:highlight w:val="none"/>
              </w:rPr>
            </w:pPr>
          </w:p>
        </w:tc>
        <w:tc>
          <w:tcPr>
            <w:tcW w:w="635" w:type="dxa"/>
            <w:noWrap w:val="0"/>
            <w:vAlign w:val="top"/>
          </w:tcPr>
          <w:p w14:paraId="40DA9DDE">
            <w:pPr>
              <w:pStyle w:val="39"/>
              <w:adjustRightInd w:val="0"/>
              <w:snapToGrid w:val="0"/>
              <w:spacing w:line="560" w:lineRule="exact"/>
              <w:rPr>
                <w:rFonts w:ascii="Times New Roman"/>
                <w:color w:val="auto"/>
                <w:sz w:val="20"/>
                <w:highlight w:val="none"/>
              </w:rPr>
            </w:pPr>
          </w:p>
        </w:tc>
        <w:tc>
          <w:tcPr>
            <w:tcW w:w="1687" w:type="dxa"/>
            <w:noWrap w:val="0"/>
            <w:vAlign w:val="top"/>
          </w:tcPr>
          <w:p w14:paraId="6F353F33">
            <w:pPr>
              <w:pStyle w:val="39"/>
              <w:adjustRightInd w:val="0"/>
              <w:snapToGrid w:val="0"/>
              <w:spacing w:line="560" w:lineRule="exact"/>
              <w:rPr>
                <w:rFonts w:ascii="Times New Roman"/>
                <w:color w:val="auto"/>
                <w:sz w:val="20"/>
                <w:highlight w:val="none"/>
              </w:rPr>
            </w:pPr>
          </w:p>
        </w:tc>
      </w:tr>
      <w:tr w14:paraId="135A1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4986F1A4">
            <w:pPr>
              <w:pStyle w:val="39"/>
              <w:adjustRightInd w:val="0"/>
              <w:snapToGrid w:val="0"/>
              <w:spacing w:line="560" w:lineRule="exact"/>
              <w:rPr>
                <w:rFonts w:ascii="Times New Roman"/>
                <w:color w:val="auto"/>
                <w:sz w:val="20"/>
                <w:highlight w:val="none"/>
              </w:rPr>
            </w:pPr>
          </w:p>
        </w:tc>
        <w:tc>
          <w:tcPr>
            <w:tcW w:w="1685" w:type="dxa"/>
            <w:noWrap w:val="0"/>
            <w:vAlign w:val="top"/>
          </w:tcPr>
          <w:p w14:paraId="3475C076">
            <w:pPr>
              <w:pStyle w:val="39"/>
              <w:adjustRightInd w:val="0"/>
              <w:snapToGrid w:val="0"/>
              <w:spacing w:line="560" w:lineRule="exact"/>
              <w:rPr>
                <w:rFonts w:ascii="Times New Roman"/>
                <w:color w:val="auto"/>
                <w:sz w:val="20"/>
                <w:highlight w:val="none"/>
              </w:rPr>
            </w:pPr>
          </w:p>
        </w:tc>
        <w:tc>
          <w:tcPr>
            <w:tcW w:w="794" w:type="dxa"/>
            <w:noWrap w:val="0"/>
            <w:vAlign w:val="top"/>
          </w:tcPr>
          <w:p w14:paraId="7C6B4D9B">
            <w:pPr>
              <w:pStyle w:val="39"/>
              <w:adjustRightInd w:val="0"/>
              <w:snapToGrid w:val="0"/>
              <w:spacing w:line="560" w:lineRule="exact"/>
              <w:rPr>
                <w:rFonts w:ascii="Times New Roman"/>
                <w:color w:val="auto"/>
                <w:sz w:val="20"/>
                <w:highlight w:val="none"/>
              </w:rPr>
            </w:pPr>
          </w:p>
        </w:tc>
        <w:tc>
          <w:tcPr>
            <w:tcW w:w="794" w:type="dxa"/>
            <w:noWrap w:val="0"/>
            <w:vAlign w:val="top"/>
          </w:tcPr>
          <w:p w14:paraId="2175081B">
            <w:pPr>
              <w:pStyle w:val="39"/>
              <w:adjustRightInd w:val="0"/>
              <w:snapToGrid w:val="0"/>
              <w:spacing w:line="560" w:lineRule="exact"/>
              <w:rPr>
                <w:rFonts w:ascii="Times New Roman"/>
                <w:color w:val="auto"/>
                <w:sz w:val="20"/>
                <w:highlight w:val="none"/>
              </w:rPr>
            </w:pPr>
          </w:p>
        </w:tc>
        <w:tc>
          <w:tcPr>
            <w:tcW w:w="794" w:type="dxa"/>
            <w:noWrap w:val="0"/>
            <w:vAlign w:val="top"/>
          </w:tcPr>
          <w:p w14:paraId="03AA6879">
            <w:pPr>
              <w:pStyle w:val="39"/>
              <w:adjustRightInd w:val="0"/>
              <w:snapToGrid w:val="0"/>
              <w:spacing w:line="560" w:lineRule="exact"/>
              <w:rPr>
                <w:rFonts w:ascii="Times New Roman"/>
                <w:color w:val="auto"/>
                <w:sz w:val="20"/>
                <w:highlight w:val="none"/>
              </w:rPr>
            </w:pPr>
          </w:p>
        </w:tc>
        <w:tc>
          <w:tcPr>
            <w:tcW w:w="791" w:type="dxa"/>
            <w:noWrap w:val="0"/>
            <w:vAlign w:val="top"/>
          </w:tcPr>
          <w:p w14:paraId="69A7FE10">
            <w:pPr>
              <w:pStyle w:val="39"/>
              <w:adjustRightInd w:val="0"/>
              <w:snapToGrid w:val="0"/>
              <w:spacing w:line="560" w:lineRule="exact"/>
              <w:rPr>
                <w:rFonts w:ascii="Times New Roman"/>
                <w:color w:val="auto"/>
                <w:sz w:val="20"/>
                <w:highlight w:val="none"/>
              </w:rPr>
            </w:pPr>
          </w:p>
        </w:tc>
        <w:tc>
          <w:tcPr>
            <w:tcW w:w="635" w:type="dxa"/>
            <w:noWrap w:val="0"/>
            <w:vAlign w:val="top"/>
          </w:tcPr>
          <w:p w14:paraId="11E7F2C5">
            <w:pPr>
              <w:pStyle w:val="39"/>
              <w:adjustRightInd w:val="0"/>
              <w:snapToGrid w:val="0"/>
              <w:spacing w:line="560" w:lineRule="exact"/>
              <w:rPr>
                <w:rFonts w:ascii="Times New Roman"/>
                <w:color w:val="auto"/>
                <w:sz w:val="20"/>
                <w:highlight w:val="none"/>
              </w:rPr>
            </w:pPr>
          </w:p>
        </w:tc>
        <w:tc>
          <w:tcPr>
            <w:tcW w:w="1687" w:type="dxa"/>
            <w:noWrap w:val="0"/>
            <w:vAlign w:val="top"/>
          </w:tcPr>
          <w:p w14:paraId="0B7CB142">
            <w:pPr>
              <w:pStyle w:val="39"/>
              <w:adjustRightInd w:val="0"/>
              <w:snapToGrid w:val="0"/>
              <w:spacing w:line="560" w:lineRule="exact"/>
              <w:rPr>
                <w:rFonts w:ascii="Times New Roman"/>
                <w:color w:val="auto"/>
                <w:sz w:val="20"/>
                <w:highlight w:val="none"/>
              </w:rPr>
            </w:pPr>
          </w:p>
        </w:tc>
      </w:tr>
    </w:tbl>
    <w:p w14:paraId="16445509">
      <w:pPr>
        <w:pStyle w:val="9"/>
        <w:adjustRightInd w:val="0"/>
        <w:snapToGrid w:val="0"/>
        <w:spacing w:after="0" w:line="560" w:lineRule="exact"/>
        <w:ind w:firstLine="420"/>
        <w:rPr>
          <w:color w:val="auto"/>
          <w:highlight w:val="none"/>
        </w:rPr>
      </w:pPr>
      <w:r>
        <w:rPr>
          <w:color w:val="auto"/>
          <w:highlight w:val="none"/>
        </w:rPr>
        <w:t>注：</w:t>
      </w:r>
      <w:r>
        <w:rPr>
          <w:rFonts w:hint="eastAsia"/>
          <w:color w:val="auto"/>
          <w:highlight w:val="none"/>
        </w:rPr>
        <w:t>1、</w:t>
      </w:r>
      <w:r>
        <w:rPr>
          <w:color w:val="auto"/>
          <w:highlight w:val="none"/>
        </w:rPr>
        <w:t>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6801C390">
      <w:pPr>
        <w:pStyle w:val="43"/>
        <w:tabs>
          <w:tab w:val="left" w:pos="1319"/>
        </w:tabs>
        <w:adjustRightInd w:val="0"/>
        <w:snapToGrid w:val="0"/>
        <w:spacing w:line="560" w:lineRule="exact"/>
        <w:ind w:left="0" w:firstLine="408" w:firstLineChars="200"/>
        <w:rPr>
          <w:color w:val="auto"/>
          <w:highlight w:val="none"/>
        </w:rPr>
        <w:sectPr>
          <w:pgSz w:w="11910" w:h="16840"/>
          <w:pgMar w:top="1060" w:right="660" w:bottom="1020" w:left="1120" w:header="0" w:footer="833" w:gutter="0"/>
          <w:cols w:space="720" w:num="1"/>
        </w:sectPr>
      </w:pPr>
      <w:r>
        <w:rPr>
          <w:rFonts w:hint="eastAsia"/>
          <w:color w:val="auto"/>
          <w:spacing w:val="-3"/>
          <w:highlight w:val="none"/>
        </w:rPr>
        <w:t>2、</w:t>
      </w:r>
      <w:r>
        <w:rPr>
          <w:color w:val="auto"/>
          <w:spacing w:val="-3"/>
          <w:highlight w:val="none"/>
        </w:rPr>
        <w:t>对于招标人推荐品牌的材料、设备等，投标人如认为招标人推荐的品牌有限定性、唯一性、明显不在同一档次等级的或者其他疑问的，应在本项目</w:t>
      </w:r>
      <w:r>
        <w:rPr>
          <w:rFonts w:hint="eastAsia"/>
          <w:color w:val="auto"/>
          <w:spacing w:val="-3"/>
          <w:highlight w:val="none"/>
        </w:rPr>
        <w:t>异议</w:t>
      </w:r>
      <w:r>
        <w:rPr>
          <w:color w:val="auto"/>
          <w:spacing w:val="-3"/>
          <w:highlight w:val="none"/>
        </w:rPr>
        <w:t>提出的截止时间前通过电子交易系统</w:t>
      </w:r>
      <w:r>
        <w:rPr>
          <w:rFonts w:hint="eastAsia"/>
          <w:color w:val="auto"/>
          <w:spacing w:val="-3"/>
          <w:highlight w:val="none"/>
        </w:rPr>
        <w:t>向招标人提出。</w:t>
      </w:r>
    </w:p>
    <w:p w14:paraId="14F50903">
      <w:pPr>
        <w:pStyle w:val="5"/>
        <w:adjustRightInd w:val="0"/>
        <w:snapToGrid w:val="0"/>
        <w:spacing w:before="0" w:after="0" w:line="560" w:lineRule="exact"/>
        <w:jc w:val="center"/>
        <w:rPr>
          <w:rFonts w:hint="eastAsia"/>
          <w:color w:val="auto"/>
          <w:highlight w:val="none"/>
        </w:rPr>
      </w:pPr>
      <w:bookmarkStart w:id="1601" w:name="_Toc95223546"/>
      <w:r>
        <w:rPr>
          <w:rFonts w:hint="eastAsia"/>
          <w:color w:val="auto"/>
          <w:highlight w:val="none"/>
        </w:rPr>
        <w:t>（4）详细评审所需其他材料（如有）</w:t>
      </w:r>
      <w:bookmarkEnd w:id="1601"/>
    </w:p>
    <w:p w14:paraId="749CE4FD">
      <w:pPr>
        <w:adjustRightInd w:val="0"/>
        <w:snapToGrid w:val="0"/>
        <w:spacing w:line="560" w:lineRule="exact"/>
        <w:ind w:firstLine="1928" w:firstLineChars="600"/>
        <w:rPr>
          <w:rFonts w:hint="eastAsia" w:ascii="宋体"/>
          <w:b/>
          <w:color w:val="auto"/>
          <w:sz w:val="32"/>
          <w:szCs w:val="32"/>
          <w:highlight w:val="none"/>
        </w:rPr>
      </w:pPr>
    </w:p>
    <w:p w14:paraId="25F433CE">
      <w:pPr>
        <w:adjustRightInd w:val="0"/>
        <w:snapToGrid w:val="0"/>
        <w:spacing w:line="560" w:lineRule="exact"/>
        <w:rPr>
          <w:rFonts w:hint="eastAsia"/>
          <w:b/>
          <w:color w:val="auto"/>
          <w:sz w:val="32"/>
          <w:szCs w:val="32"/>
          <w:highlight w:val="none"/>
        </w:rPr>
      </w:pPr>
    </w:p>
    <w:p w14:paraId="6BF7C39D">
      <w:pPr>
        <w:adjustRightInd w:val="0"/>
        <w:snapToGrid w:val="0"/>
        <w:spacing w:line="560" w:lineRule="exact"/>
        <w:jc w:val="center"/>
        <w:rPr>
          <w:rFonts w:hint="eastAsia"/>
          <w:b/>
          <w:color w:val="auto"/>
          <w:sz w:val="32"/>
          <w:szCs w:val="32"/>
          <w:highlight w:val="none"/>
        </w:rPr>
      </w:pPr>
    </w:p>
    <w:p w14:paraId="675D7E4C">
      <w:pPr>
        <w:adjustRightInd w:val="0"/>
        <w:snapToGrid w:val="0"/>
        <w:spacing w:line="560" w:lineRule="exact"/>
        <w:jc w:val="center"/>
        <w:rPr>
          <w:rFonts w:hint="eastAsia"/>
          <w:b/>
          <w:color w:val="auto"/>
          <w:sz w:val="32"/>
          <w:szCs w:val="32"/>
          <w:highlight w:val="none"/>
        </w:rPr>
      </w:pPr>
    </w:p>
    <w:p w14:paraId="4374D843">
      <w:pPr>
        <w:adjustRightInd w:val="0"/>
        <w:snapToGrid w:val="0"/>
        <w:spacing w:line="560" w:lineRule="exact"/>
        <w:jc w:val="center"/>
        <w:rPr>
          <w:rFonts w:hint="eastAsia"/>
          <w:b/>
          <w:color w:val="auto"/>
          <w:sz w:val="32"/>
          <w:szCs w:val="32"/>
          <w:highlight w:val="none"/>
        </w:rPr>
      </w:pPr>
    </w:p>
    <w:p w14:paraId="2F1EC7A9">
      <w:pPr>
        <w:adjustRightInd w:val="0"/>
        <w:snapToGrid w:val="0"/>
        <w:spacing w:line="560" w:lineRule="exact"/>
        <w:rPr>
          <w:rFonts w:hint="eastAsia"/>
          <w:color w:val="auto"/>
          <w:highlight w:val="none"/>
        </w:rPr>
      </w:pPr>
    </w:p>
    <w:p w14:paraId="14C9FFD5">
      <w:pPr>
        <w:adjustRightInd w:val="0"/>
        <w:snapToGrid w:val="0"/>
        <w:spacing w:line="560" w:lineRule="exact"/>
        <w:rPr>
          <w:rFonts w:hint="eastAsia"/>
          <w:color w:val="auto"/>
          <w:highlight w:val="none"/>
        </w:rPr>
      </w:pPr>
    </w:p>
    <w:p w14:paraId="4E46AD89">
      <w:pPr>
        <w:adjustRightInd w:val="0"/>
        <w:snapToGrid w:val="0"/>
        <w:spacing w:line="560" w:lineRule="exact"/>
        <w:rPr>
          <w:rFonts w:hint="eastAsia"/>
          <w:color w:val="auto"/>
          <w:highlight w:val="none"/>
        </w:rPr>
      </w:pPr>
    </w:p>
    <w:p w14:paraId="091EAE00">
      <w:pPr>
        <w:adjustRightInd w:val="0"/>
        <w:snapToGrid w:val="0"/>
        <w:spacing w:line="560" w:lineRule="exact"/>
        <w:rPr>
          <w:rFonts w:hint="eastAsia"/>
          <w:color w:val="auto"/>
          <w:highlight w:val="none"/>
        </w:rPr>
      </w:pPr>
    </w:p>
    <w:p w14:paraId="415FB2E2">
      <w:pPr>
        <w:adjustRightInd w:val="0"/>
        <w:snapToGrid w:val="0"/>
        <w:spacing w:line="560" w:lineRule="exact"/>
        <w:rPr>
          <w:rFonts w:hint="eastAsia"/>
          <w:color w:val="auto"/>
          <w:highlight w:val="none"/>
        </w:rPr>
      </w:pPr>
    </w:p>
    <w:p w14:paraId="22E28D98">
      <w:pPr>
        <w:adjustRightInd w:val="0"/>
        <w:snapToGrid w:val="0"/>
        <w:spacing w:line="560" w:lineRule="exact"/>
        <w:rPr>
          <w:rFonts w:hint="eastAsia"/>
          <w:color w:val="auto"/>
          <w:highlight w:val="none"/>
        </w:rPr>
      </w:pPr>
    </w:p>
    <w:p w14:paraId="5D7EFCA2">
      <w:pPr>
        <w:adjustRightInd w:val="0"/>
        <w:snapToGrid w:val="0"/>
        <w:spacing w:line="560" w:lineRule="exact"/>
        <w:rPr>
          <w:rFonts w:hint="eastAsia"/>
          <w:color w:val="auto"/>
          <w:highlight w:val="none"/>
        </w:rPr>
      </w:pPr>
    </w:p>
    <w:p w14:paraId="0B590477">
      <w:pPr>
        <w:adjustRightInd w:val="0"/>
        <w:snapToGrid w:val="0"/>
        <w:spacing w:line="560" w:lineRule="exact"/>
        <w:rPr>
          <w:rFonts w:hint="eastAsia"/>
          <w:color w:val="auto"/>
          <w:highlight w:val="none"/>
        </w:rPr>
      </w:pPr>
    </w:p>
    <w:p w14:paraId="0F43FD32">
      <w:pPr>
        <w:adjustRightInd w:val="0"/>
        <w:snapToGrid w:val="0"/>
        <w:spacing w:line="560" w:lineRule="exact"/>
        <w:rPr>
          <w:rFonts w:hint="eastAsia"/>
          <w:color w:val="auto"/>
          <w:highlight w:val="none"/>
        </w:rPr>
      </w:pPr>
    </w:p>
    <w:p w14:paraId="64F68E17">
      <w:pPr>
        <w:adjustRightInd w:val="0"/>
        <w:snapToGrid w:val="0"/>
        <w:spacing w:line="560" w:lineRule="exact"/>
        <w:rPr>
          <w:rFonts w:hint="eastAsia"/>
          <w:color w:val="auto"/>
          <w:highlight w:val="none"/>
        </w:rPr>
      </w:pPr>
    </w:p>
    <w:p w14:paraId="0638B753">
      <w:pPr>
        <w:adjustRightInd w:val="0"/>
        <w:snapToGrid w:val="0"/>
        <w:spacing w:line="560" w:lineRule="exact"/>
        <w:rPr>
          <w:rFonts w:hint="eastAsia"/>
          <w:color w:val="auto"/>
          <w:highlight w:val="none"/>
        </w:rPr>
      </w:pPr>
    </w:p>
    <w:p w14:paraId="64E2016F">
      <w:pPr>
        <w:adjustRightInd w:val="0"/>
        <w:snapToGrid w:val="0"/>
        <w:spacing w:line="560" w:lineRule="exact"/>
        <w:rPr>
          <w:rFonts w:hint="eastAsia"/>
          <w:color w:val="auto"/>
          <w:highlight w:val="none"/>
        </w:rPr>
      </w:pPr>
    </w:p>
    <w:p w14:paraId="7016C762">
      <w:pPr>
        <w:adjustRightInd w:val="0"/>
        <w:snapToGrid w:val="0"/>
        <w:spacing w:line="560" w:lineRule="exact"/>
        <w:rPr>
          <w:rFonts w:hint="eastAsia"/>
          <w:color w:val="auto"/>
          <w:highlight w:val="none"/>
        </w:rPr>
      </w:pPr>
    </w:p>
    <w:p w14:paraId="7E3B440A">
      <w:pPr>
        <w:adjustRightInd w:val="0"/>
        <w:snapToGrid w:val="0"/>
        <w:spacing w:line="560" w:lineRule="exact"/>
        <w:rPr>
          <w:rFonts w:hint="eastAsia"/>
          <w:color w:val="auto"/>
          <w:highlight w:val="none"/>
        </w:rPr>
      </w:pPr>
    </w:p>
    <w:p w14:paraId="15A6512F">
      <w:pPr>
        <w:adjustRightInd w:val="0"/>
        <w:snapToGrid w:val="0"/>
        <w:spacing w:line="560" w:lineRule="exact"/>
        <w:rPr>
          <w:rFonts w:hint="eastAsia"/>
          <w:color w:val="auto"/>
          <w:highlight w:val="none"/>
        </w:rPr>
      </w:pPr>
    </w:p>
    <w:p w14:paraId="56CB2CD9">
      <w:pPr>
        <w:pStyle w:val="19"/>
        <w:rPr>
          <w:rFonts w:hint="eastAsia"/>
          <w:color w:val="auto"/>
          <w:highlight w:val="none"/>
        </w:rPr>
      </w:pPr>
    </w:p>
    <w:p w14:paraId="57189A2C">
      <w:pPr>
        <w:adjustRightInd w:val="0"/>
        <w:snapToGrid w:val="0"/>
        <w:spacing w:line="560" w:lineRule="exact"/>
        <w:rPr>
          <w:rFonts w:hint="eastAsia"/>
          <w:color w:val="auto"/>
          <w:highlight w:val="none"/>
        </w:rPr>
      </w:pPr>
    </w:p>
    <w:p w14:paraId="7B54ED90">
      <w:pPr>
        <w:pStyle w:val="19"/>
        <w:rPr>
          <w:rFonts w:hint="eastAsia"/>
          <w:color w:val="auto"/>
          <w:highlight w:val="none"/>
        </w:rPr>
      </w:pPr>
    </w:p>
    <w:p w14:paraId="506F613D">
      <w:pPr>
        <w:rPr>
          <w:rFonts w:hint="eastAsia"/>
          <w:color w:val="auto"/>
          <w:highlight w:val="none"/>
        </w:rPr>
      </w:pPr>
    </w:p>
    <w:p w14:paraId="669A1A24">
      <w:pPr>
        <w:pStyle w:val="19"/>
        <w:rPr>
          <w:rFonts w:hint="eastAsia"/>
          <w:color w:val="auto"/>
          <w:highlight w:val="none"/>
        </w:rPr>
      </w:pPr>
    </w:p>
    <w:p w14:paraId="5755FF5C">
      <w:pPr>
        <w:pStyle w:val="19"/>
        <w:rPr>
          <w:rFonts w:hint="eastAsia"/>
          <w:color w:val="auto"/>
          <w:highlight w:val="none"/>
        </w:rPr>
      </w:pPr>
    </w:p>
    <w:p w14:paraId="03531D4B">
      <w:pPr>
        <w:pStyle w:val="9"/>
        <w:adjustRightInd w:val="0"/>
        <w:snapToGrid w:val="0"/>
        <w:spacing w:after="0" w:line="560" w:lineRule="exact"/>
        <w:jc w:val="center"/>
        <w:outlineLvl w:val="0"/>
        <w:rPr>
          <w:rFonts w:eastAsia="黑体"/>
          <w:b/>
          <w:bCs/>
          <w:color w:val="auto"/>
          <w:sz w:val="32"/>
          <w:highlight w:val="none"/>
        </w:rPr>
        <w:sectPr>
          <w:pgSz w:w="11906" w:h="16838"/>
          <w:pgMar w:top="1134" w:right="1417" w:bottom="1134" w:left="1417" w:header="851" w:footer="992" w:gutter="0"/>
          <w:cols w:space="720" w:num="1"/>
          <w:docGrid w:type="lines" w:linePitch="312" w:charSpace="0"/>
        </w:sectPr>
      </w:pPr>
      <w:bookmarkStart w:id="1602" w:name="_Toc95223547"/>
    </w:p>
    <w:p w14:paraId="5B574EE6">
      <w:pPr>
        <w:pStyle w:val="9"/>
        <w:adjustRightInd w:val="0"/>
        <w:snapToGrid w:val="0"/>
        <w:spacing w:after="0" w:line="560" w:lineRule="exact"/>
        <w:jc w:val="center"/>
        <w:outlineLvl w:val="0"/>
        <w:rPr>
          <w:rFonts w:eastAsia="黑体"/>
          <w:b/>
          <w:bCs/>
          <w:color w:val="auto"/>
          <w:sz w:val="32"/>
          <w:highlight w:val="none"/>
        </w:rPr>
      </w:pPr>
      <w:r>
        <w:rPr>
          <w:rFonts w:hint="eastAsia" w:eastAsia="黑体"/>
          <w:b/>
          <w:bCs/>
          <w:color w:val="auto"/>
          <w:sz w:val="32"/>
          <w:highlight w:val="none"/>
        </w:rPr>
        <w:t>第十章  招标</w:t>
      </w:r>
      <w:bookmarkStart w:id="1603" w:name="_Toc60061593"/>
      <w:r>
        <w:rPr>
          <w:rFonts w:hint="eastAsia" w:eastAsia="黑体"/>
          <w:b/>
          <w:bCs/>
          <w:color w:val="auto"/>
          <w:sz w:val="32"/>
          <w:highlight w:val="none"/>
        </w:rPr>
        <w:t>人、招标代理机构对本招标文件的确认</w:t>
      </w:r>
      <w:bookmarkEnd w:id="1602"/>
      <w:bookmarkEnd w:id="1603"/>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0AF7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jc w:val="center"/>
        </w:trPr>
        <w:tc>
          <w:tcPr>
            <w:tcW w:w="9580" w:type="dxa"/>
            <w:noWrap w:val="0"/>
            <w:vAlign w:val="top"/>
          </w:tcPr>
          <w:p w14:paraId="68438C40">
            <w:pPr>
              <w:adjustRightInd w:val="0"/>
              <w:snapToGrid w:val="0"/>
              <w:spacing w:line="560" w:lineRule="exact"/>
              <w:rPr>
                <w:rFonts w:hint="eastAsia"/>
                <w:color w:val="auto"/>
                <w:sz w:val="30"/>
                <w:highlight w:val="none"/>
              </w:rPr>
            </w:pPr>
          </w:p>
          <w:p w14:paraId="384C4F79">
            <w:pPr>
              <w:adjustRightInd w:val="0"/>
              <w:snapToGrid w:val="0"/>
              <w:spacing w:line="560" w:lineRule="exact"/>
              <w:ind w:firstLine="700" w:firstLineChars="250"/>
              <w:rPr>
                <w:rFonts w:hint="eastAsia"/>
                <w:color w:val="auto"/>
                <w:sz w:val="28"/>
                <w:szCs w:val="28"/>
                <w:highlight w:val="none"/>
              </w:rPr>
            </w:pPr>
            <w:r>
              <w:rPr>
                <w:rFonts w:hint="eastAsia"/>
                <w:color w:val="auto"/>
                <w:sz w:val="28"/>
                <w:szCs w:val="28"/>
                <w:highlight w:val="none"/>
              </w:rPr>
              <w:t>我单位对</w:t>
            </w:r>
            <w:bookmarkStart w:id="1604" w:name="_Toc506107366"/>
            <w:bookmarkStart w:id="1605" w:name="_Toc15058950"/>
            <w:bookmarkStart w:id="1606" w:name="_Toc60061594"/>
            <w:r>
              <w:rPr>
                <w:rFonts w:hint="eastAsia" w:ascii="宋体" w:hAnsi="宋体" w:eastAsia="宋体" w:cs="宋体"/>
                <w:color w:val="auto"/>
                <w:sz w:val="28"/>
                <w:szCs w:val="28"/>
                <w:highlight w:val="none"/>
                <w:lang w:eastAsia="zh-CN"/>
              </w:rPr>
              <w:t>兴全矿业骨料加工厂新能源充电桩项目（二次）</w:t>
            </w:r>
            <w:r>
              <w:rPr>
                <w:rFonts w:hint="eastAsia" w:ascii="宋体" w:hAnsi="宋体" w:cs="宋体"/>
                <w:color w:val="auto"/>
                <w:kern w:val="0"/>
                <w:sz w:val="28"/>
                <w:szCs w:val="28"/>
                <w:highlight w:val="none"/>
              </w:rPr>
              <w:t>施工招</w:t>
            </w:r>
            <w:bookmarkEnd w:id="1604"/>
            <w:bookmarkEnd w:id="1605"/>
            <w:bookmarkEnd w:id="1606"/>
            <w:r>
              <w:rPr>
                <w:rFonts w:hint="eastAsia" w:ascii="宋体" w:hAnsi="宋体" w:cs="宋体"/>
                <w:color w:val="auto"/>
                <w:kern w:val="0"/>
                <w:sz w:val="28"/>
                <w:szCs w:val="28"/>
                <w:highlight w:val="none"/>
              </w:rPr>
              <w:t>标</w:t>
            </w:r>
            <w:r>
              <w:rPr>
                <w:rFonts w:hint="eastAsia"/>
                <w:color w:val="auto"/>
                <w:sz w:val="28"/>
                <w:szCs w:val="28"/>
                <w:highlight w:val="none"/>
              </w:rPr>
              <w:t>的招标文件进行确认。</w:t>
            </w:r>
          </w:p>
          <w:p w14:paraId="18C25E3C">
            <w:pPr>
              <w:adjustRightInd w:val="0"/>
              <w:snapToGrid w:val="0"/>
              <w:spacing w:line="560" w:lineRule="exact"/>
              <w:rPr>
                <w:rFonts w:hint="eastAsia" w:ascii="宋体" w:hAnsi="宋体"/>
                <w:color w:val="auto"/>
                <w:sz w:val="28"/>
                <w:szCs w:val="28"/>
                <w:highlight w:val="none"/>
              </w:rPr>
            </w:pPr>
            <w:r>
              <w:rPr>
                <w:rFonts w:hint="eastAsia"/>
                <w:color w:val="auto"/>
                <w:sz w:val="30"/>
                <w:szCs w:val="30"/>
                <w:highlight w:val="none"/>
              </w:rPr>
              <w:t xml:space="preserve">   </w:t>
            </w:r>
            <w:r>
              <w:rPr>
                <w:rFonts w:hint="eastAsia" w:ascii="宋体" w:hAnsi="宋体"/>
                <w:color w:val="auto"/>
                <w:sz w:val="30"/>
                <w:szCs w:val="30"/>
                <w:highlight w:val="none"/>
              </w:rPr>
              <w:t xml:space="preserve"> </w:t>
            </w:r>
            <w:r>
              <w:rPr>
                <w:rFonts w:hint="eastAsia" w:ascii="宋体" w:hAnsi="宋体"/>
                <w:color w:val="auto"/>
                <w:sz w:val="28"/>
                <w:szCs w:val="28"/>
                <w:highlight w:val="none"/>
              </w:rPr>
              <w:t>招 标 人：</w:t>
            </w:r>
            <w:r>
              <w:rPr>
                <w:rFonts w:hint="default" w:ascii="宋体" w:hAnsi="宋体" w:eastAsia="宋体" w:cs="Times New Roman"/>
                <w:color w:val="auto"/>
                <w:sz w:val="28"/>
                <w:szCs w:val="28"/>
                <w:highlight w:val="none"/>
              </w:rPr>
              <w:t>滁州市兴全矿业投资有限公司</w:t>
            </w:r>
          </w:p>
          <w:p w14:paraId="2C5C252D">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color w:val="auto"/>
                <w:sz w:val="28"/>
                <w:szCs w:val="28"/>
                <w:highlight w:val="none"/>
              </w:rPr>
              <w:t>联 系 人</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李明松</w:t>
            </w:r>
          </w:p>
          <w:p w14:paraId="560DDD45">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联系电话：</w:t>
            </w:r>
            <w:r>
              <w:rPr>
                <w:rFonts w:hint="eastAsia" w:ascii="宋体" w:hAnsi="宋体" w:eastAsia="宋体" w:cs="Times New Roman"/>
                <w:color w:val="auto"/>
                <w:sz w:val="28"/>
                <w:szCs w:val="28"/>
                <w:highlight w:val="none"/>
                <w:lang w:val="en-US" w:eastAsia="zh-CN"/>
              </w:rPr>
              <w:t>18055086593</w:t>
            </w:r>
          </w:p>
          <w:p w14:paraId="447C1C77">
            <w:pPr>
              <w:adjustRightInd w:val="0"/>
              <w:snapToGrid w:val="0"/>
              <w:spacing w:line="56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2400A315">
            <w:pPr>
              <w:adjustRightInd w:val="0"/>
              <w:snapToGrid w:val="0"/>
              <w:spacing w:line="560" w:lineRule="exact"/>
              <w:ind w:firstLine="6580" w:firstLineChars="2350"/>
              <w:rPr>
                <w:rFonts w:hint="eastAsia" w:ascii="宋体" w:hAnsi="宋体"/>
                <w:color w:val="auto"/>
                <w:sz w:val="28"/>
                <w:szCs w:val="28"/>
                <w:highlight w:val="none"/>
              </w:rPr>
            </w:pPr>
            <w:r>
              <w:rPr>
                <w:rFonts w:hint="eastAsia" w:ascii="宋体" w:hAnsi="宋体"/>
                <w:color w:val="auto"/>
                <w:sz w:val="28"/>
                <w:szCs w:val="28"/>
                <w:highlight w:val="none"/>
              </w:rPr>
              <w:t>（</w:t>
            </w:r>
            <w:r>
              <w:rPr>
                <w:rFonts w:eastAsia="黑体"/>
                <w:color w:val="auto"/>
                <w:sz w:val="28"/>
                <w:szCs w:val="28"/>
                <w:highlight w:val="none"/>
              </w:rPr>
              <w:t>签</w:t>
            </w:r>
            <w:r>
              <w:rPr>
                <w:rFonts w:hint="eastAsia" w:eastAsia="黑体"/>
                <w:color w:val="auto"/>
                <w:sz w:val="28"/>
                <w:szCs w:val="28"/>
                <w:highlight w:val="none"/>
              </w:rPr>
              <w:t>章</w:t>
            </w:r>
            <w:r>
              <w:rPr>
                <w:rFonts w:hint="eastAsia" w:ascii="宋体" w:hAnsi="宋体"/>
                <w:color w:val="auto"/>
                <w:sz w:val="28"/>
                <w:szCs w:val="28"/>
                <w:highlight w:val="none"/>
              </w:rPr>
              <w:t>）</w:t>
            </w:r>
          </w:p>
          <w:p w14:paraId="625231B2">
            <w:pPr>
              <w:adjustRightInd w:val="0"/>
              <w:snapToGrid w:val="0"/>
              <w:spacing w:line="560" w:lineRule="exact"/>
              <w:ind w:firstLine="5040" w:firstLineChars="1800"/>
              <w:rPr>
                <w:rFonts w:hint="eastAsia"/>
                <w:color w:val="auto"/>
                <w:sz w:val="30"/>
                <w:highlight w:val="none"/>
              </w:rPr>
            </w:pPr>
            <w:r>
              <w:rPr>
                <w:rFonts w:hint="eastAsia" w:ascii="宋体" w:hAnsi="宋体"/>
                <w:color w:val="auto"/>
                <w:sz w:val="28"/>
                <w:szCs w:val="28"/>
                <w:highlight w:val="none"/>
                <w:lang w:val="en-US" w:eastAsia="zh-CN"/>
              </w:rPr>
              <w:t>2026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21</w:t>
            </w:r>
            <w:r>
              <w:rPr>
                <w:rFonts w:hint="eastAsia" w:ascii="宋体" w:hAnsi="宋体"/>
                <w:color w:val="auto"/>
                <w:sz w:val="28"/>
                <w:szCs w:val="28"/>
                <w:highlight w:val="none"/>
              </w:rPr>
              <w:t>日</w:t>
            </w:r>
          </w:p>
        </w:tc>
      </w:tr>
      <w:tr w14:paraId="61E2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6" w:hRule="atLeast"/>
          <w:jc w:val="center"/>
        </w:trPr>
        <w:tc>
          <w:tcPr>
            <w:tcW w:w="9580" w:type="dxa"/>
            <w:noWrap w:val="0"/>
            <w:vAlign w:val="top"/>
          </w:tcPr>
          <w:p w14:paraId="3EB68406">
            <w:pPr>
              <w:adjustRightInd w:val="0"/>
              <w:snapToGrid w:val="0"/>
              <w:spacing w:line="560" w:lineRule="exact"/>
              <w:ind w:firstLine="600" w:firstLineChars="200"/>
              <w:rPr>
                <w:rFonts w:hint="eastAsia"/>
                <w:color w:val="auto"/>
                <w:sz w:val="30"/>
                <w:highlight w:val="none"/>
              </w:rPr>
            </w:pPr>
          </w:p>
          <w:p w14:paraId="45891792">
            <w:pPr>
              <w:adjustRightInd w:val="0"/>
              <w:snapToGrid w:val="0"/>
              <w:spacing w:line="560" w:lineRule="exact"/>
              <w:ind w:firstLine="560" w:firstLineChars="200"/>
              <w:rPr>
                <w:rFonts w:hint="eastAsia"/>
                <w:color w:val="auto"/>
                <w:sz w:val="28"/>
                <w:szCs w:val="28"/>
                <w:highlight w:val="none"/>
              </w:rPr>
            </w:pPr>
            <w:r>
              <w:rPr>
                <w:rFonts w:hint="eastAsia"/>
                <w:color w:val="auto"/>
                <w:sz w:val="28"/>
                <w:szCs w:val="28"/>
                <w:highlight w:val="none"/>
              </w:rPr>
              <w:t>招标代理机构：</w:t>
            </w:r>
            <w:r>
              <w:rPr>
                <w:rFonts w:hint="eastAsia" w:ascii="宋体" w:hAnsi="宋体" w:eastAsia="宋体" w:cs="宋体"/>
                <w:color w:val="auto"/>
                <w:kern w:val="2"/>
                <w:sz w:val="28"/>
                <w:szCs w:val="28"/>
                <w:highlight w:val="none"/>
                <w:lang w:val="en-US" w:eastAsia="zh-CN" w:bidi="ar"/>
              </w:rPr>
              <w:t>滁州市城投工程咨询管理有限公司</w:t>
            </w:r>
            <w:r>
              <w:rPr>
                <w:rFonts w:hint="eastAsia"/>
                <w:color w:val="auto"/>
                <w:sz w:val="28"/>
                <w:szCs w:val="28"/>
                <w:highlight w:val="none"/>
              </w:rPr>
              <w:t xml:space="preserve"> </w:t>
            </w:r>
          </w:p>
          <w:p w14:paraId="2A68C595">
            <w:pPr>
              <w:adjustRightInd w:val="0"/>
              <w:snapToGrid w:val="0"/>
              <w:spacing w:line="560" w:lineRule="exact"/>
              <w:ind w:firstLine="560" w:firstLineChars="200"/>
              <w:rPr>
                <w:rFonts w:hint="eastAsia"/>
                <w:color w:val="auto"/>
                <w:sz w:val="28"/>
                <w:szCs w:val="28"/>
                <w:highlight w:val="none"/>
              </w:rPr>
            </w:pPr>
            <w:r>
              <w:rPr>
                <w:rFonts w:hint="eastAsia"/>
                <w:color w:val="auto"/>
                <w:sz w:val="28"/>
                <w:szCs w:val="28"/>
                <w:highlight w:val="none"/>
              </w:rPr>
              <w:t>联系人：</w:t>
            </w:r>
            <w:r>
              <w:rPr>
                <w:rFonts w:hint="eastAsia" w:ascii="宋体" w:hAnsi="宋体" w:eastAsia="宋体" w:cs="宋体"/>
                <w:color w:val="auto"/>
                <w:kern w:val="2"/>
                <w:sz w:val="28"/>
                <w:szCs w:val="28"/>
                <w:highlight w:val="none"/>
                <w:lang w:val="en-US" w:eastAsia="zh-CN" w:bidi="ar"/>
              </w:rPr>
              <w:t>王芳</w:t>
            </w:r>
          </w:p>
          <w:p w14:paraId="4FBDBFBF">
            <w:pPr>
              <w:adjustRightInd w:val="0"/>
              <w:snapToGrid w:val="0"/>
              <w:spacing w:line="560" w:lineRule="exact"/>
              <w:ind w:firstLine="560" w:firstLineChars="200"/>
              <w:rPr>
                <w:rFonts w:hint="eastAsia"/>
                <w:color w:val="auto"/>
                <w:sz w:val="28"/>
                <w:szCs w:val="28"/>
                <w:highlight w:val="none"/>
              </w:rPr>
            </w:pPr>
            <w:r>
              <w:rPr>
                <w:rFonts w:hint="eastAsia"/>
                <w:color w:val="auto"/>
                <w:sz w:val="28"/>
                <w:szCs w:val="28"/>
                <w:highlight w:val="none"/>
              </w:rPr>
              <w:t>联系电话：</w:t>
            </w:r>
            <w:r>
              <w:rPr>
                <w:rFonts w:hint="eastAsia" w:ascii="宋体" w:hAnsi="宋体" w:eastAsia="宋体" w:cs="宋体"/>
                <w:color w:val="auto"/>
                <w:kern w:val="2"/>
                <w:sz w:val="28"/>
                <w:szCs w:val="28"/>
                <w:highlight w:val="none"/>
                <w:lang w:val="en-US" w:eastAsia="zh-CN" w:bidi="ar"/>
              </w:rPr>
              <w:t>0550-3519519、18955055067</w:t>
            </w:r>
          </w:p>
          <w:p w14:paraId="240BAA9B">
            <w:pPr>
              <w:adjustRightInd w:val="0"/>
              <w:snapToGrid w:val="0"/>
              <w:spacing w:line="560" w:lineRule="exact"/>
              <w:ind w:firstLine="280" w:firstLineChars="100"/>
              <w:rPr>
                <w:rFonts w:hint="eastAsia"/>
                <w:color w:val="auto"/>
                <w:sz w:val="28"/>
                <w:szCs w:val="28"/>
                <w:highlight w:val="none"/>
              </w:rPr>
            </w:pPr>
            <w:r>
              <w:rPr>
                <w:rFonts w:hint="eastAsia"/>
                <w:color w:val="auto"/>
                <w:sz w:val="28"/>
                <w:szCs w:val="28"/>
                <w:highlight w:val="none"/>
              </w:rPr>
              <w:t xml:space="preserve">                                  </w:t>
            </w:r>
          </w:p>
          <w:p w14:paraId="35515FD5">
            <w:pPr>
              <w:adjustRightInd w:val="0"/>
              <w:snapToGrid w:val="0"/>
              <w:spacing w:line="560" w:lineRule="exact"/>
              <w:ind w:firstLine="280" w:firstLineChars="100"/>
              <w:rPr>
                <w:rFonts w:hint="eastAsia"/>
                <w:color w:val="auto"/>
                <w:sz w:val="28"/>
                <w:szCs w:val="28"/>
                <w:highlight w:val="none"/>
              </w:rPr>
            </w:pPr>
          </w:p>
          <w:p w14:paraId="2148138A">
            <w:pPr>
              <w:adjustRightInd w:val="0"/>
              <w:snapToGrid w:val="0"/>
              <w:spacing w:line="560" w:lineRule="exact"/>
              <w:ind w:firstLine="280" w:firstLineChars="100"/>
              <w:jc w:val="center"/>
              <w:rPr>
                <w:rFonts w:hint="eastAsia"/>
                <w:color w:val="auto"/>
                <w:sz w:val="28"/>
                <w:szCs w:val="28"/>
                <w:highlight w:val="none"/>
              </w:rPr>
            </w:pPr>
            <w:r>
              <w:rPr>
                <w:rFonts w:hint="eastAsia"/>
                <w:color w:val="auto"/>
                <w:sz w:val="28"/>
                <w:szCs w:val="28"/>
                <w:highlight w:val="non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hint="eastAsia"/>
                <w:color w:val="auto"/>
                <w:sz w:val="28"/>
                <w:szCs w:val="28"/>
                <w:highlight w:val="none"/>
              </w:rPr>
              <w:t>）</w:t>
            </w:r>
          </w:p>
          <w:p w14:paraId="5071235E">
            <w:pPr>
              <w:adjustRightInd w:val="0"/>
              <w:snapToGrid w:val="0"/>
              <w:spacing w:line="560" w:lineRule="exact"/>
              <w:ind w:firstLine="4900" w:firstLineChars="1750"/>
              <w:rPr>
                <w:rFonts w:hint="eastAsia"/>
                <w:color w:val="auto"/>
                <w:sz w:val="30"/>
                <w:highlight w:val="none"/>
              </w:rPr>
            </w:pPr>
            <w:r>
              <w:rPr>
                <w:rFonts w:hint="eastAsia"/>
                <w:color w:val="auto"/>
                <w:sz w:val="28"/>
                <w:szCs w:val="28"/>
                <w:highlight w:val="none"/>
                <w:lang w:val="en-US" w:eastAsia="zh-CN"/>
              </w:rPr>
              <w:t>2026</w:t>
            </w:r>
            <w:r>
              <w:rPr>
                <w:rFonts w:hint="eastAsia"/>
                <w:color w:val="auto"/>
                <w:sz w:val="28"/>
                <w:szCs w:val="28"/>
                <w:highlight w:val="none"/>
              </w:rPr>
              <w:t>年</w:t>
            </w:r>
            <w:r>
              <w:rPr>
                <w:rFonts w:hint="eastAsia"/>
                <w:color w:val="auto"/>
                <w:sz w:val="28"/>
                <w:szCs w:val="28"/>
                <w:highlight w:val="none"/>
                <w:lang w:val="en-US" w:eastAsia="zh-CN"/>
              </w:rPr>
              <w:t>1</w:t>
            </w:r>
            <w:r>
              <w:rPr>
                <w:rFonts w:hint="eastAsia"/>
                <w:color w:val="auto"/>
                <w:sz w:val="28"/>
                <w:szCs w:val="28"/>
                <w:highlight w:val="none"/>
              </w:rPr>
              <w:t>月</w:t>
            </w:r>
            <w:r>
              <w:rPr>
                <w:rFonts w:hint="eastAsia"/>
                <w:color w:val="auto"/>
                <w:sz w:val="28"/>
                <w:szCs w:val="28"/>
                <w:highlight w:val="none"/>
                <w:lang w:val="en-US" w:eastAsia="zh-CN"/>
              </w:rPr>
              <w:t>21</w:t>
            </w:r>
            <w:r>
              <w:rPr>
                <w:rFonts w:hint="eastAsia"/>
                <w:color w:val="auto"/>
                <w:sz w:val="28"/>
                <w:szCs w:val="28"/>
                <w:highlight w:val="none"/>
              </w:rPr>
              <w:t>日</w:t>
            </w:r>
          </w:p>
        </w:tc>
      </w:tr>
    </w:tbl>
    <w:p w14:paraId="38CED537">
      <w:pPr>
        <w:keepNext/>
        <w:keepLines/>
        <w:spacing w:before="200" w:after="200" w:line="600" w:lineRule="exact"/>
        <w:outlineLvl w:val="0"/>
        <w:rPr>
          <w:rFonts w:ascii="黑体" w:hAnsi="黑体" w:eastAsia="黑体"/>
          <w:b/>
          <w:bCs/>
          <w:color w:val="auto"/>
          <w:kern w:val="44"/>
          <w:sz w:val="28"/>
          <w:szCs w:val="28"/>
          <w:highlight w:val="none"/>
        </w:rPr>
      </w:pPr>
      <w:r>
        <w:rPr>
          <w:rFonts w:hint="eastAsia"/>
          <w:color w:val="auto"/>
          <w:sz w:val="24"/>
          <w:highlight w:val="none"/>
        </w:rPr>
        <w:br w:type="page"/>
      </w:r>
      <w:bookmarkEnd w:id="4"/>
      <w:bookmarkEnd w:id="5"/>
      <w:bookmarkEnd w:id="6"/>
      <w:bookmarkEnd w:id="7"/>
      <w:bookmarkEnd w:id="8"/>
      <w:bookmarkStart w:id="1607" w:name="OLE_LINK7"/>
      <w:bookmarkStart w:id="1608" w:name="OLE_LINK24"/>
      <w:bookmarkStart w:id="1609" w:name="OLE_LINK25"/>
      <w:r>
        <w:rPr>
          <w:rFonts w:hint="eastAsia" w:ascii="黑体" w:hAnsi="黑体" w:eastAsia="黑体"/>
          <w:b/>
          <w:bCs/>
          <w:color w:val="auto"/>
          <w:kern w:val="44"/>
          <w:sz w:val="36"/>
          <w:szCs w:val="28"/>
          <w:highlight w:val="none"/>
        </w:rPr>
        <w:t>附件1 关于联合惩戒失信行为加强信用查询管理的通知</w:t>
      </w:r>
    </w:p>
    <w:bookmarkEnd w:id="1607"/>
    <w:p w14:paraId="7B8DD93D">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341AAFF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4E09FF2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608"/>
    <w:bookmarkEnd w:id="1609"/>
    <w:p w14:paraId="5C82A5B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610" w:name="OLE_LINK91"/>
      <w:bookmarkStart w:id="1611" w:name="OLE_LINK103"/>
      <w:bookmarkStart w:id="1612" w:name="OLE_LINK92"/>
      <w:bookmarkStart w:id="1613" w:name="OLE_LINK93"/>
      <w:r>
        <w:rPr>
          <w:rFonts w:hint="eastAsia" w:ascii="仿宋_GB2312" w:hAnsi="宋体" w:eastAsia="仿宋_GB2312"/>
          <w:color w:val="auto"/>
          <w:sz w:val="28"/>
          <w:szCs w:val="28"/>
          <w:highlight w:val="none"/>
        </w:rPr>
        <w:t>投标人、法定代表人及其项目经理(建造师)</w:t>
      </w:r>
      <w:bookmarkEnd w:id="1610"/>
      <w:bookmarkEnd w:id="1611"/>
      <w:bookmarkEnd w:id="1612"/>
      <w:bookmarkEnd w:id="1613"/>
      <w:r>
        <w:rPr>
          <w:rFonts w:hint="eastAsia" w:ascii="仿宋_GB2312" w:hAnsi="宋体" w:eastAsia="仿宋_GB2312"/>
          <w:color w:val="auto"/>
          <w:sz w:val="28"/>
          <w:szCs w:val="28"/>
          <w:highlight w:val="none"/>
        </w:rPr>
        <w:t>以下失信行为：</w:t>
      </w:r>
    </w:p>
    <w:p w14:paraId="545834B0">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614" w:name="OLE_LINK86"/>
      <w:bookmarkStart w:id="1615" w:name="OLE_LINK119"/>
      <w:bookmarkStart w:id="1616" w:name="OLE_LINK94"/>
      <w:bookmarkStart w:id="1617" w:name="OLE_LINK87"/>
      <w:r>
        <w:rPr>
          <w:rFonts w:hint="eastAsia" w:ascii="仿宋_GB2312" w:hAnsi="宋体" w:eastAsia="仿宋_GB2312"/>
          <w:color w:val="auto"/>
          <w:sz w:val="28"/>
          <w:szCs w:val="28"/>
          <w:highlight w:val="none"/>
        </w:rPr>
        <w:t>①被列入“失信被执行人”的;</w:t>
      </w:r>
    </w:p>
    <w:p w14:paraId="7E9EECB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618" w:name="OLE_LINK115"/>
      <w:bookmarkStart w:id="1619" w:name="OLE_LINK116"/>
      <w:bookmarkStart w:id="1620" w:name="OLE_LINK118"/>
      <w:bookmarkStart w:id="1621" w:name="OLE_LINK117"/>
      <w:r>
        <w:rPr>
          <w:rFonts w:hint="eastAsia" w:ascii="仿宋_GB2312" w:hAnsi="宋体" w:eastAsia="仿宋_GB2312"/>
          <w:color w:val="auto"/>
          <w:sz w:val="28"/>
          <w:szCs w:val="28"/>
          <w:highlight w:val="none"/>
        </w:rPr>
        <w:t>“重大税收违法失信主体”</w:t>
      </w:r>
      <w:bookmarkEnd w:id="1618"/>
      <w:bookmarkEnd w:id="1619"/>
      <w:bookmarkEnd w:id="1620"/>
      <w:bookmarkEnd w:id="1621"/>
      <w:r>
        <w:rPr>
          <w:rFonts w:hint="eastAsia" w:ascii="仿宋_GB2312" w:hAnsi="宋体" w:eastAsia="仿宋_GB2312"/>
          <w:color w:val="auto"/>
          <w:sz w:val="28"/>
          <w:szCs w:val="28"/>
          <w:highlight w:val="none"/>
        </w:rPr>
        <w:t>的；</w:t>
      </w:r>
    </w:p>
    <w:p w14:paraId="7F6D5C8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622" w:name="OLE_LINK84"/>
      <w:bookmarkStart w:id="1623" w:name="OLE_LINK85"/>
      <w:r>
        <w:rPr>
          <w:rFonts w:hint="eastAsia" w:ascii="仿宋_GB2312" w:hAnsi="宋体" w:eastAsia="仿宋_GB2312"/>
          <w:color w:val="auto"/>
          <w:sz w:val="28"/>
          <w:szCs w:val="28"/>
          <w:highlight w:val="none"/>
        </w:rPr>
        <w:t>农民工工资失信联合惩戒对象</w:t>
      </w:r>
      <w:bookmarkEnd w:id="1622"/>
      <w:bookmarkEnd w:id="1623"/>
      <w:r>
        <w:rPr>
          <w:rFonts w:hint="eastAsia" w:ascii="仿宋_GB2312" w:hAnsi="宋体" w:eastAsia="仿宋_GB2312"/>
          <w:color w:val="auto"/>
          <w:sz w:val="28"/>
          <w:szCs w:val="28"/>
          <w:highlight w:val="none"/>
        </w:rPr>
        <w:t>名单”的；</w:t>
      </w:r>
    </w:p>
    <w:p w14:paraId="4BA145A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7CFD832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614"/>
    <w:bookmarkEnd w:id="1615"/>
    <w:bookmarkEnd w:id="1616"/>
    <w:bookmarkEnd w:id="1617"/>
    <w:p w14:paraId="5348ED1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624" w:name="OLE_LINK130"/>
      <w:r>
        <w:rPr>
          <w:rFonts w:hint="eastAsia" w:ascii="仿宋_GB2312" w:hAnsi="宋体" w:eastAsia="仿宋_GB2312"/>
          <w:color w:val="auto"/>
          <w:sz w:val="28"/>
          <w:szCs w:val="28"/>
          <w:highlight w:val="none"/>
        </w:rPr>
        <w:t>国家企业信用信息公示系统网站</w:t>
      </w:r>
      <w:bookmarkEnd w:id="1624"/>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1625" w:name="OLE_LINK89"/>
      <w:bookmarkStart w:id="1626" w:name="OLE_LINK90"/>
      <w:r>
        <w:rPr>
          <w:rStyle w:val="30"/>
          <w:rFonts w:hint="eastAsia" w:ascii="仿宋_GB2312" w:hAnsi="宋体" w:eastAsia="仿宋_GB2312"/>
          <w:color w:val="auto"/>
          <w:sz w:val="28"/>
          <w:szCs w:val="28"/>
          <w:highlight w:val="none"/>
        </w:rPr>
        <w:t>www.gsxt.gov.cn</w:t>
      </w:r>
      <w:bookmarkEnd w:id="1625"/>
      <w:bookmarkEnd w:id="1626"/>
      <w:r>
        <w:rPr>
          <w:rStyle w:val="30"/>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269F36CA">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627" w:name="OLE_LINK120"/>
      <w:bookmarkStart w:id="1628" w:name="OLE_LINK121"/>
      <w:bookmarkStart w:id="1629" w:name="OLE_LINK122"/>
      <w:r>
        <w:rPr>
          <w:rFonts w:hint="eastAsia" w:ascii="仿宋_GB2312" w:hAnsi="宋体" w:eastAsia="仿宋_GB2312"/>
          <w:color w:val="auto"/>
          <w:sz w:val="28"/>
          <w:szCs w:val="28"/>
          <w:highlight w:val="none"/>
        </w:rPr>
        <w:t>①被列入“经营异常名录”或者“严重违法失信名单”的。</w:t>
      </w:r>
      <w:bookmarkEnd w:id="1627"/>
      <w:bookmarkEnd w:id="1628"/>
      <w:bookmarkEnd w:id="1629"/>
    </w:p>
    <w:p w14:paraId="4FF73A1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5D1CE8DC">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630" w:name="OLE_LINK124"/>
      <w:bookmarkStart w:id="1631"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0AE0744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002B86F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76142FE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632" w:name="OLE_LINK107"/>
      <w:bookmarkStart w:id="1633" w:name="OLE_LINK108"/>
      <w:r>
        <w:rPr>
          <w:rFonts w:hint="eastAsia" w:ascii="仿宋_GB2312" w:hAnsi="宋体" w:eastAsia="仿宋_GB2312"/>
          <w:color w:val="auto"/>
          <w:sz w:val="28"/>
          <w:szCs w:val="28"/>
          <w:highlight w:val="none"/>
        </w:rPr>
        <w:t>县级及以上有关行政主管部门限制投标资格且在限制期限内的</w:t>
      </w:r>
      <w:bookmarkEnd w:id="1632"/>
      <w:bookmarkEnd w:id="1633"/>
      <w:r>
        <w:rPr>
          <w:rFonts w:hint="eastAsia" w:ascii="仿宋_GB2312" w:hAnsi="宋体" w:eastAsia="仿宋_GB2312"/>
          <w:color w:val="auto"/>
          <w:sz w:val="28"/>
          <w:szCs w:val="28"/>
          <w:highlight w:val="none"/>
        </w:rPr>
        <w:t>；</w:t>
      </w:r>
    </w:p>
    <w:p w14:paraId="7713C8C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630"/>
    <w:bookmarkEnd w:id="1631"/>
    <w:p w14:paraId="45BBFBD0">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3893E00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30"/>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4F8864F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6F3488A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4E0273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42BF674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0F5848B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2093B2F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30"/>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23E638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634" w:name="OLE_LINK102"/>
      <w:bookmarkStart w:id="1635" w:name="OLE_LINK100"/>
      <w:bookmarkStart w:id="1636" w:name="OLE_LINK101"/>
      <w:r>
        <w:rPr>
          <w:rFonts w:hint="eastAsia" w:ascii="仿宋_GB2312" w:hAnsi="宋体" w:eastAsia="仿宋_GB2312"/>
          <w:color w:val="auto"/>
          <w:sz w:val="28"/>
          <w:szCs w:val="28"/>
          <w:highlight w:val="none"/>
        </w:rPr>
        <w:t>被列入“经营异常名录”或者“严重违法失信名单”的</w:t>
      </w:r>
      <w:bookmarkEnd w:id="1634"/>
      <w:bookmarkEnd w:id="1635"/>
      <w:bookmarkEnd w:id="1636"/>
      <w:r>
        <w:rPr>
          <w:rFonts w:hint="eastAsia" w:ascii="仿宋_GB2312" w:hAnsi="宋体" w:eastAsia="仿宋_GB2312"/>
          <w:color w:val="auto"/>
          <w:sz w:val="28"/>
          <w:szCs w:val="28"/>
          <w:highlight w:val="none"/>
        </w:rPr>
        <w:t>。</w:t>
      </w:r>
    </w:p>
    <w:p w14:paraId="6215BA1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637" w:name="OLE_LINK95"/>
      <w:bookmarkStart w:id="1638"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30"/>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637"/>
      <w:bookmarkEnd w:id="1638"/>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4FD2AC79">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639" w:name="OLE_LINK104"/>
      <w:bookmarkStart w:id="1640" w:name="OLE_LINK106"/>
      <w:bookmarkStart w:id="1641" w:name="OLE_LINK105"/>
      <w:r>
        <w:rPr>
          <w:rFonts w:hint="eastAsia" w:ascii="仿宋_GB2312" w:hAnsi="宋体" w:eastAsia="仿宋_GB2312"/>
          <w:color w:val="auto"/>
          <w:sz w:val="28"/>
          <w:szCs w:val="28"/>
          <w:highlight w:val="none"/>
        </w:rPr>
        <w:t>被列入“政府采购严重违法失信行为信息记录”的</w:t>
      </w:r>
      <w:bookmarkEnd w:id="1639"/>
      <w:bookmarkEnd w:id="1640"/>
      <w:bookmarkEnd w:id="1641"/>
      <w:r>
        <w:rPr>
          <w:rFonts w:hint="eastAsia" w:ascii="仿宋_GB2312" w:hAnsi="宋体" w:eastAsia="仿宋_GB2312" w:cs="楷体"/>
          <w:color w:val="auto"/>
          <w:sz w:val="28"/>
          <w:szCs w:val="28"/>
          <w:highlight w:val="none"/>
        </w:rPr>
        <w:t>。</w:t>
      </w:r>
    </w:p>
    <w:p w14:paraId="2E642C9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328220F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63DA78D4">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59DD4BB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628D98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20BF51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299A63D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47F1C8F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64516BD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8177675">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0"/>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59146B7">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0EFBFE4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14036A60">
      <w:pPr>
        <w:ind w:right="960"/>
        <w:rPr>
          <w:rFonts w:hint="eastAsia" w:ascii="仿宋" w:hAnsi="仿宋" w:eastAsia="仿宋"/>
          <w:color w:val="auto"/>
          <w:sz w:val="32"/>
          <w:szCs w:val="32"/>
          <w:highlight w:val="none"/>
        </w:rPr>
      </w:pPr>
    </w:p>
    <w:p w14:paraId="76840160">
      <w:pPr>
        <w:ind w:right="960"/>
        <w:rPr>
          <w:rFonts w:hint="eastAsia" w:ascii="仿宋" w:hAnsi="仿宋" w:eastAsia="仿宋"/>
          <w:color w:val="auto"/>
          <w:sz w:val="32"/>
          <w:szCs w:val="32"/>
          <w:highlight w:val="none"/>
        </w:rPr>
      </w:pPr>
    </w:p>
    <w:p w14:paraId="634F2578">
      <w:pPr>
        <w:ind w:right="960"/>
        <w:rPr>
          <w:rFonts w:hint="eastAsia" w:ascii="仿宋" w:hAnsi="仿宋" w:eastAsia="仿宋"/>
          <w:color w:val="auto"/>
          <w:sz w:val="32"/>
          <w:szCs w:val="32"/>
          <w:highlight w:val="none"/>
        </w:rPr>
      </w:pPr>
    </w:p>
    <w:p w14:paraId="7DAA2EAD">
      <w:pPr>
        <w:ind w:right="960"/>
        <w:rPr>
          <w:rFonts w:hint="eastAsia" w:ascii="仿宋" w:hAnsi="仿宋" w:eastAsia="仿宋"/>
          <w:color w:val="auto"/>
          <w:sz w:val="32"/>
          <w:szCs w:val="32"/>
          <w:highlight w:val="none"/>
        </w:rPr>
      </w:pPr>
    </w:p>
    <w:p w14:paraId="09F8E32C">
      <w:pPr>
        <w:ind w:right="960"/>
        <w:rPr>
          <w:rFonts w:hint="eastAsia" w:ascii="仿宋" w:hAnsi="仿宋" w:eastAsia="仿宋"/>
          <w:color w:val="auto"/>
          <w:sz w:val="32"/>
          <w:szCs w:val="32"/>
          <w:highlight w:val="none"/>
        </w:rPr>
      </w:pPr>
    </w:p>
    <w:p w14:paraId="0B1BBB94">
      <w:pPr>
        <w:ind w:right="960"/>
        <w:rPr>
          <w:rFonts w:hint="eastAsia" w:ascii="仿宋" w:hAnsi="仿宋" w:eastAsia="仿宋"/>
          <w:color w:val="auto"/>
          <w:sz w:val="32"/>
          <w:szCs w:val="32"/>
          <w:highlight w:val="none"/>
        </w:rPr>
      </w:pPr>
    </w:p>
    <w:p w14:paraId="252B9AD8">
      <w:pPr>
        <w:ind w:right="960"/>
        <w:rPr>
          <w:rFonts w:hint="eastAsia" w:ascii="仿宋" w:hAnsi="仿宋" w:eastAsia="仿宋"/>
          <w:color w:val="auto"/>
          <w:sz w:val="32"/>
          <w:szCs w:val="32"/>
          <w:highlight w:val="none"/>
        </w:rPr>
      </w:pPr>
    </w:p>
    <w:p w14:paraId="156045B4">
      <w:pPr>
        <w:ind w:right="960"/>
        <w:rPr>
          <w:rFonts w:hint="eastAsia" w:ascii="仿宋" w:hAnsi="仿宋" w:eastAsia="仿宋"/>
          <w:color w:val="auto"/>
          <w:sz w:val="32"/>
          <w:szCs w:val="32"/>
          <w:highlight w:val="none"/>
        </w:rPr>
      </w:pPr>
    </w:p>
    <w:p w14:paraId="699465A8">
      <w:pPr>
        <w:pStyle w:val="19"/>
        <w:rPr>
          <w:rFonts w:hint="eastAsia"/>
          <w:color w:val="auto"/>
          <w:highlight w:val="none"/>
        </w:rPr>
      </w:pPr>
    </w:p>
    <w:p w14:paraId="0968B016">
      <w:pPr>
        <w:rPr>
          <w:color w:val="auto"/>
          <w:highlight w:val="none"/>
        </w:rPr>
      </w:pPr>
    </w:p>
    <w:p w14:paraId="05ABCF27">
      <w:pPr>
        <w:pStyle w:val="19"/>
        <w:rPr>
          <w:color w:val="auto"/>
          <w:highlight w:val="none"/>
        </w:rPr>
      </w:pPr>
    </w:p>
    <w:p w14:paraId="548EEBD4">
      <w:pPr>
        <w:rPr>
          <w:color w:val="auto"/>
          <w:highlight w:val="none"/>
        </w:rPr>
      </w:pPr>
    </w:p>
    <w:p w14:paraId="5291FD43">
      <w:pPr>
        <w:pStyle w:val="19"/>
        <w:rPr>
          <w:color w:val="auto"/>
          <w:highlight w:val="none"/>
        </w:rPr>
      </w:pPr>
    </w:p>
    <w:p w14:paraId="3CCB01CD">
      <w:pPr>
        <w:rPr>
          <w:color w:val="auto"/>
          <w:highlight w:val="none"/>
        </w:rPr>
      </w:pPr>
    </w:p>
    <w:p w14:paraId="326593AA">
      <w:pPr>
        <w:pStyle w:val="19"/>
        <w:rPr>
          <w:color w:val="auto"/>
          <w:highlight w:val="none"/>
        </w:rPr>
      </w:pPr>
    </w:p>
    <w:p w14:paraId="4AD8A5AB">
      <w:pPr>
        <w:rPr>
          <w:color w:val="auto"/>
          <w:highlight w:val="none"/>
        </w:rPr>
      </w:pPr>
    </w:p>
    <w:p w14:paraId="74B883D8">
      <w:pPr>
        <w:ind w:right="960"/>
        <w:rPr>
          <w:rFonts w:ascii="仿宋" w:hAnsi="仿宋" w:eastAsia="仿宋"/>
          <w:color w:val="auto"/>
          <w:sz w:val="32"/>
          <w:szCs w:val="32"/>
          <w:highlight w:val="none"/>
        </w:rPr>
      </w:pPr>
    </w:p>
    <w:p w14:paraId="00221FA7">
      <w:pPr>
        <w:keepNext/>
        <w:keepLines/>
        <w:spacing w:before="200" w:after="200" w:line="600" w:lineRule="exact"/>
        <w:outlineLvl w:val="0"/>
        <w:rPr>
          <w:rFonts w:hint="eastAsia" w:ascii="黑体" w:hAnsi="黑体" w:eastAsia="黑体"/>
          <w:b/>
          <w:bCs/>
          <w:color w:val="auto"/>
          <w:kern w:val="44"/>
          <w:sz w:val="36"/>
          <w:szCs w:val="28"/>
          <w:highlight w:val="none"/>
        </w:rPr>
      </w:pPr>
      <w:bookmarkStart w:id="1642" w:name="_Toc95223549"/>
      <w:bookmarkStart w:id="1643" w:name="OLE_LINK31"/>
      <w:bookmarkStart w:id="1644" w:name="OLE_LINK41"/>
      <w:bookmarkStart w:id="1645" w:name="OLE_LINK32"/>
      <w:r>
        <w:rPr>
          <w:rFonts w:hint="eastAsia" w:ascii="黑体" w:hAnsi="黑体" w:eastAsia="黑体"/>
          <w:b/>
          <w:bCs/>
          <w:color w:val="auto"/>
          <w:kern w:val="44"/>
          <w:sz w:val="36"/>
          <w:szCs w:val="28"/>
          <w:highlight w:val="none"/>
        </w:rPr>
        <w:t xml:space="preserve">附件2 </w:t>
      </w:r>
      <w:bookmarkStart w:id="1646" w:name="OLE_LINK74"/>
      <w:bookmarkStart w:id="1647" w:name="OLE_LINK75"/>
      <w:r>
        <w:rPr>
          <w:rFonts w:hint="eastAsia" w:ascii="黑体" w:hAnsi="黑体" w:eastAsia="黑体"/>
          <w:b/>
          <w:bCs/>
          <w:color w:val="auto"/>
          <w:kern w:val="44"/>
          <w:sz w:val="36"/>
          <w:szCs w:val="28"/>
          <w:highlight w:val="none"/>
        </w:rPr>
        <w:t>“信用中国”查询的严重失信行为</w:t>
      </w:r>
      <w:bookmarkStart w:id="1648" w:name="OLE_LINK38"/>
      <w:bookmarkStart w:id="1649" w:name="OLE_LINK76"/>
      <w:bookmarkStart w:id="1650" w:name="OLE_LINK39"/>
      <w:bookmarkStart w:id="1651" w:name="OLE_LINK40"/>
      <w:r>
        <w:rPr>
          <w:rFonts w:hint="eastAsia" w:ascii="黑体" w:hAnsi="黑体" w:eastAsia="黑体"/>
          <w:b/>
          <w:bCs/>
          <w:color w:val="auto"/>
          <w:kern w:val="44"/>
          <w:sz w:val="36"/>
          <w:szCs w:val="28"/>
          <w:highlight w:val="none"/>
        </w:rPr>
        <w:t>类别及判定依据</w:t>
      </w:r>
      <w:bookmarkEnd w:id="1642"/>
      <w:bookmarkEnd w:id="1646"/>
      <w:bookmarkEnd w:id="1647"/>
      <w:bookmarkEnd w:id="1648"/>
      <w:bookmarkEnd w:id="1649"/>
      <w:bookmarkEnd w:id="1650"/>
      <w:bookmarkEnd w:id="1651"/>
    </w:p>
    <w:bookmarkEnd w:id="1643"/>
    <w:bookmarkEnd w:id="1644"/>
    <w:bookmarkEnd w:id="1645"/>
    <w:p w14:paraId="7D8B66D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7396020A">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392C772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43E38DC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6935030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00DB795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311142B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47E89A5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27DE46A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671A9BD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0FA0A08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23BCF4C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61F4444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4048E506">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273C00BF">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7E2E57BC">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1D6EBC5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19918C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641AB6F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7A01485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68D9D2D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6845688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5007308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55222B9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0ACEB46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30"/>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5DDAE14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2EB2A76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63C543C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7D7B2AF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471D519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1D4BF6AF">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652" w:name="OLE_LINK9"/>
      <w:bookmarkStart w:id="1653" w:name="OLE_LINK8"/>
      <w:bookmarkStart w:id="1654" w:name="OLE_LINK10"/>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652"/>
      <w:bookmarkEnd w:id="1653"/>
      <w:bookmarkEnd w:id="1654"/>
      <w:r>
        <w:rPr>
          <w:rFonts w:hint="eastAsia" w:ascii="仿宋_GB2312" w:hAnsi="宋体" w:eastAsia="仿宋_GB2312"/>
          <w:b/>
          <w:color w:val="auto"/>
          <w:sz w:val="28"/>
          <w:szCs w:val="28"/>
          <w:highlight w:val="none"/>
        </w:rPr>
        <w:t>》、《</w:t>
      </w:r>
      <w:bookmarkStart w:id="1655" w:name="OLE_LINK12"/>
      <w:bookmarkStart w:id="1656" w:name="OLE_LINK11"/>
      <w:r>
        <w:rPr>
          <w:rFonts w:hint="eastAsia" w:ascii="仿宋_GB2312" w:hAnsi="宋体" w:eastAsia="仿宋_GB2312"/>
          <w:b/>
          <w:color w:val="auto"/>
          <w:sz w:val="28"/>
          <w:szCs w:val="28"/>
          <w:highlight w:val="none"/>
        </w:rPr>
        <w:t>企业环境信用评价办法（试行）</w:t>
      </w:r>
      <w:bookmarkEnd w:id="1655"/>
      <w:bookmarkEnd w:id="1656"/>
      <w:r>
        <w:rPr>
          <w:rFonts w:hint="eastAsia" w:ascii="仿宋_GB2312" w:hAnsi="宋体" w:eastAsia="仿宋_GB2312"/>
          <w:b/>
          <w:color w:val="auto"/>
          <w:sz w:val="28"/>
          <w:szCs w:val="28"/>
          <w:highlight w:val="none"/>
        </w:rPr>
        <w:t>》（环发〔2013〕150号）</w:t>
      </w:r>
    </w:p>
    <w:p w14:paraId="6E65C5D6">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4B68AAAD">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06F770A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A8CFB2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501501C7">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2E7F47EF">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22B0EC7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7C31A2F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1E4BF9AE">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6467EE9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5349FD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1BBF19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1815E117">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4CA82E5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03DC53A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497CF4B">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A2F501F">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101630C9">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5B1378E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06A4898">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419FDA2F">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27B02574">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657" w:name="OLE_LINK14"/>
      <w:bookmarkStart w:id="1658" w:name="OLE_LINK13"/>
      <w:r>
        <w:rPr>
          <w:rFonts w:hint="eastAsia" w:ascii="仿宋_GB2312" w:hAnsi="宋体" w:eastAsia="仿宋_GB2312"/>
          <w:b/>
          <w:color w:val="auto"/>
          <w:sz w:val="28"/>
          <w:szCs w:val="28"/>
          <w:highlight w:val="none"/>
        </w:rPr>
        <w:t>关于对公共资源交易领域严重失信主体开展联合惩戒的备忘录</w:t>
      </w:r>
      <w:bookmarkEnd w:id="1657"/>
      <w:bookmarkEnd w:id="1658"/>
      <w:r>
        <w:rPr>
          <w:rFonts w:hint="eastAsia" w:ascii="仿宋_GB2312" w:hAnsi="宋体" w:eastAsia="仿宋_GB2312"/>
          <w:b/>
          <w:color w:val="auto"/>
          <w:sz w:val="28"/>
          <w:szCs w:val="28"/>
          <w:highlight w:val="none"/>
        </w:rPr>
        <w:t>》（发改法规〔2018〕457号）</w:t>
      </w:r>
    </w:p>
    <w:p w14:paraId="56BEE44E">
      <w:pPr>
        <w:adjustRightInd w:val="0"/>
        <w:snapToGrid w:val="0"/>
        <w:spacing w:line="560" w:lineRule="exact"/>
        <w:ind w:firstLine="645"/>
        <w:jc w:val="left"/>
        <w:rPr>
          <w:rFonts w:hint="eastAsia" w:ascii="仿宋_GB2312" w:hAnsi="宋体" w:eastAsia="仿宋_GB2312"/>
          <w:color w:val="auto"/>
          <w:sz w:val="28"/>
          <w:szCs w:val="28"/>
          <w:highlight w:val="none"/>
        </w:rPr>
      </w:pPr>
    </w:p>
    <w:p w14:paraId="6B5ED461">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7707213">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26AA3E3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5EE6052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5D4726A7">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29D327E8">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3A2C58F3">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759286AB">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75387CBA">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16E8755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6CEA6451">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w:t>
      </w:r>
      <w:bookmarkStart w:id="1659" w:name="OLE_LINK16"/>
      <w:bookmarkStart w:id="1660" w:name="OLE_LINK15"/>
      <w:r>
        <w:rPr>
          <w:rFonts w:hint="eastAsia" w:ascii="仿宋_GB2312" w:hAnsi="Calibri" w:eastAsia="仿宋_GB2312"/>
          <w:b/>
          <w:color w:val="auto"/>
          <w:sz w:val="28"/>
          <w:szCs w:val="28"/>
          <w:highlight w:val="none"/>
        </w:rPr>
        <w:t>关于对社会保险领域严重失信企业及其有关人员实施联合惩戒的合作备忘录</w:t>
      </w:r>
      <w:bookmarkEnd w:id="1659"/>
      <w:bookmarkEnd w:id="1660"/>
      <w:r>
        <w:rPr>
          <w:rFonts w:hint="eastAsia" w:ascii="仿宋_GB2312" w:hAnsi="Calibri" w:eastAsia="仿宋_GB2312"/>
          <w:b/>
          <w:color w:val="auto"/>
          <w:sz w:val="28"/>
          <w:szCs w:val="28"/>
          <w:highlight w:val="none"/>
        </w:rPr>
        <w:t>》（发改财金〔2018〕1704号）</w:t>
      </w:r>
    </w:p>
    <w:p w14:paraId="70DFDE68">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0A61641">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70589D1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3DC9669C">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29261E1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7AD20EB0">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59A8CAFC">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3875C6C">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1661" w:name="OLE_LINK18"/>
      <w:bookmarkStart w:id="1662" w:name="OLE_LINK17"/>
      <w:r>
        <w:rPr>
          <w:rFonts w:hint="eastAsia" w:ascii="仿宋_GB2312" w:hAnsi="Calibri" w:eastAsia="仿宋_GB2312"/>
          <w:b/>
          <w:color w:val="auto"/>
          <w:sz w:val="28"/>
          <w:szCs w:val="28"/>
          <w:highlight w:val="none"/>
        </w:rPr>
        <w:t>建筑市场信用管理暂行办法</w:t>
      </w:r>
      <w:bookmarkEnd w:id="1661"/>
      <w:bookmarkEnd w:id="1662"/>
      <w:r>
        <w:rPr>
          <w:rFonts w:hint="eastAsia" w:ascii="仿宋_GB2312" w:hAnsi="Calibri" w:eastAsia="仿宋_GB2312"/>
          <w:b/>
          <w:color w:val="auto"/>
          <w:sz w:val="28"/>
          <w:szCs w:val="28"/>
          <w:highlight w:val="none"/>
        </w:rPr>
        <w:t>》（建市〔2017〕241号）</w:t>
      </w:r>
    </w:p>
    <w:p w14:paraId="75D688AC">
      <w:pPr>
        <w:adjustRightInd w:val="0"/>
        <w:snapToGrid w:val="0"/>
        <w:spacing w:line="560" w:lineRule="exact"/>
        <w:rPr>
          <w:rFonts w:hint="eastAsia" w:ascii="仿宋_GB2312" w:hAnsi="宋体" w:eastAsia="仿宋_GB2312"/>
          <w:b/>
          <w:color w:val="auto"/>
          <w:sz w:val="28"/>
          <w:szCs w:val="28"/>
          <w:highlight w:val="none"/>
        </w:rPr>
      </w:pPr>
    </w:p>
    <w:p w14:paraId="617032D6">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663" w:name="OLE_LINK20"/>
      <w:bookmarkStart w:id="1664" w:name="OLE_LINK19"/>
      <w:r>
        <w:rPr>
          <w:rFonts w:hint="eastAsia" w:ascii="仿宋_GB2312" w:hAnsi="宋体" w:eastAsia="仿宋_GB2312"/>
          <w:b/>
          <w:color w:val="auto"/>
          <w:sz w:val="28"/>
          <w:szCs w:val="28"/>
          <w:highlight w:val="none"/>
        </w:rPr>
        <w:t>政府采购严重失信行为</w:t>
      </w:r>
      <w:bookmarkEnd w:id="1663"/>
      <w:bookmarkEnd w:id="1664"/>
    </w:p>
    <w:p w14:paraId="365922FE">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705274BC">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9C81F24">
      <w:pPr>
        <w:adjustRightInd w:val="0"/>
        <w:snapToGrid w:val="0"/>
        <w:spacing w:line="560" w:lineRule="exact"/>
        <w:rPr>
          <w:rFonts w:hint="eastAsia" w:ascii="仿宋_GB2312" w:hAnsi="宋体" w:eastAsia="仿宋_GB2312"/>
          <w:b/>
          <w:color w:val="auto"/>
          <w:sz w:val="28"/>
          <w:szCs w:val="28"/>
          <w:highlight w:val="none"/>
        </w:rPr>
      </w:pPr>
    </w:p>
    <w:p w14:paraId="0D49B8EE">
      <w:pPr>
        <w:adjustRightInd w:val="0"/>
        <w:snapToGrid w:val="0"/>
        <w:spacing w:line="560" w:lineRule="exact"/>
        <w:ind w:firstLine="615"/>
        <w:rPr>
          <w:rFonts w:hint="eastAsia"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22666464">
      <w:pPr>
        <w:pStyle w:val="2"/>
        <w:spacing w:before="200" w:after="200" w:line="600" w:lineRule="exact"/>
        <w:rPr>
          <w:rFonts w:hint="eastAsia" w:ascii="仿宋_GB2312" w:eastAsia="仿宋_GB2312"/>
          <w:b w:val="0"/>
          <w:color w:val="auto"/>
          <w:sz w:val="32"/>
          <w:szCs w:val="32"/>
          <w:highlight w:val="none"/>
        </w:rPr>
      </w:pPr>
    </w:p>
    <w:p w14:paraId="2EF7813A">
      <w:pPr>
        <w:rPr>
          <w:color w:val="auto"/>
          <w:highlight w:val="none"/>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ctionIcon">
    <w:altName w:val="XcGJSymbol"/>
    <w:panose1 w:val="00000000000000000000"/>
    <w:charset w:val="00"/>
    <w:family w:val="auto"/>
    <w:pitch w:val="default"/>
    <w:sig w:usb0="00000000" w:usb1="00000000" w:usb2="00000000" w:usb3="00000000" w:csb0="00000000" w:csb1="00000000"/>
  </w:font>
  <w:font w:name="SourceHanSansCN-Regular">
    <w:altName w:val="XcGJSymbol"/>
    <w:panose1 w:val="00000000000000000000"/>
    <w:charset w:val="00"/>
    <w:family w:val="auto"/>
    <w:pitch w:val="default"/>
    <w:sig w:usb0="00000000" w:usb1="00000000" w:usb2="00000000" w:usb3="00000000" w:csb0="00000000" w:csb1="00000000"/>
  </w:font>
  <w:font w:name="ModIcon">
    <w:altName w:val="XcGJSymbol"/>
    <w:panose1 w:val="00000000000000000000"/>
    <w:charset w:val="00"/>
    <w:family w:val="auto"/>
    <w:pitch w:val="default"/>
    <w:sig w:usb0="00000000" w:usb1="00000000" w:usb2="00000000" w:usb3="00000000" w:csb0="00000000" w:csb1="00000000"/>
  </w:font>
  <w:font w:name="monospac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ActionIcon ! important">
    <w:altName w:val="XcGJSymbo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6F10E">
    <w:pPr>
      <w:pStyle w:val="14"/>
      <w:jc w:val="right"/>
    </w:pPr>
    <w:r>
      <w:fldChar w:fldCharType="begin"/>
    </w:r>
    <w:r>
      <w:instrText xml:space="preserve">PAGE   \* MERGEFORMAT</w:instrText>
    </w:r>
    <w:r>
      <w:fldChar w:fldCharType="separate"/>
    </w:r>
    <w:r>
      <w:rPr>
        <w:lang w:val="zh-CN"/>
      </w:rPr>
      <w:t>123</w:t>
    </w:r>
    <w:r>
      <w:fldChar w:fldCharType="end"/>
    </w:r>
  </w:p>
  <w:p w14:paraId="3D4686CA">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704443EE">
      <w:pPr>
        <w:pStyle w:val="17"/>
        <w:rPr>
          <w:rFonts w:hint="eastAsia"/>
        </w:rPr>
      </w:pPr>
    </w:p>
  </w:footnote>
  <w:footnote w:id="1">
    <w:p w14:paraId="3F153D21">
      <w:pPr>
        <w:pStyle w:val="17"/>
        <w:rPr>
          <w:rFonts w:hint="eastAsia"/>
        </w:rPr>
      </w:pPr>
      <w:r>
        <w:rPr>
          <w:rStyle w:val="33"/>
        </w:rPr>
        <w:footnoteRef/>
      </w:r>
      <w:r>
        <w:rPr>
          <w:rFonts w:hint="eastAsia"/>
        </w:rPr>
        <w:t>招标代理服务费可由招标人支付，也可由中标单位代为支付。如由中标单位代为支付，招标人招标时可将该费用列入工程量清单及最高投标限价中的其他项目清单中，此项费用为不可竞争费，投标人投标时不得下浮。项目结算时凭票据实计入工程结算价款中。</w:t>
      </w:r>
    </w:p>
  </w:footnote>
  <w:footnote w:id="2">
    <w:p w14:paraId="4C468589">
      <w:pPr>
        <w:pStyle w:val="17"/>
        <w:tabs>
          <w:tab w:val="left" w:pos="8104"/>
        </w:tabs>
        <w:rPr>
          <w:rFonts w:hint="eastAsia"/>
        </w:rPr>
      </w:pPr>
      <w:r>
        <w:rPr>
          <w:rStyle w:val="33"/>
        </w:rPr>
        <w:footnoteRef/>
      </w:r>
      <w:r>
        <w:t xml:space="preserve"> </w:t>
      </w:r>
      <w:r>
        <w:rPr>
          <w:rFonts w:hint="eastAsia"/>
        </w:rPr>
        <w:t>采用综合评估法和EPC综合评估法并设置业绩</w:t>
      </w:r>
      <w:r>
        <w:rPr>
          <w:rFonts w:hint="eastAsia" w:ascii="宋体" w:hAnsi="宋体" w:cs="宋体"/>
          <w:color w:val="000000"/>
          <w:szCs w:val="21"/>
        </w:rPr>
        <w:t>和奖项</w:t>
      </w:r>
      <w:r>
        <w:rPr>
          <w:rFonts w:hint="eastAsia"/>
        </w:rPr>
        <w:t>评分项的项目适用本款。</w:t>
      </w:r>
      <w:r>
        <w:tab/>
      </w:r>
    </w:p>
  </w:footnote>
  <w:footnote w:id="3">
    <w:p w14:paraId="1CA463B8">
      <w:pPr>
        <w:pStyle w:val="17"/>
        <w:rPr>
          <w:rStyle w:val="33"/>
          <w:rFonts w:hint="eastAsia" w:ascii="宋体" w:hAnsi="宋体" w:cs="宋体"/>
          <w:bCs/>
          <w:snapToGrid w:val="0"/>
          <w:color w:val="000000"/>
          <w:kern w:val="0"/>
          <w:sz w:val="28"/>
          <w:szCs w:val="28"/>
        </w:rPr>
      </w:pPr>
      <w:r>
        <w:rPr>
          <w:rStyle w:val="33"/>
          <w:rFonts w:hint="eastAsia" w:ascii="宋体" w:hAnsi="宋体" w:cs="宋体"/>
          <w:bCs/>
          <w:snapToGrid w:val="0"/>
          <w:color w:val="000000"/>
          <w:kern w:val="0"/>
          <w:sz w:val="28"/>
          <w:szCs w:val="28"/>
        </w:rPr>
        <w:footnoteRef/>
      </w:r>
      <w:r>
        <w:rPr>
          <w:rStyle w:val="33"/>
          <w:rFonts w:hint="eastAsia" w:ascii="宋体" w:hAnsi="宋体" w:cs="宋体"/>
          <w:bCs/>
          <w:snapToGrid w:val="0"/>
          <w:color w:val="000000"/>
          <w:kern w:val="0"/>
          <w:sz w:val="28"/>
          <w:szCs w:val="28"/>
        </w:rPr>
        <w:t xml:space="preserve"> </w:t>
      </w:r>
      <w:r>
        <w:rPr>
          <w:rFonts w:hint="eastAsia" w:ascii="宋体" w:hAnsi="宋体" w:cs="宋体"/>
          <w:bCs/>
          <w:snapToGrid w:val="0"/>
          <w:color w:val="000000"/>
          <w:kern w:val="0"/>
          <w:sz w:val="28"/>
          <w:szCs w:val="28"/>
          <w:vertAlign w:val="superscript"/>
        </w:rPr>
        <w:t>履约保证金和预付款实行对等原则，不支付预付款的项目招标人不得收取履约保证金。</w:t>
      </w:r>
    </w:p>
  </w:footnote>
  <w:footnote w:id="4">
    <w:p w14:paraId="26108746">
      <w:pPr>
        <w:pStyle w:val="17"/>
        <w:adjustRightInd w:val="0"/>
        <w:rPr>
          <w:rFonts w:hint="eastAsia" w:ascii="宋体" w:hAnsi="宋体" w:cs="宋体"/>
          <w:bCs/>
          <w:snapToGrid w:val="0"/>
          <w:color w:val="FF0000"/>
          <w:kern w:val="0"/>
          <w:sz w:val="21"/>
          <w:szCs w:val="21"/>
        </w:rPr>
      </w:pPr>
      <w:r>
        <w:rPr>
          <w:rStyle w:val="33"/>
          <w:rFonts w:hint="eastAsia" w:ascii="宋体" w:hAnsi="宋体" w:cs="宋体"/>
          <w:bCs/>
          <w:snapToGrid w:val="0"/>
          <w:color w:val="000000"/>
          <w:kern w:val="0"/>
          <w:sz w:val="28"/>
          <w:szCs w:val="28"/>
        </w:rPr>
        <w:footnoteRef/>
      </w:r>
      <w:r>
        <w:rPr>
          <w:rStyle w:val="33"/>
          <w:rFonts w:hint="eastAsia" w:ascii="宋体" w:hAnsi="宋体" w:cs="宋体"/>
          <w:bCs/>
          <w:snapToGrid w:val="0"/>
          <w:color w:val="000000"/>
          <w:kern w:val="0"/>
          <w:sz w:val="28"/>
          <w:szCs w:val="28"/>
        </w:rPr>
        <w:t xml:space="preserve"> </w:t>
      </w:r>
      <w:r>
        <w:rPr>
          <w:rFonts w:hint="eastAsia" w:ascii="宋体" w:hAnsi="宋体" w:cs="宋体"/>
          <w:bCs/>
          <w:snapToGrid w:val="0"/>
          <w:color w:val="000000"/>
          <w:kern w:val="0"/>
          <w:sz w:val="28"/>
          <w:szCs w:val="28"/>
          <w:vertAlign w:val="superscript"/>
        </w:rPr>
        <w:t>对获得国家级、省级和市级优质工程奖项的，分别按照不低于合同价的1.5%、1.0%和0.8%的标准用于工程创优。</w:t>
      </w:r>
    </w:p>
  </w:footnote>
  <w:footnote w:id="5">
    <w:p w14:paraId="41316EB9"/>
    <w:p w14:paraId="789E62FB">
      <w:pPr>
        <w:pStyle w:val="17"/>
        <w:rPr>
          <w:rFonts w:hint="eastAsia" w:ascii="宋体" w:hAnsi="宋体" w:cs="宋体"/>
          <w:b/>
          <w:snapToGrid w:val="0"/>
          <w:color w:val="E36C09"/>
          <w:kern w:val="0"/>
          <w:sz w:val="28"/>
          <w:szCs w:val="28"/>
          <w:vertAlign w:val="superscript"/>
        </w:rPr>
      </w:pPr>
    </w:p>
  </w:footnote>
  <w:footnote w:id="6">
    <w:p w14:paraId="39D5EEFC">
      <w:pPr>
        <w:pStyle w:val="17"/>
        <w:rPr>
          <w:rStyle w:val="33"/>
          <w:rFonts w:hint="eastAsia" w:ascii="宋体" w:hAnsi="宋体" w:cs="宋体"/>
          <w:bCs/>
          <w:snapToGrid w:val="0"/>
          <w:color w:val="000000"/>
          <w:kern w:val="0"/>
          <w:sz w:val="28"/>
          <w:szCs w:val="28"/>
        </w:rPr>
      </w:pPr>
      <w:r>
        <w:rPr>
          <w:rStyle w:val="33"/>
          <w:rFonts w:hint="eastAsia" w:ascii="宋体" w:hAnsi="宋体" w:cs="宋体"/>
          <w:bCs/>
          <w:snapToGrid w:val="0"/>
          <w:color w:val="000000"/>
          <w:kern w:val="0"/>
          <w:sz w:val="28"/>
          <w:szCs w:val="28"/>
        </w:rPr>
        <w:footnoteRef/>
      </w:r>
      <w:r>
        <w:rPr>
          <w:rStyle w:val="33"/>
          <w:rFonts w:hint="eastAsia" w:ascii="宋体" w:hAnsi="宋体" w:cs="宋体"/>
          <w:bCs/>
          <w:snapToGrid w:val="0"/>
          <w:color w:val="000000"/>
          <w:kern w:val="0"/>
          <w:sz w:val="28"/>
          <w:szCs w:val="28"/>
        </w:rPr>
        <w:t xml:space="preserve"> 明确约定主要材料的范围、风险幅度和调整方法，对主要材料价格不得采用无限风险、所有风险等类似表述。合同中应明确主要材料价差在5%以内（含5%）的，由施工单位承担，超过5%以上部分的价差，由建设单位承担。</w:t>
      </w:r>
    </w:p>
  </w:footnote>
  <w:footnote w:id="7">
    <w:p w14:paraId="50D0BF0C">
      <w:pPr>
        <w:pStyle w:val="17"/>
        <w:adjustRightInd w:val="0"/>
        <w:snapToGrid w:val="0"/>
        <w:spacing w:line="320" w:lineRule="atLeast"/>
        <w:rPr>
          <w:rStyle w:val="33"/>
          <w:rFonts w:hint="eastAsia" w:ascii="宋体" w:hAnsi="宋体" w:cs="宋体"/>
          <w:bCs/>
          <w:snapToGrid w:val="0"/>
          <w:color w:val="FF0000"/>
          <w:kern w:val="0"/>
          <w:sz w:val="24"/>
          <w:szCs w:val="24"/>
        </w:rPr>
      </w:pPr>
      <w:r>
        <w:rPr>
          <w:rStyle w:val="33"/>
          <w:rFonts w:hint="eastAsia" w:ascii="宋体" w:hAnsi="宋体" w:cs="宋体"/>
          <w:bCs/>
          <w:snapToGrid w:val="0"/>
          <w:color w:val="000000"/>
          <w:kern w:val="0"/>
          <w:sz w:val="36"/>
          <w:szCs w:val="24"/>
        </w:rPr>
        <w:footnoteRef/>
      </w:r>
      <w:r>
        <w:rPr>
          <w:rStyle w:val="33"/>
          <w:rFonts w:hint="eastAsia" w:ascii="宋体" w:hAnsi="宋体" w:cs="宋体"/>
          <w:bCs/>
          <w:snapToGrid w:val="0"/>
          <w:color w:val="000000"/>
          <w:kern w:val="0"/>
          <w:sz w:val="36"/>
          <w:szCs w:val="24"/>
        </w:rPr>
        <w:t xml:space="preserve"> </w:t>
      </w:r>
      <w:r>
        <w:rPr>
          <w:rStyle w:val="33"/>
          <w:rFonts w:hint="eastAsia" w:ascii="宋体" w:hAnsi="宋体" w:cs="宋体"/>
          <w:bCs/>
          <w:snapToGrid w:val="0"/>
          <w:color w:val="FF0000"/>
          <w:kern w:val="0"/>
          <w:sz w:val="36"/>
          <w:szCs w:val="24"/>
        </w:rPr>
        <w:t>政府投资项目不得由施工企业垫资建设。</w:t>
      </w:r>
      <w:r>
        <w:rPr>
          <w:rFonts w:hint="eastAsia" w:ascii="宋体" w:hAnsi="宋体" w:cs="宋体"/>
          <w:bCs/>
          <w:snapToGrid w:val="0"/>
          <w:color w:val="FF0000"/>
          <w:kern w:val="0"/>
          <w:sz w:val="36"/>
          <w:szCs w:val="24"/>
          <w:vertAlign w:val="superscript"/>
        </w:rPr>
        <w:t>预付款和履约保证金实行对等原则，不支付预付款的项目招标人不得收取履约保证金；招标人应</w:t>
      </w:r>
      <w:r>
        <w:rPr>
          <w:rStyle w:val="33"/>
          <w:rFonts w:hint="eastAsia" w:ascii="宋体" w:hAnsi="宋体" w:cs="宋体"/>
          <w:bCs/>
          <w:snapToGrid w:val="0"/>
          <w:color w:val="FF0000"/>
          <w:kern w:val="0"/>
          <w:sz w:val="36"/>
          <w:szCs w:val="24"/>
        </w:rPr>
        <w:t>强化合同履约意识，规范工程价款结算。在具备施工条件的前提下，发包人应在合同签订后一个月内或不迟于约定的开工日期前7天内预付工程款。</w:t>
      </w:r>
    </w:p>
  </w:footnote>
  <w:footnote w:id="8">
    <w:p w14:paraId="463C1780">
      <w:pPr>
        <w:widowControl/>
        <w:shd w:val="clear" w:color="auto" w:fill="FFFFFF"/>
        <w:spacing w:before="300" w:after="225" w:line="360" w:lineRule="atLeast"/>
        <w:jc w:val="left"/>
        <w:rPr>
          <w:rFonts w:ascii="Arial" w:hAnsi="Arial" w:cs="Arial"/>
          <w:color w:val="000000"/>
          <w:sz w:val="32"/>
          <w:szCs w:val="32"/>
        </w:rPr>
      </w:pPr>
      <w:r>
        <w:rPr>
          <w:rFonts w:hint="eastAsia" w:ascii="宋体" w:hAnsi="宋体" w:cs="宋体"/>
          <w:bCs/>
          <w:snapToGrid w:val="0"/>
          <w:color w:val="000000"/>
          <w:kern w:val="0"/>
          <w:sz w:val="32"/>
          <w:szCs w:val="32"/>
          <w:vertAlign w:val="superscript"/>
        </w:rPr>
        <w:footnoteRef/>
      </w:r>
      <w:r>
        <w:rPr>
          <w:rFonts w:hint="eastAsia" w:ascii="宋体" w:hAnsi="宋体" w:cs="宋体"/>
          <w:bCs/>
          <w:snapToGrid w:val="0"/>
          <w:color w:val="000000"/>
          <w:kern w:val="0"/>
          <w:sz w:val="32"/>
          <w:szCs w:val="32"/>
          <w:vertAlign w:val="superscript"/>
        </w:rPr>
        <w:t xml:space="preserve"> 根据工程计量结果，办理期中价款结算，支付进度款。进度款支付不应低于期中结算价款的85%；建设单位不得以未竣工验收、未完成审计为由拖欠工程款，验收合格的分部工程必须在规定的结算周期内完成结算并支付（其中，人工费支付占完成产值达到85%的，月进度款应按照完成产值全额支付。因发包人原因致使支付延期的，招标人应当支付承包人银行同期活期存款利息）。</w:t>
      </w:r>
      <w:r>
        <w:rPr>
          <w:rFonts w:ascii="宋体" w:hAnsi="宋体" w:cs="宋体"/>
          <w:bCs/>
          <w:snapToGrid w:val="0"/>
          <w:color w:val="000000"/>
          <w:kern w:val="0"/>
          <w:sz w:val="32"/>
          <w:szCs w:val="32"/>
          <w:vertAlign w:val="superscript"/>
        </w:rPr>
        <w:t>建设单位应当向施工单位提供工程款支付担保。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footnote>
  <w:footnote w:id="9">
    <w:p w14:paraId="6FBAF9A0">
      <w:pPr>
        <w:pStyle w:val="17"/>
        <w:rPr>
          <w:rFonts w:hint="eastAsia" w:ascii="宋体" w:hAnsi="宋体" w:cs="宋体"/>
          <w:b/>
          <w:bCs/>
          <w:snapToGrid w:val="0"/>
          <w:color w:val="FF0000"/>
          <w:kern w:val="0"/>
          <w:sz w:val="24"/>
          <w:szCs w:val="24"/>
          <w:vertAlign w:val="superscript"/>
        </w:rPr>
      </w:pPr>
      <w:r>
        <w:rPr>
          <w:rFonts w:hint="eastAsia" w:ascii="宋体" w:hAnsi="宋体" w:cs="宋体"/>
          <w:b/>
          <w:bCs/>
          <w:snapToGrid w:val="0"/>
          <w:color w:val="FF0000"/>
          <w:kern w:val="0"/>
          <w:sz w:val="24"/>
          <w:szCs w:val="24"/>
          <w:vertAlign w:val="superscript"/>
        </w:rPr>
        <w:footnoteRef/>
      </w:r>
      <w:r>
        <w:rPr>
          <w:rFonts w:hint="eastAsia" w:ascii="宋体" w:hAnsi="宋体" w:cs="宋体"/>
          <w:b/>
          <w:bCs/>
          <w:snapToGrid w:val="0"/>
          <w:color w:val="FF0000"/>
          <w:kern w:val="0"/>
          <w:sz w:val="24"/>
          <w:szCs w:val="24"/>
          <w:vertAlign w:val="superscript"/>
        </w:rPr>
        <w:t>工程质量保证金总预留比例按工程价款结算总额的3%（政府投资的工程项目为2%）；质量保证金推行工程担保制度，可通过保函、保证保险等方式提供，相关部门和建设单位一律不得拒绝。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46D1">
    <w:pPr>
      <w:pStyle w:val="15"/>
      <w:jc w:val="left"/>
    </w:pPr>
    <w:r>
      <w:rPr>
        <w:rFonts w:hint="eastAsia"/>
      </w:rPr>
      <w:t>滁州市房屋建筑和市政基础设施工程施工招标文件示范文本2025年8月版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95199">
    <w:pPr>
      <w:pStyle w:val="14"/>
    </w:pPr>
    <w:r>
      <w:rPr>
        <w:rFonts w:hint="eastAsia"/>
      </w:rPr>
      <w:t>滁州市房屋建筑和市政基础设施工程施工招标文件示范文本2025年8月版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13D31A"/>
    <w:multiLevelType w:val="singleLevel"/>
    <w:tmpl w:val="B213D31A"/>
    <w:lvl w:ilvl="0" w:tentative="0">
      <w:start w:val="1"/>
      <w:numFmt w:val="decimal"/>
      <w:lvlText w:val="%1."/>
      <w:lvlJc w:val="left"/>
      <w:pPr>
        <w:tabs>
          <w:tab w:val="left" w:pos="312"/>
        </w:tabs>
        <w:ind w:left="120" w:firstLine="0"/>
      </w:pPr>
    </w:lvl>
  </w:abstractNum>
  <w:abstractNum w:abstractNumId="1">
    <w:nsid w:val="BC040CF6"/>
    <w:multiLevelType w:val="singleLevel"/>
    <w:tmpl w:val="BC040CF6"/>
    <w:lvl w:ilvl="0" w:tentative="0">
      <w:start w:val="2"/>
      <w:numFmt w:val="decimal"/>
      <w:suff w:val="nothing"/>
      <w:lvlText w:val="（%1）"/>
      <w:lvlJc w:val="left"/>
    </w:lvl>
  </w:abstractNum>
  <w:abstractNum w:abstractNumId="2">
    <w:nsid w:val="BFD0D545"/>
    <w:multiLevelType w:val="singleLevel"/>
    <w:tmpl w:val="BFD0D545"/>
    <w:lvl w:ilvl="0" w:tentative="0">
      <w:start w:val="3"/>
      <w:numFmt w:val="decimal"/>
      <w:suff w:val="nothing"/>
      <w:lvlText w:val="（%1）"/>
      <w:lvlJc w:val="left"/>
    </w:lvl>
  </w:abstractNum>
  <w:abstractNum w:abstractNumId="3">
    <w:nsid w:val="C4247D91"/>
    <w:multiLevelType w:val="singleLevel"/>
    <w:tmpl w:val="C4247D91"/>
    <w:lvl w:ilvl="0" w:tentative="0">
      <w:start w:val="1"/>
      <w:numFmt w:val="decimal"/>
      <w:suff w:val="nothing"/>
      <w:lvlText w:val="%1、"/>
      <w:lvlJc w:val="left"/>
      <w:rPr>
        <w:rFonts w:hint="default"/>
        <w:highlight w:val="none"/>
      </w:rPr>
    </w:lvl>
  </w:abstractNum>
  <w:abstractNum w:abstractNumId="4">
    <w:nsid w:val="440A7B14"/>
    <w:multiLevelType w:val="multilevel"/>
    <w:tmpl w:val="440A7B1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5E808D0"/>
    <w:multiLevelType w:val="multilevel"/>
    <w:tmpl w:val="45E808D0"/>
    <w:lvl w:ilvl="0" w:tentative="0">
      <w:start w:val="1"/>
      <w:numFmt w:val="chineseCountingThousand"/>
      <w:suff w:val="space"/>
      <w:lvlText w:val="%1"/>
      <w:lvlJc w:val="left"/>
      <w:pPr>
        <w:ind w:left="0" w:firstLine="0"/>
      </w:pPr>
      <w:rPr>
        <w:rFonts w:hint="eastAsia"/>
      </w:rPr>
    </w:lvl>
    <w:lvl w:ilvl="1" w:tentative="0">
      <w:start w:val="1"/>
      <w:numFmt w:val="decimal"/>
      <w:suff w:val="space"/>
      <w:lvlText w:val="%2"/>
      <w:lvlJc w:val="left"/>
      <w:pPr>
        <w:ind w:left="0" w:firstLine="0"/>
      </w:pPr>
      <w:rPr>
        <w:rFonts w:hint="eastAsia"/>
      </w:rPr>
    </w:lvl>
    <w:lvl w:ilvl="2" w:tentative="0">
      <w:start w:val="1"/>
      <w:numFmt w:val="decimal"/>
      <w:suff w:val="space"/>
      <w:lvlText w:val="%2.%3"/>
      <w:lvlJc w:val="left"/>
      <w:pPr>
        <w:ind w:left="0" w:firstLine="0"/>
      </w:pPr>
      <w:rPr>
        <w:rFonts w:hint="eastAsia"/>
      </w:rPr>
    </w:lvl>
    <w:lvl w:ilvl="3" w:tentative="0">
      <w:start w:val="1"/>
      <w:numFmt w:val="decimal"/>
      <w:suff w:val="space"/>
      <w:lvlText w:val="%2.%3.%4"/>
      <w:lvlJc w:val="left"/>
      <w:pPr>
        <w:ind w:left="0" w:firstLine="0"/>
      </w:pPr>
      <w:rPr>
        <w:rFonts w:hint="eastAsia"/>
      </w:rPr>
    </w:lvl>
    <w:lvl w:ilvl="4" w:tentative="0">
      <w:start w:val="1"/>
      <w:numFmt w:val="decimal"/>
      <w:suff w:val="space"/>
      <w:lvlText w:val="%2.%3.%4.%5"/>
      <w:lvlJc w:val="left"/>
      <w:pPr>
        <w:ind w:left="0" w:firstLine="0"/>
      </w:pPr>
      <w:rPr>
        <w:rFonts w:hint="eastAsia"/>
      </w:rPr>
    </w:lvl>
    <w:lvl w:ilvl="5" w:tentative="0">
      <w:start w:val="1"/>
      <w:numFmt w:val="decimal"/>
      <w:suff w:val="space"/>
      <w:lvlText w:val="%2.%3.%4.%5.%6"/>
      <w:lvlJc w:val="left"/>
      <w:pPr>
        <w:ind w:left="0" w:firstLine="0"/>
      </w:pPr>
      <w:rPr>
        <w:rFonts w:hint="eastAsia"/>
      </w:rPr>
    </w:lvl>
    <w:lvl w:ilvl="6" w:tentative="0">
      <w:start w:val="1"/>
      <w:numFmt w:val="decimal"/>
      <w:suff w:val="space"/>
      <w:lvlText w:val="%2.%3.%4.%5.%6.%7"/>
      <w:lvlJc w:val="left"/>
      <w:pPr>
        <w:ind w:left="0" w:firstLine="0"/>
      </w:pPr>
      <w:rPr>
        <w:rFonts w:hint="eastAsia"/>
      </w:rPr>
    </w:lvl>
    <w:lvl w:ilvl="7" w:tentative="0">
      <w:start w:val="1"/>
      <w:numFmt w:val="decimal"/>
      <w:suff w:val="space"/>
      <w:lvlText w:val="%2.%3.%4.%5.%6.%7.%8"/>
      <w:lvlJc w:val="left"/>
      <w:pPr>
        <w:ind w:left="0" w:firstLine="0"/>
      </w:pPr>
      <w:rPr>
        <w:rFonts w:hint="eastAsia"/>
      </w:rPr>
    </w:lvl>
    <w:lvl w:ilvl="8" w:tentative="0">
      <w:start w:val="1"/>
      <w:numFmt w:val="decimal"/>
      <w:suff w:val="space"/>
      <w:lvlText w:val="%2.%3.%4.%5.%6.%7.%8.%9"/>
      <w:lvlJc w:val="left"/>
      <w:pPr>
        <w:ind w:left="0" w:firstLine="0"/>
      </w:pPr>
      <w:rPr>
        <w:rFonts w:hint="eastAsia"/>
      </w:rPr>
    </w:lvl>
  </w:abstractNum>
  <w:abstractNum w:abstractNumId="6">
    <w:nsid w:val="646260FA"/>
    <w:multiLevelType w:val="multilevel"/>
    <w:tmpl w:val="646260FA"/>
    <w:lvl w:ilvl="0" w:tentative="0">
      <w:start w:val="1"/>
      <w:numFmt w:val="decimal"/>
      <w:pStyle w:val="40"/>
      <w:suff w:val="nothing"/>
      <w:lvlText w:val="表%1　"/>
      <w:lvlJc w:val="left"/>
      <w:pPr>
        <w:ind w:left="0" w:firstLine="0"/>
      </w:pPr>
      <w:rPr>
        <w:rFonts w:hint="eastAsia" w:ascii="黑体" w:hAnsi="Times New Roman" w:eastAsia="黑体"/>
        <w:b w:val="0"/>
        <w:i w:val="0"/>
        <w:color w:val="00000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FBF3256"/>
    <w:multiLevelType w:val="multilevel"/>
    <w:tmpl w:val="6FBF3256"/>
    <w:lvl w:ilvl="0" w:tentative="0">
      <w:start w:val="1"/>
      <w:numFmt w:val="japaneseCounting"/>
      <w:lvlText w:val="（%1）"/>
      <w:lvlJc w:val="left"/>
      <w:pPr>
        <w:ind w:left="900" w:hanging="9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F4BDC60"/>
    <w:multiLevelType w:val="singleLevel"/>
    <w:tmpl w:val="7F4BDC60"/>
    <w:lvl w:ilvl="0" w:tentative="0">
      <w:start w:val="1"/>
      <w:numFmt w:val="decimal"/>
      <w:suff w:val="nothing"/>
      <w:lvlText w:val="%1、"/>
      <w:lvlJc w:val="left"/>
      <w:pPr>
        <w:ind w:left="105" w:firstLine="0"/>
      </w:pPr>
    </w:lvl>
  </w:abstractNum>
  <w:abstractNum w:abstractNumId="9">
    <w:nsid w:val="7FCAE9BB"/>
    <w:multiLevelType w:val="singleLevel"/>
    <w:tmpl w:val="7FCAE9BB"/>
    <w:lvl w:ilvl="0" w:tentative="0">
      <w:start w:val="1"/>
      <w:numFmt w:val="decimal"/>
      <w:suff w:val="nothing"/>
      <w:lvlText w:val="%1、"/>
      <w:lvlJc w:val="left"/>
    </w:lvl>
  </w:abstractNum>
  <w:num w:numId="1">
    <w:abstractNumId w:val="6"/>
  </w:num>
  <w:num w:numId="2">
    <w:abstractNumId w:val="2"/>
  </w:num>
  <w:num w:numId="3">
    <w:abstractNumId w:val="1"/>
  </w:num>
  <w:num w:numId="4">
    <w:abstractNumId w:val="9"/>
  </w:num>
  <w:num w:numId="5">
    <w:abstractNumId w:val="0"/>
  </w:num>
  <w:num w:numId="6">
    <w:abstractNumId w:val="7"/>
  </w:num>
  <w:num w:numId="7">
    <w:abstractNumId w:val="8"/>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0"/>
    <w:footnote w:id="2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962164"/>
    <w:rsid w:val="0BBF43C3"/>
    <w:rsid w:val="0DF93BBD"/>
    <w:rsid w:val="185C36C6"/>
    <w:rsid w:val="1B6805D3"/>
    <w:rsid w:val="1CBB5358"/>
    <w:rsid w:val="1CD17324"/>
    <w:rsid w:val="201F4BD9"/>
    <w:rsid w:val="23FB6A25"/>
    <w:rsid w:val="295F626B"/>
    <w:rsid w:val="2A35437A"/>
    <w:rsid w:val="2A6273C8"/>
    <w:rsid w:val="2B45623B"/>
    <w:rsid w:val="306A50B1"/>
    <w:rsid w:val="318F6462"/>
    <w:rsid w:val="357104DC"/>
    <w:rsid w:val="357C0AAC"/>
    <w:rsid w:val="3F4C11FB"/>
    <w:rsid w:val="4CC27294"/>
    <w:rsid w:val="50FD6AED"/>
    <w:rsid w:val="5E271C32"/>
    <w:rsid w:val="651D1F2E"/>
    <w:rsid w:val="66C6034D"/>
    <w:rsid w:val="683230C8"/>
    <w:rsid w:val="6BDF5315"/>
    <w:rsid w:val="6C45457C"/>
    <w:rsid w:val="71E543EE"/>
    <w:rsid w:val="7E22156E"/>
    <w:rsid w:val="7F85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4"/>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5" w:lineRule="auto"/>
      <w:outlineLvl w:val="2"/>
    </w:pPr>
    <w:rPr>
      <w:b/>
      <w:bCs/>
      <w:kern w:val="0"/>
      <w:sz w:val="32"/>
      <w:szCs w:val="32"/>
    </w:rPr>
  </w:style>
  <w:style w:type="paragraph" w:styleId="6">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7">
    <w:name w:val="toc 7"/>
    <w:basedOn w:val="1"/>
    <w:next w:val="1"/>
    <w:qFormat/>
    <w:uiPriority w:val="39"/>
    <w:pPr>
      <w:ind w:left="1260"/>
      <w:jc w:val="left"/>
    </w:pPr>
    <w:rPr>
      <w:sz w:val="18"/>
      <w:szCs w:val="18"/>
    </w:rPr>
  </w:style>
  <w:style w:type="paragraph" w:styleId="8">
    <w:name w:val="Body Text 3"/>
    <w:basedOn w:val="1"/>
    <w:qFormat/>
    <w:uiPriority w:val="0"/>
    <w:rPr>
      <w:rFonts w:ascii="宋体"/>
      <w:sz w:val="24"/>
      <w:szCs w:val="20"/>
    </w:rPr>
  </w:style>
  <w:style w:type="paragraph" w:styleId="9">
    <w:name w:val="Body Text"/>
    <w:basedOn w:val="1"/>
    <w:next w:val="10"/>
    <w:qFormat/>
    <w:uiPriority w:val="0"/>
    <w:pPr>
      <w:spacing w:after="120" w:afterLines="0"/>
    </w:pPr>
  </w:style>
  <w:style w:type="paragraph" w:styleId="10">
    <w:name w:val="Date"/>
    <w:basedOn w:val="1"/>
    <w:next w:val="1"/>
    <w:qFormat/>
    <w:uiPriority w:val="0"/>
    <w:rPr>
      <w:sz w:val="24"/>
      <w:szCs w:val="20"/>
    </w:rPr>
  </w:style>
  <w:style w:type="paragraph" w:styleId="11">
    <w:name w:val="Body Text Indent"/>
    <w:basedOn w:val="1"/>
    <w:next w:val="12"/>
    <w:qFormat/>
    <w:uiPriority w:val="99"/>
    <w:pPr>
      <w:spacing w:after="120" w:afterLines="0"/>
      <w:ind w:left="420" w:leftChars="200"/>
    </w:pPr>
  </w:style>
  <w:style w:type="paragraph" w:styleId="12">
    <w:name w:val="envelope return"/>
    <w:basedOn w:val="1"/>
    <w:next w:val="7"/>
    <w:qFormat/>
    <w:uiPriority w:val="0"/>
    <w:pPr>
      <w:snapToGrid w:val="0"/>
    </w:pPr>
    <w:rPr>
      <w:rFonts w:ascii="Arial" w:hAnsi="Arial"/>
    </w:rPr>
  </w:style>
  <w:style w:type="paragraph" w:styleId="13">
    <w:name w:val="Plain Text"/>
    <w:basedOn w:val="1"/>
    <w:qFormat/>
    <w:uiPriority w:val="0"/>
    <w:rPr>
      <w:rFonts w:ascii="Courier New"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beforeLines="0" w:after="120" w:afterLines="0"/>
      <w:jc w:val="left"/>
    </w:pPr>
    <w:rPr>
      <w:b/>
      <w:bCs/>
      <w:caps/>
      <w:sz w:val="20"/>
      <w:szCs w:val="20"/>
    </w:rPr>
  </w:style>
  <w:style w:type="paragraph" w:styleId="17">
    <w:name w:val="footnote text"/>
    <w:basedOn w:val="1"/>
    <w:qFormat/>
    <w:uiPriority w:val="0"/>
    <w:rPr>
      <w:sz w:val="20"/>
      <w:szCs w:val="20"/>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9">
    <w:name w:val="Body Text First Indent 2"/>
    <w:basedOn w:val="11"/>
    <w:next w:val="1"/>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uiPriority w:val="0"/>
    <w:rPr>
      <w:color w:val="5C5C5C"/>
      <w:u w:val="none"/>
    </w:rPr>
  </w:style>
  <w:style w:type="character" w:styleId="25">
    <w:name w:val="Emphasis"/>
    <w:basedOn w:val="22"/>
    <w:qFormat/>
    <w:uiPriority w:val="0"/>
    <w:rPr>
      <w:b/>
      <w:bCs/>
    </w:rPr>
  </w:style>
  <w:style w:type="character" w:styleId="26">
    <w:name w:val="HTML Definition"/>
    <w:basedOn w:val="22"/>
    <w:uiPriority w:val="0"/>
  </w:style>
  <w:style w:type="character" w:styleId="27">
    <w:name w:val="HTML Typewriter"/>
    <w:basedOn w:val="22"/>
    <w:uiPriority w:val="0"/>
    <w:rPr>
      <w:rFonts w:hint="default" w:ascii="monospace" w:hAnsi="monospace" w:eastAsia="monospace" w:cs="monospace"/>
      <w:sz w:val="20"/>
    </w:rPr>
  </w:style>
  <w:style w:type="character" w:styleId="28">
    <w:name w:val="HTML Acronym"/>
    <w:basedOn w:val="22"/>
    <w:uiPriority w:val="0"/>
    <w:rPr>
      <w:bdr w:val="none" w:color="auto" w:sz="0" w:space="0"/>
    </w:rPr>
  </w:style>
  <w:style w:type="character" w:styleId="29">
    <w:name w:val="HTML Variable"/>
    <w:basedOn w:val="22"/>
    <w:uiPriority w:val="0"/>
  </w:style>
  <w:style w:type="character" w:styleId="30">
    <w:name w:val="Hyperlink"/>
    <w:qFormat/>
    <w:uiPriority w:val="99"/>
    <w:rPr>
      <w:color w:val="333333"/>
      <w:u w:val="none"/>
    </w:rPr>
  </w:style>
  <w:style w:type="character" w:styleId="31">
    <w:name w:val="HTML Code"/>
    <w:basedOn w:val="22"/>
    <w:uiPriority w:val="0"/>
    <w:rPr>
      <w:rFonts w:hint="default" w:ascii="monospace" w:hAnsi="monospace" w:eastAsia="monospace" w:cs="monospace"/>
      <w:sz w:val="20"/>
      <w:bdr w:val="none" w:color="auto" w:sz="0" w:space="0"/>
    </w:rPr>
  </w:style>
  <w:style w:type="character" w:styleId="32">
    <w:name w:val="HTML Cite"/>
    <w:basedOn w:val="22"/>
    <w:uiPriority w:val="0"/>
  </w:style>
  <w:style w:type="character" w:styleId="33">
    <w:name w:val="footnote reference"/>
    <w:qFormat/>
    <w:uiPriority w:val="0"/>
    <w:rPr>
      <w:vertAlign w:val="superscript"/>
    </w:rPr>
  </w:style>
  <w:style w:type="character" w:styleId="34">
    <w:name w:val="HTML Keyboard"/>
    <w:basedOn w:val="22"/>
    <w:uiPriority w:val="0"/>
    <w:rPr>
      <w:rFonts w:hint="default" w:ascii="monospace" w:hAnsi="monospace" w:eastAsia="monospace" w:cs="monospace"/>
      <w:sz w:val="20"/>
      <w:bdr w:val="none" w:color="auto" w:sz="0" w:space="0"/>
    </w:rPr>
  </w:style>
  <w:style w:type="character" w:styleId="35">
    <w:name w:val="HTML Sample"/>
    <w:basedOn w:val="22"/>
    <w:uiPriority w:val="0"/>
    <w:rPr>
      <w:rFonts w:ascii="monospace" w:hAnsi="monospace" w:eastAsia="monospace" w:cs="monospace"/>
    </w:rPr>
  </w:style>
  <w:style w:type="paragraph" w:customStyle="1" w:styleId="36">
    <w:name w:val="_Style 1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37">
    <w:name w:val="mini-outputtext1"/>
    <w:basedOn w:val="22"/>
    <w:qFormat/>
    <w:uiPriority w:val="0"/>
  </w:style>
  <w:style w:type="paragraph" w:customStyle="1" w:styleId="38">
    <w:name w:val="p0"/>
    <w:basedOn w:val="1"/>
    <w:qFormat/>
    <w:uiPriority w:val="0"/>
    <w:pPr>
      <w:widowControl/>
    </w:pPr>
    <w:rPr>
      <w:kern w:val="0"/>
      <w:szCs w:val="21"/>
    </w:rPr>
  </w:style>
  <w:style w:type="paragraph" w:customStyle="1" w:styleId="39">
    <w:name w:val="Table Paragraph"/>
    <w:basedOn w:val="1"/>
    <w:qFormat/>
    <w:uiPriority w:val="1"/>
    <w:rPr>
      <w:rFonts w:ascii="宋体" w:hAnsi="宋体" w:eastAsia="宋体" w:cs="宋体"/>
      <w:lang w:val="zh-CN" w:eastAsia="zh-CN" w:bidi="zh-CN"/>
    </w:rPr>
  </w:style>
  <w:style w:type="paragraph" w:customStyle="1" w:styleId="40">
    <w:name w:val="正文表标题"/>
    <w:next w:val="1"/>
    <w:qFormat/>
    <w:uiPriority w:val="0"/>
    <w:pPr>
      <w:numPr>
        <w:ilvl w:val="0"/>
        <w:numId w:val="1"/>
      </w:numPr>
      <w:spacing w:beforeLines="50" w:afterLines="50"/>
      <w:jc w:val="center"/>
    </w:pPr>
    <w:rPr>
      <w:rFonts w:ascii="黑体" w:hAnsi="Times New Roman" w:eastAsia="黑体" w:cs="Times New Roman"/>
      <w:caps/>
      <w:sz w:val="21"/>
      <w:lang w:val="en-US" w:eastAsia="zh-CN" w:bidi="ar-SA"/>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43">
    <w:name w:val="List Paragraph"/>
    <w:basedOn w:val="1"/>
    <w:qFormat/>
    <w:uiPriority w:val="1"/>
    <w:pPr>
      <w:ind w:left="354" w:firstLine="420"/>
    </w:pPr>
    <w:rPr>
      <w:rFonts w:ascii="宋体" w:hAnsi="宋体" w:eastAsia="宋体" w:cs="宋体"/>
      <w:lang w:val="zh-CN" w:eastAsia="zh-CN" w:bidi="zh-CN"/>
    </w:rPr>
  </w:style>
  <w:style w:type="paragraph" w:customStyle="1" w:styleId="44">
    <w:name w:val="范本-表格-宋体-五号-两端对齐"/>
    <w:basedOn w:val="1"/>
    <w:qFormat/>
    <w:uiPriority w:val="0"/>
    <w:pPr>
      <w:adjustRightInd w:val="0"/>
      <w:spacing w:line="400" w:lineRule="exact"/>
    </w:pPr>
    <w:rPr>
      <w:rFonts w:ascii="Calibri" w:hAnsi="Calibri" w:eastAsia="宋体" w:cs="Times New Roman"/>
      <w:szCs w:val="21"/>
    </w:rPr>
  </w:style>
  <w:style w:type="character" w:customStyle="1" w:styleId="45">
    <w:name w:val="hover1"/>
    <w:basedOn w:val="22"/>
    <w:uiPriority w:val="0"/>
    <w:rPr>
      <w:color w:val="2590EB"/>
    </w:rPr>
  </w:style>
  <w:style w:type="character" w:customStyle="1" w:styleId="46">
    <w:name w:val="hover2"/>
    <w:basedOn w:val="22"/>
    <w:uiPriority w:val="0"/>
    <w:rPr>
      <w:color w:val="2590EB"/>
    </w:rPr>
  </w:style>
  <w:style w:type="character" w:customStyle="1" w:styleId="47">
    <w:name w:val="hover3"/>
    <w:basedOn w:val="22"/>
    <w:uiPriority w:val="0"/>
    <w:rPr>
      <w:bdr w:val="none" w:color="AFD1EE" w:sz="0" w:space="0"/>
    </w:rPr>
  </w:style>
  <w:style w:type="character" w:customStyle="1" w:styleId="48">
    <w:name w:val="hover4"/>
    <w:basedOn w:val="22"/>
    <w:uiPriority w:val="0"/>
    <w:rPr>
      <w:color w:val="2590EB"/>
      <w:shd w:val="clear" w:fill="E9F4FD"/>
    </w:rPr>
  </w:style>
  <w:style w:type="character" w:customStyle="1" w:styleId="49">
    <w:name w:val="hover"/>
    <w:basedOn w:val="22"/>
    <w:uiPriority w:val="0"/>
    <w:rPr>
      <w:bdr w:val="none" w:color="AFD1EE" w:sz="0"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168</Pages>
  <Words>11157</Words>
  <Characters>12255</Characters>
  <Lines>0</Lines>
  <Paragraphs>0</Paragraphs>
  <TotalTime>36</TotalTime>
  <ScaleCrop>false</ScaleCrop>
  <LinksUpToDate>false</LinksUpToDate>
  <CharactersWithSpaces>12652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2026-01-14T06:06:00Z</dcterms:created>
  <dc:creator>Administrator</dc:creator>
  <cp:lastModifiedBy>朱启</cp:lastModifiedBy>
  <dcterms:modified xsi:type="dcterms:W3CDTF">2026-01-21T07:29:49Z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eyJoZGlkIjoiZTQ4OTM2MTIyODI3Njc5MTE5MDBiNjA4NzIzYTUzZmEiLCJ1c2VySWQiOiI3MDAwNjg2OTUifQ==</vt:lpwstr>
  </property>
  <property fmtid="{D5CDD505-2E9C-101B-9397-08002B2CF9AE}" pid="4" name="ICV">
    <vt:lpwstr>505D5E20B02D46EA82897D12250D58C5_12</vt:lpwstr>
  </property>
</Properties>
</file>