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3F1F6C2">
      <w:pPr>
        <w:spacing w:line="400" w:lineRule="atLeast"/>
        <w:jc w:val="center"/>
        <w:rPr>
          <w:rFonts w:hint="eastAsia" w:ascii="宋体" w:hAnsi="宋体" w:cs="宋体"/>
          <w:b/>
          <w:bCs/>
          <w:color w:val="auto"/>
          <w:spacing w:val="-10"/>
          <w:sz w:val="48"/>
          <w:szCs w:val="48"/>
          <w:highlight w:val="none"/>
          <w:lang w:val="en-US" w:eastAsia="zh-CN"/>
        </w:rPr>
      </w:pPr>
    </w:p>
    <w:p w14:paraId="5267EEAC">
      <w:pPr>
        <w:spacing w:line="400" w:lineRule="atLeast"/>
        <w:jc w:val="center"/>
        <w:rPr>
          <w:rFonts w:hint="eastAsia" w:ascii="宋体" w:hAnsi="宋体" w:cs="宋体"/>
          <w:b/>
          <w:bCs/>
          <w:color w:val="auto"/>
          <w:spacing w:val="-10"/>
          <w:sz w:val="48"/>
          <w:szCs w:val="48"/>
          <w:highlight w:val="none"/>
          <w:lang w:val="en-US" w:eastAsia="zh-CN"/>
        </w:rPr>
      </w:pPr>
    </w:p>
    <w:p w14:paraId="5997ACA2">
      <w:pPr>
        <w:spacing w:line="600" w:lineRule="auto"/>
        <w:jc w:val="center"/>
        <w:rPr>
          <w:rFonts w:hint="default" w:ascii="宋体" w:hAnsi="宋体" w:eastAsia="宋体" w:cs="宋体"/>
          <w:b/>
          <w:bCs/>
          <w:color w:val="auto"/>
          <w:sz w:val="98"/>
          <w:szCs w:val="98"/>
          <w:highlight w:val="none"/>
          <w:lang w:val="en-US"/>
        </w:rPr>
      </w:pPr>
      <w:r>
        <w:rPr>
          <w:rFonts w:hint="eastAsia" w:ascii="宋体" w:hAnsi="宋体" w:cs="宋体"/>
          <w:b/>
          <w:bCs/>
          <w:color w:val="auto"/>
          <w:spacing w:val="-10"/>
          <w:sz w:val="48"/>
          <w:szCs w:val="48"/>
          <w:highlight w:val="none"/>
          <w:lang w:val="en-US" w:eastAsia="zh-CN"/>
        </w:rPr>
        <w:t>明湖公园园路应急工程工程量清单及最高投标限价编制服务项目</w:t>
      </w:r>
    </w:p>
    <w:p w14:paraId="7DC230C6">
      <w:pPr>
        <w:spacing w:line="400" w:lineRule="atLeast"/>
        <w:jc w:val="center"/>
        <w:rPr>
          <w:rFonts w:hint="eastAsia" w:ascii="宋体" w:hAnsi="宋体" w:eastAsia="宋体" w:cs="宋体"/>
          <w:b/>
          <w:bCs/>
          <w:color w:val="auto"/>
          <w:sz w:val="98"/>
          <w:szCs w:val="98"/>
          <w:highlight w:val="none"/>
        </w:rPr>
      </w:pPr>
    </w:p>
    <w:p w14:paraId="0B676032">
      <w:pPr>
        <w:pStyle w:val="2"/>
        <w:rPr>
          <w:rFonts w:hint="eastAsia"/>
          <w:color w:val="auto"/>
          <w:highlight w:val="none"/>
        </w:rPr>
      </w:pPr>
    </w:p>
    <w:p w14:paraId="34C3FEB2">
      <w:pPr>
        <w:spacing w:line="400" w:lineRule="atLeast"/>
        <w:jc w:val="center"/>
        <w:rPr>
          <w:rFonts w:hint="eastAsia" w:ascii="宋体" w:hAnsi="宋体" w:eastAsia="宋体" w:cs="宋体"/>
          <w:b/>
          <w:bCs/>
          <w:color w:val="auto"/>
          <w:sz w:val="98"/>
          <w:szCs w:val="98"/>
          <w:highlight w:val="none"/>
        </w:rPr>
      </w:pPr>
      <w:r>
        <w:rPr>
          <w:rFonts w:hint="eastAsia" w:ascii="宋体" w:hAnsi="宋体" w:eastAsia="宋体" w:cs="宋体"/>
          <w:b/>
          <w:bCs/>
          <w:color w:val="auto"/>
          <w:sz w:val="98"/>
          <w:szCs w:val="98"/>
          <w:highlight w:val="none"/>
        </w:rPr>
        <w:t>招</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件</w:t>
      </w:r>
    </w:p>
    <w:p w14:paraId="7FF27D73">
      <w:pPr>
        <w:wordWrap w:val="0"/>
        <w:spacing w:line="800" w:lineRule="exact"/>
        <w:ind w:right="480"/>
        <w:jc w:val="center"/>
        <w:rPr>
          <w:rFonts w:hint="eastAsia" w:ascii="宋体" w:hAnsi="宋体" w:eastAsia="宋体" w:cs="宋体"/>
          <w:color w:val="auto"/>
          <w:sz w:val="32"/>
          <w:highlight w:val="none"/>
          <w:lang w:val="en-US" w:eastAsia="zh-CN"/>
        </w:rPr>
      </w:pPr>
    </w:p>
    <w:p w14:paraId="6228E25F">
      <w:pPr>
        <w:wordWrap w:val="0"/>
        <w:spacing w:line="800" w:lineRule="exact"/>
        <w:ind w:right="480"/>
        <w:jc w:val="center"/>
        <w:rPr>
          <w:rFonts w:hint="default" w:ascii="宋体" w:hAnsi="宋体" w:eastAsia="宋体" w:cs="宋体"/>
          <w:color w:val="auto"/>
          <w:sz w:val="28"/>
          <w:szCs w:val="20"/>
          <w:highlight w:val="none"/>
          <w:lang w:val="en-US" w:eastAsia="zh-CN"/>
        </w:rPr>
      </w:pPr>
      <w:r>
        <w:rPr>
          <w:rFonts w:hint="eastAsia" w:ascii="宋体" w:hAnsi="宋体" w:eastAsia="宋体" w:cs="宋体"/>
          <w:color w:val="auto"/>
          <w:sz w:val="28"/>
          <w:szCs w:val="20"/>
          <w:highlight w:val="none"/>
          <w:lang w:val="en-US" w:eastAsia="zh-CN"/>
        </w:rPr>
        <w:t>项目编号：HXJY1110001052036001</w:t>
      </w:r>
    </w:p>
    <w:p w14:paraId="1CCCA184">
      <w:pPr>
        <w:wordWrap w:val="0"/>
        <w:spacing w:line="800" w:lineRule="exact"/>
        <w:ind w:right="480"/>
        <w:jc w:val="center"/>
        <w:rPr>
          <w:rFonts w:hint="eastAsia" w:ascii="宋体" w:hAnsi="宋体" w:eastAsia="宋体" w:cs="宋体"/>
          <w:color w:val="auto"/>
          <w:sz w:val="28"/>
          <w:szCs w:val="20"/>
          <w:highlight w:val="none"/>
          <w:lang w:val="en-US" w:eastAsia="zh-CN"/>
        </w:rPr>
      </w:pPr>
    </w:p>
    <w:p w14:paraId="2968F6F1">
      <w:pPr>
        <w:spacing w:line="480" w:lineRule="exact"/>
        <w:ind w:firstLine="472" w:firstLineChars="147"/>
        <w:rPr>
          <w:rFonts w:hint="eastAsia" w:ascii="宋体" w:hAnsi="宋体" w:eastAsia="宋体" w:cs="宋体"/>
          <w:b/>
          <w:bCs/>
          <w:color w:val="auto"/>
          <w:sz w:val="32"/>
          <w:szCs w:val="32"/>
          <w:highlight w:val="none"/>
        </w:rPr>
      </w:pPr>
    </w:p>
    <w:p w14:paraId="59E21AA2">
      <w:pPr>
        <w:rPr>
          <w:rFonts w:hint="eastAsia" w:ascii="宋体" w:hAnsi="宋体" w:eastAsia="宋体" w:cs="宋体"/>
          <w:b/>
          <w:bCs/>
          <w:color w:val="auto"/>
          <w:sz w:val="32"/>
          <w:szCs w:val="32"/>
          <w:highlight w:val="none"/>
        </w:rPr>
      </w:pPr>
    </w:p>
    <w:p w14:paraId="7D61AF7C">
      <w:pPr>
        <w:rPr>
          <w:rFonts w:hint="eastAsia" w:ascii="宋体" w:hAnsi="宋体" w:eastAsia="宋体" w:cs="宋体"/>
          <w:b/>
          <w:bCs/>
          <w:color w:val="auto"/>
          <w:sz w:val="32"/>
          <w:szCs w:val="32"/>
          <w:highlight w:val="none"/>
        </w:rPr>
      </w:pPr>
    </w:p>
    <w:p w14:paraId="311E90DF">
      <w:pPr>
        <w:rPr>
          <w:rFonts w:hint="eastAsia" w:ascii="宋体" w:hAnsi="宋体" w:eastAsia="宋体" w:cs="宋体"/>
          <w:color w:val="auto"/>
          <w:highlight w:val="none"/>
        </w:rPr>
      </w:pPr>
    </w:p>
    <w:p w14:paraId="6224BB2F">
      <w:pPr>
        <w:rPr>
          <w:rFonts w:hint="eastAsia" w:ascii="宋体" w:hAnsi="宋体" w:eastAsia="宋体" w:cs="宋体"/>
          <w:color w:val="auto"/>
          <w:highlight w:val="none"/>
        </w:rPr>
      </w:pPr>
    </w:p>
    <w:p w14:paraId="44D60B52">
      <w:pPr>
        <w:wordWrap w:val="0"/>
        <w:spacing w:line="800" w:lineRule="exact"/>
        <w:ind w:right="480"/>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lang w:val="en-US" w:eastAsia="zh-CN"/>
        </w:rPr>
        <w:t>招标</w:t>
      </w:r>
      <w:r>
        <w:rPr>
          <w:rFonts w:hint="eastAsia" w:ascii="宋体" w:hAnsi="宋体" w:cs="宋体"/>
          <w:color w:val="auto"/>
          <w:sz w:val="32"/>
          <w:highlight w:val="none"/>
          <w:lang w:val="en-US" w:eastAsia="zh-CN"/>
        </w:rPr>
        <w:t>人</w:t>
      </w:r>
      <w:r>
        <w:rPr>
          <w:rFonts w:hint="eastAsia" w:ascii="宋体" w:hAnsi="宋体" w:eastAsia="宋体" w:cs="宋体"/>
          <w:color w:val="auto"/>
          <w:sz w:val="32"/>
          <w:highlight w:val="none"/>
        </w:rPr>
        <w:t>：</w:t>
      </w:r>
      <w:r>
        <w:rPr>
          <w:rFonts w:hint="eastAsia" w:ascii="宋体" w:cs="宋体"/>
          <w:color w:val="auto"/>
          <w:sz w:val="32"/>
          <w:highlight w:val="none"/>
          <w:u w:val="single"/>
          <w:lang w:val="en-US" w:eastAsia="zh-CN"/>
        </w:rPr>
        <w:t>滁州市明湖建设管理服务中心</w:t>
      </w:r>
    </w:p>
    <w:p w14:paraId="7964B908">
      <w:pPr>
        <w:spacing w:line="800" w:lineRule="exact"/>
        <w:ind w:firstLine="1600" w:firstLineChars="500"/>
        <w:jc w:val="both"/>
        <w:rPr>
          <w:rFonts w:hint="eastAsia" w:ascii="宋体" w:hAnsi="宋体" w:eastAsia="宋体" w:cs="宋体"/>
          <w:color w:val="auto"/>
          <w:sz w:val="32"/>
          <w:highlight w:val="none"/>
          <w:u w:val="single"/>
        </w:rPr>
      </w:pPr>
      <w:r>
        <w:rPr>
          <w:rFonts w:hint="eastAsia" w:ascii="宋体" w:hAnsi="宋体" w:eastAsia="宋体" w:cs="宋体"/>
          <w:color w:val="auto"/>
          <w:sz w:val="32"/>
          <w:highlight w:val="none"/>
        </w:rPr>
        <w:t>代理机构：</w:t>
      </w:r>
      <w:r>
        <w:rPr>
          <w:rFonts w:hint="eastAsia" w:ascii="宋体" w:hAnsi="宋体" w:eastAsia="宋体" w:cs="宋体"/>
          <w:color w:val="auto"/>
          <w:sz w:val="32"/>
          <w:highlight w:val="none"/>
          <w:u w:val="single"/>
        </w:rPr>
        <w:t>滁州市城投工程咨询管理有限公司</w:t>
      </w:r>
    </w:p>
    <w:p w14:paraId="10160BEE">
      <w:pPr>
        <w:spacing w:line="800" w:lineRule="exact"/>
        <w:jc w:val="center"/>
        <w:rPr>
          <w:rFonts w:hint="eastAsia" w:ascii="宋体" w:hAnsi="宋体" w:eastAsia="宋体" w:cs="宋体"/>
          <w:color w:val="auto"/>
          <w:sz w:val="32"/>
          <w:highlight w:val="none"/>
          <w:lang w:eastAsia="zh-CN"/>
        </w:rPr>
      </w:pPr>
      <w:r>
        <w:rPr>
          <w:rFonts w:hint="eastAsia" w:ascii="宋体" w:hAnsi="宋体" w:cs="宋体"/>
          <w:color w:val="auto"/>
          <w:sz w:val="32"/>
          <w:highlight w:val="none"/>
          <w:u w:val="none"/>
          <w:lang w:eastAsia="zh-CN"/>
        </w:rPr>
        <w:t>2026年2月</w:t>
      </w:r>
      <w:r>
        <w:rPr>
          <w:rFonts w:hint="eastAsia" w:ascii="宋体" w:hAnsi="宋体" w:cs="宋体"/>
          <w:color w:val="auto"/>
          <w:sz w:val="32"/>
          <w:highlight w:val="none"/>
          <w:u w:val="none"/>
          <w:lang w:val="en-US" w:eastAsia="zh-CN"/>
        </w:rPr>
        <w:t>27</w:t>
      </w:r>
      <w:r>
        <w:rPr>
          <w:rFonts w:hint="eastAsia" w:ascii="宋体" w:hAnsi="宋体" w:cs="宋体"/>
          <w:color w:val="auto"/>
          <w:sz w:val="32"/>
          <w:highlight w:val="none"/>
          <w:u w:val="none"/>
          <w:lang w:eastAsia="zh-CN"/>
        </w:rPr>
        <w:t>日</w:t>
      </w:r>
    </w:p>
    <w:p w14:paraId="7559EB01">
      <w:pP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br w:type="page"/>
      </w:r>
    </w:p>
    <w:p w14:paraId="35F77A08">
      <w:pPr>
        <w:spacing w:line="800" w:lineRule="exact"/>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  录</w:t>
      </w:r>
    </w:p>
    <w:p w14:paraId="6259B4B0">
      <w:pPr>
        <w:pStyle w:val="32"/>
        <w:tabs>
          <w:tab w:val="right" w:leader="dot" w:pos="9541"/>
          <w:tab w:val="clear" w:pos="8296"/>
        </w:tabs>
        <w:rPr>
          <w:rFonts w:hint="eastAsia" w:ascii="宋体" w:hAnsi="宋体" w:eastAsia="宋体" w:cs="宋体"/>
          <w:b w:val="0"/>
          <w:bCs w:val="0"/>
          <w:color w:val="auto"/>
          <w:sz w:val="24"/>
          <w:szCs w:val="24"/>
          <w:highlight w:val="none"/>
        </w:rPr>
      </w:pPr>
    </w:p>
    <w:p w14:paraId="169A3C3F">
      <w:pPr>
        <w:pStyle w:val="32"/>
        <w:tabs>
          <w:tab w:val="right" w:leader="dot" w:pos="9541"/>
          <w:tab w:val="clear" w:pos="829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_Toc2570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A、 招标公告</w:t>
      </w:r>
      <w:r>
        <w:rPr>
          <w:rFonts w:hint="eastAsia" w:ascii="宋体" w:hAnsi="宋体" w:eastAsia="宋体" w:cs="宋体"/>
          <w:color w:val="auto"/>
          <w:sz w:val="28"/>
          <w:szCs w:val="28"/>
          <w:highlight w:val="none"/>
        </w:rPr>
        <w:tab/>
      </w:r>
      <w:r>
        <w:rPr>
          <w:rFonts w:hint="eastAsia"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p>
    <w:p w14:paraId="78C2286D">
      <w:pPr>
        <w:pStyle w:val="32"/>
        <w:tabs>
          <w:tab w:val="right" w:leader="dot" w:pos="9541"/>
          <w:tab w:val="clear" w:pos="829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_Toc24103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rPr>
        <w:t>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投标人须知</w:t>
      </w:r>
      <w:r>
        <w:rPr>
          <w:rFonts w:hint="eastAsia" w:ascii="宋体" w:hAnsi="宋体" w:eastAsia="宋体" w:cs="宋体"/>
          <w:color w:val="auto"/>
          <w:sz w:val="28"/>
          <w:szCs w:val="28"/>
          <w:highlight w:val="none"/>
        </w:rPr>
        <w:tab/>
      </w:r>
      <w:r>
        <w:rPr>
          <w:rFonts w:hint="eastAsia"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fldChar w:fldCharType="end"/>
      </w:r>
    </w:p>
    <w:p w14:paraId="0321A477">
      <w:pPr>
        <w:pStyle w:val="32"/>
        <w:tabs>
          <w:tab w:val="right" w:leader="dot" w:pos="9541"/>
          <w:tab w:val="clear" w:pos="8296"/>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_Toc21844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第二章 评标办法</w:t>
      </w:r>
      <w:r>
        <w:rPr>
          <w:rFonts w:hint="eastAsia" w:ascii="宋体" w:hAnsi="宋体" w:eastAsia="宋体" w:cs="宋体"/>
          <w:color w:val="auto"/>
          <w:sz w:val="28"/>
          <w:szCs w:val="28"/>
          <w:highlight w:val="none"/>
        </w:rPr>
        <w:tab/>
      </w:r>
      <w:r>
        <w:rPr>
          <w:rFonts w:hint="eastAsia"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hAnsi="宋体" w:eastAsia="宋体" w:cs="宋体"/>
          <w:color w:val="auto"/>
          <w:sz w:val="28"/>
          <w:szCs w:val="28"/>
          <w:highlight w:val="none"/>
          <w:lang w:val="en-US" w:eastAsia="zh-CN"/>
        </w:rPr>
        <w:t>8</w:t>
      </w:r>
    </w:p>
    <w:p w14:paraId="0135DC7D">
      <w:pPr>
        <w:pStyle w:val="32"/>
        <w:tabs>
          <w:tab w:val="right" w:leader="dot" w:pos="9541"/>
          <w:tab w:val="clear" w:pos="8296"/>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_Toc29967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第三章 合同条款</w:t>
      </w:r>
      <w:r>
        <w:rPr>
          <w:rFonts w:hint="eastAsia" w:ascii="宋体" w:hAnsi="宋体" w:eastAsia="宋体" w:cs="宋体"/>
          <w:color w:val="auto"/>
          <w:sz w:val="28"/>
          <w:szCs w:val="28"/>
          <w:highlight w:val="none"/>
        </w:rPr>
        <w:tab/>
      </w:r>
      <w:r>
        <w:rPr>
          <w:rFonts w:hint="eastAsia"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r>
        <w:rPr>
          <w:rFonts w:hint="eastAsia" w:hAnsi="宋体" w:eastAsia="宋体" w:cs="宋体"/>
          <w:color w:val="auto"/>
          <w:sz w:val="28"/>
          <w:szCs w:val="28"/>
          <w:highlight w:val="none"/>
          <w:lang w:val="en-US" w:eastAsia="zh-CN"/>
        </w:rPr>
        <w:t>4</w:t>
      </w:r>
    </w:p>
    <w:p w14:paraId="1D4A9845">
      <w:pPr>
        <w:pStyle w:val="32"/>
        <w:tabs>
          <w:tab w:val="right" w:leader="dot" w:pos="9541"/>
          <w:tab w:val="clear" w:pos="829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_Toc1482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第四章 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_Toc1482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w:t>
      </w:r>
      <w:r>
        <w:rPr>
          <w:rFonts w:hint="eastAsia"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EF6C0CD">
      <w:pPr>
        <w:pStyle w:val="32"/>
        <w:tabs>
          <w:tab w:val="right" w:leader="dot" w:pos="9541"/>
          <w:tab w:val="clear" w:pos="829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_Toc6595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第五章 招标单位、招标代理机构对本招标文件的确认</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_Toc6595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4C50B0C">
      <w:pPr>
        <w:rPr>
          <w:color w:val="auto"/>
          <w:highlight w:val="none"/>
        </w:rPr>
      </w:pPr>
      <w:r>
        <w:rPr>
          <w:rFonts w:hint="eastAsia" w:ascii="宋体" w:hAnsi="宋体" w:eastAsia="宋体" w:cs="宋体"/>
          <w:color w:val="auto"/>
          <w:sz w:val="28"/>
          <w:szCs w:val="28"/>
          <w:highlight w:val="none"/>
        </w:rPr>
        <w:fldChar w:fldCharType="end"/>
      </w:r>
    </w:p>
    <w:p w14:paraId="2E1D2DC7">
      <w:pPr>
        <w:pStyle w:val="6"/>
        <w:spacing w:before="0" w:after="0" w:line="48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p>
    <w:p w14:paraId="7DC563D7">
      <w:pPr>
        <w:rPr>
          <w:rFonts w:hint="eastAsia" w:ascii="宋体" w:hAnsi="宋体" w:eastAsia="宋体" w:cs="宋体"/>
          <w:color w:val="auto"/>
          <w:highlight w:val="none"/>
        </w:rPr>
        <w:sectPr>
          <w:footerReference r:id="rId5" w:type="first"/>
          <w:headerReference r:id="rId3" w:type="default"/>
          <w:footerReference r:id="rId4" w:type="default"/>
          <w:pgSz w:w="11906" w:h="16838"/>
          <w:pgMar w:top="1134" w:right="1106" w:bottom="1134" w:left="1259" w:header="680" w:footer="680" w:gutter="0"/>
          <w:pgNumType w:start="1"/>
          <w:cols w:space="0" w:num="1"/>
          <w:docGrid w:type="lines" w:linePitch="318" w:charSpace="0"/>
        </w:sectPr>
      </w:pPr>
      <w:r>
        <w:rPr>
          <w:rFonts w:hint="eastAsia" w:ascii="宋体" w:hAnsi="宋体" w:eastAsia="宋体" w:cs="宋体"/>
          <w:b w:val="0"/>
          <w:bCs w:val="0"/>
          <w:color w:val="auto"/>
          <w:sz w:val="24"/>
          <w:szCs w:val="24"/>
          <w:highlight w:val="none"/>
        </w:rPr>
        <w:tab/>
      </w:r>
      <w:bookmarkStart w:id="209" w:name="_GoBack"/>
      <w:bookmarkEnd w:id="209"/>
    </w:p>
    <w:p w14:paraId="3D41C168">
      <w:pPr>
        <w:pStyle w:val="6"/>
        <w:keepNext/>
        <w:keepLines/>
        <w:pageBreakBefore w:val="0"/>
        <w:widowControl w:val="0"/>
        <w:numPr>
          <w:ilvl w:val="0"/>
          <w:numId w:val="1"/>
        </w:numPr>
        <w:kinsoku/>
        <w:wordWrap/>
        <w:overflowPunct/>
        <w:topLinePunct w:val="0"/>
        <w:bidi w:val="0"/>
        <w:snapToGrid/>
        <w:spacing w:before="0" w:after="0" w:line="500" w:lineRule="exact"/>
        <w:textAlignment w:val="auto"/>
        <w:rPr>
          <w:rFonts w:hint="eastAsia" w:ascii="宋体" w:hAnsi="宋体" w:eastAsia="宋体" w:cs="宋体"/>
          <w:color w:val="auto"/>
          <w:highlight w:val="none"/>
          <w:lang w:val="en-US" w:eastAsia="zh-CN"/>
        </w:rPr>
      </w:pPr>
      <w:bookmarkStart w:id="0" w:name="_Toc2570"/>
      <w:bookmarkStart w:id="1" w:name="_Toc16309"/>
      <w:r>
        <w:rPr>
          <w:rFonts w:hint="eastAsia" w:ascii="宋体" w:hAnsi="宋体" w:eastAsia="宋体" w:cs="宋体"/>
          <w:color w:val="auto"/>
          <w:highlight w:val="none"/>
          <w:lang w:val="en-US" w:eastAsia="zh-CN"/>
        </w:rPr>
        <w:t>招标公告</w:t>
      </w:r>
      <w:bookmarkEnd w:id="0"/>
    </w:p>
    <w:p w14:paraId="6153588B">
      <w:pPr>
        <w:pStyle w:val="6"/>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500" w:lineRule="exact"/>
        <w:jc w:val="center"/>
        <w:textAlignment w:val="auto"/>
        <w:rPr>
          <w:rFonts w:hint="eastAsia" w:ascii="华文中宋" w:hAnsi="华文中宋" w:eastAsia="华文中宋" w:cs="Times New Roman"/>
          <w:color w:val="auto"/>
          <w:highlight w:val="none"/>
          <w:lang w:eastAsia="zh-CN"/>
        </w:rPr>
      </w:pPr>
      <w:bookmarkStart w:id="2" w:name="_Toc14627"/>
      <w:bookmarkStart w:id="3" w:name="_Toc21262"/>
      <w:bookmarkStart w:id="4" w:name="_Toc9827"/>
      <w:r>
        <w:rPr>
          <w:rFonts w:hint="eastAsia" w:ascii="华文中宋" w:hAnsi="华文中宋" w:eastAsia="华文中宋" w:cs="Times New Roman"/>
          <w:color w:val="auto"/>
          <w:highlight w:val="none"/>
          <w:lang w:val="en-US" w:eastAsia="zh-CN"/>
        </w:rPr>
        <w:t>明湖公园园路应急工程工程量清单及最高投标限价编制服务项目</w:t>
      </w:r>
      <w:r>
        <w:rPr>
          <w:rFonts w:hint="eastAsia" w:ascii="华文中宋" w:hAnsi="华文中宋" w:eastAsia="华文中宋" w:cs="Times New Roman"/>
          <w:color w:val="auto"/>
          <w:highlight w:val="none"/>
          <w:lang w:eastAsia="zh-CN"/>
        </w:rPr>
        <w:t>招标公告</w:t>
      </w:r>
      <w:bookmarkEnd w:id="2"/>
      <w:bookmarkEnd w:id="3"/>
      <w:r>
        <w:rPr>
          <w:rFonts w:hint="eastAsia" w:ascii="华文中宋" w:hAnsi="华文中宋" w:eastAsia="华文中宋" w:cs="Times New Roman"/>
          <w:color w:val="auto"/>
          <w:highlight w:val="none"/>
          <w:lang w:eastAsia="zh-CN"/>
        </w:rPr>
        <w:t>（</w:t>
      </w:r>
      <w:r>
        <w:rPr>
          <w:rFonts w:hint="eastAsia" w:ascii="华文中宋" w:hAnsi="华文中宋" w:eastAsia="华文中宋" w:cs="Times New Roman"/>
          <w:color w:val="auto"/>
          <w:highlight w:val="none"/>
          <w:lang w:val="en-US" w:eastAsia="zh-CN"/>
        </w:rPr>
        <w:t>不见面开标</w:t>
      </w:r>
      <w:r>
        <w:rPr>
          <w:rFonts w:hint="eastAsia" w:ascii="华文中宋" w:hAnsi="华文中宋" w:eastAsia="华文中宋" w:cs="Times New Roman"/>
          <w:color w:val="auto"/>
          <w:highlight w:val="none"/>
          <w:lang w:eastAsia="zh-CN"/>
        </w:rPr>
        <w:t>）</w:t>
      </w:r>
      <w:bookmarkEnd w:id="4"/>
    </w:p>
    <w:p w14:paraId="0105351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val="0"/>
          <w:color w:val="auto"/>
          <w:sz w:val="21"/>
          <w:szCs w:val="21"/>
          <w:highlight w:val="none"/>
        </w:rPr>
      </w:pPr>
      <w:bookmarkStart w:id="5" w:name="_Toc31215"/>
      <w:bookmarkStart w:id="6" w:name="_Toc28359079"/>
      <w:bookmarkStart w:id="7" w:name="_Toc35393621"/>
      <w:bookmarkStart w:id="8" w:name="_Toc28359002"/>
      <w:bookmarkStart w:id="9" w:name="_Toc11704"/>
      <w:bookmarkStart w:id="10" w:name="_Toc35393790"/>
      <w:bookmarkStart w:id="11" w:name="_Toc23993"/>
      <w:bookmarkStart w:id="12" w:name="_Hlk24379207"/>
      <w:r>
        <w:rPr>
          <w:rFonts w:hint="eastAsia" w:ascii="宋体" w:hAnsi="宋体" w:eastAsia="宋体" w:cs="宋体"/>
          <w:b/>
          <w:bCs/>
          <w:color w:val="auto"/>
          <w:sz w:val="21"/>
          <w:szCs w:val="21"/>
          <w:highlight w:val="none"/>
        </w:rPr>
        <w:t>一、项目基本情况</w:t>
      </w:r>
      <w:bookmarkEnd w:id="5"/>
      <w:bookmarkEnd w:id="6"/>
      <w:bookmarkEnd w:id="7"/>
      <w:bookmarkEnd w:id="8"/>
      <w:bookmarkEnd w:id="9"/>
      <w:bookmarkEnd w:id="10"/>
      <w:bookmarkEnd w:id="11"/>
    </w:p>
    <w:bookmarkEnd w:id="12"/>
    <w:p w14:paraId="4DF71F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bookmarkStart w:id="13" w:name="_Toc4879"/>
      <w:bookmarkStart w:id="14" w:name="_Toc28004"/>
      <w:bookmarkStart w:id="15" w:name="_Toc28359080"/>
      <w:bookmarkStart w:id="16" w:name="_Toc28359003"/>
      <w:bookmarkStart w:id="17" w:name="_Toc35393791"/>
      <w:bookmarkStart w:id="18" w:name="_Toc35393622"/>
      <w:r>
        <w:rPr>
          <w:rFonts w:hint="eastAsia" w:ascii="宋体" w:hAnsi="宋体" w:eastAsia="宋体" w:cs="宋体"/>
          <w:i w:val="0"/>
          <w:iCs w:val="0"/>
          <w:caps w:val="0"/>
          <w:color w:val="auto"/>
          <w:spacing w:val="0"/>
          <w:kern w:val="0"/>
          <w:sz w:val="21"/>
          <w:szCs w:val="21"/>
          <w:highlight w:val="none"/>
          <w:shd w:val="clear" w:fill="FFFFFF"/>
          <w:lang w:val="en-US" w:eastAsia="zh-CN" w:bidi="ar"/>
        </w:rPr>
        <w:t>项目编号：HXJY1110001052036001</w:t>
      </w:r>
    </w:p>
    <w:p w14:paraId="551101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default" w:ascii="宋体" w:hAnsi="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项目名称：</w:t>
      </w:r>
      <w:r>
        <w:rPr>
          <w:rFonts w:hint="eastAsia" w:ascii="宋体" w:hAnsi="宋体" w:cs="宋体"/>
          <w:i w:val="0"/>
          <w:iCs w:val="0"/>
          <w:caps w:val="0"/>
          <w:color w:val="auto"/>
          <w:spacing w:val="0"/>
          <w:kern w:val="0"/>
          <w:sz w:val="21"/>
          <w:szCs w:val="21"/>
          <w:highlight w:val="none"/>
          <w:shd w:val="clear" w:fill="FFFFFF"/>
          <w:lang w:val="en-US" w:eastAsia="zh-CN" w:bidi="ar"/>
        </w:rPr>
        <w:t>明湖公园园路应急工程工程量清单及最高投标限价编制服务项目</w:t>
      </w:r>
    </w:p>
    <w:p w14:paraId="1991BF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lang w:val="en-US"/>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预算金额：约</w:t>
      </w:r>
      <w:r>
        <w:rPr>
          <w:rFonts w:hint="eastAsia" w:ascii="宋体" w:hAnsi="宋体" w:cs="宋体"/>
          <w:i w:val="0"/>
          <w:iCs w:val="0"/>
          <w:caps w:val="0"/>
          <w:color w:val="auto"/>
          <w:spacing w:val="0"/>
          <w:kern w:val="0"/>
          <w:sz w:val="21"/>
          <w:szCs w:val="21"/>
          <w:highlight w:val="none"/>
          <w:shd w:val="clear" w:fill="FFFFFF"/>
          <w:lang w:val="en-US" w:eastAsia="zh-CN" w:bidi="ar"/>
        </w:rPr>
        <w:t>0.4575万元</w:t>
      </w:r>
    </w:p>
    <w:p w14:paraId="4E2E10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最高限价：《收费标准》计算费用的</w:t>
      </w:r>
      <w:r>
        <w:rPr>
          <w:rFonts w:hint="eastAsia" w:ascii="宋体" w:hAnsi="宋体" w:cs="宋体"/>
          <w:i w:val="0"/>
          <w:iCs w:val="0"/>
          <w:caps w:val="0"/>
          <w:color w:val="auto"/>
          <w:spacing w:val="0"/>
          <w:kern w:val="0"/>
          <w:sz w:val="21"/>
          <w:szCs w:val="21"/>
          <w:highlight w:val="none"/>
          <w:shd w:val="clear" w:fill="FFFFFF"/>
          <w:lang w:val="en-US" w:eastAsia="zh-CN" w:bidi="ar"/>
        </w:rPr>
        <w:t>5</w:t>
      </w:r>
      <w:r>
        <w:rPr>
          <w:rFonts w:hint="eastAsia" w:ascii="宋体" w:hAnsi="宋体" w:eastAsia="宋体" w:cs="宋体"/>
          <w:i w:val="0"/>
          <w:iCs w:val="0"/>
          <w:caps w:val="0"/>
          <w:color w:val="auto"/>
          <w:spacing w:val="0"/>
          <w:kern w:val="0"/>
          <w:sz w:val="21"/>
          <w:szCs w:val="21"/>
          <w:highlight w:val="none"/>
          <w:shd w:val="clear" w:fill="FFFFFF"/>
          <w:lang w:val="en-US" w:eastAsia="zh-CN" w:bidi="ar"/>
        </w:rPr>
        <w:t>0%（报价均保留两位小数，小数点后第三位将四舍五入进行修正），投标单位投标报价不得高于上述费率最高限价，否则按无效标处理。《收费标准》详见附表。</w:t>
      </w:r>
    </w:p>
    <w:p w14:paraId="730C95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注：服务费用=【施工中标价-（暂列金+暂估价）】*相应费率*中标费率。若施工招标时划分了多个施工标段，则造价咨询费的计费基数为已招标实施的施工标段中标价的合计总金额。</w:t>
      </w:r>
    </w:p>
    <w:p w14:paraId="45CFA0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服务需求：</w:t>
      </w:r>
      <w:r>
        <w:rPr>
          <w:rFonts w:hint="eastAsia" w:ascii="宋体" w:hAnsi="宋体" w:cs="宋体"/>
          <w:i w:val="0"/>
          <w:iCs w:val="0"/>
          <w:caps w:val="0"/>
          <w:color w:val="auto"/>
          <w:spacing w:val="0"/>
          <w:kern w:val="0"/>
          <w:sz w:val="21"/>
          <w:szCs w:val="21"/>
          <w:highlight w:val="none"/>
          <w:shd w:val="clear" w:fill="FFFFFF"/>
          <w:lang w:val="en-US" w:eastAsia="zh-CN" w:bidi="ar"/>
        </w:rPr>
        <w:t>:主要内容包括桥头搭板、部分桥台侧墙拆除重新浇筑和台背换填；约80米园路维修改造，对现状园路路基进行换填等;新建桥头防护等内容。总投资约150万</w:t>
      </w:r>
      <w:r>
        <w:rPr>
          <w:rFonts w:hint="eastAsia" w:ascii="宋体" w:hAnsi="宋体" w:eastAsia="宋体" w:cs="宋体"/>
          <w:i w:val="0"/>
          <w:iCs w:val="0"/>
          <w:caps w:val="0"/>
          <w:color w:val="auto"/>
          <w:spacing w:val="0"/>
          <w:kern w:val="0"/>
          <w:sz w:val="21"/>
          <w:szCs w:val="21"/>
          <w:highlight w:val="none"/>
          <w:shd w:val="clear" w:fill="FFFFFF"/>
          <w:lang w:val="en-US" w:eastAsia="zh-CN" w:bidi="ar"/>
        </w:rPr>
        <w:t>，本项目为工程量清单及最高投标限价编制服务，服务费用约</w:t>
      </w:r>
      <w:r>
        <w:rPr>
          <w:rFonts w:hint="eastAsia" w:ascii="宋体" w:hAnsi="宋体" w:cs="宋体"/>
          <w:i w:val="0"/>
          <w:iCs w:val="0"/>
          <w:caps w:val="0"/>
          <w:color w:val="auto"/>
          <w:spacing w:val="0"/>
          <w:kern w:val="0"/>
          <w:sz w:val="21"/>
          <w:szCs w:val="21"/>
          <w:highlight w:val="none"/>
          <w:shd w:val="clear" w:fill="FFFFFF"/>
          <w:lang w:val="en-US" w:eastAsia="zh-CN" w:bidi="ar"/>
        </w:rPr>
        <w:t>0.4575万元</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1042DD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lang w:val="en-US"/>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标段（包别）划分：1个标段。</w:t>
      </w:r>
    </w:p>
    <w:p w14:paraId="20F129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本项目不接受联合体。</w:t>
      </w:r>
    </w:p>
    <w:p w14:paraId="101A37AB">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19" w:name="_Toc30013"/>
      <w:r>
        <w:rPr>
          <w:rFonts w:hint="eastAsia" w:ascii="宋体" w:hAnsi="宋体" w:eastAsia="宋体" w:cs="宋体"/>
          <w:b/>
          <w:bCs/>
          <w:color w:val="auto"/>
          <w:sz w:val="21"/>
          <w:szCs w:val="21"/>
          <w:highlight w:val="none"/>
        </w:rPr>
        <w:t>二、申请人的资格要求</w:t>
      </w:r>
      <w:bookmarkEnd w:id="13"/>
      <w:bookmarkEnd w:id="14"/>
      <w:bookmarkEnd w:id="15"/>
      <w:bookmarkEnd w:id="16"/>
      <w:bookmarkEnd w:id="17"/>
      <w:bookmarkEnd w:id="18"/>
      <w:bookmarkEnd w:id="19"/>
    </w:p>
    <w:p w14:paraId="1BE76C59">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bookmarkStart w:id="20" w:name="_Toc35393792"/>
      <w:bookmarkStart w:id="21" w:name="_Toc7189"/>
      <w:bookmarkStart w:id="22" w:name="_Toc2689"/>
      <w:bookmarkStart w:id="23" w:name="_Toc28172"/>
      <w:bookmarkStart w:id="24" w:name="_Toc35393623"/>
      <w:bookmarkStart w:id="25" w:name="_Toc28359081"/>
      <w:bookmarkStart w:id="26" w:name="_Toc28359004"/>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投标人要求：</w:t>
      </w:r>
      <w:r>
        <w:rPr>
          <w:rFonts w:hint="eastAsia" w:ascii="宋体" w:hAnsi="宋体" w:eastAsia="宋体" w:cs="宋体"/>
          <w:i w:val="0"/>
          <w:iCs w:val="0"/>
          <w:caps w:val="0"/>
          <w:color w:val="auto"/>
          <w:spacing w:val="0"/>
          <w:kern w:val="0"/>
          <w:sz w:val="21"/>
          <w:szCs w:val="21"/>
          <w:highlight w:val="none"/>
          <w:shd w:val="clear" w:fill="FFFFFF"/>
          <w:lang w:val="en-US" w:eastAsia="zh-CN" w:bidi="ar"/>
        </w:rPr>
        <w:t>具备独立承担民事责任能力，具有有效的营业执照或事业单位法人证书；</w:t>
      </w:r>
    </w:p>
    <w:p w14:paraId="39C5FF67">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2.项目负责人要求：须具有注册在本单位的土木建筑工程专业一级注册造价工程师（或原注册造价工程师）；</w:t>
      </w:r>
    </w:p>
    <w:p w14:paraId="1B0530D1">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其他</w:t>
      </w:r>
      <w:r>
        <w:rPr>
          <w:rFonts w:hint="eastAsia" w:ascii="宋体" w:hAnsi="宋体" w:eastAsia="宋体" w:cs="宋体"/>
          <w:color w:val="auto"/>
          <w:sz w:val="21"/>
          <w:szCs w:val="21"/>
          <w:highlight w:val="none"/>
        </w:rPr>
        <w:t>要求：</w:t>
      </w:r>
      <w:r>
        <w:rPr>
          <w:rFonts w:hint="eastAsia" w:ascii="宋体" w:hAnsi="宋体" w:cs="宋体"/>
          <w:color w:val="auto"/>
          <w:sz w:val="21"/>
          <w:szCs w:val="21"/>
          <w:highlight w:val="none"/>
          <w:lang w:eastAsia="zh-CN"/>
        </w:rPr>
        <w:t>项目组其他成员（不含项目负责人）要求：不少于2名且具有在本单位注册的二级及以上造价工程师（土木建筑工程专业至少1名）</w:t>
      </w:r>
      <w:r>
        <w:rPr>
          <w:rFonts w:hint="eastAsia" w:ascii="宋体" w:hAnsi="宋体" w:eastAsia="宋体" w:cs="宋体"/>
          <w:color w:val="auto"/>
          <w:sz w:val="21"/>
          <w:szCs w:val="21"/>
          <w:highlight w:val="none"/>
          <w:lang w:val="en-US" w:eastAsia="zh-CN"/>
        </w:rPr>
        <w:t>。</w:t>
      </w:r>
    </w:p>
    <w:p w14:paraId="2AEC28B0">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三、获取</w:t>
      </w:r>
      <w:bookmarkEnd w:id="20"/>
      <w:bookmarkEnd w:id="21"/>
      <w:bookmarkEnd w:id="22"/>
      <w:bookmarkEnd w:id="23"/>
      <w:bookmarkEnd w:id="24"/>
      <w:bookmarkEnd w:id="25"/>
      <w:bookmarkEnd w:id="26"/>
      <w:r>
        <w:rPr>
          <w:rFonts w:hint="eastAsia" w:ascii="宋体" w:hAnsi="宋体" w:eastAsia="宋体" w:cs="宋体"/>
          <w:b/>
          <w:bCs/>
          <w:color w:val="auto"/>
          <w:sz w:val="21"/>
          <w:szCs w:val="21"/>
          <w:highlight w:val="none"/>
          <w:lang w:eastAsia="zh-CN"/>
        </w:rPr>
        <w:t>招标文件</w:t>
      </w:r>
    </w:p>
    <w:p w14:paraId="42BFF7A7">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1、招标文件获取方式：</w:t>
      </w:r>
    </w:p>
    <w:p w14:paraId="7B7E7722">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时间：</w:t>
      </w:r>
      <w:r>
        <w:rPr>
          <w:rFonts w:hint="eastAsia" w:ascii="宋体" w:hAnsi="宋体" w:cs="宋体"/>
          <w:i w:val="0"/>
          <w:iCs w:val="0"/>
          <w:caps w:val="0"/>
          <w:color w:val="auto"/>
          <w:spacing w:val="0"/>
          <w:sz w:val="21"/>
          <w:szCs w:val="21"/>
          <w:highlight w:val="none"/>
          <w:u w:val="none"/>
          <w:shd w:val="clear" w:fill="FFFFFF"/>
          <w:lang w:val="en-US" w:eastAsia="zh-CN"/>
        </w:rPr>
        <w:t>2026年2月27日</w:t>
      </w:r>
      <w:r>
        <w:rPr>
          <w:rFonts w:hint="eastAsia" w:ascii="宋体" w:hAnsi="宋体" w:eastAsia="宋体" w:cs="宋体"/>
          <w:i w:val="0"/>
          <w:iCs w:val="0"/>
          <w:caps w:val="0"/>
          <w:color w:val="auto"/>
          <w:spacing w:val="0"/>
          <w:sz w:val="21"/>
          <w:szCs w:val="21"/>
          <w:highlight w:val="none"/>
          <w:u w:val="none"/>
          <w:shd w:val="clear" w:fill="FFFFFF"/>
        </w:rPr>
        <w:t>至</w:t>
      </w:r>
      <w:r>
        <w:rPr>
          <w:rFonts w:hint="eastAsia" w:ascii="宋体" w:hAnsi="宋体" w:cs="宋体"/>
          <w:i w:val="0"/>
          <w:iCs w:val="0"/>
          <w:caps w:val="0"/>
          <w:color w:val="auto"/>
          <w:spacing w:val="0"/>
          <w:sz w:val="21"/>
          <w:szCs w:val="21"/>
          <w:highlight w:val="none"/>
          <w:u w:val="none"/>
          <w:shd w:val="clear" w:fill="FFFFFF"/>
          <w:lang w:val="en-US" w:eastAsia="zh-CN"/>
        </w:rPr>
        <w:t>2026年3月2</w:t>
      </w:r>
      <w:r>
        <w:rPr>
          <w:rFonts w:hint="eastAsia" w:ascii="宋体" w:hAnsi="宋体" w:eastAsia="宋体" w:cs="宋体"/>
          <w:i w:val="0"/>
          <w:iCs w:val="0"/>
          <w:caps w:val="0"/>
          <w:color w:val="auto"/>
          <w:spacing w:val="0"/>
          <w:sz w:val="21"/>
          <w:szCs w:val="21"/>
          <w:highlight w:val="none"/>
          <w:u w:val="none"/>
          <w:shd w:val="clear" w:fill="FFFFFF"/>
        </w:rPr>
        <w:t>日</w:t>
      </w:r>
      <w:r>
        <w:rPr>
          <w:rFonts w:hint="eastAsia" w:ascii="宋体" w:hAnsi="宋体" w:cs="宋体"/>
          <w:i w:val="0"/>
          <w:iCs w:val="0"/>
          <w:caps w:val="0"/>
          <w:color w:val="auto"/>
          <w:spacing w:val="0"/>
          <w:sz w:val="21"/>
          <w:szCs w:val="21"/>
          <w:highlight w:val="none"/>
          <w:u w:val="none"/>
          <w:shd w:val="clear" w:fill="FFFFFF"/>
          <w:lang w:val="en-US" w:eastAsia="zh-CN"/>
        </w:rPr>
        <w:t>15</w:t>
      </w:r>
      <w:r>
        <w:rPr>
          <w:rFonts w:hint="eastAsia" w:ascii="宋体" w:hAnsi="宋体" w:eastAsia="宋体" w:cs="宋体"/>
          <w:i w:val="0"/>
          <w:iCs w:val="0"/>
          <w:caps w:val="0"/>
          <w:color w:val="auto"/>
          <w:spacing w:val="0"/>
          <w:sz w:val="21"/>
          <w:szCs w:val="21"/>
          <w:highlight w:val="none"/>
          <w:u w:val="none"/>
          <w:shd w:val="clear" w:fill="FFFFFF"/>
          <w:lang w:val="en-US" w:eastAsia="zh-CN"/>
        </w:rPr>
        <w:t>时00分</w:t>
      </w:r>
      <w:r>
        <w:rPr>
          <w:rFonts w:hint="eastAsia" w:ascii="宋体" w:hAnsi="宋体" w:eastAsia="宋体" w:cs="宋体"/>
          <w:i w:val="0"/>
          <w:iCs w:val="0"/>
          <w:caps w:val="0"/>
          <w:color w:val="auto"/>
          <w:spacing w:val="0"/>
          <w:sz w:val="21"/>
          <w:szCs w:val="21"/>
          <w:highlight w:val="none"/>
          <w:shd w:val="clear" w:fill="FFFFFF"/>
          <w:lang w:val="en-US" w:eastAsia="zh-CN"/>
        </w:rPr>
        <w:t>。</w:t>
      </w:r>
    </w:p>
    <w:p w14:paraId="57BDCE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地点：请于公告发布之日起从滁州市城投工程咨询管理有限公司（https://www.czctgczx.com/）网站下载。</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投标人自行承担因未按要求获取招标文件导致无法上传电子投标文件的风险。</w:t>
      </w:r>
    </w:p>
    <w:p w14:paraId="205D54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方式：（1）投标人须登录新点电子交易平台【滁州专区】查询、获取采购文件。首次登录办理</w:t>
      </w:r>
      <w:r>
        <w:rPr>
          <w:rFonts w:hint="eastAsia" w:ascii="宋体" w:hAnsi="宋体" w:cs="宋体"/>
          <w:i w:val="0"/>
          <w:iCs w:val="0"/>
          <w:caps w:val="0"/>
          <w:color w:val="auto"/>
          <w:spacing w:val="0"/>
          <w:kern w:val="0"/>
          <w:sz w:val="21"/>
          <w:szCs w:val="21"/>
          <w:highlight w:val="none"/>
          <w:shd w:val="clear" w:color="auto" w:fill="FFFFFF"/>
          <w:lang w:val="en-US" w:eastAsia="zh-CN" w:bidi="ar"/>
        </w:rPr>
        <w:t>登记</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手续，不收取任何费用。新点电子招投标统一认证平台使用相关问题（如系统登录、信息登记、录入及提交、数字证书关联等）请拨打服务电话：</w:t>
      </w:r>
      <w:r>
        <w:rPr>
          <w:rFonts w:hint="eastAsia" w:ascii="宋体" w:hAnsi="宋体" w:cs="宋体"/>
          <w:i w:val="0"/>
          <w:iCs w:val="0"/>
          <w:caps w:val="0"/>
          <w:color w:val="auto"/>
          <w:spacing w:val="0"/>
          <w:kern w:val="0"/>
          <w:sz w:val="21"/>
          <w:szCs w:val="21"/>
          <w:highlight w:val="none"/>
          <w:shd w:val="clear" w:color="auto"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（工作日）。  </w:t>
      </w:r>
    </w:p>
    <w:p w14:paraId="3BBAFA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（2）投标人登录新点电子交易平台【滁州专区】获取招标文件及其它资料（含澄清和补充说明等）。如在招标文件获取过程中遇到系统问题，请拨打技术支持服务热线</w:t>
      </w:r>
      <w:r>
        <w:rPr>
          <w:rFonts w:hint="eastAsia" w:ascii="宋体" w:hAnsi="宋体" w:cs="宋体"/>
          <w:i w:val="0"/>
          <w:iCs w:val="0"/>
          <w:caps w:val="0"/>
          <w:color w:val="auto"/>
          <w:spacing w:val="0"/>
          <w:kern w:val="0"/>
          <w:sz w:val="21"/>
          <w:szCs w:val="21"/>
          <w:highlight w:val="none"/>
          <w:shd w:val="clear" w:color="auto"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或者网站首页在线客服。</w:t>
      </w:r>
    </w:p>
    <w:p w14:paraId="27A9C3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2、招标文件及相关资料售价：人民币0元/套（含清单控制价、图纸及澄清答疑文件）</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09247A6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27" w:name="_Toc28359082"/>
      <w:bookmarkStart w:id="28" w:name="_Toc28359005"/>
      <w:bookmarkStart w:id="29" w:name="_Toc35393793"/>
      <w:bookmarkStart w:id="30" w:name="_Toc35393624"/>
      <w:bookmarkStart w:id="31" w:name="_Toc6135"/>
      <w:bookmarkStart w:id="32" w:name="_Toc19139"/>
      <w:bookmarkStart w:id="33" w:name="_Toc23486"/>
      <w:r>
        <w:rPr>
          <w:rFonts w:hint="eastAsia" w:ascii="宋体" w:hAnsi="宋体" w:eastAsia="宋体" w:cs="宋体"/>
          <w:b/>
          <w:bCs/>
          <w:color w:val="auto"/>
          <w:sz w:val="21"/>
          <w:szCs w:val="21"/>
          <w:highlight w:val="none"/>
        </w:rPr>
        <w:t>四、提交投标文件</w:t>
      </w:r>
      <w:bookmarkEnd w:id="27"/>
      <w:bookmarkEnd w:id="28"/>
      <w:r>
        <w:rPr>
          <w:rFonts w:hint="eastAsia" w:ascii="宋体" w:hAnsi="宋体" w:eastAsia="宋体" w:cs="宋体"/>
          <w:b/>
          <w:bCs/>
          <w:color w:val="auto"/>
          <w:sz w:val="21"/>
          <w:szCs w:val="21"/>
          <w:highlight w:val="none"/>
        </w:rPr>
        <w:t>截止时间、开标时间和地点</w:t>
      </w:r>
      <w:bookmarkEnd w:id="29"/>
      <w:bookmarkEnd w:id="30"/>
      <w:bookmarkEnd w:id="31"/>
      <w:bookmarkEnd w:id="32"/>
      <w:bookmarkEnd w:id="33"/>
    </w:p>
    <w:p w14:paraId="78DDBB26">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bookmarkStart w:id="34" w:name="_Toc19623"/>
      <w:bookmarkStart w:id="35" w:name="_Toc28359084"/>
      <w:bookmarkStart w:id="36" w:name="_Toc5602"/>
      <w:bookmarkStart w:id="37" w:name="_Toc35393625"/>
      <w:bookmarkStart w:id="38" w:name="_Toc35393794"/>
      <w:bookmarkStart w:id="39" w:name="_Toc28359007"/>
      <w:bookmarkStart w:id="40" w:name="_Toc1913"/>
      <w:r>
        <w:rPr>
          <w:rFonts w:hint="eastAsia" w:ascii="宋体" w:hAnsi="宋体" w:eastAsia="宋体" w:cs="宋体"/>
          <w:b w:val="0"/>
          <w:bCs w:val="0"/>
          <w:color w:val="auto"/>
          <w:sz w:val="21"/>
          <w:szCs w:val="21"/>
          <w:highlight w:val="none"/>
          <w:lang w:val="en-US" w:eastAsia="zh-CN"/>
        </w:rPr>
        <w:t>1、投标文件递交的截止时间为</w:t>
      </w:r>
      <w:r>
        <w:rPr>
          <w:rFonts w:hint="eastAsia" w:ascii="宋体" w:hAnsi="宋体" w:cs="宋体"/>
          <w:b w:val="0"/>
          <w:bCs w:val="0"/>
          <w:color w:val="auto"/>
          <w:sz w:val="21"/>
          <w:szCs w:val="21"/>
          <w:highlight w:val="none"/>
          <w:u w:val="single"/>
          <w:lang w:val="en-US" w:eastAsia="zh-CN"/>
        </w:rPr>
        <w:t xml:space="preserve">2026年3月2 </w:t>
      </w:r>
      <w:r>
        <w:rPr>
          <w:rFonts w:hint="eastAsia" w:ascii="宋体" w:hAnsi="宋体" w:eastAsia="宋体" w:cs="宋体"/>
          <w:b w:val="0"/>
          <w:bCs w:val="0"/>
          <w:color w:val="auto"/>
          <w:sz w:val="21"/>
          <w:szCs w:val="21"/>
          <w:highlight w:val="none"/>
          <w:lang w:val="en-US" w:eastAsia="zh-CN"/>
        </w:rPr>
        <w:t>日</w:t>
      </w:r>
      <w:r>
        <w:rPr>
          <w:rFonts w:hint="eastAsia" w:ascii="宋体" w:hAnsi="宋体" w:cs="宋体"/>
          <w:b w:val="0"/>
          <w:bCs w:val="0"/>
          <w:color w:val="auto"/>
          <w:sz w:val="21"/>
          <w:szCs w:val="21"/>
          <w:highlight w:val="none"/>
          <w:u w:val="single"/>
          <w:lang w:val="en-US" w:eastAsia="zh-CN"/>
        </w:rPr>
        <w:t xml:space="preserve"> 15 </w:t>
      </w:r>
      <w:r>
        <w:rPr>
          <w:rFonts w:hint="eastAsia" w:ascii="宋体" w:hAnsi="宋体" w:eastAsia="宋体" w:cs="宋体"/>
          <w:b w:val="0"/>
          <w:bCs w:val="0"/>
          <w:color w:val="auto"/>
          <w:sz w:val="21"/>
          <w:szCs w:val="21"/>
          <w:highlight w:val="none"/>
          <w:lang w:val="en-US" w:eastAsia="zh-CN"/>
        </w:rPr>
        <w:t>时</w:t>
      </w:r>
      <w:r>
        <w:rPr>
          <w:rFonts w:hint="eastAsia" w:ascii="宋体" w:hAnsi="宋体" w:eastAsia="宋体" w:cs="宋体"/>
          <w:b w:val="0"/>
          <w:bCs w:val="0"/>
          <w:color w:val="auto"/>
          <w:sz w:val="21"/>
          <w:szCs w:val="21"/>
          <w:highlight w:val="none"/>
          <w:u w:val="single"/>
          <w:lang w:val="en-US" w:eastAsia="zh-CN"/>
        </w:rPr>
        <w:t>00</w:t>
      </w:r>
      <w:r>
        <w:rPr>
          <w:rFonts w:hint="eastAsia" w:ascii="宋体" w:hAnsi="宋体" w:eastAsia="宋体" w:cs="宋体"/>
          <w:b w:val="0"/>
          <w:bCs w:val="0"/>
          <w:color w:val="auto"/>
          <w:sz w:val="21"/>
          <w:szCs w:val="21"/>
          <w:highlight w:val="none"/>
          <w:lang w:val="en-US" w:eastAsia="zh-CN"/>
        </w:rPr>
        <w:t>分；</w:t>
      </w:r>
    </w:p>
    <w:p w14:paraId="5E1653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2、</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网上开标，投标人登录滁州市城投工程咨询有限公司不见面开标系统参与网上开标（网址：http://js.etrading.cn/EpointBidOpening/bidopeninghallaction/hall/login）。</w:t>
      </w:r>
    </w:p>
    <w:p w14:paraId="11B42555">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3、投标人应在投标截止时间之前，</w:t>
      </w:r>
      <w:r>
        <w:rPr>
          <w:rFonts w:hint="eastAsia" w:cs="宋体"/>
          <w:i w:val="0"/>
          <w:iCs w:val="0"/>
          <w:caps w:val="0"/>
          <w:color w:val="auto"/>
          <w:spacing w:val="0"/>
          <w:kern w:val="0"/>
          <w:sz w:val="21"/>
          <w:szCs w:val="21"/>
          <w:highlight w:val="none"/>
          <w:shd w:val="clear" w:color="auto" w:fill="FFFFFF"/>
          <w:lang w:val="en-US" w:eastAsia="zh-CN" w:bidi="ar"/>
        </w:rPr>
        <w:t>登录</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新点电子交易平台【滁州专区】上传投标文件。</w:t>
      </w:r>
    </w:p>
    <w:p w14:paraId="68E70389">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4、投标人逾期上传投标文件的，电子系统不予受理</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39276E8D">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五、公告</w:t>
      </w:r>
      <w:bookmarkEnd w:id="34"/>
      <w:bookmarkEnd w:id="35"/>
      <w:bookmarkEnd w:id="36"/>
      <w:bookmarkEnd w:id="37"/>
      <w:bookmarkEnd w:id="38"/>
      <w:bookmarkEnd w:id="39"/>
      <w:bookmarkEnd w:id="40"/>
      <w:r>
        <w:rPr>
          <w:rFonts w:hint="eastAsia" w:ascii="宋体" w:hAnsi="宋体" w:eastAsia="宋体" w:cs="宋体"/>
          <w:b/>
          <w:bCs/>
          <w:color w:val="auto"/>
          <w:sz w:val="21"/>
          <w:szCs w:val="21"/>
          <w:highlight w:val="none"/>
          <w:lang w:val="en-US" w:eastAsia="zh-CN"/>
        </w:rPr>
        <w:t>发布期限及媒体</w:t>
      </w:r>
    </w:p>
    <w:p w14:paraId="70ADAEFA">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自本公告发布之日起至投标截止时间止。</w:t>
      </w:r>
    </w:p>
    <w:p w14:paraId="48594B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本次招标公告同时在中国招标公共服务平台（http://www.cebpubservice.com/）、安徽省招标投标信息网（www.ahtba.org.cn）、滁州市城投工程咨询管理有限公司（https://www.czctgczx.com/）网站上发布。</w:t>
      </w:r>
    </w:p>
    <w:p w14:paraId="25B232D4">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六、投标保证金金额及缴纳账户</w:t>
      </w:r>
    </w:p>
    <w:p w14:paraId="1B54B949">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是否要求投标人提交投标保证金：不要求。</w:t>
      </w:r>
    </w:p>
    <w:p w14:paraId="70CCC2F2">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重要提醒</w:t>
      </w:r>
    </w:p>
    <w:p w14:paraId="2DC12A3E">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33C7ADB5">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请于公告发布之日起从滁州市城投工程咨询管理有限公司官网（https://www.czctgczx.com/）下载本项目招标文件，或从滁州市城投工程咨询管理有限公司官网（https://www.czctgczx.com/），点击项目招标公告下方【我要投标】，登录新点电子交易平台后在【滁州专区】（https://www.etrading.cn/BREpointSSO/login/oauth2login?regioncode=DQ_ChuZhou）下载本项目招标文件。</w:t>
      </w:r>
    </w:p>
    <w:p w14:paraId="0320AE7C">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3.投标人参与投标的，须登录新点电子交易平台【滁州专区】查询、获取招标文件。首次登录办理</w:t>
      </w:r>
      <w:r>
        <w:rPr>
          <w:rFonts w:hint="eastAsia" w:ascii="宋体" w:hAnsi="宋体" w:cs="宋体"/>
          <w:b w:val="0"/>
          <w:bCs w:val="0"/>
          <w:color w:val="auto"/>
          <w:sz w:val="21"/>
          <w:szCs w:val="21"/>
          <w:highlight w:val="none"/>
          <w:lang w:val="en-US" w:eastAsia="zh-CN"/>
        </w:rPr>
        <w:t>登记</w:t>
      </w:r>
      <w:r>
        <w:rPr>
          <w:rFonts w:hint="eastAsia" w:ascii="宋体" w:hAnsi="宋体" w:eastAsia="宋体" w:cs="宋体"/>
          <w:b w:val="0"/>
          <w:bCs w:val="0"/>
          <w:color w:val="auto"/>
          <w:sz w:val="21"/>
          <w:szCs w:val="21"/>
          <w:highlight w:val="none"/>
          <w:lang w:val="en-US" w:eastAsia="zh-CN"/>
        </w:rPr>
        <w:t>手续，不收取任何费用。新点电子招投标统一认证平台使用相关问题（如系统登录、信息登记、录入及提交、数字证书关联等）请拨打服务电话：</w:t>
      </w:r>
      <w:r>
        <w:rPr>
          <w:rFonts w:hint="eastAsia" w:ascii="宋体" w:hAnsi="宋体" w:cs="宋体"/>
          <w:b w:val="0"/>
          <w:bCs w:val="0"/>
          <w:color w:val="auto"/>
          <w:sz w:val="21"/>
          <w:szCs w:val="21"/>
          <w:highlight w:val="none"/>
          <w:lang w:val="en-US" w:eastAsia="zh-CN"/>
        </w:rPr>
        <w:t>0512-58151515</w:t>
      </w:r>
      <w:r>
        <w:rPr>
          <w:rFonts w:hint="eastAsia" w:ascii="宋体" w:hAnsi="宋体" w:eastAsia="宋体" w:cs="宋体"/>
          <w:b w:val="0"/>
          <w:bCs w:val="0"/>
          <w:color w:val="auto"/>
          <w:sz w:val="21"/>
          <w:szCs w:val="21"/>
          <w:highlight w:val="none"/>
          <w:lang w:val="en-US" w:eastAsia="zh-CN"/>
        </w:rPr>
        <w:t>（工作日）。</w:t>
      </w:r>
    </w:p>
    <w:p w14:paraId="74FFEB12">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4.投标人登录新点电子交易平台【滁州专区】获取招标文件及其它资料（含澄清和补充说明等）。如在招标文件获取过程中遇到系统问题，请拨打技术支持服务热线</w:t>
      </w:r>
      <w:r>
        <w:rPr>
          <w:rFonts w:hint="eastAsia" w:ascii="宋体" w:hAnsi="宋体" w:cs="宋体"/>
          <w:b w:val="0"/>
          <w:bCs w:val="0"/>
          <w:color w:val="auto"/>
          <w:sz w:val="21"/>
          <w:szCs w:val="21"/>
          <w:highlight w:val="none"/>
          <w:lang w:val="en-US" w:eastAsia="zh-CN"/>
        </w:rPr>
        <w:t>0512-58151515</w:t>
      </w:r>
      <w:r>
        <w:rPr>
          <w:rFonts w:hint="eastAsia" w:ascii="宋体" w:hAnsi="宋体" w:eastAsia="宋体" w:cs="宋体"/>
          <w:b w:val="0"/>
          <w:bCs w:val="0"/>
          <w:color w:val="auto"/>
          <w:sz w:val="21"/>
          <w:szCs w:val="21"/>
          <w:highlight w:val="none"/>
          <w:lang w:val="en-US" w:eastAsia="zh-CN"/>
        </w:rPr>
        <w:t>或者网站首页在线客服。投标人自行承担因未按要求获取招标文件导致无法上传电子投标文件的风险。</w:t>
      </w:r>
    </w:p>
    <w:p w14:paraId="42F9A653">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5.本项目采用不见面开标，投标人登录滁州市城投工程咨询有限公司不见面开标系统参与网上开标（网址：http://js.etrading.cn/EpointBidOpening/bidopeninghallaction/hall/login）。</w:t>
      </w:r>
    </w:p>
    <w:p w14:paraId="348D91F7">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6.投标人应在投标截止时间之前，登录新点电子交易平台【滁州专区】上传投标文件。投标人逾期上传投标文件的，电子系统不予受理。</w:t>
      </w:r>
    </w:p>
    <w:p w14:paraId="507F2748">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16147551">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8.投标人的联系人电话(手机)、电子邮箱等通讯方式在开标过程中必须保持畅通，否则因上述原因造成的后果，责任自负。</w:t>
      </w:r>
    </w:p>
    <w:p w14:paraId="2A3BE869">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八、对本次招标提出询问，请按以下方式联系</w:t>
      </w:r>
    </w:p>
    <w:p w14:paraId="610D0890">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r>
        <w:rPr>
          <w:rFonts w:hint="eastAsia" w:ascii="宋体" w:hAnsi="宋体" w:cs="宋体"/>
          <w:color w:val="auto"/>
          <w:kern w:val="2"/>
          <w:sz w:val="21"/>
          <w:szCs w:val="21"/>
          <w:highlight w:val="none"/>
          <w:lang w:val="en-US" w:eastAsia="zh-CN" w:bidi="ar"/>
        </w:rPr>
        <w:t>招标</w:t>
      </w:r>
      <w:r>
        <w:rPr>
          <w:rFonts w:hint="eastAsia" w:ascii="宋体" w:hAnsi="宋体" w:eastAsia="宋体" w:cs="宋体"/>
          <w:color w:val="auto"/>
          <w:kern w:val="2"/>
          <w:sz w:val="21"/>
          <w:szCs w:val="21"/>
          <w:highlight w:val="none"/>
          <w:lang w:val="en-US" w:eastAsia="zh-CN" w:bidi="ar"/>
        </w:rPr>
        <w:t>人信息</w:t>
      </w:r>
    </w:p>
    <w:p w14:paraId="528AB23E">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名称：</w:t>
      </w:r>
      <w:r>
        <w:rPr>
          <w:rFonts w:hint="eastAsia" w:ascii="宋体" w:hAnsi="宋体" w:cs="宋体"/>
          <w:color w:val="auto"/>
          <w:kern w:val="2"/>
          <w:sz w:val="21"/>
          <w:szCs w:val="21"/>
          <w:highlight w:val="none"/>
          <w:lang w:val="en-US" w:eastAsia="zh-CN" w:bidi="ar"/>
        </w:rPr>
        <w:t>滁州市明湖建设管理服务中心</w:t>
      </w:r>
    </w:p>
    <w:p w14:paraId="3E71B465">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地址：</w:t>
      </w:r>
      <w:r>
        <w:rPr>
          <w:rFonts w:hint="eastAsia" w:ascii="宋体" w:hAnsi="宋体" w:cs="宋体"/>
          <w:color w:val="auto"/>
          <w:kern w:val="2"/>
          <w:sz w:val="21"/>
          <w:szCs w:val="21"/>
          <w:highlight w:val="none"/>
          <w:lang w:val="en-US" w:eastAsia="zh-CN" w:bidi="ar"/>
        </w:rPr>
        <w:t>滁州市明湖公园内</w:t>
      </w:r>
    </w:p>
    <w:p w14:paraId="55B1265B">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联系方式：</w:t>
      </w:r>
      <w:r>
        <w:rPr>
          <w:rFonts w:hint="eastAsia" w:ascii="宋体" w:hAnsi="宋体" w:cs="宋体"/>
          <w:color w:val="auto"/>
          <w:kern w:val="2"/>
          <w:sz w:val="21"/>
          <w:szCs w:val="21"/>
          <w:highlight w:val="none"/>
          <w:lang w:val="en-US" w:eastAsia="zh-CN" w:bidi="ar"/>
        </w:rPr>
        <w:t>钟兰翔</w:t>
      </w: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cs="宋体"/>
          <w:color w:val="auto"/>
          <w:kern w:val="2"/>
          <w:sz w:val="21"/>
          <w:szCs w:val="21"/>
          <w:highlight w:val="none"/>
          <w:lang w:val="en-US" w:eastAsia="zh-CN" w:bidi="ar"/>
        </w:rPr>
        <w:t>15155005346</w:t>
      </w:r>
    </w:p>
    <w:p w14:paraId="0959C5B1">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r>
        <w:rPr>
          <w:rFonts w:hint="eastAsia" w:ascii="宋体" w:hAnsi="宋体" w:cs="宋体"/>
          <w:color w:val="auto"/>
          <w:kern w:val="2"/>
          <w:sz w:val="21"/>
          <w:szCs w:val="21"/>
          <w:highlight w:val="none"/>
          <w:lang w:val="en-US" w:eastAsia="zh-CN" w:bidi="ar"/>
        </w:rPr>
        <w:t>招标</w:t>
      </w:r>
      <w:r>
        <w:rPr>
          <w:rFonts w:hint="eastAsia" w:ascii="宋体" w:hAnsi="宋体" w:eastAsia="宋体" w:cs="宋体"/>
          <w:color w:val="auto"/>
          <w:kern w:val="2"/>
          <w:sz w:val="21"/>
          <w:szCs w:val="21"/>
          <w:highlight w:val="none"/>
          <w:lang w:val="en-US" w:eastAsia="zh-CN" w:bidi="ar"/>
        </w:rPr>
        <w:t>代理机构信息</w:t>
      </w:r>
    </w:p>
    <w:p w14:paraId="347D39A0">
      <w:pPr>
        <w:keepNext w:val="0"/>
        <w:keepLines w:val="0"/>
        <w:widowControl w:val="0"/>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名称：滁州市城投工程咨询管理有限公司</w:t>
      </w:r>
    </w:p>
    <w:p w14:paraId="7068A465">
      <w:pPr>
        <w:keepNext w:val="0"/>
        <w:keepLines w:val="0"/>
        <w:widowControl w:val="0"/>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地址：滁州市龙蟠大道109号房产商务大厦6楼605室</w:t>
      </w:r>
    </w:p>
    <w:p w14:paraId="3A132979">
      <w:pPr>
        <w:keepNext w:val="0"/>
        <w:keepLines w:val="0"/>
        <w:widowControl w:val="0"/>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联系方式：</w:t>
      </w:r>
      <w:r>
        <w:rPr>
          <w:rFonts w:hint="eastAsia" w:ascii="宋体" w:hAnsi="宋体" w:cs="宋体"/>
          <w:color w:val="auto"/>
          <w:kern w:val="2"/>
          <w:sz w:val="21"/>
          <w:szCs w:val="21"/>
          <w:highlight w:val="none"/>
          <w:lang w:val="en-US" w:eastAsia="zh-CN" w:bidi="ar"/>
        </w:rPr>
        <w:t>周晓培</w:t>
      </w: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cs="宋体"/>
          <w:color w:val="auto"/>
          <w:kern w:val="2"/>
          <w:sz w:val="21"/>
          <w:szCs w:val="21"/>
          <w:highlight w:val="none"/>
          <w:lang w:val="en-US" w:eastAsia="zh-CN" w:bidi="ar"/>
        </w:rPr>
        <w:t xml:space="preserve"> 0550-3519512</w:t>
      </w: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18255055896</w:t>
      </w:r>
    </w:p>
    <w:p w14:paraId="5ECB63B7">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p>
    <w:p w14:paraId="0B7C01C1">
      <w:pPr>
        <w:pStyle w:val="6"/>
        <w:keepNext/>
        <w:keepLines/>
        <w:pageBreakBefore/>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lang w:eastAsia="zh-CN"/>
        </w:rPr>
      </w:pPr>
      <w:bookmarkStart w:id="41" w:name="_Toc2525"/>
      <w:bookmarkStart w:id="42" w:name="_Toc24103"/>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bookmarkEnd w:id="41"/>
      <w:r>
        <w:rPr>
          <w:rFonts w:hint="eastAsia" w:ascii="宋体" w:hAnsi="宋体" w:eastAsia="宋体" w:cs="宋体"/>
          <w:color w:val="auto"/>
          <w:highlight w:val="none"/>
          <w:lang w:eastAsia="zh-CN"/>
        </w:rPr>
        <w:t>投标人须知</w:t>
      </w:r>
      <w:bookmarkEnd w:id="42"/>
    </w:p>
    <w:p w14:paraId="11A55803">
      <w:pPr>
        <w:pStyle w:val="6"/>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rPr>
      </w:pPr>
      <w:bookmarkStart w:id="43" w:name="_Toc15200"/>
      <w:r>
        <w:rPr>
          <w:rFonts w:hint="eastAsia" w:ascii="宋体" w:hAnsi="宋体" w:eastAsia="宋体" w:cs="宋体"/>
          <w:color w:val="auto"/>
          <w:highlight w:val="none"/>
          <w:lang w:eastAsia="zh-CN"/>
        </w:rPr>
        <w:t>投标人须知</w:t>
      </w:r>
      <w:r>
        <w:rPr>
          <w:rFonts w:hint="eastAsia" w:ascii="宋体" w:hAnsi="宋体" w:eastAsia="宋体" w:cs="宋体"/>
          <w:color w:val="auto"/>
          <w:highlight w:val="none"/>
        </w:rPr>
        <w:t>前附表</w:t>
      </w:r>
      <w:bookmarkEnd w:id="1"/>
      <w:bookmarkEnd w:id="43"/>
    </w:p>
    <w:tbl>
      <w:tblPr>
        <w:tblStyle w:val="45"/>
        <w:tblW w:w="9538" w:type="dxa"/>
        <w:tblInd w:w="2" w:type="dxa"/>
        <w:tblLayout w:type="fixed"/>
        <w:tblCellMar>
          <w:top w:w="0" w:type="dxa"/>
          <w:left w:w="0" w:type="dxa"/>
          <w:bottom w:w="0" w:type="dxa"/>
          <w:right w:w="0" w:type="dxa"/>
        </w:tblCellMar>
      </w:tblPr>
      <w:tblGrid>
        <w:gridCol w:w="727"/>
        <w:gridCol w:w="1558"/>
        <w:gridCol w:w="7253"/>
      </w:tblGrid>
      <w:tr w14:paraId="78EF493F">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6A179B0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编号</w:t>
            </w:r>
          </w:p>
        </w:tc>
        <w:tc>
          <w:tcPr>
            <w:tcW w:w="1558" w:type="dxa"/>
            <w:tcBorders>
              <w:top w:val="single" w:color="auto" w:sz="8" w:space="0"/>
              <w:left w:val="single" w:color="auto" w:sz="4" w:space="0"/>
              <w:bottom w:val="single" w:color="auto" w:sz="8" w:space="0"/>
              <w:right w:val="single" w:color="auto" w:sz="4" w:space="0"/>
            </w:tcBorders>
            <w:vAlign w:val="center"/>
          </w:tcPr>
          <w:p w14:paraId="49C71E2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w:t>
            </w:r>
          </w:p>
        </w:tc>
        <w:tc>
          <w:tcPr>
            <w:tcW w:w="7253" w:type="dxa"/>
            <w:tcBorders>
              <w:top w:val="single" w:color="auto" w:sz="8" w:space="0"/>
              <w:left w:val="single" w:color="auto" w:sz="4" w:space="0"/>
              <w:bottom w:val="single" w:color="auto" w:sz="8" w:space="0"/>
              <w:right w:val="single" w:color="auto" w:sz="8" w:space="0"/>
            </w:tcBorders>
            <w:vAlign w:val="center"/>
          </w:tcPr>
          <w:p w14:paraId="6CFD765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说明与要求</w:t>
            </w:r>
          </w:p>
        </w:tc>
      </w:tr>
      <w:tr w14:paraId="726904A0">
        <w:tblPrEx>
          <w:tblCellMar>
            <w:top w:w="0" w:type="dxa"/>
            <w:left w:w="0" w:type="dxa"/>
            <w:bottom w:w="0" w:type="dxa"/>
            <w:right w:w="0" w:type="dxa"/>
          </w:tblCellMar>
        </w:tblPrEx>
        <w:trPr>
          <w:trHeight w:val="816" w:hRule="atLeast"/>
        </w:trPr>
        <w:tc>
          <w:tcPr>
            <w:tcW w:w="727" w:type="dxa"/>
            <w:tcBorders>
              <w:top w:val="single" w:color="auto" w:sz="8" w:space="0"/>
              <w:left w:val="single" w:color="auto" w:sz="8" w:space="0"/>
              <w:bottom w:val="single" w:color="auto" w:sz="8" w:space="0"/>
              <w:right w:val="single" w:color="auto" w:sz="8" w:space="0"/>
            </w:tcBorders>
            <w:vAlign w:val="center"/>
          </w:tcPr>
          <w:p w14:paraId="2BF3545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58" w:type="dxa"/>
            <w:tcBorders>
              <w:top w:val="single" w:color="auto" w:sz="8" w:space="0"/>
              <w:left w:val="single" w:color="auto" w:sz="4" w:space="0"/>
              <w:bottom w:val="single" w:color="auto" w:sz="8" w:space="0"/>
              <w:right w:val="single" w:color="auto" w:sz="4" w:space="0"/>
            </w:tcBorders>
            <w:vAlign w:val="center"/>
          </w:tcPr>
          <w:p w14:paraId="1C48B21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项目概况</w:t>
            </w:r>
          </w:p>
        </w:tc>
        <w:tc>
          <w:tcPr>
            <w:tcW w:w="7253" w:type="dxa"/>
            <w:tcBorders>
              <w:top w:val="single" w:color="auto" w:sz="8" w:space="0"/>
              <w:left w:val="single" w:color="auto" w:sz="4" w:space="0"/>
              <w:bottom w:val="single" w:color="auto" w:sz="8" w:space="0"/>
              <w:right w:val="single" w:color="auto" w:sz="8" w:space="0"/>
            </w:tcBorders>
            <w:vAlign w:val="center"/>
          </w:tcPr>
          <w:p w14:paraId="3237CBC8">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default" w:ascii="宋体"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名称：</w:t>
            </w:r>
            <w:r>
              <w:rPr>
                <w:rFonts w:hint="eastAsia" w:ascii="宋体" w:hAnsi="宋体" w:cs="宋体"/>
                <w:color w:val="auto"/>
                <w:kern w:val="0"/>
                <w:sz w:val="21"/>
                <w:szCs w:val="21"/>
                <w:highlight w:val="none"/>
                <w:lang w:val="en-US" w:eastAsia="zh-CN"/>
              </w:rPr>
              <w:t>明湖公园园路应急工程工程量清单及最高投标限价编制服务项目</w:t>
            </w:r>
          </w:p>
          <w:p w14:paraId="3D870AD5">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建设地点：滁州市</w:t>
            </w:r>
            <w:r>
              <w:rPr>
                <w:rFonts w:hint="eastAsia" w:ascii="宋体" w:hAnsi="宋体" w:eastAsia="宋体" w:cs="宋体"/>
                <w:color w:val="auto"/>
                <w:kern w:val="0"/>
                <w:sz w:val="21"/>
                <w:szCs w:val="21"/>
                <w:highlight w:val="none"/>
                <w:lang w:val="en-US" w:eastAsia="zh-CN"/>
              </w:rPr>
              <w:t>内</w:t>
            </w:r>
          </w:p>
          <w:p w14:paraId="41C1F8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63" w:leftChars="30" w:right="0"/>
              <w:jc w:val="left"/>
              <w:textAlignment w:val="auto"/>
              <w:rPr>
                <w:rFonts w:hint="default" w:ascii="宋体" w:hAnsi="宋体" w:eastAsia="宋体" w:cs="宋体"/>
                <w:color w:val="auto"/>
                <w:kern w:val="0"/>
                <w:sz w:val="21"/>
                <w:szCs w:val="21"/>
                <w:highlight w:val="none"/>
                <w:u w:val="single"/>
                <w:lang w:val="en-US"/>
              </w:rPr>
            </w:pPr>
            <w:r>
              <w:rPr>
                <w:rFonts w:hint="eastAsia" w:ascii="宋体" w:hAnsi="宋体" w:eastAsia="宋体" w:cs="宋体"/>
                <w:color w:val="auto"/>
                <w:kern w:val="0"/>
                <w:sz w:val="21"/>
                <w:szCs w:val="21"/>
                <w:highlight w:val="none"/>
                <w:lang w:val="en-US" w:eastAsia="zh-CN"/>
              </w:rPr>
              <w:t>建设规模：工程量清单及最高投标限价编制费约</w:t>
            </w:r>
            <w:r>
              <w:rPr>
                <w:rFonts w:hint="eastAsia" w:ascii="宋体" w:hAnsi="宋体" w:cs="宋体"/>
                <w:i w:val="0"/>
                <w:iCs w:val="0"/>
                <w:caps w:val="0"/>
                <w:color w:val="auto"/>
                <w:spacing w:val="0"/>
                <w:kern w:val="0"/>
                <w:sz w:val="21"/>
                <w:szCs w:val="21"/>
                <w:highlight w:val="none"/>
                <w:shd w:val="clear" w:fill="FFFFFF"/>
                <w:lang w:val="en-US" w:eastAsia="zh-CN" w:bidi="ar"/>
              </w:rPr>
              <w:t>0.4575万元</w:t>
            </w:r>
            <w:r>
              <w:rPr>
                <w:rFonts w:hint="eastAsia" w:ascii="宋体" w:hAnsi="宋体" w:eastAsia="宋体" w:cs="宋体"/>
                <w:color w:val="auto"/>
                <w:kern w:val="0"/>
                <w:sz w:val="21"/>
                <w:szCs w:val="21"/>
                <w:highlight w:val="none"/>
                <w:lang w:val="en-US" w:eastAsia="zh-CN"/>
              </w:rPr>
              <w:t>。</w:t>
            </w:r>
          </w:p>
        </w:tc>
      </w:tr>
      <w:tr w14:paraId="4047B0BA">
        <w:tblPrEx>
          <w:tblCellMar>
            <w:top w:w="0" w:type="dxa"/>
            <w:left w:w="0" w:type="dxa"/>
            <w:bottom w:w="0" w:type="dxa"/>
            <w:right w:w="0" w:type="dxa"/>
          </w:tblCellMar>
        </w:tblPrEx>
        <w:trPr>
          <w:trHeight w:val="525" w:hRule="atLeast"/>
        </w:trPr>
        <w:tc>
          <w:tcPr>
            <w:tcW w:w="727" w:type="dxa"/>
            <w:tcBorders>
              <w:top w:val="single" w:color="auto" w:sz="8" w:space="0"/>
              <w:left w:val="single" w:color="auto" w:sz="8" w:space="0"/>
              <w:bottom w:val="single" w:color="auto" w:sz="8" w:space="0"/>
              <w:right w:val="single" w:color="auto" w:sz="8" w:space="0"/>
            </w:tcBorders>
            <w:vAlign w:val="center"/>
          </w:tcPr>
          <w:p w14:paraId="4A966AC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58" w:type="dxa"/>
            <w:tcBorders>
              <w:top w:val="single" w:color="auto" w:sz="8" w:space="0"/>
              <w:left w:val="single" w:color="auto" w:sz="4" w:space="0"/>
              <w:bottom w:val="single" w:color="auto" w:sz="8" w:space="0"/>
              <w:right w:val="single" w:color="auto" w:sz="4" w:space="0"/>
            </w:tcBorders>
            <w:vAlign w:val="center"/>
          </w:tcPr>
          <w:p w14:paraId="1E1D1A5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服务需求</w:t>
            </w:r>
          </w:p>
        </w:tc>
        <w:tc>
          <w:tcPr>
            <w:tcW w:w="7253" w:type="dxa"/>
            <w:tcBorders>
              <w:top w:val="single" w:color="auto" w:sz="8" w:space="0"/>
              <w:left w:val="single" w:color="auto" w:sz="4" w:space="0"/>
              <w:bottom w:val="single" w:color="auto" w:sz="8" w:space="0"/>
              <w:right w:val="single" w:color="auto" w:sz="8" w:space="0"/>
            </w:tcBorders>
            <w:vAlign w:val="center"/>
          </w:tcPr>
          <w:p w14:paraId="0003F08F">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default" w:ascii="宋体" w:hAnsi="宋体" w:eastAsia="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见招标公告</w:t>
            </w:r>
          </w:p>
        </w:tc>
      </w:tr>
      <w:tr w14:paraId="597FACB0">
        <w:tblPrEx>
          <w:tblCellMar>
            <w:top w:w="0" w:type="dxa"/>
            <w:left w:w="0" w:type="dxa"/>
            <w:bottom w:w="0" w:type="dxa"/>
            <w:right w:w="0" w:type="dxa"/>
          </w:tblCellMar>
        </w:tblPrEx>
        <w:trPr>
          <w:trHeight w:val="711" w:hRule="atLeast"/>
        </w:trPr>
        <w:tc>
          <w:tcPr>
            <w:tcW w:w="727" w:type="dxa"/>
            <w:tcBorders>
              <w:top w:val="single" w:color="auto" w:sz="8" w:space="0"/>
              <w:left w:val="single" w:color="auto" w:sz="8" w:space="0"/>
              <w:bottom w:val="single" w:color="auto" w:sz="8" w:space="0"/>
              <w:right w:val="single" w:color="auto" w:sz="8" w:space="0"/>
            </w:tcBorders>
            <w:vAlign w:val="center"/>
          </w:tcPr>
          <w:p w14:paraId="01D1593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558" w:type="dxa"/>
            <w:tcBorders>
              <w:top w:val="single" w:color="auto" w:sz="8" w:space="0"/>
              <w:left w:val="single" w:color="auto" w:sz="4" w:space="0"/>
              <w:bottom w:val="single" w:color="auto" w:sz="8" w:space="0"/>
              <w:right w:val="single" w:color="auto" w:sz="4" w:space="0"/>
            </w:tcBorders>
            <w:vAlign w:val="center"/>
          </w:tcPr>
          <w:p w14:paraId="0815F98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服务期</w:t>
            </w:r>
            <w:r>
              <w:rPr>
                <w:rFonts w:hint="eastAsia" w:ascii="宋体" w:hAnsi="宋体" w:eastAsia="宋体" w:cs="宋体"/>
                <w:color w:val="auto"/>
                <w:kern w:val="0"/>
                <w:sz w:val="21"/>
                <w:szCs w:val="21"/>
                <w:highlight w:val="none"/>
              </w:rPr>
              <w:t>要求</w:t>
            </w:r>
          </w:p>
        </w:tc>
        <w:tc>
          <w:tcPr>
            <w:tcW w:w="7253" w:type="dxa"/>
            <w:tcBorders>
              <w:top w:val="single" w:color="auto" w:sz="8" w:space="0"/>
              <w:left w:val="single" w:color="auto" w:sz="4" w:space="0"/>
              <w:bottom w:val="single" w:color="auto" w:sz="8" w:space="0"/>
              <w:right w:val="single" w:color="auto" w:sz="8" w:space="0"/>
            </w:tcBorders>
            <w:vAlign w:val="center"/>
          </w:tcPr>
          <w:p w14:paraId="125E3E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63" w:leftChars="30" w:right="42" w:rightChars="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1、领取图纸之日起</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日内完成工程量清单和最高投标限价的编制及备案工作。</w:t>
            </w:r>
          </w:p>
          <w:p w14:paraId="32E421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63" w:leftChars="30" w:right="42" w:rightChars="20"/>
              <w:textAlignment w:val="auto"/>
              <w:rPr>
                <w:rFonts w:hint="eastAsia"/>
                <w:color w:val="auto"/>
                <w:highlight w:val="none"/>
                <w:lang w:eastAsia="zh-CN"/>
              </w:rPr>
            </w:pPr>
            <w:r>
              <w:rPr>
                <w:rFonts w:hint="eastAsia" w:ascii="宋体" w:hAnsi="宋体" w:eastAsia="宋体" w:cs="宋体"/>
                <w:color w:val="auto"/>
                <w:sz w:val="21"/>
                <w:szCs w:val="21"/>
                <w:highlight w:val="none"/>
                <w:lang w:val="en-US" w:eastAsia="zh-CN"/>
              </w:rPr>
              <w:t>2、造价企业应在规定时间内提交咨询成果文件，因造价企业原因未能按时提交，超过5日的，扣咨询服务费500元/日。</w:t>
            </w:r>
          </w:p>
        </w:tc>
      </w:tr>
      <w:tr w14:paraId="24784F21">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274B87B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558" w:type="dxa"/>
            <w:tcBorders>
              <w:top w:val="single" w:color="auto" w:sz="8" w:space="0"/>
              <w:left w:val="single" w:color="auto" w:sz="4" w:space="0"/>
              <w:bottom w:val="single" w:color="auto" w:sz="8" w:space="0"/>
              <w:right w:val="single" w:color="auto" w:sz="4" w:space="0"/>
            </w:tcBorders>
            <w:vAlign w:val="center"/>
          </w:tcPr>
          <w:p w14:paraId="3198F4B1">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质量标准</w:t>
            </w:r>
          </w:p>
        </w:tc>
        <w:tc>
          <w:tcPr>
            <w:tcW w:w="7253" w:type="dxa"/>
            <w:tcBorders>
              <w:top w:val="single" w:color="auto" w:sz="8" w:space="0"/>
              <w:left w:val="single" w:color="auto" w:sz="4" w:space="0"/>
              <w:bottom w:val="single" w:color="auto" w:sz="8" w:space="0"/>
              <w:right w:val="single" w:color="auto" w:sz="8" w:space="0"/>
            </w:tcBorders>
            <w:vAlign w:val="center"/>
          </w:tcPr>
          <w:p w14:paraId="27135FFC">
            <w:pPr>
              <w:keepNext w:val="0"/>
              <w:keepLines w:val="0"/>
              <w:pageBreakBefore w:val="0"/>
              <w:widowControl w:val="0"/>
              <w:kinsoku/>
              <w:wordWrap/>
              <w:overflowPunct/>
              <w:topLinePunct w:val="0"/>
              <w:autoSpaceDE/>
              <w:autoSpaceDN/>
              <w:bidi w:val="0"/>
              <w:adjustRightInd/>
              <w:snapToGrid/>
              <w:spacing w:line="440" w:lineRule="exact"/>
              <w:ind w:left="63" w:leftChars="3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eastAsia="zh-CN"/>
              </w:rPr>
              <w:t>符合《建设工程造价咨询成果文件质量标准》（CECA/GCF2012）</w:t>
            </w:r>
          </w:p>
        </w:tc>
      </w:tr>
      <w:tr w14:paraId="21D1049F">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68BC984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558" w:type="dxa"/>
            <w:tcBorders>
              <w:top w:val="single" w:color="auto" w:sz="8" w:space="0"/>
              <w:left w:val="single" w:color="auto" w:sz="4" w:space="0"/>
              <w:bottom w:val="single" w:color="auto" w:sz="8" w:space="0"/>
              <w:right w:val="single" w:color="auto" w:sz="4" w:space="0"/>
            </w:tcBorders>
            <w:vAlign w:val="center"/>
          </w:tcPr>
          <w:p w14:paraId="0E6F3B67">
            <w:pPr>
              <w:keepNext w:val="0"/>
              <w:keepLines w:val="0"/>
              <w:pageBreakBefore w:val="0"/>
              <w:kinsoku/>
              <w:wordWrap/>
              <w:overflowPunct/>
              <w:topLinePunct w:val="0"/>
              <w:autoSpaceDE/>
              <w:autoSpaceDN/>
              <w:bidi w:val="0"/>
              <w:adjustRightInd/>
              <w:snapToGrid/>
              <w:spacing w:line="44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w:t>
            </w:r>
          </w:p>
          <w:p w14:paraId="4A788D2E">
            <w:pPr>
              <w:keepNext w:val="0"/>
              <w:keepLines w:val="0"/>
              <w:pageBreakBefore w:val="0"/>
              <w:kinsoku/>
              <w:wordWrap/>
              <w:overflowPunct/>
              <w:topLinePunct w:val="0"/>
              <w:autoSpaceDE/>
              <w:autoSpaceDN/>
              <w:bidi w:val="0"/>
              <w:adjustRightInd/>
              <w:snapToGrid/>
              <w:spacing w:line="44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等级要求</w:t>
            </w:r>
          </w:p>
        </w:tc>
        <w:tc>
          <w:tcPr>
            <w:tcW w:w="7253" w:type="dxa"/>
            <w:tcBorders>
              <w:top w:val="single" w:color="auto" w:sz="8" w:space="0"/>
              <w:left w:val="single" w:color="auto" w:sz="4" w:space="0"/>
              <w:bottom w:val="single" w:color="auto" w:sz="8" w:space="0"/>
              <w:right w:val="single" w:color="auto" w:sz="8" w:space="0"/>
            </w:tcBorders>
            <w:vAlign w:val="center"/>
          </w:tcPr>
          <w:p w14:paraId="19BF53D1">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见招标公告</w:t>
            </w:r>
          </w:p>
        </w:tc>
      </w:tr>
      <w:tr w14:paraId="26978DB0">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2B243C1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558" w:type="dxa"/>
            <w:tcBorders>
              <w:top w:val="single" w:color="auto" w:sz="8" w:space="0"/>
              <w:left w:val="single" w:color="auto" w:sz="4" w:space="0"/>
              <w:bottom w:val="single" w:color="auto" w:sz="8" w:space="0"/>
              <w:right w:val="single" w:color="auto" w:sz="4" w:space="0"/>
            </w:tcBorders>
            <w:vAlign w:val="center"/>
          </w:tcPr>
          <w:p w14:paraId="0DD7F5B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勘察现场及投标预备会</w:t>
            </w:r>
          </w:p>
        </w:tc>
        <w:tc>
          <w:tcPr>
            <w:tcW w:w="7253" w:type="dxa"/>
            <w:tcBorders>
              <w:top w:val="single" w:color="auto" w:sz="8" w:space="0"/>
              <w:left w:val="single" w:color="auto" w:sz="4" w:space="0"/>
              <w:bottom w:val="single" w:color="auto" w:sz="8" w:space="0"/>
              <w:right w:val="single" w:color="auto" w:sz="8" w:space="0"/>
            </w:tcBorders>
            <w:vAlign w:val="center"/>
          </w:tcPr>
          <w:p w14:paraId="13D7AA67">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不再集中召开招标答疑会；投标人自行组织勘察现场。</w:t>
            </w:r>
          </w:p>
        </w:tc>
      </w:tr>
      <w:tr w14:paraId="73E08BE4">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59B9DB0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558" w:type="dxa"/>
            <w:tcBorders>
              <w:top w:val="single" w:color="auto" w:sz="8" w:space="0"/>
              <w:left w:val="single" w:color="auto" w:sz="4" w:space="0"/>
              <w:bottom w:val="single" w:color="auto" w:sz="8" w:space="0"/>
              <w:right w:val="single" w:color="auto" w:sz="4" w:space="0"/>
            </w:tcBorders>
            <w:vAlign w:val="center"/>
          </w:tcPr>
          <w:p w14:paraId="396C664A">
            <w:pPr>
              <w:pStyle w:val="25"/>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招标方式</w:t>
            </w:r>
          </w:p>
        </w:tc>
        <w:tc>
          <w:tcPr>
            <w:tcW w:w="7253" w:type="dxa"/>
            <w:tcBorders>
              <w:top w:val="single" w:color="auto" w:sz="8" w:space="0"/>
              <w:left w:val="single" w:color="auto" w:sz="4" w:space="0"/>
              <w:bottom w:val="single" w:color="auto" w:sz="8" w:space="0"/>
              <w:right w:val="single" w:color="auto" w:sz="8" w:space="0"/>
            </w:tcBorders>
            <w:vAlign w:val="center"/>
          </w:tcPr>
          <w:p w14:paraId="59739CC9">
            <w:pPr>
              <w:pStyle w:val="25"/>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rPr>
            </w:pPr>
            <w:r>
              <w:rPr>
                <w:rFonts w:hint="eastAsia" w:ascii="宋体" w:hAnsi="宋体" w:eastAsia="宋体" w:cs="宋体"/>
                <w:b/>
                <w:bCs w:val="0"/>
                <w:color w:val="auto"/>
                <w:sz w:val="21"/>
                <w:szCs w:val="21"/>
                <w:highlight w:val="none"/>
              </w:rPr>
              <w:t xml:space="preserve">公开招标(本项目采用网上电子招投标) </w:t>
            </w:r>
          </w:p>
        </w:tc>
      </w:tr>
      <w:tr w14:paraId="0DEE0E5F">
        <w:tblPrEx>
          <w:tblCellMar>
            <w:top w:w="0" w:type="dxa"/>
            <w:left w:w="0" w:type="dxa"/>
            <w:bottom w:w="0" w:type="dxa"/>
            <w:right w:w="0" w:type="dxa"/>
          </w:tblCellMar>
        </w:tblPrEx>
        <w:trPr>
          <w:trHeight w:val="1103" w:hRule="atLeast"/>
        </w:trPr>
        <w:tc>
          <w:tcPr>
            <w:tcW w:w="727" w:type="dxa"/>
            <w:tcBorders>
              <w:top w:val="single" w:color="auto" w:sz="8" w:space="0"/>
              <w:left w:val="single" w:color="auto" w:sz="8" w:space="0"/>
              <w:bottom w:val="single" w:color="auto" w:sz="8" w:space="0"/>
              <w:right w:val="single" w:color="auto" w:sz="8" w:space="0"/>
            </w:tcBorders>
            <w:vAlign w:val="center"/>
          </w:tcPr>
          <w:p w14:paraId="48A5CF8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1558" w:type="dxa"/>
            <w:tcBorders>
              <w:top w:val="single" w:color="auto" w:sz="8" w:space="0"/>
              <w:left w:val="single" w:color="auto" w:sz="4" w:space="0"/>
              <w:bottom w:val="single" w:color="auto" w:sz="8" w:space="0"/>
              <w:right w:val="single" w:color="auto" w:sz="4" w:space="0"/>
            </w:tcBorders>
            <w:vAlign w:val="center"/>
          </w:tcPr>
          <w:p w14:paraId="51E1A09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7253" w:type="dxa"/>
            <w:tcBorders>
              <w:top w:val="single" w:color="auto" w:sz="8" w:space="0"/>
              <w:left w:val="single" w:color="auto" w:sz="4" w:space="0"/>
              <w:bottom w:val="single" w:color="auto" w:sz="8" w:space="0"/>
              <w:right w:val="single" w:color="auto" w:sz="8" w:space="0"/>
            </w:tcBorders>
            <w:vAlign w:val="center"/>
          </w:tcPr>
          <w:p w14:paraId="7FFB228E">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本项目</w:t>
            </w:r>
            <w:r>
              <w:rPr>
                <w:rFonts w:hint="eastAsia" w:ascii="宋体" w:hAnsi="宋体" w:eastAsia="宋体" w:cs="宋体"/>
                <w:color w:val="auto"/>
                <w:kern w:val="0"/>
                <w:sz w:val="21"/>
                <w:szCs w:val="21"/>
                <w:highlight w:val="none"/>
                <w:lang w:eastAsia="zh-CN"/>
              </w:rPr>
              <w:t>工程量清单和最高投标限价编制</w:t>
            </w:r>
            <w:r>
              <w:rPr>
                <w:rFonts w:hint="eastAsia" w:ascii="宋体" w:hAnsi="宋体" w:eastAsia="宋体" w:cs="宋体"/>
                <w:color w:val="auto"/>
                <w:kern w:val="0"/>
                <w:sz w:val="21"/>
                <w:szCs w:val="21"/>
                <w:highlight w:val="none"/>
                <w:lang w:val="en-US" w:eastAsia="zh-CN"/>
              </w:rPr>
              <w:t>费用的最高限价为《收费标准》计算费用的</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0%（报价均保留两位小数，小数点后第三位将四舍五入进行修正）</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投标单位投标报价不得高于上述费率最高限价，否则按无效标处理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《收费标准》详见附表</w:t>
            </w:r>
            <w:r>
              <w:rPr>
                <w:rFonts w:hint="eastAsia" w:ascii="宋体" w:hAnsi="宋体" w:eastAsia="宋体" w:cs="宋体"/>
                <w:color w:val="auto"/>
                <w:kern w:val="0"/>
                <w:sz w:val="21"/>
                <w:szCs w:val="21"/>
                <w:highlight w:val="none"/>
                <w:lang w:eastAsia="zh-CN"/>
              </w:rPr>
              <w:t>。</w:t>
            </w:r>
          </w:p>
          <w:p w14:paraId="7AD7A12C">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注：服务费用=【施工中标价-（暂列金+暂估价）】*相应费率*中标费率</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若施工招标时划分了多个施工标段，则造价咨询费的计费基数为已招标实施的施工标段中标价的合计总金额。</w:t>
            </w:r>
          </w:p>
        </w:tc>
      </w:tr>
      <w:tr w14:paraId="689F356F">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61DCADC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1558" w:type="dxa"/>
            <w:tcBorders>
              <w:top w:val="single" w:color="auto" w:sz="8" w:space="0"/>
              <w:left w:val="single" w:color="auto" w:sz="4" w:space="0"/>
              <w:bottom w:val="single" w:color="auto" w:sz="8" w:space="0"/>
              <w:right w:val="single" w:color="auto" w:sz="4" w:space="0"/>
            </w:tcBorders>
            <w:vAlign w:val="center"/>
          </w:tcPr>
          <w:p w14:paraId="0CDB768E">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投标人提出问题的截止时间</w:t>
            </w:r>
          </w:p>
          <w:p w14:paraId="156BE6F6">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及方式</w:t>
            </w:r>
          </w:p>
        </w:tc>
        <w:tc>
          <w:tcPr>
            <w:tcW w:w="7253" w:type="dxa"/>
            <w:tcBorders>
              <w:top w:val="single" w:color="auto" w:sz="8" w:space="0"/>
              <w:left w:val="single" w:color="auto" w:sz="4" w:space="0"/>
              <w:bottom w:val="single" w:color="auto" w:sz="8" w:space="0"/>
              <w:right w:val="single" w:color="auto" w:sz="8" w:space="0"/>
            </w:tcBorders>
            <w:vAlign w:val="center"/>
          </w:tcPr>
          <w:p w14:paraId="7839BB0B">
            <w:pPr>
              <w:keepNext w:val="0"/>
              <w:keepLines w:val="0"/>
              <w:pageBreakBefore w:val="0"/>
              <w:widowControl w:val="0"/>
              <w:kinsoku/>
              <w:wordWrap w:val="0"/>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4"/>
                <w:kern w:val="0"/>
                <w:sz w:val="21"/>
                <w:szCs w:val="21"/>
                <w:highlight w:val="none"/>
              </w:rPr>
              <w:t>如投标人对招标文件有疑问，请于</w:t>
            </w:r>
            <w:r>
              <w:rPr>
                <w:rFonts w:hint="eastAsia" w:ascii="宋体" w:hAnsi="宋体" w:cs="宋体"/>
                <w:color w:val="auto"/>
                <w:spacing w:val="-4"/>
                <w:kern w:val="0"/>
                <w:sz w:val="21"/>
                <w:szCs w:val="21"/>
                <w:highlight w:val="none"/>
                <w:lang w:eastAsia="zh-CN"/>
              </w:rPr>
              <w:t>2026年2月</w:t>
            </w:r>
            <w:r>
              <w:rPr>
                <w:rFonts w:hint="eastAsia" w:ascii="宋体" w:hAnsi="宋体" w:cs="宋体"/>
                <w:color w:val="auto"/>
                <w:spacing w:val="-4"/>
                <w:kern w:val="0"/>
                <w:sz w:val="21"/>
                <w:szCs w:val="21"/>
                <w:highlight w:val="none"/>
                <w:lang w:val="en-US" w:eastAsia="zh-CN"/>
              </w:rPr>
              <w:t>28</w:t>
            </w:r>
            <w:r>
              <w:rPr>
                <w:rFonts w:hint="eastAsia" w:ascii="宋体" w:hAnsi="宋体" w:eastAsia="宋体" w:cs="宋体"/>
                <w:color w:val="auto"/>
                <w:spacing w:val="-4"/>
                <w:kern w:val="0"/>
                <w:sz w:val="21"/>
                <w:szCs w:val="21"/>
                <w:highlight w:val="none"/>
              </w:rPr>
              <w:fldChar w:fldCharType="begin"/>
            </w:r>
            <w:r>
              <w:rPr>
                <w:rFonts w:hint="eastAsia" w:ascii="宋体" w:hAnsi="宋体" w:eastAsia="宋体" w:cs="宋体"/>
                <w:color w:val="auto"/>
                <w:spacing w:val="-4"/>
                <w:kern w:val="0"/>
                <w:sz w:val="21"/>
                <w:szCs w:val="21"/>
                <w:highlight w:val="none"/>
              </w:rPr>
              <w:instrText xml:space="preserve"> HYPERLINK "mailto:日12时前将疑问内容以电子邮件形式发送至czsctgczx@163.com（滁州市城投工程咨询管理有限公司邮箱），招标人将在2024年4月" </w:instrText>
            </w:r>
            <w:r>
              <w:rPr>
                <w:rFonts w:hint="eastAsia" w:ascii="宋体" w:hAnsi="宋体" w:eastAsia="宋体" w:cs="宋体"/>
                <w:color w:val="auto"/>
                <w:spacing w:val="-4"/>
                <w:kern w:val="0"/>
                <w:sz w:val="21"/>
                <w:szCs w:val="21"/>
                <w:highlight w:val="none"/>
              </w:rPr>
              <w:fldChar w:fldCharType="separate"/>
            </w:r>
            <w:r>
              <w:rPr>
                <w:rFonts w:hint="eastAsia" w:ascii="宋体" w:hAnsi="宋体" w:eastAsia="宋体" w:cs="宋体"/>
                <w:color w:val="auto"/>
                <w:spacing w:val="-4"/>
                <w:kern w:val="0"/>
                <w:sz w:val="21"/>
                <w:szCs w:val="21"/>
                <w:highlight w:val="none"/>
              </w:rPr>
              <w:t>日1</w:t>
            </w:r>
            <w:r>
              <w:rPr>
                <w:rFonts w:hint="eastAsia" w:ascii="宋体" w:hAnsi="宋体" w:cs="宋体"/>
                <w:color w:val="auto"/>
                <w:spacing w:val="-4"/>
                <w:kern w:val="0"/>
                <w:sz w:val="21"/>
                <w:szCs w:val="21"/>
                <w:highlight w:val="none"/>
                <w:lang w:val="en-US" w:eastAsia="zh-CN"/>
              </w:rPr>
              <w:t>2</w:t>
            </w:r>
            <w:r>
              <w:rPr>
                <w:rFonts w:hint="eastAsia" w:ascii="宋体" w:hAnsi="宋体" w:eastAsia="宋体" w:cs="宋体"/>
                <w:color w:val="auto"/>
                <w:spacing w:val="-4"/>
                <w:kern w:val="0"/>
                <w:sz w:val="21"/>
                <w:szCs w:val="21"/>
                <w:highlight w:val="none"/>
              </w:rPr>
              <w:t>时前</w:t>
            </w:r>
            <w:r>
              <w:rPr>
                <w:rFonts w:hint="eastAsia" w:ascii="宋体" w:hAnsi="宋体" w:eastAsia="宋体" w:cs="宋体"/>
                <w:color w:val="auto"/>
                <w:kern w:val="0"/>
                <w:sz w:val="21"/>
                <w:szCs w:val="21"/>
                <w:highlight w:val="none"/>
                <w:lang w:val="en-US" w:eastAsia="zh-CN"/>
              </w:rPr>
              <w:t>通过新点电子交易平台【滁州专区】对招标文件提出澄清（质疑）</w:t>
            </w:r>
            <w:r>
              <w:rPr>
                <w:rFonts w:hint="eastAsia" w:ascii="宋体" w:hAnsi="宋体" w:eastAsia="宋体" w:cs="宋体"/>
                <w:color w:val="auto"/>
                <w:spacing w:val="-4"/>
                <w:kern w:val="0"/>
                <w:sz w:val="21"/>
                <w:szCs w:val="21"/>
                <w:highlight w:val="none"/>
              </w:rPr>
              <w:t>，招标人将在</w:t>
            </w:r>
            <w:r>
              <w:rPr>
                <w:rFonts w:hint="eastAsia" w:ascii="宋体" w:hAnsi="宋体" w:cs="宋体"/>
                <w:color w:val="auto"/>
                <w:spacing w:val="-4"/>
                <w:kern w:val="0"/>
                <w:sz w:val="21"/>
                <w:szCs w:val="21"/>
                <w:highlight w:val="none"/>
                <w:lang w:eastAsia="zh-CN"/>
              </w:rPr>
              <w:t>2026年2月</w:t>
            </w:r>
            <w:r>
              <w:rPr>
                <w:rFonts w:hint="eastAsia" w:ascii="宋体" w:hAnsi="宋体" w:eastAsia="宋体" w:cs="宋体"/>
                <w:color w:val="auto"/>
                <w:spacing w:val="-4"/>
                <w:kern w:val="0"/>
                <w:sz w:val="21"/>
                <w:szCs w:val="21"/>
                <w:highlight w:val="none"/>
              </w:rPr>
              <w:fldChar w:fldCharType="end"/>
            </w:r>
            <w:r>
              <w:rPr>
                <w:rFonts w:hint="eastAsia" w:ascii="宋体" w:hAnsi="宋体" w:cs="宋体"/>
                <w:color w:val="auto"/>
                <w:spacing w:val="-4"/>
                <w:kern w:val="0"/>
                <w:sz w:val="21"/>
                <w:szCs w:val="21"/>
                <w:highlight w:val="none"/>
                <w:lang w:val="en-US" w:eastAsia="zh-CN"/>
              </w:rPr>
              <w:t>28</w:t>
            </w:r>
            <w:r>
              <w:rPr>
                <w:rFonts w:hint="eastAsia" w:ascii="宋体" w:hAnsi="宋体" w:eastAsia="宋体" w:cs="宋体"/>
                <w:color w:val="auto"/>
                <w:spacing w:val="-4"/>
                <w:kern w:val="0"/>
                <w:sz w:val="21"/>
                <w:szCs w:val="21"/>
                <w:highlight w:val="none"/>
              </w:rPr>
              <w:t>日1</w:t>
            </w:r>
            <w:r>
              <w:rPr>
                <w:rFonts w:hint="eastAsia" w:ascii="宋体" w:hAnsi="宋体" w:cs="宋体"/>
                <w:color w:val="auto"/>
                <w:spacing w:val="-4"/>
                <w:kern w:val="0"/>
                <w:sz w:val="21"/>
                <w:szCs w:val="21"/>
                <w:highlight w:val="none"/>
                <w:lang w:val="en-US" w:eastAsia="zh-CN"/>
              </w:rPr>
              <w:t>7</w:t>
            </w:r>
            <w:r>
              <w:rPr>
                <w:rFonts w:hint="eastAsia" w:ascii="宋体" w:hAnsi="宋体" w:eastAsia="宋体" w:cs="宋体"/>
                <w:color w:val="auto"/>
                <w:spacing w:val="-4"/>
                <w:kern w:val="0"/>
                <w:sz w:val="21"/>
                <w:szCs w:val="21"/>
                <w:highlight w:val="none"/>
              </w:rPr>
              <w:t>时后</w:t>
            </w:r>
            <w:r>
              <w:rPr>
                <w:rFonts w:hint="eastAsia" w:ascii="宋体" w:hAnsi="宋体" w:eastAsia="宋体" w:cs="宋体"/>
                <w:color w:val="auto"/>
                <w:spacing w:val="-4"/>
                <w:kern w:val="0"/>
                <w:sz w:val="21"/>
                <w:szCs w:val="21"/>
                <w:highlight w:val="none"/>
                <w:lang w:eastAsia="zh-CN"/>
              </w:rPr>
              <w:t>在</w:t>
            </w:r>
            <w:r>
              <w:rPr>
                <w:rFonts w:hint="eastAsia" w:ascii="宋体" w:hAnsi="宋体" w:eastAsia="宋体" w:cs="宋体"/>
                <w:color w:val="auto"/>
                <w:sz w:val="21"/>
                <w:szCs w:val="21"/>
                <w:highlight w:val="none"/>
              </w:rPr>
              <w:t>滁州市城投工程咨询管理有限公司（https://www.czctgczx.com/）</w:t>
            </w:r>
            <w:r>
              <w:rPr>
                <w:rFonts w:hint="eastAsia" w:ascii="宋体" w:hAnsi="宋体" w:eastAsia="宋体" w:cs="宋体"/>
                <w:color w:val="auto"/>
                <w:sz w:val="21"/>
                <w:szCs w:val="21"/>
                <w:highlight w:val="none"/>
                <w:lang w:val="en-US" w:eastAsia="zh-CN"/>
              </w:rPr>
              <w:t>网站发布</w:t>
            </w:r>
            <w:r>
              <w:rPr>
                <w:rFonts w:hint="eastAsia" w:ascii="宋体" w:hAnsi="宋体" w:eastAsia="宋体" w:cs="宋体"/>
                <w:color w:val="auto"/>
                <w:spacing w:val="-4"/>
                <w:kern w:val="0"/>
                <w:sz w:val="21"/>
                <w:szCs w:val="21"/>
                <w:highlight w:val="none"/>
              </w:rPr>
              <w:t>，请各位投标人注意查看有关澄清内容，如不及时查看造成后果由投标人自负。</w:t>
            </w:r>
          </w:p>
        </w:tc>
      </w:tr>
      <w:tr w14:paraId="3CAB79A3">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31E06C3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558" w:type="dxa"/>
            <w:tcBorders>
              <w:top w:val="single" w:color="auto" w:sz="8" w:space="0"/>
              <w:left w:val="single" w:color="auto" w:sz="4" w:space="0"/>
              <w:bottom w:val="single" w:color="auto" w:sz="8" w:space="0"/>
              <w:right w:val="single" w:color="auto" w:sz="4" w:space="0"/>
            </w:tcBorders>
            <w:vAlign w:val="center"/>
          </w:tcPr>
          <w:p w14:paraId="0B644D17">
            <w:pPr>
              <w:pStyle w:val="25"/>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w:t>
            </w:r>
          </w:p>
        </w:tc>
        <w:tc>
          <w:tcPr>
            <w:tcW w:w="7253" w:type="dxa"/>
            <w:tcBorders>
              <w:top w:val="single" w:color="auto" w:sz="8" w:space="0"/>
              <w:left w:val="single" w:color="auto" w:sz="4" w:space="0"/>
              <w:bottom w:val="single" w:color="auto" w:sz="8" w:space="0"/>
              <w:right w:val="single" w:color="auto" w:sz="8" w:space="0"/>
            </w:tcBorders>
            <w:vAlign w:val="center"/>
          </w:tcPr>
          <w:p w14:paraId="0CB8330D">
            <w:pPr>
              <w:pStyle w:val="25"/>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27D30DA2">
        <w:tblPrEx>
          <w:tblCellMar>
            <w:top w:w="0" w:type="dxa"/>
            <w:left w:w="0" w:type="dxa"/>
            <w:bottom w:w="0" w:type="dxa"/>
            <w:right w:w="0" w:type="dxa"/>
          </w:tblCellMar>
        </w:tblPrEx>
        <w:trPr>
          <w:trHeight w:val="946" w:hRule="atLeast"/>
        </w:trPr>
        <w:tc>
          <w:tcPr>
            <w:tcW w:w="727" w:type="dxa"/>
            <w:tcBorders>
              <w:top w:val="single" w:color="auto" w:sz="8" w:space="0"/>
              <w:left w:val="single" w:color="auto" w:sz="8" w:space="0"/>
              <w:bottom w:val="single" w:color="auto" w:sz="8" w:space="0"/>
              <w:right w:val="single" w:color="auto" w:sz="8" w:space="0"/>
            </w:tcBorders>
            <w:vAlign w:val="center"/>
          </w:tcPr>
          <w:p w14:paraId="7A32EE2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1558" w:type="dxa"/>
            <w:tcBorders>
              <w:top w:val="single" w:color="auto" w:sz="8" w:space="0"/>
              <w:left w:val="single" w:color="auto" w:sz="4" w:space="0"/>
              <w:bottom w:val="single" w:color="auto" w:sz="8" w:space="0"/>
              <w:right w:val="single" w:color="auto" w:sz="4" w:space="0"/>
            </w:tcBorders>
            <w:vAlign w:val="center"/>
          </w:tcPr>
          <w:p w14:paraId="32269176">
            <w:pPr>
              <w:pStyle w:val="25"/>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val="en-US" w:eastAsia="zh-CN"/>
              </w:rPr>
              <w:t>递交</w:t>
            </w:r>
          </w:p>
        </w:tc>
        <w:tc>
          <w:tcPr>
            <w:tcW w:w="7253" w:type="dxa"/>
            <w:tcBorders>
              <w:top w:val="single" w:color="auto" w:sz="8" w:space="0"/>
              <w:left w:val="single" w:color="auto" w:sz="4" w:space="0"/>
              <w:bottom w:val="single" w:color="auto" w:sz="8" w:space="0"/>
              <w:right w:val="single" w:color="auto" w:sz="8" w:space="0"/>
            </w:tcBorders>
            <w:vAlign w:val="center"/>
          </w:tcPr>
          <w:p w14:paraId="4BDE2FC9">
            <w:pPr>
              <w:keepNext w:val="0"/>
              <w:keepLines w:val="0"/>
              <w:pageBreakBefore w:val="0"/>
              <w:widowControl w:val="0"/>
              <w:kinsoku/>
              <w:wordWrap w:val="0"/>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加密电子投标文件投标人应在投标截止时间前通过新点电子交易平台后在【滁州专区】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https://www.etrading.cn/BREpointSSO/login/oauth2login?regioncode=DQ_ChuZhou</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交易系统递交电子投标文件。</w:t>
            </w:r>
          </w:p>
          <w:p w14:paraId="6AD718D2">
            <w:pPr>
              <w:keepNext w:val="0"/>
              <w:keepLines w:val="0"/>
              <w:pageBreakBefore w:val="0"/>
              <w:widowControl/>
              <w:kinsoku/>
              <w:overflowPunct/>
              <w:topLinePunct w:val="0"/>
              <w:autoSpaceDE/>
              <w:autoSpaceDN/>
              <w:bidi w:val="0"/>
              <w:adjustRightInd/>
              <w:snapToGrid/>
              <w:spacing w:line="440" w:lineRule="exact"/>
              <w:ind w:left="63" w:leftChars="30"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0"/>
                <w:sz w:val="21"/>
                <w:szCs w:val="21"/>
                <w:highlight w:val="none"/>
              </w:rPr>
              <w:t>（投标人中标后须递交与网上电子投标文件完全一致的纸质版投标文件，并按要求加盖单位章；份数：正本</w:t>
            </w:r>
            <w:r>
              <w:rPr>
                <w:rFonts w:hint="eastAsia" w:ascii="宋体" w:hAnsi="宋体" w:eastAsia="宋体" w:cs="宋体"/>
                <w:b/>
                <w:color w:val="auto"/>
                <w:kern w:val="0"/>
                <w:sz w:val="21"/>
                <w:szCs w:val="21"/>
                <w:highlight w:val="none"/>
                <w:u w:val="single"/>
              </w:rPr>
              <w:t xml:space="preserve"> 1 </w:t>
            </w:r>
            <w:r>
              <w:rPr>
                <w:rFonts w:hint="eastAsia" w:ascii="宋体" w:hAnsi="宋体" w:eastAsia="宋体" w:cs="宋体"/>
                <w:b/>
                <w:color w:val="auto"/>
                <w:kern w:val="0"/>
                <w:sz w:val="21"/>
                <w:szCs w:val="21"/>
                <w:highlight w:val="none"/>
              </w:rPr>
              <w:t>份，副本</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1</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份；中标人领取中标通知书时，一并递交给招标代理机构）。</w:t>
            </w:r>
          </w:p>
        </w:tc>
      </w:tr>
      <w:tr w14:paraId="48A6C47E">
        <w:tblPrEx>
          <w:tblCellMar>
            <w:top w:w="0" w:type="dxa"/>
            <w:left w:w="0" w:type="dxa"/>
            <w:bottom w:w="0" w:type="dxa"/>
            <w:right w:w="0" w:type="dxa"/>
          </w:tblCellMar>
        </w:tblPrEx>
        <w:trPr>
          <w:trHeight w:val="816" w:hRule="atLeast"/>
        </w:trPr>
        <w:tc>
          <w:tcPr>
            <w:tcW w:w="727" w:type="dxa"/>
            <w:tcBorders>
              <w:top w:val="single" w:color="auto" w:sz="8" w:space="0"/>
              <w:left w:val="single" w:color="auto" w:sz="8" w:space="0"/>
              <w:bottom w:val="single" w:color="auto" w:sz="8" w:space="0"/>
              <w:right w:val="single" w:color="auto" w:sz="8" w:space="0"/>
            </w:tcBorders>
            <w:vAlign w:val="center"/>
          </w:tcPr>
          <w:p w14:paraId="6C307E5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1558" w:type="dxa"/>
            <w:tcBorders>
              <w:top w:val="single" w:color="auto" w:sz="8" w:space="0"/>
              <w:left w:val="single" w:color="auto" w:sz="4" w:space="0"/>
              <w:bottom w:val="single" w:color="auto" w:sz="8" w:space="0"/>
              <w:right w:val="single" w:color="auto" w:sz="4" w:space="0"/>
            </w:tcBorders>
            <w:vAlign w:val="center"/>
          </w:tcPr>
          <w:p w14:paraId="6AF10602">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7253" w:type="dxa"/>
            <w:tcBorders>
              <w:top w:val="single" w:color="auto" w:sz="8" w:space="0"/>
              <w:left w:val="single" w:color="auto" w:sz="4" w:space="0"/>
              <w:bottom w:val="single" w:color="auto" w:sz="8" w:space="0"/>
              <w:right w:val="single" w:color="auto" w:sz="8" w:space="0"/>
            </w:tcBorders>
            <w:vAlign w:val="center"/>
          </w:tcPr>
          <w:p w14:paraId="4FCD2EB5">
            <w:pPr>
              <w:pStyle w:val="2"/>
              <w:keepNext w:val="0"/>
              <w:keepLines w:val="0"/>
              <w:pageBreakBefore w:val="0"/>
              <w:kinsoku/>
              <w:overflowPunct/>
              <w:topLinePunct w:val="0"/>
              <w:autoSpaceDE/>
              <w:autoSpaceDN/>
              <w:bidi w:val="0"/>
              <w:adjustRightInd/>
              <w:snapToGrid/>
              <w:spacing w:line="440" w:lineRule="exact"/>
              <w:ind w:left="63" w:leftChars="30" w:firstLine="0" w:firstLineChars="0"/>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招标文件中“签章”是指签字或盖章。在“投标文件格式”中要求</w:t>
            </w:r>
            <w:r>
              <w:rPr>
                <w:rFonts w:hint="eastAsia" w:ascii="宋体" w:hAnsi="宋体" w:cs="宋体"/>
                <w:b/>
                <w:color w:val="auto"/>
                <w:kern w:val="0"/>
                <w:sz w:val="21"/>
                <w:szCs w:val="21"/>
                <w:highlight w:val="none"/>
                <w:lang w:val="en-US" w:eastAsia="zh-CN" w:bidi="ar-SA"/>
              </w:rPr>
              <w:t>单位</w:t>
            </w:r>
            <w:r>
              <w:rPr>
                <w:rFonts w:hint="eastAsia" w:ascii="宋体" w:hAnsi="宋体" w:eastAsia="宋体" w:cs="宋体"/>
                <w:b/>
                <w:color w:val="auto"/>
                <w:kern w:val="0"/>
                <w:sz w:val="21"/>
                <w:szCs w:val="21"/>
                <w:highlight w:val="none"/>
                <w:lang w:val="en-US" w:eastAsia="zh-CN" w:bidi="ar-SA"/>
              </w:rPr>
              <w:t>签章</w:t>
            </w:r>
            <w:r>
              <w:rPr>
                <w:rFonts w:hint="eastAsia" w:ascii="宋体" w:hAnsi="宋体" w:cs="宋体"/>
                <w:b/>
                <w:color w:val="auto"/>
                <w:kern w:val="0"/>
                <w:sz w:val="21"/>
                <w:szCs w:val="21"/>
                <w:highlight w:val="none"/>
                <w:lang w:val="en-US" w:eastAsia="zh-CN" w:bidi="ar-SA"/>
              </w:rPr>
              <w:t>的</w:t>
            </w:r>
            <w:r>
              <w:rPr>
                <w:rFonts w:hint="eastAsia" w:ascii="宋体" w:hAnsi="宋体" w:eastAsia="宋体" w:cs="宋体"/>
                <w:b/>
                <w:color w:val="auto"/>
                <w:kern w:val="0"/>
                <w:sz w:val="21"/>
                <w:szCs w:val="21"/>
                <w:highlight w:val="none"/>
                <w:lang w:val="en-US" w:eastAsia="zh-CN" w:bidi="ar-SA"/>
              </w:rPr>
              <w:t>，投标人应加盖投标人单位电子印章或直接上传加盖投标人单位印章原件彩色扫描件。</w:t>
            </w:r>
            <w:r>
              <w:rPr>
                <w:rFonts w:hint="eastAsia" w:ascii="宋体" w:hAnsi="宋体" w:cs="宋体"/>
                <w:b/>
                <w:color w:val="auto"/>
                <w:kern w:val="0"/>
                <w:sz w:val="21"/>
                <w:szCs w:val="21"/>
                <w:highlight w:val="none"/>
                <w:lang w:val="en-US" w:eastAsia="zh-CN" w:bidi="ar-SA"/>
              </w:rPr>
              <w:t>要求个人签章的，加盖相应人员</w:t>
            </w:r>
            <w:r>
              <w:rPr>
                <w:rFonts w:hint="eastAsia" w:ascii="宋体" w:hAnsi="宋体" w:eastAsia="宋体" w:cs="宋体"/>
                <w:b/>
                <w:color w:val="auto"/>
                <w:kern w:val="0"/>
                <w:sz w:val="21"/>
                <w:szCs w:val="21"/>
                <w:highlight w:val="none"/>
                <w:lang w:val="en-US" w:eastAsia="zh-CN" w:bidi="ar-SA"/>
              </w:rPr>
              <w:t>印章</w:t>
            </w:r>
            <w:r>
              <w:rPr>
                <w:rFonts w:hint="eastAsia" w:ascii="宋体" w:hAnsi="宋体" w:cs="宋体"/>
                <w:b/>
                <w:color w:val="auto"/>
                <w:kern w:val="0"/>
                <w:sz w:val="21"/>
                <w:szCs w:val="21"/>
                <w:highlight w:val="none"/>
                <w:lang w:val="en-US" w:eastAsia="zh-CN" w:bidi="ar-SA"/>
              </w:rPr>
              <w:t>（或电子印章）</w:t>
            </w:r>
            <w:r>
              <w:rPr>
                <w:rFonts w:hint="eastAsia" w:ascii="宋体" w:hAnsi="宋体" w:eastAsia="宋体" w:cs="宋体"/>
                <w:b/>
                <w:color w:val="auto"/>
                <w:kern w:val="0"/>
                <w:sz w:val="21"/>
                <w:szCs w:val="21"/>
                <w:highlight w:val="none"/>
                <w:lang w:val="en-US" w:eastAsia="zh-CN" w:bidi="ar-SA"/>
              </w:rPr>
              <w:t>或</w:t>
            </w:r>
            <w:r>
              <w:rPr>
                <w:rFonts w:hint="eastAsia" w:ascii="宋体" w:hAnsi="宋体" w:cs="宋体"/>
                <w:b/>
                <w:color w:val="auto"/>
                <w:kern w:val="0"/>
                <w:sz w:val="21"/>
                <w:szCs w:val="21"/>
                <w:highlight w:val="none"/>
                <w:lang w:val="en-US" w:eastAsia="zh-CN" w:bidi="ar-SA"/>
              </w:rPr>
              <w:t>相应人员</w:t>
            </w:r>
            <w:r>
              <w:rPr>
                <w:rFonts w:hint="eastAsia" w:ascii="宋体" w:hAnsi="宋体" w:eastAsia="宋体" w:cs="宋体"/>
                <w:b/>
                <w:color w:val="auto"/>
                <w:kern w:val="0"/>
                <w:sz w:val="21"/>
                <w:szCs w:val="21"/>
                <w:highlight w:val="none"/>
                <w:lang w:val="en-US" w:eastAsia="zh-CN" w:bidi="ar-SA"/>
              </w:rPr>
              <w:t>签字</w:t>
            </w:r>
            <w:r>
              <w:rPr>
                <w:rFonts w:hint="eastAsia" w:ascii="宋体" w:hAnsi="宋体" w:cs="宋体"/>
                <w:b/>
                <w:color w:val="auto"/>
                <w:kern w:val="0"/>
                <w:sz w:val="21"/>
                <w:szCs w:val="21"/>
                <w:highlight w:val="none"/>
                <w:lang w:val="en-US" w:eastAsia="zh-CN" w:bidi="ar-SA"/>
              </w:rPr>
              <w:t>均可。</w:t>
            </w:r>
          </w:p>
          <w:p w14:paraId="66A35DAC">
            <w:pPr>
              <w:keepNext w:val="0"/>
              <w:keepLines w:val="0"/>
              <w:pageBreakBefore w:val="0"/>
              <w:widowControl/>
              <w:kinsoku/>
              <w:overflowPunct/>
              <w:topLinePunct w:val="0"/>
              <w:autoSpaceDE/>
              <w:autoSpaceDN/>
              <w:bidi w:val="0"/>
              <w:adjustRightInd/>
              <w:snapToGrid/>
              <w:spacing w:line="440" w:lineRule="exact"/>
              <w:ind w:left="63" w:leftChars="30" w:firstLine="89" w:firstLineChars="42"/>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bidi="ar-SA"/>
              </w:rPr>
              <w:t>否则经评委会一致认定后，按照无效投标处理。</w:t>
            </w:r>
          </w:p>
        </w:tc>
      </w:tr>
      <w:tr w14:paraId="443033B5">
        <w:tblPrEx>
          <w:tblCellMar>
            <w:top w:w="0" w:type="dxa"/>
            <w:left w:w="0" w:type="dxa"/>
            <w:bottom w:w="0" w:type="dxa"/>
            <w:right w:w="0" w:type="dxa"/>
          </w:tblCellMar>
        </w:tblPrEx>
        <w:trPr>
          <w:trHeight w:val="1339" w:hRule="atLeast"/>
        </w:trPr>
        <w:tc>
          <w:tcPr>
            <w:tcW w:w="727" w:type="dxa"/>
            <w:tcBorders>
              <w:top w:val="single" w:color="auto" w:sz="8" w:space="0"/>
              <w:left w:val="single" w:color="auto" w:sz="8" w:space="0"/>
              <w:bottom w:val="single" w:color="auto" w:sz="8" w:space="0"/>
              <w:right w:val="single" w:color="auto" w:sz="8" w:space="0"/>
            </w:tcBorders>
            <w:vAlign w:val="center"/>
          </w:tcPr>
          <w:p w14:paraId="6036610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13</w:t>
            </w:r>
          </w:p>
        </w:tc>
        <w:tc>
          <w:tcPr>
            <w:tcW w:w="1558" w:type="dxa"/>
            <w:tcBorders>
              <w:top w:val="single" w:color="auto" w:sz="8" w:space="0"/>
              <w:left w:val="single" w:color="auto" w:sz="4" w:space="0"/>
              <w:bottom w:val="single" w:color="auto" w:sz="8" w:space="0"/>
              <w:right w:val="single" w:color="auto" w:sz="4" w:space="0"/>
            </w:tcBorders>
            <w:vAlign w:val="center"/>
          </w:tcPr>
          <w:p w14:paraId="5C83C75F">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投标文件提交截止时间</w:t>
            </w:r>
          </w:p>
        </w:tc>
        <w:tc>
          <w:tcPr>
            <w:tcW w:w="7253" w:type="dxa"/>
            <w:tcBorders>
              <w:top w:val="single" w:color="auto" w:sz="8" w:space="0"/>
              <w:left w:val="single" w:color="auto" w:sz="4" w:space="0"/>
              <w:bottom w:val="single" w:color="auto" w:sz="8" w:space="0"/>
              <w:right w:val="single" w:color="auto" w:sz="8" w:space="0"/>
            </w:tcBorders>
            <w:vAlign w:val="center"/>
          </w:tcPr>
          <w:p w14:paraId="4AACE522">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网上递交投标文件截止时间：</w:t>
            </w:r>
            <w:r>
              <w:rPr>
                <w:rFonts w:hint="eastAsia" w:ascii="宋体" w:hAnsi="宋体" w:cs="宋体"/>
                <w:b/>
                <w:bCs/>
                <w:color w:val="auto"/>
                <w:sz w:val="21"/>
                <w:szCs w:val="21"/>
                <w:highlight w:val="none"/>
                <w:lang w:val="en-US" w:eastAsia="zh-CN"/>
              </w:rPr>
              <w:t xml:space="preserve">2026年3月2 </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时</w:t>
            </w:r>
            <w:r>
              <w:rPr>
                <w:rFonts w:hint="eastAsia" w:ascii="宋体" w:hAnsi="宋体" w:eastAsia="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rPr>
              <w:t>分（北京时间）</w:t>
            </w:r>
          </w:p>
          <w:p w14:paraId="59553084">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b w:val="0"/>
                <w:bCs/>
                <w:color w:val="auto"/>
                <w:sz w:val="21"/>
                <w:szCs w:val="21"/>
                <w:highlight w:val="none"/>
              </w:rPr>
            </w:pPr>
            <w:r>
              <w:rPr>
                <w:rFonts w:hint="eastAsia" w:ascii="宋体" w:hAnsi="宋体" w:eastAsia="宋体" w:cs="宋体"/>
                <w:b/>
                <w:color w:val="auto"/>
                <w:sz w:val="21"/>
                <w:szCs w:val="21"/>
                <w:highlight w:val="none"/>
              </w:rPr>
              <w:t>注：以投标人在投标截止时间前网上递交的电子投标文件为准，逾期提交的，投标文件将被拒绝。</w:t>
            </w:r>
          </w:p>
          <w:p w14:paraId="2D17B673">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lang w:val="en-US" w:eastAsia="zh-CN"/>
              </w:rPr>
            </w:pPr>
            <w:r>
              <w:rPr>
                <w:rFonts w:hint="eastAsia" w:ascii="宋体" w:hAnsi="宋体" w:cs="宋体"/>
                <w:b w:val="0"/>
                <w:bCs/>
                <w:color w:val="auto"/>
                <w:sz w:val="21"/>
                <w:szCs w:val="21"/>
                <w:highlight w:val="none"/>
                <w:lang w:eastAsia="zh-CN"/>
              </w:rPr>
              <w:t>1.解密程序开始后30分钟内（以本项目网上招投标系统解密倒计时为准）。</w:t>
            </w:r>
          </w:p>
        </w:tc>
      </w:tr>
      <w:tr w14:paraId="39CAD765">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0E67040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1558" w:type="dxa"/>
            <w:tcBorders>
              <w:top w:val="single" w:color="auto" w:sz="8" w:space="0"/>
              <w:left w:val="single" w:color="auto" w:sz="4" w:space="0"/>
              <w:bottom w:val="single" w:color="auto" w:sz="8" w:space="0"/>
              <w:right w:val="single" w:color="auto" w:sz="4" w:space="0"/>
            </w:tcBorders>
            <w:vAlign w:val="center"/>
          </w:tcPr>
          <w:p w14:paraId="03D51B63">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7253" w:type="dxa"/>
            <w:tcBorders>
              <w:top w:val="single" w:color="auto" w:sz="8" w:space="0"/>
              <w:left w:val="single" w:color="auto" w:sz="4" w:space="0"/>
              <w:bottom w:val="single" w:color="auto" w:sz="8" w:space="0"/>
              <w:right w:val="single" w:color="auto" w:sz="8" w:space="0"/>
            </w:tcBorders>
            <w:vAlign w:val="center"/>
          </w:tcPr>
          <w:p w14:paraId="626B5B3B">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66A8CA8">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136C06B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15</w:t>
            </w:r>
          </w:p>
        </w:tc>
        <w:tc>
          <w:tcPr>
            <w:tcW w:w="1558" w:type="dxa"/>
            <w:tcBorders>
              <w:top w:val="single" w:color="auto" w:sz="8" w:space="0"/>
              <w:left w:val="single" w:color="auto" w:sz="4" w:space="0"/>
              <w:bottom w:val="single" w:color="auto" w:sz="8" w:space="0"/>
              <w:right w:val="single" w:color="auto" w:sz="4" w:space="0"/>
            </w:tcBorders>
            <w:vAlign w:val="center"/>
          </w:tcPr>
          <w:p w14:paraId="53C0A74C">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开标时间及地点</w:t>
            </w:r>
          </w:p>
        </w:tc>
        <w:tc>
          <w:tcPr>
            <w:tcW w:w="7253" w:type="dxa"/>
            <w:tcBorders>
              <w:top w:val="single" w:color="auto" w:sz="8" w:space="0"/>
              <w:left w:val="single" w:color="auto" w:sz="4" w:space="0"/>
              <w:bottom w:val="single" w:color="auto" w:sz="8" w:space="0"/>
              <w:right w:val="single" w:color="auto" w:sz="8" w:space="0"/>
            </w:tcBorders>
            <w:vAlign w:val="center"/>
          </w:tcPr>
          <w:p w14:paraId="29D105D4">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详见招标公告</w:t>
            </w:r>
            <w:r>
              <w:rPr>
                <w:rFonts w:hint="eastAsia" w:ascii="宋体" w:hAnsi="宋体" w:cs="宋体"/>
                <w:color w:val="auto"/>
                <w:szCs w:val="21"/>
                <w:highlight w:val="none"/>
                <w:lang w:eastAsia="zh-CN"/>
              </w:rPr>
              <w:t>。</w:t>
            </w:r>
          </w:p>
        </w:tc>
      </w:tr>
      <w:tr w14:paraId="076992A3">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3C028E0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16</w:t>
            </w:r>
          </w:p>
        </w:tc>
        <w:tc>
          <w:tcPr>
            <w:tcW w:w="1558" w:type="dxa"/>
            <w:tcBorders>
              <w:top w:val="single" w:color="auto" w:sz="8" w:space="0"/>
              <w:left w:val="single" w:color="auto" w:sz="4" w:space="0"/>
              <w:bottom w:val="single" w:color="auto" w:sz="8" w:space="0"/>
              <w:right w:val="single" w:color="auto" w:sz="4" w:space="0"/>
            </w:tcBorders>
            <w:vAlign w:val="center"/>
          </w:tcPr>
          <w:p w14:paraId="57F847A2">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开标程序</w:t>
            </w:r>
          </w:p>
        </w:tc>
        <w:tc>
          <w:tcPr>
            <w:tcW w:w="7253" w:type="dxa"/>
            <w:tcBorders>
              <w:top w:val="single" w:color="auto" w:sz="8" w:space="0"/>
              <w:left w:val="single" w:color="auto" w:sz="4" w:space="0"/>
              <w:bottom w:val="single" w:color="auto" w:sz="8" w:space="0"/>
              <w:right w:val="single" w:color="auto" w:sz="8" w:space="0"/>
            </w:tcBorders>
            <w:vAlign w:val="center"/>
          </w:tcPr>
          <w:p w14:paraId="476CEA77">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开标顺序：解密电子投标文件后，由评标委员会评审。</w:t>
            </w:r>
          </w:p>
        </w:tc>
      </w:tr>
      <w:tr w14:paraId="6EC3DC31">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73E8B67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17</w:t>
            </w:r>
          </w:p>
        </w:tc>
        <w:tc>
          <w:tcPr>
            <w:tcW w:w="1558" w:type="dxa"/>
            <w:tcBorders>
              <w:top w:val="single" w:color="auto" w:sz="8" w:space="0"/>
              <w:left w:val="single" w:color="auto" w:sz="4" w:space="0"/>
              <w:bottom w:val="single" w:color="auto" w:sz="8" w:space="0"/>
              <w:right w:val="single" w:color="auto" w:sz="4" w:space="0"/>
            </w:tcBorders>
            <w:vAlign w:val="center"/>
          </w:tcPr>
          <w:p w14:paraId="5CB513ED">
            <w:pPr>
              <w:pStyle w:val="25"/>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7253" w:type="dxa"/>
            <w:tcBorders>
              <w:top w:val="single" w:color="auto" w:sz="8" w:space="0"/>
              <w:left w:val="single" w:color="auto" w:sz="4" w:space="0"/>
              <w:bottom w:val="single" w:color="auto" w:sz="8" w:space="0"/>
              <w:right w:val="single" w:color="auto" w:sz="8" w:space="0"/>
            </w:tcBorders>
            <w:vAlign w:val="top"/>
          </w:tcPr>
          <w:p w14:paraId="4FB4DBB5">
            <w:pPr>
              <w:pStyle w:val="157"/>
              <w:keepNext w:val="0"/>
              <w:keepLines w:val="0"/>
              <w:pageBreakBefore w:val="0"/>
              <w:kinsoku/>
              <w:overflowPunct/>
              <w:topLinePunct w:val="0"/>
              <w:autoSpaceDE/>
              <w:autoSpaceDN/>
              <w:bidi w:val="0"/>
              <w:adjustRightInd/>
              <w:snapToGrid/>
              <w:spacing w:line="440" w:lineRule="exact"/>
              <w:ind w:left="63" w:leftChars="3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w:t>
            </w:r>
            <w:r>
              <w:rPr>
                <w:rFonts w:hint="eastAsia" w:ascii="宋体" w:hAnsi="宋体" w:eastAsia="宋体" w:cs="宋体"/>
                <w:color w:val="auto"/>
                <w:sz w:val="21"/>
                <w:szCs w:val="21"/>
                <w:highlight w:val="none"/>
                <w:lang w:val="en-US" w:eastAsia="zh-CN"/>
              </w:rPr>
              <w:t>招标人依法组建</w:t>
            </w:r>
            <w:r>
              <w:rPr>
                <w:rFonts w:hint="eastAsia" w:ascii="宋体" w:hAnsi="宋体" w:eastAsia="宋体" w:cs="宋体"/>
                <w:color w:val="auto"/>
                <w:sz w:val="21"/>
                <w:szCs w:val="21"/>
                <w:highlight w:val="none"/>
              </w:rPr>
              <w:t>；</w:t>
            </w:r>
          </w:p>
          <w:p w14:paraId="6B4E98E9">
            <w:pPr>
              <w:pStyle w:val="25"/>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评标专家确定方式：专家评委由采购人在开标前从专家库中随机抽取。</w:t>
            </w:r>
          </w:p>
        </w:tc>
      </w:tr>
      <w:tr w14:paraId="02D6C8AD">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61FD27D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18</w:t>
            </w:r>
          </w:p>
        </w:tc>
        <w:tc>
          <w:tcPr>
            <w:tcW w:w="1558" w:type="dxa"/>
            <w:tcBorders>
              <w:top w:val="single" w:color="auto" w:sz="8" w:space="0"/>
              <w:left w:val="single" w:color="auto" w:sz="4" w:space="0"/>
              <w:bottom w:val="single" w:color="auto" w:sz="8" w:space="0"/>
              <w:right w:val="single" w:color="auto" w:sz="4" w:space="0"/>
            </w:tcBorders>
            <w:vAlign w:val="center"/>
          </w:tcPr>
          <w:p w14:paraId="289798AF">
            <w:pPr>
              <w:pStyle w:val="25"/>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7253" w:type="dxa"/>
            <w:tcBorders>
              <w:top w:val="single" w:color="auto" w:sz="8" w:space="0"/>
              <w:left w:val="single" w:color="auto" w:sz="4" w:space="0"/>
              <w:bottom w:val="single" w:color="auto" w:sz="8" w:space="0"/>
              <w:right w:val="single" w:color="auto" w:sz="8" w:space="0"/>
            </w:tcBorders>
            <w:vAlign w:val="center"/>
          </w:tcPr>
          <w:p w14:paraId="50C3E122">
            <w:pPr>
              <w:pStyle w:val="25"/>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评标委员会推荐</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2</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名中标候选人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并标明排序</w:t>
            </w:r>
            <w:r>
              <w:rPr>
                <w:rFonts w:hint="eastAsia" w:ascii="宋体" w:hAnsi="宋体" w:eastAsia="宋体" w:cs="宋体"/>
                <w:color w:val="auto"/>
                <w:sz w:val="21"/>
                <w:szCs w:val="21"/>
                <w:highlight w:val="none"/>
              </w:rPr>
              <w:t>。</w:t>
            </w:r>
          </w:p>
        </w:tc>
      </w:tr>
      <w:tr w14:paraId="191E86E8">
        <w:tblPrEx>
          <w:tblCellMar>
            <w:top w:w="0" w:type="dxa"/>
            <w:left w:w="0" w:type="dxa"/>
            <w:bottom w:w="0" w:type="dxa"/>
            <w:right w:w="0" w:type="dxa"/>
          </w:tblCellMar>
        </w:tblPrEx>
        <w:trPr>
          <w:trHeight w:val="843" w:hRule="atLeast"/>
        </w:trPr>
        <w:tc>
          <w:tcPr>
            <w:tcW w:w="727" w:type="dxa"/>
            <w:tcBorders>
              <w:top w:val="single" w:color="auto" w:sz="8" w:space="0"/>
              <w:left w:val="single" w:color="auto" w:sz="8" w:space="0"/>
              <w:bottom w:val="single" w:color="auto" w:sz="8" w:space="0"/>
              <w:right w:val="single" w:color="auto" w:sz="8" w:space="0"/>
            </w:tcBorders>
            <w:vAlign w:val="center"/>
          </w:tcPr>
          <w:p w14:paraId="1D007CD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19</w:t>
            </w:r>
          </w:p>
        </w:tc>
        <w:tc>
          <w:tcPr>
            <w:tcW w:w="1558" w:type="dxa"/>
            <w:tcBorders>
              <w:top w:val="single" w:color="auto" w:sz="8" w:space="0"/>
              <w:left w:val="single" w:color="auto" w:sz="4" w:space="0"/>
              <w:bottom w:val="single" w:color="auto" w:sz="8" w:space="0"/>
              <w:right w:val="single" w:color="auto" w:sz="4" w:space="0"/>
            </w:tcBorders>
            <w:vAlign w:val="center"/>
          </w:tcPr>
          <w:p w14:paraId="77F75070">
            <w:pPr>
              <w:pStyle w:val="25"/>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中标结果公告媒介</w:t>
            </w:r>
          </w:p>
        </w:tc>
        <w:tc>
          <w:tcPr>
            <w:tcW w:w="7253" w:type="dxa"/>
            <w:tcBorders>
              <w:top w:val="single" w:color="auto" w:sz="8" w:space="0"/>
              <w:left w:val="single" w:color="auto" w:sz="4" w:space="0"/>
              <w:bottom w:val="single" w:color="auto" w:sz="8" w:space="0"/>
              <w:right w:val="single" w:color="auto" w:sz="8" w:space="0"/>
            </w:tcBorders>
            <w:vAlign w:val="top"/>
          </w:tcPr>
          <w:p w14:paraId="2F0DB711">
            <w:pPr>
              <w:pStyle w:val="25"/>
              <w:keepNext w:val="0"/>
              <w:keepLines w:val="0"/>
              <w:pageBreakBefore w:val="0"/>
              <w:kinsoku/>
              <w:wordWrap w:val="0"/>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滁州市城投工程咨询管理有限公司（https://www.czctgczx.com/）</w:t>
            </w:r>
            <w:r>
              <w:rPr>
                <w:rFonts w:hint="eastAsia" w:ascii="宋体" w:hAnsi="宋体" w:eastAsia="宋体" w:cs="宋体"/>
                <w:color w:val="auto"/>
                <w:spacing w:val="-4"/>
                <w:sz w:val="21"/>
                <w:szCs w:val="21"/>
                <w:highlight w:val="none"/>
              </w:rPr>
              <w:t>网站</w:t>
            </w:r>
          </w:p>
        </w:tc>
      </w:tr>
      <w:tr w14:paraId="6EA640C0">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300286F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20</w:t>
            </w:r>
          </w:p>
        </w:tc>
        <w:tc>
          <w:tcPr>
            <w:tcW w:w="1558" w:type="dxa"/>
            <w:tcBorders>
              <w:top w:val="single" w:color="auto" w:sz="8" w:space="0"/>
              <w:left w:val="single" w:color="auto" w:sz="4" w:space="0"/>
              <w:bottom w:val="single" w:color="auto" w:sz="8" w:space="0"/>
              <w:right w:val="single" w:color="auto" w:sz="4" w:space="0"/>
            </w:tcBorders>
            <w:vAlign w:val="center"/>
          </w:tcPr>
          <w:p w14:paraId="5C02703D">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253" w:type="dxa"/>
            <w:tcBorders>
              <w:top w:val="single" w:color="auto" w:sz="8" w:space="0"/>
              <w:left w:val="single" w:color="auto" w:sz="4" w:space="0"/>
              <w:bottom w:val="single" w:color="auto" w:sz="8" w:space="0"/>
              <w:right w:val="single" w:color="auto" w:sz="8" w:space="0"/>
            </w:tcBorders>
            <w:vAlign w:val="center"/>
          </w:tcPr>
          <w:p w14:paraId="492E7E00">
            <w:pPr>
              <w:keepNext w:val="0"/>
              <w:keepLines w:val="0"/>
              <w:pageBreakBefore w:val="0"/>
              <w:widowControl/>
              <w:kinsoku/>
              <w:overflowPunct/>
              <w:topLinePunct w:val="0"/>
              <w:autoSpaceDE/>
              <w:autoSpaceDN/>
              <w:bidi w:val="0"/>
              <w:adjustRightInd/>
              <w:snapToGrid/>
              <w:spacing w:line="440" w:lineRule="exact"/>
              <w:ind w:left="63" w:leftChars="3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是否收取履约担保：□收取，</w:t>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不收取</w:t>
            </w:r>
          </w:p>
        </w:tc>
      </w:tr>
      <w:tr w14:paraId="53B9F13B">
        <w:tblPrEx>
          <w:tblCellMar>
            <w:top w:w="0" w:type="dxa"/>
            <w:left w:w="0" w:type="dxa"/>
            <w:bottom w:w="0" w:type="dxa"/>
            <w:right w:w="0" w:type="dxa"/>
          </w:tblCellMar>
        </w:tblPrEx>
        <w:trPr>
          <w:trHeight w:val="164" w:hRule="atLeast"/>
        </w:trPr>
        <w:tc>
          <w:tcPr>
            <w:tcW w:w="9538" w:type="dxa"/>
            <w:gridSpan w:val="3"/>
            <w:tcBorders>
              <w:top w:val="single" w:color="auto" w:sz="8" w:space="0"/>
              <w:left w:val="single" w:color="auto" w:sz="8" w:space="0"/>
              <w:bottom w:val="single" w:color="auto" w:sz="8" w:space="0"/>
              <w:right w:val="single" w:color="auto" w:sz="8" w:space="0"/>
            </w:tcBorders>
            <w:vAlign w:val="center"/>
          </w:tcPr>
          <w:p w14:paraId="0FD01F5C">
            <w:pPr>
              <w:keepNext w:val="0"/>
              <w:keepLines w:val="0"/>
              <w:pageBreakBefore w:val="0"/>
              <w:widowControl/>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需要补充的其他内容</w:t>
            </w:r>
          </w:p>
        </w:tc>
      </w:tr>
      <w:tr w14:paraId="54EFCC42">
        <w:tblPrEx>
          <w:tblCellMar>
            <w:top w:w="0" w:type="dxa"/>
            <w:left w:w="0" w:type="dxa"/>
            <w:bottom w:w="0" w:type="dxa"/>
            <w:right w:w="0" w:type="dxa"/>
          </w:tblCellMar>
        </w:tblPrEx>
        <w:trPr>
          <w:trHeight w:val="164" w:hRule="atLeast"/>
        </w:trPr>
        <w:tc>
          <w:tcPr>
            <w:tcW w:w="2285" w:type="dxa"/>
            <w:gridSpan w:val="2"/>
            <w:tcBorders>
              <w:top w:val="single" w:color="auto" w:sz="8" w:space="0"/>
              <w:left w:val="single" w:color="auto" w:sz="8" w:space="0"/>
              <w:bottom w:val="single" w:color="auto" w:sz="8" w:space="0"/>
              <w:right w:val="single" w:color="auto" w:sz="4" w:space="0"/>
            </w:tcBorders>
            <w:vAlign w:val="center"/>
          </w:tcPr>
          <w:p w14:paraId="5A46107E">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电子招标投标</w:t>
            </w:r>
          </w:p>
        </w:tc>
        <w:tc>
          <w:tcPr>
            <w:tcW w:w="7253" w:type="dxa"/>
            <w:tcBorders>
              <w:top w:val="single" w:color="auto" w:sz="8" w:space="0"/>
              <w:left w:val="single" w:color="auto" w:sz="4" w:space="0"/>
              <w:bottom w:val="single" w:color="auto" w:sz="8" w:space="0"/>
              <w:right w:val="single" w:color="auto" w:sz="8" w:space="0"/>
            </w:tcBorders>
            <w:vAlign w:val="center"/>
          </w:tcPr>
          <w:p w14:paraId="042E25F9">
            <w:pPr>
              <w:keepNext w:val="0"/>
              <w:keepLines w:val="0"/>
              <w:pageBreakBefore w:val="0"/>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是，具体要求：按招标文件规定。</w:t>
            </w:r>
          </w:p>
        </w:tc>
      </w:tr>
      <w:tr w14:paraId="234C8D6C">
        <w:tblPrEx>
          <w:tblCellMar>
            <w:top w:w="0" w:type="dxa"/>
            <w:left w:w="0" w:type="dxa"/>
            <w:bottom w:w="0" w:type="dxa"/>
            <w:right w:w="0" w:type="dxa"/>
          </w:tblCellMar>
        </w:tblPrEx>
        <w:trPr>
          <w:trHeight w:val="1885" w:hRule="atLeast"/>
        </w:trPr>
        <w:tc>
          <w:tcPr>
            <w:tcW w:w="2285" w:type="dxa"/>
            <w:gridSpan w:val="2"/>
            <w:tcBorders>
              <w:top w:val="single" w:color="auto" w:sz="8" w:space="0"/>
              <w:left w:val="single" w:color="auto" w:sz="8" w:space="0"/>
              <w:bottom w:val="single" w:color="auto" w:sz="8" w:space="0"/>
              <w:right w:val="single" w:color="auto" w:sz="4" w:space="0"/>
            </w:tcBorders>
            <w:vAlign w:val="center"/>
          </w:tcPr>
          <w:p w14:paraId="359C7E4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特别要求</w:t>
            </w:r>
          </w:p>
        </w:tc>
        <w:tc>
          <w:tcPr>
            <w:tcW w:w="7253" w:type="dxa"/>
            <w:tcBorders>
              <w:top w:val="single" w:color="auto" w:sz="8" w:space="0"/>
              <w:left w:val="single" w:color="auto" w:sz="4" w:space="0"/>
              <w:bottom w:val="single" w:color="auto" w:sz="8" w:space="0"/>
              <w:right w:val="single" w:color="auto" w:sz="8" w:space="0"/>
            </w:tcBorders>
            <w:vAlign w:val="center"/>
          </w:tcPr>
          <w:p w14:paraId="7ED64295">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1、项目建设期间，相关部门将对</w:t>
            </w:r>
            <w:r>
              <w:rPr>
                <w:rFonts w:hint="eastAsia" w:ascii="宋体" w:hAnsi="宋体" w:cs="宋体"/>
                <w:color w:val="auto"/>
                <w:kern w:val="0"/>
                <w:sz w:val="21"/>
                <w:szCs w:val="21"/>
                <w:highlight w:val="none"/>
                <w:lang w:val="en-US" w:eastAsia="zh-CN"/>
              </w:rPr>
              <w:t>清单编制</w:t>
            </w:r>
            <w:r>
              <w:rPr>
                <w:rFonts w:hint="eastAsia" w:ascii="宋体" w:hAnsi="宋体" w:eastAsia="宋体" w:cs="宋体"/>
                <w:color w:val="auto"/>
                <w:kern w:val="0"/>
                <w:sz w:val="21"/>
                <w:szCs w:val="21"/>
                <w:highlight w:val="none"/>
                <w:lang w:val="en-US" w:eastAsia="zh-CN"/>
              </w:rPr>
              <w:t>工作进行不定期检查，如发现有不符合《委托协议》相关工作要求的行为，我</w:t>
            </w:r>
            <w:r>
              <w:rPr>
                <w:rFonts w:hint="eastAsia" w:ascii="宋体" w:hAnsi="宋体" w:cs="宋体"/>
                <w:color w:val="auto"/>
                <w:kern w:val="0"/>
                <w:sz w:val="21"/>
                <w:szCs w:val="21"/>
                <w:highlight w:val="none"/>
                <w:lang w:val="en-US" w:eastAsia="zh-CN"/>
              </w:rPr>
              <w:t>单位</w:t>
            </w:r>
            <w:r>
              <w:rPr>
                <w:rFonts w:hint="eastAsia" w:ascii="宋体" w:hAnsi="宋体" w:eastAsia="宋体" w:cs="宋体"/>
                <w:color w:val="auto"/>
                <w:kern w:val="0"/>
                <w:sz w:val="21"/>
                <w:szCs w:val="21"/>
                <w:highlight w:val="none"/>
                <w:lang w:val="en-US" w:eastAsia="zh-CN"/>
              </w:rPr>
              <w:t>将按照约定给予相应的处罚。</w:t>
            </w:r>
          </w:p>
          <w:p w14:paraId="1470349C">
            <w:pPr>
              <w:pStyle w:val="2"/>
              <w:keepNext w:val="0"/>
              <w:keepLines w:val="0"/>
              <w:pageBreakBefore w:val="0"/>
              <w:kinsoku/>
              <w:wordWrap/>
              <w:overflowPunct/>
              <w:topLinePunct w:val="0"/>
              <w:autoSpaceDE/>
              <w:autoSpaceDN/>
              <w:bidi w:val="0"/>
              <w:adjustRightInd/>
              <w:snapToGrid/>
              <w:spacing w:line="440" w:lineRule="exact"/>
              <w:ind w:left="63" w:leftChars="30" w:firstLine="0" w:firstLineChars="0"/>
              <w:textAlignment w:val="auto"/>
              <w:rPr>
                <w:rFonts w:hint="default"/>
                <w:b/>
                <w:bCs/>
                <w:color w:val="auto"/>
                <w:highlight w:val="none"/>
                <w:lang w:val="en-US" w:eastAsia="zh-CN"/>
              </w:rPr>
            </w:pPr>
            <w:r>
              <w:rPr>
                <w:rFonts w:hint="eastAsia" w:ascii="宋体" w:hAnsi="宋体" w:cs="宋体"/>
                <w:b/>
                <w:bCs/>
                <w:color w:val="auto"/>
                <w:kern w:val="0"/>
                <w:sz w:val="21"/>
                <w:szCs w:val="21"/>
                <w:highlight w:val="none"/>
                <w:lang w:val="en-US" w:eastAsia="zh-CN"/>
              </w:rPr>
              <w:t>2、本项目工程款结算仅支付给中标单位，不支持支付给授权的分公司、子公司等分支机构。（请款所提供的发票名称须与中标单位名称保持一致）。</w:t>
            </w:r>
          </w:p>
          <w:p w14:paraId="549DC940">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中标单位项目组人员变更，变更后人员必须满足本项目招标要求。由中标单位向综合计划科提出申请并提供相应证明，由中标单位向业主单位提出申请并提供相应证明，业主单位会商提出意见，报业主单位领导批准后予以备案。</w:t>
            </w:r>
          </w:p>
          <w:p w14:paraId="589A0E2D">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负责人因以下原因变更不予处罚：①亡故；②重病（或重伤）三个月以上，不能履行职责；③受到刑事或行政处罚，不能胜任；④犯罪被羁押或判刑；⑤被责令停止职业资格。其他原因，造价企业须缴纳2万元违约金。</w:t>
            </w:r>
          </w:p>
        </w:tc>
      </w:tr>
      <w:tr w14:paraId="6E099D79">
        <w:tblPrEx>
          <w:tblCellMar>
            <w:top w:w="0" w:type="dxa"/>
            <w:left w:w="0" w:type="dxa"/>
            <w:bottom w:w="0" w:type="dxa"/>
            <w:right w:w="0" w:type="dxa"/>
          </w:tblCellMar>
        </w:tblPrEx>
        <w:trPr>
          <w:trHeight w:val="633" w:hRule="atLeast"/>
        </w:trPr>
        <w:tc>
          <w:tcPr>
            <w:tcW w:w="2285" w:type="dxa"/>
            <w:gridSpan w:val="2"/>
            <w:tcBorders>
              <w:top w:val="single" w:color="auto" w:sz="8" w:space="0"/>
              <w:left w:val="single" w:color="auto" w:sz="8" w:space="0"/>
              <w:bottom w:val="single" w:color="auto" w:sz="8" w:space="0"/>
              <w:right w:val="single" w:color="auto" w:sz="4" w:space="0"/>
            </w:tcBorders>
            <w:vAlign w:val="center"/>
          </w:tcPr>
          <w:p w14:paraId="70D745D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付款方式</w:t>
            </w:r>
          </w:p>
        </w:tc>
        <w:tc>
          <w:tcPr>
            <w:tcW w:w="7253" w:type="dxa"/>
            <w:tcBorders>
              <w:top w:val="single" w:color="auto" w:sz="8" w:space="0"/>
              <w:left w:val="single" w:color="auto" w:sz="4" w:space="0"/>
              <w:bottom w:val="single" w:color="auto" w:sz="8" w:space="0"/>
              <w:right w:val="single" w:color="auto" w:sz="8" w:space="0"/>
            </w:tcBorders>
            <w:vAlign w:val="center"/>
          </w:tcPr>
          <w:p w14:paraId="67DB5D0C">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相关工作成果经招标人或主管部门确认，并完成核对工作后，支付编制费用的50%，余款待工程竣工验收合格结算后30日内一次性付清。</w:t>
            </w:r>
          </w:p>
        </w:tc>
      </w:tr>
      <w:tr w14:paraId="25B900FF">
        <w:tblPrEx>
          <w:tblCellMar>
            <w:top w:w="0" w:type="dxa"/>
            <w:left w:w="0" w:type="dxa"/>
            <w:bottom w:w="0" w:type="dxa"/>
            <w:right w:w="0" w:type="dxa"/>
          </w:tblCellMar>
        </w:tblPrEx>
        <w:trPr>
          <w:trHeight w:val="320" w:hRule="atLeast"/>
        </w:trPr>
        <w:tc>
          <w:tcPr>
            <w:tcW w:w="2285" w:type="dxa"/>
            <w:gridSpan w:val="2"/>
            <w:tcBorders>
              <w:top w:val="single" w:color="auto" w:sz="8" w:space="0"/>
              <w:left w:val="single" w:color="auto" w:sz="8" w:space="0"/>
              <w:bottom w:val="single" w:color="auto" w:sz="8" w:space="0"/>
              <w:right w:val="single" w:color="auto" w:sz="4" w:space="0"/>
            </w:tcBorders>
            <w:vAlign w:val="center"/>
          </w:tcPr>
          <w:p w14:paraId="5CE4694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招标代理费及专家评审费</w:t>
            </w:r>
          </w:p>
        </w:tc>
        <w:tc>
          <w:tcPr>
            <w:tcW w:w="7253" w:type="dxa"/>
            <w:tcBorders>
              <w:top w:val="single" w:color="auto" w:sz="8" w:space="0"/>
              <w:left w:val="single" w:color="auto" w:sz="4" w:space="0"/>
              <w:bottom w:val="single" w:color="auto" w:sz="8" w:space="0"/>
              <w:right w:val="single" w:color="auto" w:sz="8" w:space="0"/>
            </w:tcBorders>
            <w:vAlign w:val="center"/>
          </w:tcPr>
          <w:p w14:paraId="63D232A1">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本项目招标代理服务费用</w:t>
            </w:r>
            <w:r>
              <w:rPr>
                <w:rFonts w:hint="eastAsia" w:ascii="宋体"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lang w:val="en-US" w:eastAsia="zh-CN"/>
              </w:rPr>
              <w:t>元，专家评审费另计（最终以实际发生为准，按实计收），中标单位在领取中标通知书前一次性支付给代理公司</w:t>
            </w:r>
            <w:r>
              <w:rPr>
                <w:rFonts w:hint="eastAsia" w:ascii="宋体" w:hAnsi="宋体" w:eastAsia="宋体" w:cs="宋体"/>
                <w:b/>
                <w:bCs/>
                <w:color w:val="auto"/>
                <w:kern w:val="0"/>
                <w:sz w:val="21"/>
                <w:szCs w:val="21"/>
                <w:highlight w:val="none"/>
                <w:lang w:val="en-US" w:eastAsia="zh-CN"/>
              </w:rPr>
              <w:t>。</w:t>
            </w:r>
          </w:p>
        </w:tc>
      </w:tr>
      <w:tr w14:paraId="6C5E33CA">
        <w:tblPrEx>
          <w:tblCellMar>
            <w:top w:w="0" w:type="dxa"/>
            <w:left w:w="0" w:type="dxa"/>
            <w:bottom w:w="0" w:type="dxa"/>
            <w:right w:w="0" w:type="dxa"/>
          </w:tblCellMar>
        </w:tblPrEx>
        <w:trPr>
          <w:trHeight w:val="0" w:hRule="atLeast"/>
        </w:trPr>
        <w:tc>
          <w:tcPr>
            <w:tcW w:w="2285" w:type="dxa"/>
            <w:gridSpan w:val="2"/>
            <w:tcBorders>
              <w:top w:val="single" w:color="auto" w:sz="8" w:space="0"/>
              <w:left w:val="single" w:color="auto" w:sz="8" w:space="0"/>
              <w:bottom w:val="single" w:color="auto" w:sz="8" w:space="0"/>
              <w:right w:val="single" w:color="auto" w:sz="4" w:space="0"/>
            </w:tcBorders>
            <w:vAlign w:val="center"/>
          </w:tcPr>
          <w:p w14:paraId="7DBB6D63">
            <w:pPr>
              <w:keepNext w:val="0"/>
              <w:keepLines w:val="0"/>
              <w:pageBreakBefore w:val="0"/>
              <w:widowControl/>
              <w:kinsoku/>
              <w:overflowPunct/>
              <w:topLinePunct w:val="0"/>
              <w:autoSpaceDE/>
              <w:autoSpaceDN/>
              <w:bidi w:val="0"/>
              <w:spacing w:line="44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sz w:val="21"/>
                <w:szCs w:val="21"/>
                <w:highlight w:val="none"/>
              </w:rPr>
              <w:t>评标过程中的澄清、说明或补正</w:t>
            </w:r>
          </w:p>
        </w:tc>
        <w:tc>
          <w:tcPr>
            <w:tcW w:w="7253" w:type="dxa"/>
            <w:tcBorders>
              <w:top w:val="single" w:color="auto" w:sz="8" w:space="0"/>
              <w:left w:val="single" w:color="auto" w:sz="4" w:space="0"/>
              <w:bottom w:val="single" w:color="auto" w:sz="8" w:space="0"/>
              <w:right w:val="single" w:color="auto" w:sz="8" w:space="0"/>
            </w:tcBorders>
            <w:vAlign w:val="center"/>
          </w:tcPr>
          <w:p w14:paraId="22C167F8">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）评标委员会通过</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系统将需要澄清、说明或补正的内容以询标函的形式发送给投标人，投标人应安排专人登录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系统并保持在线状态，以便及时接收评标委员会可能发出的询标函。</w:t>
            </w:r>
          </w:p>
          <w:p w14:paraId="6C77080F">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）因投标人未登录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43195011">
        <w:tblPrEx>
          <w:tblCellMar>
            <w:top w:w="0" w:type="dxa"/>
            <w:left w:w="0" w:type="dxa"/>
            <w:bottom w:w="0" w:type="dxa"/>
            <w:right w:w="0" w:type="dxa"/>
          </w:tblCellMar>
        </w:tblPrEx>
        <w:trPr>
          <w:trHeight w:val="0" w:hRule="atLeast"/>
        </w:trPr>
        <w:tc>
          <w:tcPr>
            <w:tcW w:w="2285" w:type="dxa"/>
            <w:gridSpan w:val="2"/>
            <w:tcBorders>
              <w:top w:val="single" w:color="auto" w:sz="8" w:space="0"/>
              <w:left w:val="single" w:color="auto" w:sz="8" w:space="0"/>
              <w:bottom w:val="single" w:color="auto" w:sz="8" w:space="0"/>
              <w:right w:val="single" w:color="auto" w:sz="4" w:space="0"/>
            </w:tcBorders>
            <w:vAlign w:val="center"/>
          </w:tcPr>
          <w:p w14:paraId="620FA2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highlight w:val="none"/>
              </w:rPr>
            </w:pPr>
            <w:bookmarkStart w:id="44" w:name="_Toc515"/>
            <w:bookmarkStart w:id="45" w:name="_Toc13663"/>
            <w:r>
              <w:rPr>
                <w:rFonts w:hint="eastAsia" w:ascii="宋体" w:hAnsi="宋体" w:eastAsia="宋体" w:cs="宋体"/>
                <w:color w:val="auto"/>
                <w:sz w:val="21"/>
                <w:szCs w:val="21"/>
                <w:highlight w:val="none"/>
                <w:lang w:val="en-US" w:eastAsia="zh-CN"/>
              </w:rPr>
              <w:t>特别说明</w:t>
            </w:r>
          </w:p>
        </w:tc>
        <w:tc>
          <w:tcPr>
            <w:tcW w:w="7253" w:type="dxa"/>
            <w:tcBorders>
              <w:top w:val="single" w:color="auto" w:sz="8" w:space="0"/>
              <w:left w:val="single" w:color="auto" w:sz="4" w:space="0"/>
              <w:bottom w:val="single" w:color="auto" w:sz="8" w:space="0"/>
              <w:right w:val="single" w:color="auto" w:sz="8" w:space="0"/>
            </w:tcBorders>
            <w:vAlign w:val="center"/>
          </w:tcPr>
          <w:p w14:paraId="789F12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招标人与中标人不按照招标文件和中标人的投标文件订立合同的，或者招标人、中标人订立背离合同实质性内容的协议的，责令改正；可以处中标项目金额千分之五以上千分之十以下的罚款。</w:t>
            </w:r>
          </w:p>
          <w:p w14:paraId="54EA46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中标人不履行与招标人订立的合同的，履约保证金不予退还，给招标人造成的损失超过履约保证金数额的，还应当对超过部分予以赔偿；没有提交履约保证金的，应当对招标人的损失承担赔偿责任。</w:t>
            </w:r>
          </w:p>
          <w:p w14:paraId="07F6A1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中标人不按照与招标人订立的合同履行义务，情节严重的，取消其二年至五年内参加依法必须进行招标的项目的投标资格并予以公告，直至由工商行政管理机关吊销营业执照。</w:t>
            </w:r>
          </w:p>
          <w:p w14:paraId="01B484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因不可抗力不能履行合同的，不适用前两款规定。</w:t>
            </w:r>
          </w:p>
        </w:tc>
      </w:tr>
      <w:tr w14:paraId="53FC2CC8">
        <w:tblPrEx>
          <w:tblCellMar>
            <w:top w:w="0" w:type="dxa"/>
            <w:left w:w="0" w:type="dxa"/>
            <w:bottom w:w="0" w:type="dxa"/>
            <w:right w:w="0" w:type="dxa"/>
          </w:tblCellMar>
        </w:tblPrEx>
        <w:trPr>
          <w:trHeight w:val="444" w:hRule="atLeast"/>
        </w:trPr>
        <w:tc>
          <w:tcPr>
            <w:tcW w:w="2285" w:type="dxa"/>
            <w:gridSpan w:val="2"/>
            <w:tcBorders>
              <w:top w:val="single" w:color="auto" w:sz="8" w:space="0"/>
              <w:left w:val="single" w:color="auto" w:sz="8" w:space="0"/>
              <w:bottom w:val="single" w:color="auto" w:sz="8" w:space="0"/>
              <w:right w:val="single" w:color="auto" w:sz="4" w:space="0"/>
            </w:tcBorders>
            <w:shd w:val="clear" w:color="auto" w:fill="auto"/>
            <w:vAlign w:val="center"/>
          </w:tcPr>
          <w:p w14:paraId="179EA4E3">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rPr>
              <w:t>解释权</w:t>
            </w:r>
          </w:p>
        </w:tc>
        <w:tc>
          <w:tcPr>
            <w:tcW w:w="7253" w:type="dxa"/>
            <w:tcBorders>
              <w:top w:val="single" w:color="auto" w:sz="8" w:space="0"/>
              <w:left w:val="single" w:color="auto" w:sz="4" w:space="0"/>
              <w:bottom w:val="single" w:color="auto" w:sz="8" w:space="0"/>
              <w:right w:val="single" w:color="auto" w:sz="8" w:space="0"/>
            </w:tcBorders>
            <w:shd w:val="clear" w:color="auto" w:fill="auto"/>
            <w:vAlign w:val="center"/>
          </w:tcPr>
          <w:p w14:paraId="4A11B6B2">
            <w:pPr>
              <w:pStyle w:val="160"/>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1、构成本招标文件的各个组成文件应互为解释，互为说明；</w:t>
            </w:r>
          </w:p>
          <w:p w14:paraId="20A28A68">
            <w:pPr>
              <w:pStyle w:val="160"/>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7"/>
                <w:sz w:val="21"/>
                <w:szCs w:val="21"/>
                <w:highlight w:val="none"/>
              </w:rPr>
              <w:t>同一组成文件中就同一事项的规定或约定不一致的，以编排</w:t>
            </w:r>
            <w:r>
              <w:rPr>
                <w:rFonts w:hint="eastAsia" w:ascii="宋体" w:hAnsi="宋体" w:eastAsia="宋体" w:cs="宋体"/>
                <w:color w:val="auto"/>
                <w:spacing w:val="-5"/>
                <w:sz w:val="21"/>
                <w:szCs w:val="21"/>
                <w:highlight w:val="none"/>
              </w:rPr>
              <w:t>顺序在后者为准；</w:t>
            </w:r>
          </w:p>
          <w:p w14:paraId="5152586F">
            <w:pPr>
              <w:pStyle w:val="160"/>
              <w:keepNext w:val="0"/>
              <w:keepLines w:val="0"/>
              <w:pageBreakBefore w:val="0"/>
              <w:tabs>
                <w:tab w:val="left" w:pos="351"/>
              </w:tabs>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3、如有不明确或不一致，构成合同文件组成内容的，以合同文件约定内容为准，且以专用合同条款约定的合同文件优先顺序解释；</w:t>
            </w:r>
          </w:p>
          <w:p w14:paraId="0E820394">
            <w:pPr>
              <w:pStyle w:val="160"/>
              <w:keepNext w:val="0"/>
              <w:keepLines w:val="0"/>
              <w:pageBreakBefore w:val="0"/>
              <w:tabs>
                <w:tab w:val="left" w:pos="354"/>
              </w:tabs>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w:t>
            </w:r>
            <w:r>
              <w:rPr>
                <w:rFonts w:hint="eastAsia" w:ascii="宋体" w:hAnsi="宋体" w:eastAsia="宋体" w:cs="宋体"/>
                <w:color w:val="auto"/>
                <w:sz w:val="21"/>
                <w:szCs w:val="21"/>
                <w:highlight w:val="none"/>
              </w:rPr>
              <w:t>系统中提供的表格（或格式文件）与招标文件中不一致时，以招标文件中提供的为准；</w:t>
            </w:r>
          </w:p>
          <w:p w14:paraId="3036DB2F">
            <w:pPr>
              <w:keepNext w:val="0"/>
              <w:keepLines w:val="0"/>
              <w:pageBreakBefore w:val="0"/>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pacing w:val="-3"/>
                <w:sz w:val="21"/>
                <w:szCs w:val="21"/>
                <w:highlight w:val="none"/>
              </w:rPr>
              <w:t>5、按本款前述规定仍不能形成结论的，由招标人负责解释。</w:t>
            </w:r>
          </w:p>
        </w:tc>
      </w:tr>
    </w:tbl>
    <w:p w14:paraId="5E12AD7E">
      <w:pPr>
        <w:spacing w:line="400" w:lineRule="exact"/>
        <w:jc w:val="center"/>
        <w:outlineLvl w:val="1"/>
        <w:rPr>
          <w:rFonts w:hint="eastAsia" w:ascii="宋体" w:hAnsi="宋体" w:eastAsia="宋体" w:cs="宋体"/>
          <w:b/>
          <w:bCs/>
          <w:color w:val="auto"/>
          <w:sz w:val="28"/>
          <w:highlight w:val="none"/>
        </w:rPr>
      </w:pPr>
    </w:p>
    <w:p w14:paraId="7AAEE894">
      <w:pP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br w:type="page"/>
      </w:r>
    </w:p>
    <w:p w14:paraId="6094F76D">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一、总  则</w:t>
      </w:r>
      <w:bookmarkEnd w:id="44"/>
      <w:bookmarkEnd w:id="45"/>
    </w:p>
    <w:p w14:paraId="5FB33392">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w:t>
      </w:r>
    </w:p>
    <w:p w14:paraId="23F98024">
      <w:pPr>
        <w:keepNext w:val="0"/>
        <w:keepLines w:val="0"/>
        <w:pageBreakBefore w:val="0"/>
        <w:widowControl w:val="0"/>
        <w:kinsoku/>
        <w:wordWrap/>
        <w:overflowPunct/>
        <w:topLinePunct w:val="0"/>
        <w:autoSpaceDE/>
        <w:autoSpaceDN/>
        <w:bidi w:val="0"/>
        <w:adjustRightInd/>
        <w:snapToGrid/>
        <w:spacing w:line="480" w:lineRule="exact"/>
        <w:ind w:left="1050" w:leftChars="0" w:hanging="1050" w:hangingChars="500"/>
        <w:jc w:val="left"/>
        <w:textAlignment w:val="auto"/>
        <w:rPr>
          <w:rFonts w:hint="default"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val="en-US" w:eastAsia="zh-CN"/>
        </w:rPr>
        <w:t>明湖公园园路应急工程工程量清单及最高投标限价编制服务项目</w:t>
      </w:r>
    </w:p>
    <w:p w14:paraId="26F9FD99">
      <w:pPr>
        <w:keepNext w:val="0"/>
        <w:keepLines w:val="0"/>
        <w:pageBreakBefore w:val="0"/>
        <w:widowControl w:val="0"/>
        <w:kinsoku/>
        <w:wordWrap/>
        <w:overflowPunct/>
        <w:topLinePunct w:val="0"/>
        <w:autoSpaceDE/>
        <w:autoSpaceDN/>
        <w:bidi w:val="0"/>
        <w:adjustRightInd/>
        <w:snapToGrid/>
        <w:spacing w:line="480" w:lineRule="exact"/>
        <w:ind w:left="1050" w:leftChars="0" w:hanging="1050" w:hangingChars="5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工程地址：滁州市</w:t>
      </w:r>
      <w:r>
        <w:rPr>
          <w:rFonts w:hint="eastAsia" w:ascii="宋体" w:hAnsi="宋体" w:eastAsia="宋体" w:cs="宋体"/>
          <w:color w:val="auto"/>
          <w:sz w:val="21"/>
          <w:szCs w:val="21"/>
          <w:highlight w:val="none"/>
          <w:u w:val="none"/>
          <w:lang w:val="en-US" w:eastAsia="zh-CN"/>
        </w:rPr>
        <w:t>内</w:t>
      </w:r>
    </w:p>
    <w:p w14:paraId="4E7F625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招标</w:t>
      </w:r>
      <w:r>
        <w:rPr>
          <w:rFonts w:hint="eastAsia" w:ascii="宋体" w:hAnsi="宋体" w:eastAsia="宋体" w:cs="宋体"/>
          <w:color w:val="auto"/>
          <w:sz w:val="21"/>
          <w:szCs w:val="21"/>
          <w:highlight w:val="none"/>
          <w:u w:val="none"/>
        </w:rPr>
        <w:t>单位：</w:t>
      </w:r>
      <w:r>
        <w:rPr>
          <w:rFonts w:hint="eastAsia" w:ascii="宋体" w:hAnsi="宋体" w:cs="宋体"/>
          <w:color w:val="auto"/>
          <w:sz w:val="21"/>
          <w:szCs w:val="21"/>
          <w:highlight w:val="none"/>
          <w:u w:val="none"/>
          <w:lang w:eastAsia="zh-CN"/>
        </w:rPr>
        <w:t>滁州市明湖建设管理服务中心</w:t>
      </w:r>
      <w:r>
        <w:rPr>
          <w:rFonts w:hint="eastAsia" w:ascii="宋体" w:hAnsi="宋体" w:eastAsia="宋体" w:cs="宋体"/>
          <w:color w:val="auto"/>
          <w:sz w:val="21"/>
          <w:szCs w:val="21"/>
          <w:highlight w:val="none"/>
          <w:u w:val="none"/>
          <w:lang w:eastAsia="zh-CN"/>
        </w:rPr>
        <w:t xml:space="preserve"> </w:t>
      </w:r>
    </w:p>
    <w:p w14:paraId="2F9C622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sz w:val="21"/>
          <w:szCs w:val="21"/>
          <w:highlight w:val="none"/>
          <w:u w:val="none"/>
        </w:rPr>
        <w:t>1.2本工程建设规模：</w:t>
      </w:r>
      <w:r>
        <w:rPr>
          <w:rFonts w:hint="eastAsia" w:ascii="宋体" w:hAnsi="宋体" w:cs="宋体"/>
          <w:color w:val="auto"/>
          <w:sz w:val="21"/>
          <w:szCs w:val="21"/>
          <w:highlight w:val="none"/>
          <w:u w:val="none"/>
          <w:lang w:val="en-US" w:eastAsia="zh-CN"/>
        </w:rPr>
        <w:t>投资</w:t>
      </w:r>
      <w:r>
        <w:rPr>
          <w:rFonts w:hint="eastAsia" w:ascii="宋体" w:hAnsi="宋体" w:eastAsia="宋体" w:cs="宋体"/>
          <w:color w:val="auto"/>
          <w:sz w:val="21"/>
          <w:szCs w:val="21"/>
          <w:highlight w:val="none"/>
          <w:u w:val="none"/>
          <w:lang w:val="en-US" w:eastAsia="zh-CN"/>
        </w:rPr>
        <w:t>金额约</w:t>
      </w:r>
      <w:r>
        <w:rPr>
          <w:rFonts w:hint="eastAsia" w:ascii="宋体" w:hAnsi="宋体" w:cs="宋体"/>
          <w:color w:val="auto"/>
          <w:sz w:val="21"/>
          <w:szCs w:val="21"/>
          <w:highlight w:val="none"/>
          <w:u w:val="none"/>
          <w:lang w:val="en-US" w:eastAsia="zh-CN"/>
        </w:rPr>
        <w:t>150万元</w:t>
      </w:r>
      <w:r>
        <w:rPr>
          <w:rFonts w:hint="eastAsia" w:ascii="宋体" w:hAnsi="宋体" w:eastAsia="宋体" w:cs="宋体"/>
          <w:color w:val="auto"/>
          <w:sz w:val="21"/>
          <w:szCs w:val="21"/>
          <w:highlight w:val="none"/>
          <w:u w:val="none"/>
          <w:lang w:val="en-US" w:eastAsia="zh-CN"/>
        </w:rPr>
        <w:t>，</w:t>
      </w:r>
      <w:r>
        <w:rPr>
          <w:rFonts w:hint="eastAsia" w:ascii="宋体" w:hAnsi="宋体" w:cs="宋体"/>
          <w:color w:val="auto"/>
          <w:sz w:val="21"/>
          <w:szCs w:val="21"/>
          <w:highlight w:val="none"/>
          <w:lang w:val="en-US" w:eastAsia="zh-CN"/>
        </w:rPr>
        <w:t>工程量清单及最高投标限价编制</w:t>
      </w:r>
      <w:r>
        <w:rPr>
          <w:rFonts w:hint="eastAsia" w:ascii="宋体" w:hAnsi="宋体" w:eastAsia="宋体" w:cs="宋体"/>
          <w:color w:val="auto"/>
          <w:sz w:val="21"/>
          <w:szCs w:val="21"/>
          <w:highlight w:val="none"/>
          <w:u w:val="none"/>
          <w:lang w:val="en-US" w:eastAsia="zh-CN"/>
        </w:rPr>
        <w:t>费</w:t>
      </w:r>
      <w:r>
        <w:rPr>
          <w:rFonts w:hint="eastAsia" w:ascii="宋体" w:hAnsi="宋体" w:cs="宋体"/>
          <w:color w:val="auto"/>
          <w:sz w:val="21"/>
          <w:szCs w:val="21"/>
          <w:highlight w:val="none"/>
          <w:u w:val="none"/>
          <w:lang w:val="en-US" w:eastAsia="zh-CN"/>
        </w:rPr>
        <w:t>约0.4575万元</w:t>
      </w:r>
      <w:r>
        <w:rPr>
          <w:rFonts w:hint="eastAsia" w:ascii="宋体" w:hAnsi="宋体" w:eastAsia="宋体" w:cs="宋体"/>
          <w:color w:val="auto"/>
          <w:kern w:val="0"/>
          <w:sz w:val="21"/>
          <w:szCs w:val="21"/>
          <w:highlight w:val="none"/>
          <w:u w:val="none"/>
          <w:lang w:val="en-US" w:eastAsia="zh-CN"/>
        </w:rPr>
        <w:t>。</w:t>
      </w:r>
    </w:p>
    <w:p w14:paraId="67586197">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2. </w:t>
      </w:r>
      <w:r>
        <w:rPr>
          <w:rFonts w:hint="eastAsia" w:ascii="宋体" w:hAnsi="宋体" w:cs="宋体"/>
          <w:color w:val="auto"/>
          <w:sz w:val="21"/>
          <w:szCs w:val="21"/>
          <w:highlight w:val="none"/>
          <w:lang w:val="en-US" w:eastAsia="zh-CN"/>
        </w:rPr>
        <w:t>服务需求</w:t>
      </w:r>
    </w:p>
    <w:p w14:paraId="67DEE0C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40FE54FE">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3.承包方式</w:t>
      </w:r>
    </w:p>
    <w:p w14:paraId="7F96507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3.1承包方式：</w:t>
      </w:r>
      <w:r>
        <w:rPr>
          <w:rFonts w:hint="eastAsia" w:ascii="宋体" w:hAnsi="宋体" w:eastAsia="宋体" w:cs="宋体"/>
          <w:color w:val="auto"/>
          <w:sz w:val="21"/>
          <w:szCs w:val="21"/>
          <w:highlight w:val="none"/>
          <w:lang w:val="en-US" w:eastAsia="zh-CN"/>
        </w:rPr>
        <w:t>固定总价</w:t>
      </w:r>
      <w:r>
        <w:rPr>
          <w:rFonts w:hint="eastAsia" w:ascii="宋体" w:hAnsi="宋体" w:eastAsia="宋体" w:cs="宋体"/>
          <w:color w:val="auto"/>
          <w:sz w:val="21"/>
          <w:szCs w:val="21"/>
          <w:highlight w:val="none"/>
        </w:rPr>
        <w:t>。</w:t>
      </w:r>
    </w:p>
    <w:p w14:paraId="06FDAF9B">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p>
    <w:p w14:paraId="2E0A7DF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kern w:val="0"/>
          <w:sz w:val="21"/>
          <w:szCs w:val="21"/>
          <w:highlight w:val="none"/>
        </w:rPr>
        <w:t>。</w:t>
      </w:r>
    </w:p>
    <w:p w14:paraId="0BCBF344">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5.质量要求</w:t>
      </w:r>
    </w:p>
    <w:p w14:paraId="4592EB5D">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sz w:val="21"/>
          <w:szCs w:val="21"/>
          <w:highlight w:val="none"/>
        </w:rPr>
        <w:t>。</w:t>
      </w:r>
    </w:p>
    <w:p w14:paraId="796160D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6.投标人资质等级要求</w:t>
      </w:r>
    </w:p>
    <w:p w14:paraId="1DAD49D1">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788E0003">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7.资金来源</w:t>
      </w:r>
    </w:p>
    <w:p w14:paraId="04B3D66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7.1资金来源：</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财政</w:t>
      </w:r>
      <w:r>
        <w:rPr>
          <w:rFonts w:hint="eastAsia" w:ascii="宋体" w:hAnsi="宋体" w:eastAsia="宋体" w:cs="宋体"/>
          <w:color w:val="auto"/>
          <w:sz w:val="21"/>
          <w:szCs w:val="21"/>
          <w:highlight w:val="none"/>
          <w:u w:val="single"/>
        </w:rPr>
        <w:t xml:space="preserve">资金 </w:t>
      </w:r>
      <w:r>
        <w:rPr>
          <w:rFonts w:hint="eastAsia" w:ascii="宋体" w:hAnsi="宋体" w:eastAsia="宋体" w:cs="宋体"/>
          <w:color w:val="auto"/>
          <w:sz w:val="21"/>
          <w:szCs w:val="21"/>
          <w:highlight w:val="none"/>
        </w:rPr>
        <w:t>；资金已落实。</w:t>
      </w:r>
    </w:p>
    <w:p w14:paraId="16562C8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8.标段划分</w:t>
      </w:r>
    </w:p>
    <w:p w14:paraId="2EB90A2C">
      <w:pPr>
        <w:keepNext w:val="0"/>
        <w:keepLines w:val="0"/>
        <w:pageBreakBefore w:val="0"/>
        <w:widowControl w:val="0"/>
        <w:kinsoku/>
        <w:wordWrap/>
        <w:overflowPunct/>
        <w:topLinePunct w:val="0"/>
        <w:autoSpaceDE/>
        <w:autoSpaceDN/>
        <w:bidi w:val="0"/>
        <w:adjustRightInd/>
        <w:snapToGrid/>
        <w:spacing w:line="480" w:lineRule="exact"/>
        <w:ind w:right="-155" w:rightChars="-7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8.1该工程划分：</w:t>
      </w:r>
      <w:r>
        <w:rPr>
          <w:rFonts w:hint="eastAsia" w:ascii="宋体" w:hAnsi="宋体" w:eastAsia="宋体" w:cs="宋体"/>
          <w:color w:val="auto"/>
          <w:sz w:val="21"/>
          <w:szCs w:val="21"/>
          <w:highlight w:val="none"/>
          <w:u w:val="single"/>
        </w:rPr>
        <w:t xml:space="preserve"> 一 </w:t>
      </w:r>
      <w:r>
        <w:rPr>
          <w:rFonts w:hint="eastAsia" w:ascii="宋体" w:hAnsi="宋体" w:eastAsia="宋体" w:cs="宋体"/>
          <w:color w:val="auto"/>
          <w:sz w:val="21"/>
          <w:szCs w:val="21"/>
          <w:highlight w:val="none"/>
        </w:rPr>
        <w:t xml:space="preserve">个标段  </w:t>
      </w:r>
    </w:p>
    <w:p w14:paraId="084D1B0F">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9.招标方式</w:t>
      </w:r>
    </w:p>
    <w:p w14:paraId="585C687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9.1本工程招标方式：</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公开</w:t>
      </w:r>
      <w:r>
        <w:rPr>
          <w:rFonts w:hint="eastAsia" w:ascii="宋体" w:hAnsi="宋体" w:eastAsia="宋体" w:cs="宋体"/>
          <w:color w:val="auto"/>
          <w:sz w:val="21"/>
          <w:szCs w:val="21"/>
          <w:highlight w:val="none"/>
          <w:u w:val="single"/>
        </w:rPr>
        <w:t xml:space="preserve">招标 </w:t>
      </w:r>
      <w:r>
        <w:rPr>
          <w:rFonts w:hint="eastAsia" w:ascii="宋体" w:hAnsi="宋体" w:eastAsia="宋体" w:cs="宋体"/>
          <w:color w:val="auto"/>
          <w:sz w:val="21"/>
          <w:szCs w:val="21"/>
          <w:highlight w:val="none"/>
        </w:rPr>
        <w:t>。</w:t>
      </w:r>
    </w:p>
    <w:p w14:paraId="4E82FFBC">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10.计价方式</w:t>
      </w:r>
    </w:p>
    <w:p w14:paraId="7A62DB5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10.1本工程合同计价方式：</w:t>
      </w:r>
      <w:r>
        <w:rPr>
          <w:rFonts w:hint="eastAsia" w:ascii="宋体" w:hAnsi="宋体" w:eastAsia="宋体" w:cs="宋体"/>
          <w:color w:val="auto"/>
          <w:sz w:val="21"/>
          <w:szCs w:val="21"/>
          <w:highlight w:val="none"/>
          <w:u w:val="single"/>
          <w:lang w:val="en-US" w:eastAsia="zh-CN"/>
        </w:rPr>
        <w:t>固定费率</w:t>
      </w:r>
      <w:r>
        <w:rPr>
          <w:rFonts w:hint="eastAsia" w:ascii="宋体" w:hAnsi="宋体" w:eastAsia="宋体" w:cs="宋体"/>
          <w:color w:val="auto"/>
          <w:sz w:val="21"/>
          <w:szCs w:val="21"/>
          <w:highlight w:val="none"/>
        </w:rPr>
        <w:t>。</w:t>
      </w:r>
    </w:p>
    <w:p w14:paraId="08A7EAA4">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11.评标办法</w:t>
      </w:r>
    </w:p>
    <w:p w14:paraId="5C11E0E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11.1本工程评标办法：</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综合评分法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（详见第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章评标办法）。</w:t>
      </w:r>
    </w:p>
    <w:p w14:paraId="50CEFD82">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6" w:name="_Toc29988"/>
      <w:bookmarkStart w:id="47" w:name="_Toc17301"/>
    </w:p>
    <w:p w14:paraId="2DD47ABF">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二、招标文件</w:t>
      </w:r>
      <w:bookmarkEnd w:id="46"/>
      <w:bookmarkEnd w:id="47"/>
    </w:p>
    <w:p w14:paraId="62AC36E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12.招标文件的编制依据</w:t>
      </w:r>
    </w:p>
    <w:p w14:paraId="6640ED8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12.1根据相关法律法规和规章及部、省、市级规范性文件的规定，编制本招标文件。</w:t>
      </w:r>
    </w:p>
    <w:p w14:paraId="0059903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Cs/>
          <w:color w:val="auto"/>
          <w:sz w:val="21"/>
          <w:szCs w:val="21"/>
          <w:highlight w:val="none"/>
        </w:rPr>
        <w:t>招标文件的组成</w:t>
      </w:r>
    </w:p>
    <w:p w14:paraId="3FC2C94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13.1招标文件包括内容：</w:t>
      </w:r>
    </w:p>
    <w:p w14:paraId="27C5F634">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第一章  </w:t>
      </w:r>
      <w:r>
        <w:rPr>
          <w:rFonts w:hint="eastAsia" w:ascii="宋体" w:hAnsi="宋体" w:cs="宋体"/>
          <w:color w:val="auto"/>
          <w:sz w:val="21"/>
          <w:szCs w:val="21"/>
          <w:highlight w:val="none"/>
          <w:lang w:eastAsia="zh-CN"/>
        </w:rPr>
        <w:t>投标人须知</w:t>
      </w:r>
    </w:p>
    <w:p w14:paraId="3E882546">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第二章  </w:t>
      </w:r>
      <w:r>
        <w:rPr>
          <w:rFonts w:hint="eastAsia" w:ascii="宋体" w:hAnsi="宋体" w:eastAsia="宋体" w:cs="宋体"/>
          <w:color w:val="auto"/>
          <w:sz w:val="21"/>
          <w:szCs w:val="21"/>
          <w:highlight w:val="none"/>
          <w:lang w:val="en-US" w:eastAsia="zh-CN"/>
        </w:rPr>
        <w:t>评标办法</w:t>
      </w:r>
    </w:p>
    <w:p w14:paraId="091E054E">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合同条款</w:t>
      </w:r>
    </w:p>
    <w:p w14:paraId="5C6D9635">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章  投标文件格式</w:t>
      </w:r>
    </w:p>
    <w:p w14:paraId="3A70C4E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章  招标单位、招标代理机构对本招标文件的确认</w:t>
      </w:r>
    </w:p>
    <w:p w14:paraId="426A67F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ascii="宋体" w:hAnsi="宋体" w:eastAsia="宋体" w:cs="宋体"/>
          <w:color w:val="auto"/>
          <w:spacing w:val="-10"/>
          <w:sz w:val="21"/>
          <w:szCs w:val="21"/>
          <w:highlight w:val="none"/>
        </w:rPr>
        <w:t>除13.1内容外，招标答疑亦为招标文件的组成部分，对招标人和投标人起约束作用。</w:t>
      </w:r>
    </w:p>
    <w:p w14:paraId="4DAD4163">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13.3</w:t>
      </w:r>
      <w:r>
        <w:rPr>
          <w:rFonts w:hint="eastAsia" w:ascii="宋体"/>
          <w:color w:val="auto"/>
          <w:szCs w:val="21"/>
          <w:highlight w:val="none"/>
        </w:rPr>
        <w:t>投标人应仔细阅读和检查招标文件的全部内容。如发现缺页或附件不全，应及时向</w:t>
      </w:r>
      <w:r>
        <w:rPr>
          <w:rFonts w:hint="eastAsia" w:ascii="宋体"/>
          <w:color w:val="auto"/>
          <w:szCs w:val="21"/>
          <w:highlight w:val="none"/>
          <w:lang w:eastAsia="zh-CN"/>
        </w:rPr>
        <w:t>招标人</w:t>
      </w:r>
      <w:r>
        <w:rPr>
          <w:rFonts w:hint="eastAsia" w:ascii="宋体"/>
          <w:color w:val="auto"/>
          <w:szCs w:val="21"/>
          <w:highlight w:val="none"/>
        </w:rPr>
        <w:t>提出，以便补齐</w:t>
      </w:r>
      <w:r>
        <w:rPr>
          <w:rFonts w:hint="eastAsia" w:ascii="宋体" w:hAnsi="宋体" w:eastAsia="宋体" w:cs="宋体"/>
          <w:color w:val="auto"/>
          <w:kern w:val="0"/>
          <w:sz w:val="21"/>
          <w:szCs w:val="21"/>
          <w:highlight w:val="none"/>
          <w:lang w:val="zh-CN"/>
        </w:rPr>
        <w:t>。</w:t>
      </w:r>
    </w:p>
    <w:p w14:paraId="2C32EE20">
      <w:pPr>
        <w:pStyle w:val="63"/>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default" w:eastAsia="宋体"/>
          <w:color w:val="auto"/>
          <w:highlight w:val="none"/>
          <w:lang w:val="en-US" w:eastAsia="zh-CN"/>
        </w:rPr>
      </w:pPr>
      <w:r>
        <w:rPr>
          <w:rFonts w:hint="eastAsia" w:ascii="宋体" w:hAnsi="宋体" w:eastAsia="宋体" w:cs="宋体"/>
          <w:b/>
          <w:bCs/>
          <w:color w:val="auto"/>
          <w:kern w:val="0"/>
          <w:sz w:val="21"/>
          <w:szCs w:val="21"/>
          <w:highlight w:val="none"/>
          <w:lang w:val="en-US" w:eastAsia="zh-CN"/>
        </w:rPr>
        <w:t>13.4投标人可以通过新点电子交易平台【滁州专区】对招标文件提出澄清（质疑）。招标文件的澄清将在滁州市城投工程咨询管理有限公司（https://www.czctgczx.com/）发布，但不指明澄清问题的来源。如果澄清内容影响投标文件编制的，将相应延长投标截止时间。</w:t>
      </w:r>
    </w:p>
    <w:p w14:paraId="182D12DA">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bCs/>
          <w:color w:val="auto"/>
          <w:sz w:val="21"/>
          <w:szCs w:val="21"/>
          <w:highlight w:val="none"/>
        </w:rPr>
        <w:t>招标文件的澄清、修改、补充、解释</w:t>
      </w:r>
    </w:p>
    <w:p w14:paraId="6B0F2D10">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14.1</w:t>
      </w:r>
      <w:r>
        <w:rPr>
          <w:rFonts w:hint="eastAsia" w:ascii="宋体" w:hAnsi="宋体" w:eastAsia="宋体" w:cs="宋体"/>
          <w:color w:val="auto"/>
          <w:kern w:val="0"/>
          <w:sz w:val="21"/>
          <w:szCs w:val="21"/>
          <w:highlight w:val="none"/>
          <w:lang w:val="zh-CN"/>
        </w:rPr>
        <w:t>招标文件发出后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招标人可对招标文件进行必要的澄清、修改和补充</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并在</w:t>
      </w:r>
      <w:r>
        <w:rPr>
          <w:rFonts w:hint="eastAsia" w:ascii="宋体" w:hAnsi="宋体" w:eastAsia="宋体" w:cs="宋体"/>
          <w:color w:val="auto"/>
          <w:sz w:val="21"/>
          <w:szCs w:val="21"/>
          <w:highlight w:val="none"/>
        </w:rPr>
        <w:t>滁州市城投工程咨询管理有限公司</w:t>
      </w:r>
      <w:r>
        <w:rPr>
          <w:rFonts w:hint="eastAsia"/>
          <w:color w:val="auto"/>
          <w:szCs w:val="21"/>
          <w:highlight w:val="none"/>
        </w:rPr>
        <w:t>（https://www.czctgczx.com/）</w:t>
      </w:r>
      <w:r>
        <w:rPr>
          <w:rFonts w:hint="eastAsia"/>
          <w:color w:val="auto"/>
          <w:szCs w:val="21"/>
          <w:highlight w:val="none"/>
          <w:lang w:val="en-US" w:eastAsia="zh-CN"/>
        </w:rPr>
        <w:t>网站发布</w:t>
      </w:r>
      <w:r>
        <w:rPr>
          <w:rFonts w:hint="eastAsia" w:ascii="宋体" w:hAnsi="宋体" w:eastAsia="宋体" w:cs="宋体"/>
          <w:color w:val="auto"/>
          <w:kern w:val="0"/>
          <w:sz w:val="21"/>
          <w:szCs w:val="21"/>
          <w:highlight w:val="none"/>
          <w:lang w:val="zh-CN"/>
        </w:rPr>
        <w:t>。招标文件的修改内容作为招标文件的组成部分，具有约束作用。</w:t>
      </w:r>
    </w:p>
    <w:p w14:paraId="291D1EEA">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本招标文件由招标人委托的招标代理机构负责解释。</w:t>
      </w:r>
    </w:p>
    <w:p w14:paraId="2B94AB1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15.踏勘现场及投标预备会</w:t>
      </w:r>
    </w:p>
    <w:p w14:paraId="275BCF2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踏勘现场</w:t>
      </w:r>
    </w:p>
    <w:p w14:paraId="504953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15.1.1</w:t>
      </w:r>
      <w:r>
        <w:rPr>
          <w:rFonts w:hint="eastAsia" w:ascii="宋体" w:hAnsi="宋体" w:eastAsia="宋体" w:cs="宋体"/>
          <w:color w:val="auto"/>
          <w:kern w:val="0"/>
          <w:sz w:val="21"/>
          <w:szCs w:val="21"/>
          <w:highlight w:val="none"/>
        </w:rPr>
        <w:t>不再集中召开招标答疑会；投标人自行组织勘察现场。</w:t>
      </w:r>
    </w:p>
    <w:p w14:paraId="6FE74C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15.2投标预备会</w:t>
      </w:r>
    </w:p>
    <w:p w14:paraId="13F5946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15.2.1</w:t>
      </w:r>
      <w:r>
        <w:rPr>
          <w:rFonts w:hint="eastAsia" w:ascii="宋体" w:hAnsi="宋体" w:cs="宋体"/>
          <w:color w:val="auto"/>
          <w:sz w:val="21"/>
          <w:szCs w:val="21"/>
          <w:highlight w:val="none"/>
          <w:lang w:val="en-US" w:eastAsia="zh-CN"/>
        </w:rPr>
        <w:t>本项目不组织</w:t>
      </w:r>
      <w:r>
        <w:rPr>
          <w:rFonts w:hint="eastAsia" w:ascii="宋体" w:hAnsi="宋体" w:eastAsia="宋体" w:cs="宋体"/>
          <w:color w:val="auto"/>
          <w:sz w:val="21"/>
          <w:szCs w:val="21"/>
          <w:highlight w:val="none"/>
        </w:rPr>
        <w:t>投标预备会</w:t>
      </w:r>
      <w:r>
        <w:rPr>
          <w:rFonts w:hint="eastAsia" w:ascii="宋体" w:hAnsi="宋体" w:eastAsia="宋体" w:cs="宋体"/>
          <w:bCs/>
          <w:color w:val="auto"/>
          <w:sz w:val="21"/>
          <w:szCs w:val="21"/>
          <w:highlight w:val="none"/>
        </w:rPr>
        <w:t>。</w:t>
      </w:r>
    </w:p>
    <w:p w14:paraId="13802E1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16.招标文件的发出</w:t>
      </w:r>
    </w:p>
    <w:p w14:paraId="185B78E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16.1招标文件、招标文件的澄清、修改、补充及招标答疑等均应报招标人备案后，方可发出。</w:t>
      </w:r>
    </w:p>
    <w:p w14:paraId="0E4E305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17.最高投标限价的作用和说明</w:t>
      </w:r>
    </w:p>
    <w:p w14:paraId="1F52E4E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17.1本项目工程量清单和最高投标限价编制费用为《收费标准》计算费用的</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0%，投标单位投标报价不得高于上述费率最高限价，否则按无效标处理</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《收费标准》详见附表</w:t>
      </w:r>
      <w:r>
        <w:rPr>
          <w:rFonts w:hint="eastAsia" w:ascii="宋体" w:hAnsi="宋体" w:eastAsia="宋体" w:cs="宋体"/>
          <w:b/>
          <w:bCs/>
          <w:color w:val="auto"/>
          <w:sz w:val="21"/>
          <w:szCs w:val="21"/>
          <w:highlight w:val="none"/>
          <w:lang w:eastAsia="zh-CN"/>
        </w:rPr>
        <w:t>。</w:t>
      </w:r>
    </w:p>
    <w:p w14:paraId="344A8BB9">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8" w:name="_Toc24852"/>
      <w:bookmarkStart w:id="49" w:name="_Toc6831"/>
      <w:r>
        <w:rPr>
          <w:rFonts w:hint="eastAsia" w:ascii="宋体" w:hAnsi="宋体" w:eastAsia="宋体" w:cs="宋体"/>
          <w:b/>
          <w:bCs/>
          <w:color w:val="auto"/>
          <w:sz w:val="28"/>
          <w:highlight w:val="none"/>
        </w:rPr>
        <w:t>三、投标文件的编制</w:t>
      </w:r>
      <w:bookmarkEnd w:id="48"/>
      <w:bookmarkEnd w:id="49"/>
    </w:p>
    <w:p w14:paraId="64695F4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 投标文件的组成</w:t>
      </w:r>
      <w:r>
        <w:rPr>
          <w:rFonts w:hint="eastAsia" w:ascii="宋体" w:hAnsi="宋体" w:eastAsia="宋体" w:cs="宋体"/>
          <w:b/>
          <w:bCs/>
          <w:color w:val="auto"/>
          <w:sz w:val="21"/>
          <w:szCs w:val="21"/>
          <w:highlight w:val="none"/>
          <w:lang w:val="en-US" w:eastAsia="zh-CN"/>
        </w:rPr>
        <w:t xml:space="preserve"> </w:t>
      </w:r>
    </w:p>
    <w:p w14:paraId="499ED5A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p>
    <w:p w14:paraId="41B0209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cs="宋体"/>
          <w:color w:val="auto"/>
          <w:sz w:val="21"/>
          <w:szCs w:val="21"/>
          <w:highlight w:val="none"/>
          <w:lang w:val="en-US" w:eastAsia="zh-CN"/>
        </w:rPr>
        <w:t xml:space="preserve"> </w:t>
      </w:r>
    </w:p>
    <w:p w14:paraId="4668144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（3）拟派项目负责人</w:t>
      </w:r>
      <w:r>
        <w:rPr>
          <w:rFonts w:hint="eastAsia" w:ascii="宋体" w:hAnsi="宋体" w:eastAsia="宋体" w:cs="宋体"/>
          <w:color w:val="auto"/>
          <w:sz w:val="21"/>
          <w:szCs w:val="21"/>
          <w:highlight w:val="none"/>
          <w:lang w:val="en-US" w:eastAsia="zh-CN"/>
        </w:rPr>
        <w:t>身份证和</w:t>
      </w:r>
      <w:r>
        <w:rPr>
          <w:rFonts w:hint="eastAsia" w:ascii="宋体" w:hAnsi="宋体" w:eastAsia="宋体" w:cs="宋体"/>
          <w:color w:val="auto"/>
          <w:sz w:val="21"/>
          <w:szCs w:val="21"/>
          <w:highlight w:val="none"/>
        </w:rPr>
        <w:t>注册造价师证书且</w:t>
      </w:r>
      <w:r>
        <w:rPr>
          <w:rFonts w:hint="eastAsia" w:ascii="宋体" w:hAnsi="宋体" w:eastAsia="宋体" w:cs="宋体"/>
          <w:color w:val="auto"/>
          <w:sz w:val="21"/>
          <w:szCs w:val="21"/>
          <w:highlight w:val="none"/>
          <w:lang w:val="en-US" w:eastAsia="zh-CN"/>
        </w:rPr>
        <w:t>证明</w:t>
      </w:r>
      <w:r>
        <w:rPr>
          <w:rFonts w:hint="eastAsia" w:ascii="宋体" w:hAnsi="宋体" w:eastAsia="宋体" w:cs="宋体"/>
          <w:color w:val="auto"/>
          <w:sz w:val="21"/>
          <w:szCs w:val="21"/>
          <w:highlight w:val="none"/>
        </w:rPr>
        <w:t>专业为土木建筑工程</w:t>
      </w:r>
      <w:r>
        <w:rPr>
          <w:rFonts w:hint="eastAsia" w:ascii="宋体" w:hAnsi="宋体" w:eastAsia="宋体" w:cs="宋体"/>
          <w:color w:val="auto"/>
          <w:sz w:val="21"/>
          <w:szCs w:val="21"/>
          <w:highlight w:val="none"/>
          <w:lang w:val="en-US" w:eastAsia="zh-CN"/>
        </w:rPr>
        <w:t>的证明材料</w:t>
      </w:r>
      <w:r>
        <w:rPr>
          <w:rFonts w:hint="eastAsia" w:ascii="宋体" w:hAnsi="宋体" w:cs="宋体"/>
          <w:color w:val="auto"/>
          <w:sz w:val="21"/>
          <w:szCs w:val="21"/>
          <w:highlight w:val="none"/>
          <w:lang w:val="en-US" w:eastAsia="zh-CN"/>
        </w:rPr>
        <w:t xml:space="preserve">； </w:t>
      </w:r>
    </w:p>
    <w:p w14:paraId="34FA53D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项目人员配备表（格式见附件）；</w:t>
      </w:r>
    </w:p>
    <w:p w14:paraId="43DBF8F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cs="宋体"/>
          <w:color w:val="auto"/>
          <w:kern w:val="0"/>
          <w:sz w:val="21"/>
          <w:szCs w:val="21"/>
          <w:highlight w:val="none"/>
          <w:lang w:eastAsia="zh-CN"/>
        </w:rPr>
        <w:t>不少于2名且具有在本单位注册的二级及以上造价工程师（土木建筑工程专业至少1名）（注册证书且证明专业为土木建筑工程专业的证明材料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 xml:space="preserve"> </w:t>
      </w:r>
    </w:p>
    <w:p w14:paraId="0AA33432">
      <w:pPr>
        <w:keepNext w:val="0"/>
        <w:keepLines w:val="0"/>
        <w:pageBreakBefore w:val="0"/>
        <w:widowControl w:val="0"/>
        <w:kinsoku/>
        <w:wordWrap/>
        <w:overflowPunct/>
        <w:topLinePunct w:val="0"/>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（6）投标人须提供法定代表人（或委托代理人）及拟派的上述项目负责人和项目组成员须持有社保部门出具的本单位为其缴纳的投标前近三个月的养老保险证明</w:t>
      </w:r>
      <w:r>
        <w:rPr>
          <w:rFonts w:hint="eastAsia" w:ascii="宋体" w:hAnsi="宋体" w:eastAsia="宋体" w:cs="宋体"/>
          <w:color w:val="auto"/>
          <w:sz w:val="21"/>
          <w:szCs w:val="21"/>
          <w:highlight w:val="none"/>
          <w:lang w:val="en-US" w:eastAsia="zh-CN"/>
        </w:rPr>
        <w:t>材料；投标人是事业单位的，须其主管部门出具证明（证明文件两个月内有效）；注：若投标人拟派的项目负责人为已退休人员，须同时提供①退休证明材料；②与投标人签订的返聘劳动合同；③项目负责人社保卡所在银行出具的退休工资流水；④银行出具的工资流水和返聘单位出具的工资表（加盖返聘单位公章，现聘用单位（投标人）所发工资）。</w:t>
      </w:r>
    </w:p>
    <w:p w14:paraId="20980F17">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（7）投标函</w:t>
      </w:r>
      <w:r>
        <w:rPr>
          <w:rFonts w:hint="eastAsia" w:ascii="宋体" w:hAnsi="宋体" w:eastAsia="宋体" w:cs="宋体"/>
          <w:color w:val="auto"/>
          <w:sz w:val="21"/>
          <w:szCs w:val="21"/>
          <w:highlight w:val="none"/>
        </w:rPr>
        <w:t>；</w:t>
      </w:r>
    </w:p>
    <w:p w14:paraId="67A22FA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投标人认为需要提供的其他材料。</w:t>
      </w:r>
    </w:p>
    <w:p w14:paraId="6CFB64B6">
      <w:pPr>
        <w:numPr>
          <w:ilvl w:val="0"/>
          <w:numId w:val="0"/>
        </w:numPr>
        <w:spacing w:line="440" w:lineRule="exact"/>
        <w:jc w:val="both"/>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 xml:space="preserve">19.投标文件的组成、上传说明 </w:t>
      </w:r>
    </w:p>
    <w:p w14:paraId="344E5516">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19.1 投标文件的组成 </w:t>
      </w:r>
    </w:p>
    <w:p w14:paraId="6BBBE030">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具体内容详见第四章投标文件格式内容。 </w:t>
      </w:r>
    </w:p>
    <w:p w14:paraId="559C5DB4">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19.2 投标文件的上传 </w:t>
      </w:r>
    </w:p>
    <w:p w14:paraId="276CFE5B">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（1）</w:t>
      </w:r>
      <w:r>
        <w:rPr>
          <w:rFonts w:hint="eastAsia" w:ascii="宋体" w:hAnsi="宋体" w:cs="宋体"/>
          <w:color w:val="auto"/>
          <w:szCs w:val="21"/>
          <w:highlight w:val="none"/>
        </w:rPr>
        <w:t>请投标人通过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下载投标工具制作投标文件，并利用CA数字证书进行上传投标文件，上传已加密的投标文件，务必通过此方式上传投标文件</w:t>
      </w:r>
      <w:r>
        <w:rPr>
          <w:rFonts w:hint="eastAsia" w:ascii="宋体" w:hAnsi="Calibri"/>
          <w:color w:val="auto"/>
          <w:szCs w:val="21"/>
          <w:highlight w:val="none"/>
          <w:lang w:val="en-US" w:eastAsia="zh-CN"/>
        </w:rPr>
        <w:t xml:space="preserve">。 </w:t>
      </w:r>
    </w:p>
    <w:p w14:paraId="42834304">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Calibri"/>
          <w:b/>
          <w:bCs/>
          <w:color w:val="auto"/>
          <w:szCs w:val="21"/>
          <w:highlight w:val="none"/>
          <w:lang w:val="en-US" w:eastAsia="zh-CN"/>
        </w:rPr>
        <w:t>投标人在投标文件编制、签章、上传过程中如有任何操作的疑问请及时联系技术支持，电话：0512-58151515（工作日）或者网站首页在线客服</w:t>
      </w:r>
      <w:r>
        <w:rPr>
          <w:rFonts w:hint="eastAsia" w:ascii="宋体" w:hAnsi="Calibri"/>
          <w:color w:val="auto"/>
          <w:szCs w:val="21"/>
          <w:highlight w:val="none"/>
          <w:lang w:val="en-US" w:eastAsia="zh-CN"/>
        </w:rPr>
        <w:t xml:space="preserve">。 </w:t>
      </w:r>
    </w:p>
    <w:p w14:paraId="1EADF7E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如果因投标人自身原因导致投标文件在规定时间内未能解密、解密失败或解密超时，投标文件无效；因代理公司原因或网上平台发生故障，导致无法按时完成投标文件解密的，经代理公司申请后可延迟解密时间。 </w:t>
      </w:r>
    </w:p>
    <w:p w14:paraId="2A77AAEF">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19.3 投标文件的编制 </w:t>
      </w:r>
    </w:p>
    <w:p w14:paraId="64DCFAF7">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（1）投标文件应按第四章“投标文件格式”进行编写，如有必要，可以增加附页，作为投标文件的组成部分。 </w:t>
      </w:r>
    </w:p>
    <w:p w14:paraId="6D4B70A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宋体" w:cs="宋体"/>
          <w:b/>
          <w:bCs/>
          <w:color w:val="auto"/>
          <w:szCs w:val="21"/>
          <w:highlight w:val="none"/>
        </w:rPr>
        <w:t>本次投标不需要提供纸质投标文件，投标人应按照电子招标投标的要求，在投标人的电子系统中制作、签章、上传加密的电子投标文件</w:t>
      </w:r>
      <w:r>
        <w:rPr>
          <w:rFonts w:hint="eastAsia" w:ascii="宋体" w:hAnsi="Calibri"/>
          <w:color w:val="auto"/>
          <w:szCs w:val="21"/>
          <w:highlight w:val="none"/>
          <w:lang w:val="en-US" w:eastAsia="zh-CN"/>
        </w:rPr>
        <w:t xml:space="preserve">。 </w:t>
      </w:r>
    </w:p>
    <w:p w14:paraId="12304D1D">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（3）网上递交的电子投标文件制作工具等要求详见系统内帮助模块。 </w:t>
      </w:r>
    </w:p>
    <w:p w14:paraId="62D31D9D">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Calibri"/>
          <w:color w:val="auto"/>
          <w:szCs w:val="21"/>
          <w:highlight w:val="none"/>
          <w:lang w:val="en-US" w:eastAsia="zh-CN"/>
        </w:rPr>
      </w:pPr>
      <w:r>
        <w:rPr>
          <w:rFonts w:hint="eastAsia" w:ascii="宋体" w:hAnsi="Calibri"/>
          <w:color w:val="auto"/>
          <w:szCs w:val="21"/>
          <w:highlight w:val="none"/>
          <w:lang w:val="en-US" w:eastAsia="zh-CN"/>
        </w:rPr>
        <w:t>（4）网上递交的电子投标文件应按招标文件规定的格式由投标人的法定代表人和投标人分别签章。</w:t>
      </w:r>
    </w:p>
    <w:p w14:paraId="62849197">
      <w:pPr>
        <w:pStyle w:val="2"/>
        <w:rPr>
          <w:rFonts w:hint="eastAsia" w:ascii="宋体" w:hAnsi="Calibri" w:eastAsia="宋体" w:cs="Times New Roman"/>
          <w:color w:val="auto"/>
          <w:kern w:val="2"/>
          <w:sz w:val="21"/>
          <w:szCs w:val="21"/>
          <w:highlight w:val="none"/>
          <w:lang w:val="en-US" w:eastAsia="zh-CN" w:bidi="ar-SA"/>
        </w:rPr>
      </w:pPr>
      <w:r>
        <w:rPr>
          <w:rFonts w:hint="eastAsia" w:ascii="宋体" w:hAnsi="Calibri" w:eastAsia="宋体" w:cs="Times New Roman"/>
          <w:color w:val="auto"/>
          <w:kern w:val="2"/>
          <w:sz w:val="21"/>
          <w:szCs w:val="21"/>
          <w:highlight w:val="none"/>
          <w:lang w:val="en-US" w:eastAsia="zh-CN" w:bidi="ar-SA"/>
        </w:rPr>
        <w:t>（5）招标人有权核查投标人在投标文件中提供的资料，若在评标期间发现投标人提供了虚假资料，其投标将被否决；若发现投标人以他人名义投标或者以其他方式弄虚作假骗取中标的，中标无效；如果签订合同后发现中标人提供了虚假材料，招标人有权解除合同。同时招标人将投标人上述弄虚作假行为上报公共资源交易监督管理部门处理。</w:t>
      </w:r>
    </w:p>
    <w:p w14:paraId="5A82299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投标文件的制作应满足以下规定：</w:t>
      </w:r>
    </w:p>
    <w:p w14:paraId="4849031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cs="宋体"/>
          <w:color w:val="auto"/>
          <w:szCs w:val="21"/>
          <w:highlight w:val="none"/>
        </w:rPr>
        <w:t>投标文件由投标人使用</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提供的“投标文件制作工具”制作生成。“投标文件制作工具”可以通过电子交易系统下载。</w:t>
      </w:r>
    </w:p>
    <w:p w14:paraId="424145B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cs="宋体"/>
          <w:b/>
          <w:color w:val="auto"/>
          <w:szCs w:val="21"/>
          <w:highlight w:val="none"/>
        </w:rPr>
        <w:t>招标文件中“签章”是指签字或盖章</w:t>
      </w:r>
      <w:r>
        <w:rPr>
          <w:rFonts w:hint="eastAsia" w:ascii="宋体" w:hAnsi="宋体" w:cs="宋体"/>
          <w:b/>
          <w:color w:val="auto"/>
          <w:szCs w:val="21"/>
          <w:highlight w:val="none"/>
          <w:lang w:val="en-US" w:eastAsia="zh-CN"/>
        </w:rPr>
        <w:t>。在“投标文件格式”中要求单位签章的，投标人应加盖投标人单位电子印章或直接上传加盖投标人单位印章原件彩色扫描件。要求个人签章的，加盖相应人员印章（或电子印章）或相应人员签字均可。</w:t>
      </w:r>
    </w:p>
    <w:p w14:paraId="52D2929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BE993A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color w:val="auto"/>
          <w:highlight w:val="none"/>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因投标人自身原因而导致投标文件无法导入电子交易系统电子开标、评标系统，该投标视为无效投标，投标人自行承担由此导致的全部责任。</w:t>
      </w:r>
    </w:p>
    <w:p w14:paraId="235F678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投标报价</w:t>
      </w:r>
    </w:p>
    <w:p w14:paraId="05488F2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.1投标人的投标报价包括按合同规定的范围所提供的全部服务所需的费用，即招标范围内人员工资、办公费用、</w:t>
      </w:r>
      <w:r>
        <w:rPr>
          <w:rFonts w:hint="eastAsia" w:ascii="宋体" w:hAnsi="宋体" w:eastAsia="宋体" w:cs="宋体"/>
          <w:color w:val="auto"/>
          <w:sz w:val="21"/>
          <w:szCs w:val="21"/>
          <w:highlight w:val="none"/>
          <w:lang w:val="en-US" w:eastAsia="zh-CN"/>
        </w:rPr>
        <w:t>专家评审费、</w:t>
      </w:r>
      <w:r>
        <w:rPr>
          <w:rFonts w:hint="eastAsia" w:ascii="宋体" w:hAnsi="宋体" w:eastAsia="宋体" w:cs="宋体"/>
          <w:color w:val="auto"/>
          <w:sz w:val="21"/>
          <w:szCs w:val="21"/>
          <w:highlight w:val="none"/>
        </w:rPr>
        <w:t>成本、利润及税金等</w:t>
      </w:r>
      <w:r>
        <w:rPr>
          <w:rFonts w:hint="eastAsia" w:ascii="宋体" w:hAnsi="宋体" w:eastAsia="宋体" w:cs="宋体"/>
          <w:color w:val="auto"/>
          <w:sz w:val="21"/>
          <w:szCs w:val="21"/>
          <w:highlight w:val="none"/>
          <w:lang w:val="en-US" w:eastAsia="zh-CN"/>
        </w:rPr>
        <w:t>完成本项目所有工作所产生的</w:t>
      </w:r>
      <w:r>
        <w:rPr>
          <w:rFonts w:hint="eastAsia" w:ascii="宋体" w:hAnsi="宋体" w:eastAsia="宋体" w:cs="宋体"/>
          <w:color w:val="auto"/>
          <w:sz w:val="21"/>
          <w:szCs w:val="21"/>
          <w:highlight w:val="none"/>
        </w:rPr>
        <w:t>全部费用。</w:t>
      </w:r>
    </w:p>
    <w:p w14:paraId="076B814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.2 投标报价不按规定报价的，其投标文件按无效标处理。</w:t>
      </w:r>
    </w:p>
    <w:p w14:paraId="79647B6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.投标有效期</w:t>
      </w:r>
    </w:p>
    <w:p w14:paraId="6BD254F2">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.1投标有效期为</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p w14:paraId="3EF24EA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r>
        <w:rPr>
          <w:rFonts w:hint="eastAsia" w:ascii="宋体" w:hAnsi="宋体" w:eastAsia="宋体" w:cs="宋体"/>
          <w:color w:val="auto"/>
          <w:sz w:val="24"/>
          <w:highlight w:val="none"/>
        </w:rPr>
        <w:t>。</w:t>
      </w:r>
    </w:p>
    <w:p w14:paraId="0A229A7F">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color w:val="auto"/>
          <w:sz w:val="28"/>
          <w:szCs w:val="28"/>
          <w:highlight w:val="none"/>
        </w:rPr>
      </w:pPr>
      <w:bookmarkStart w:id="50" w:name="_Toc27519"/>
      <w:bookmarkStart w:id="51" w:name="_Toc13407"/>
      <w:r>
        <w:rPr>
          <w:rFonts w:hint="eastAsia" w:ascii="宋体" w:hAnsi="宋体" w:eastAsia="宋体" w:cs="宋体"/>
          <w:b/>
          <w:bCs/>
          <w:color w:val="auto"/>
          <w:sz w:val="28"/>
          <w:highlight w:val="none"/>
        </w:rPr>
        <w:t>四、投标文件的递交</w:t>
      </w:r>
      <w:bookmarkEnd w:id="50"/>
      <w:bookmarkEnd w:id="51"/>
    </w:p>
    <w:p w14:paraId="3545408C">
      <w:pPr>
        <w:numPr>
          <w:ilvl w:val="0"/>
          <w:numId w:val="0"/>
        </w:numPr>
        <w:spacing w:line="440" w:lineRule="exact"/>
        <w:jc w:val="both"/>
        <w:rPr>
          <w:rFonts w:hint="eastAsia" w:ascii="宋体" w:hAnsi="Times New Roman" w:eastAsia="宋体" w:cs="Times New Roman"/>
          <w:b/>
          <w:bCs/>
          <w:color w:val="auto"/>
          <w:szCs w:val="21"/>
          <w:highlight w:val="none"/>
        </w:rPr>
      </w:pPr>
      <w:r>
        <w:rPr>
          <w:rFonts w:hint="eastAsia" w:ascii="宋体" w:hAnsi="宋体" w:cs="宋体"/>
          <w:b/>
          <w:bCs/>
          <w:color w:val="auto"/>
          <w:sz w:val="21"/>
          <w:szCs w:val="21"/>
          <w:highlight w:val="none"/>
          <w:lang w:val="en-US" w:eastAsia="zh-CN"/>
        </w:rPr>
        <w:t>22.</w:t>
      </w:r>
      <w:r>
        <w:rPr>
          <w:rFonts w:hint="eastAsia" w:ascii="宋体" w:hAnsi="Times New Roman" w:eastAsia="宋体" w:cs="Times New Roman"/>
          <w:b/>
          <w:bCs/>
          <w:color w:val="auto"/>
          <w:szCs w:val="21"/>
          <w:highlight w:val="none"/>
        </w:rPr>
        <w:t>投标文件的份数和签署</w:t>
      </w:r>
    </w:p>
    <w:p w14:paraId="0F10380A">
      <w:pPr>
        <w:spacing w:line="440" w:lineRule="exact"/>
        <w:jc w:val="left"/>
        <w:rPr>
          <w:rFonts w:hint="eastAsia" w:ascii="宋体" w:hAnsi="宋体"/>
          <w:b/>
          <w:bCs/>
          <w:color w:val="auto"/>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.1</w:t>
      </w:r>
      <w:r>
        <w:rPr>
          <w:rFonts w:hint="eastAsia" w:ascii="宋体" w:hAnsi="宋体" w:cs="宋体"/>
          <w:color w:val="auto"/>
          <w:kern w:val="0"/>
          <w:szCs w:val="21"/>
          <w:highlight w:val="none"/>
        </w:rPr>
        <w:t>投标人中标后须递交与网上电子投标文件完全一致的纸质版投标文件，在领取中标通知书时，一并递交给招标代理机构。</w:t>
      </w:r>
    </w:p>
    <w:p w14:paraId="28A205A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 xml:space="preserve">.2 </w:t>
      </w:r>
      <w:r>
        <w:rPr>
          <w:rFonts w:hint="eastAsia" w:ascii="宋体" w:hAnsi="宋体"/>
          <w:b/>
          <w:color w:val="auto"/>
          <w:szCs w:val="21"/>
          <w:highlight w:val="none"/>
        </w:rPr>
        <w:t>电子投标文件须按格式文件要求签字或盖章（电子签章），否则经评委会一致认定后, 按照无效投标处理</w:t>
      </w:r>
      <w:r>
        <w:rPr>
          <w:rFonts w:hint="eastAsia" w:ascii="宋体" w:hAnsi="宋体" w:eastAsia="宋体" w:cs="宋体"/>
          <w:color w:val="auto"/>
          <w:sz w:val="21"/>
          <w:szCs w:val="21"/>
          <w:highlight w:val="none"/>
        </w:rPr>
        <w:t>。</w:t>
      </w:r>
    </w:p>
    <w:p w14:paraId="63552288">
      <w:pPr>
        <w:spacing w:line="440" w:lineRule="exact"/>
        <w:jc w:val="left"/>
        <w:rPr>
          <w:rFonts w:hint="eastAsia" w:ascii="宋体" w:hAnsi="宋体"/>
          <w:b/>
          <w:bCs/>
          <w:color w:val="auto"/>
          <w:szCs w:val="21"/>
          <w:highlight w:val="none"/>
        </w:rPr>
      </w:pPr>
      <w:r>
        <w:rPr>
          <w:rFonts w:hint="eastAsia" w:ascii="宋体" w:hAnsi="宋体" w:cs="宋体"/>
          <w:b/>
          <w:bCs/>
          <w:color w:val="auto"/>
          <w:sz w:val="21"/>
          <w:szCs w:val="21"/>
          <w:highlight w:val="none"/>
          <w:lang w:val="en-US" w:eastAsia="zh-CN"/>
        </w:rPr>
        <w:t>23.</w:t>
      </w:r>
      <w:r>
        <w:rPr>
          <w:rFonts w:hint="eastAsia" w:ascii="宋体" w:hAnsi="宋体"/>
          <w:b/>
          <w:bCs/>
          <w:color w:val="auto"/>
          <w:szCs w:val="21"/>
          <w:highlight w:val="none"/>
        </w:rPr>
        <w:t>投标文件的</w:t>
      </w:r>
      <w:r>
        <w:rPr>
          <w:rFonts w:hint="eastAsia" w:ascii="宋体" w:hAnsi="宋体"/>
          <w:b/>
          <w:color w:val="auto"/>
          <w:szCs w:val="21"/>
          <w:highlight w:val="none"/>
        </w:rPr>
        <w:t>递</w:t>
      </w:r>
      <w:r>
        <w:rPr>
          <w:rFonts w:hint="eastAsia" w:ascii="宋体" w:hAnsi="宋体"/>
          <w:b/>
          <w:bCs/>
          <w:color w:val="auto"/>
          <w:szCs w:val="21"/>
          <w:highlight w:val="none"/>
        </w:rPr>
        <w:t>交</w:t>
      </w:r>
    </w:p>
    <w:p w14:paraId="7F8AEA8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3</w:t>
      </w:r>
      <w:r>
        <w:rPr>
          <w:rFonts w:hint="eastAsia" w:ascii="宋体" w:hAnsi="宋体"/>
          <w:b/>
          <w:color w:val="auto"/>
          <w:szCs w:val="21"/>
          <w:highlight w:val="none"/>
        </w:rPr>
        <w:t>.1 投标人应当在投标截止时间前完成投标文件的网上递交，并可以补充、修改或者撤回投标文件。投标截止时间前未完成投标文件网上递交的，视为撤回投标文件。未按规定加密或投标截止时间后通过</w:t>
      </w:r>
      <w:r>
        <w:rPr>
          <w:rFonts w:hint="eastAsia" w:ascii="宋体" w:hAnsi="宋体"/>
          <w:b/>
          <w:color w:val="auto"/>
          <w:szCs w:val="21"/>
          <w:highlight w:val="none"/>
          <w:lang w:val="en-US" w:eastAsia="zh-CN"/>
        </w:rPr>
        <w:t>新点电子交易平台</w:t>
      </w:r>
      <w:r>
        <w:rPr>
          <w:rFonts w:hint="eastAsia" w:ascii="宋体" w:hAnsi="宋体"/>
          <w:b/>
          <w:color w:val="auto"/>
          <w:szCs w:val="21"/>
          <w:highlight w:val="none"/>
        </w:rPr>
        <w:t>递交电子投标文件的，电子交易系统应当拒收，投标无效</w:t>
      </w:r>
      <w:r>
        <w:rPr>
          <w:rFonts w:hint="eastAsia" w:ascii="宋体" w:hAnsi="宋体" w:eastAsia="宋体" w:cs="宋体"/>
          <w:color w:val="auto"/>
          <w:sz w:val="21"/>
          <w:szCs w:val="21"/>
          <w:highlight w:val="none"/>
        </w:rPr>
        <w:t>。</w:t>
      </w:r>
    </w:p>
    <w:p w14:paraId="6948FF47">
      <w:pPr>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4</w:t>
      </w:r>
      <w:r>
        <w:rPr>
          <w:rFonts w:hint="eastAsia" w:ascii="宋体"/>
          <w:b/>
          <w:color w:val="auto"/>
          <w:szCs w:val="21"/>
          <w:highlight w:val="none"/>
        </w:rPr>
        <w:t>．投标文件的修改与撤回</w:t>
      </w:r>
    </w:p>
    <w:p w14:paraId="1800A27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8"/>
          <w:szCs w:val="28"/>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.1 </w:t>
      </w:r>
      <w:r>
        <w:rPr>
          <w:rFonts w:hint="eastAsia" w:ascii="宋体" w:hAnsi="宋体" w:cs="宋体"/>
          <w:color w:val="auto"/>
          <w:szCs w:val="21"/>
          <w:highlight w:val="none"/>
        </w:rPr>
        <w:t>在“招标公告”规定的投标截止时间前，投标人可以自行从网上</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撤回已递交的投标文件，并可修改后重新加密上传，开标时以投标截止时间前投标人最终上传的投标文件为准</w:t>
      </w:r>
      <w:r>
        <w:rPr>
          <w:rFonts w:hint="eastAsia" w:ascii="宋体" w:hAnsi="宋体" w:cs="宋体"/>
          <w:color w:val="auto"/>
          <w:szCs w:val="21"/>
          <w:highlight w:val="none"/>
          <w:lang w:eastAsia="zh-CN"/>
        </w:rPr>
        <w:t>。</w:t>
      </w:r>
    </w:p>
    <w:p w14:paraId="7500E7D0">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2" w:name="_Toc18173"/>
      <w:bookmarkStart w:id="53" w:name="_Toc24005"/>
      <w:r>
        <w:rPr>
          <w:rFonts w:hint="eastAsia" w:ascii="宋体" w:hAnsi="宋体" w:eastAsia="宋体" w:cs="宋体"/>
          <w:b/>
          <w:bCs/>
          <w:color w:val="auto"/>
          <w:sz w:val="28"/>
          <w:highlight w:val="none"/>
        </w:rPr>
        <w:t>五、开标、评标和定标</w:t>
      </w:r>
      <w:bookmarkEnd w:id="52"/>
      <w:bookmarkEnd w:id="53"/>
    </w:p>
    <w:p w14:paraId="066918F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w:t>
      </w:r>
    </w:p>
    <w:p w14:paraId="4366EFD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 开标的时间和地点</w:t>
      </w:r>
    </w:p>
    <w:p w14:paraId="5776DF3D">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.1.1</w:t>
      </w:r>
      <w:r>
        <w:rPr>
          <w:rFonts w:hint="eastAsia" w:ascii="宋体" w:hAnsi="宋体" w:cs="宋体"/>
          <w:color w:val="auto"/>
          <w:szCs w:val="21"/>
          <w:highlight w:val="none"/>
        </w:rPr>
        <w:t>招标人在“招标公告”规定的投标截止时间前（开标时间）和地点</w:t>
      </w:r>
      <w:r>
        <w:rPr>
          <w:color w:val="auto"/>
          <w:highlight w:val="none"/>
        </w:rPr>
        <w:t>通过</w:t>
      </w:r>
      <w:r>
        <w:rPr>
          <w:rFonts w:hint="eastAsia"/>
          <w:color w:val="auto"/>
          <w:highlight w:val="none"/>
          <w:lang w:val="en-US" w:eastAsia="zh-CN"/>
        </w:rPr>
        <w:t>新点电子交易平台</w:t>
      </w:r>
      <w:r>
        <w:rPr>
          <w:color w:val="auto"/>
          <w:highlight w:val="none"/>
        </w:rPr>
        <w:t>公开开标</w:t>
      </w:r>
      <w:r>
        <w:rPr>
          <w:rFonts w:hint="eastAsia" w:ascii="宋体" w:hAnsi="宋体" w:eastAsia="宋体" w:cs="宋体"/>
          <w:color w:val="auto"/>
          <w:sz w:val="21"/>
          <w:szCs w:val="21"/>
          <w:highlight w:val="none"/>
        </w:rPr>
        <w:t>。</w:t>
      </w:r>
    </w:p>
    <w:p w14:paraId="1CEDA917">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参与开标的相关部门：招标人等。</w:t>
      </w:r>
    </w:p>
    <w:p w14:paraId="1AB92E7B">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开标程序</w:t>
      </w:r>
    </w:p>
    <w:p w14:paraId="52832887">
      <w:pPr>
        <w:wordWrap w:val="0"/>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lang w:val="en-US" w:eastAsia="zh-CN"/>
        </w:rPr>
        <w:t xml:space="preserve">开标会议由采购代理机构主持。 </w:t>
      </w:r>
    </w:p>
    <w:p w14:paraId="04855B42">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（1）公布在投标截止时间前通过新点电子交易平台完成投标文件递交的投标人名称；</w:t>
      </w:r>
    </w:p>
    <w:p w14:paraId="7F3D1C47">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（2）投标人在投标截止时间后在投标人须知前附表规定的解密时间内完成投标文件的解密工作；</w:t>
      </w:r>
    </w:p>
    <w:p w14:paraId="160BAA64">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（3）招标人或招标代理机构完成解密工作，导入并读取所有成功解密的投标文件；</w:t>
      </w:r>
    </w:p>
    <w:p w14:paraId="223FEB96">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（4）按投标人须知前附表规定公布投标人名称、投标报价等内容；</w:t>
      </w:r>
    </w:p>
    <w:p w14:paraId="6CDC20D3">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 xml:space="preserve">（5）开标结束。 </w:t>
      </w:r>
    </w:p>
    <w:p w14:paraId="10B86A2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25.4</w:t>
      </w:r>
      <w:r>
        <w:rPr>
          <w:rFonts w:hint="eastAsia" w:ascii="宋体" w:hAnsi="宋体" w:eastAsia="宋体" w:cs="宋体"/>
          <w:color w:val="auto"/>
          <w:sz w:val="21"/>
          <w:szCs w:val="21"/>
          <w:highlight w:val="none"/>
        </w:rPr>
        <w:t>开标异议</w:t>
      </w:r>
    </w:p>
    <w:p w14:paraId="742AB9AD">
      <w:pPr>
        <w:pStyle w:val="2"/>
        <w:rPr>
          <w:rFonts w:hint="default"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投标人对开标有异议的，应当在开标过程中提出，招标人在开标过程中作出答复，并制作记录。异议与答复应通过新点电子交易平台进行。</w:t>
      </w:r>
    </w:p>
    <w:p w14:paraId="5F39FAB5">
      <w:pPr>
        <w:spacing w:line="440" w:lineRule="exact"/>
        <w:jc w:val="left"/>
        <w:rPr>
          <w:rFonts w:hint="eastAsia" w:ascii="宋体"/>
          <w:b/>
          <w:color w:val="auto"/>
          <w:szCs w:val="21"/>
          <w:highlight w:val="none"/>
        </w:rPr>
      </w:pPr>
      <w:r>
        <w:rPr>
          <w:rFonts w:hint="eastAsia" w:ascii="宋体" w:hAnsi="宋体" w:cs="宋体"/>
          <w:color w:val="auto"/>
          <w:sz w:val="21"/>
          <w:szCs w:val="21"/>
          <w:highlight w:val="none"/>
          <w:lang w:val="en-US" w:eastAsia="zh-CN"/>
        </w:rPr>
        <w:t>26.</w:t>
      </w:r>
      <w:r>
        <w:rPr>
          <w:rFonts w:hint="eastAsia" w:ascii="宋体"/>
          <w:b/>
          <w:color w:val="auto"/>
          <w:szCs w:val="21"/>
          <w:highlight w:val="none"/>
          <w:lang w:val="en-US" w:eastAsia="zh-CN"/>
        </w:rPr>
        <w:t xml:space="preserve">评标委员会 </w:t>
      </w:r>
    </w:p>
    <w:p w14:paraId="614AC1B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 评标委员会的组成</w:t>
      </w:r>
    </w:p>
    <w:p w14:paraId="34BBFEB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.1.1评标由</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人依法组建的评标委员会负责。</w:t>
      </w:r>
    </w:p>
    <w:p w14:paraId="6BFAB9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.1.2评标委员会负责人依法推荐或确定。</w:t>
      </w:r>
    </w:p>
    <w:p w14:paraId="516CBD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 评标委员会成员名单在中标结果确定前应当保密</w:t>
      </w:r>
      <w:r>
        <w:rPr>
          <w:rFonts w:hint="eastAsia" w:ascii="宋体" w:hAnsi="宋体" w:eastAsia="宋体" w:cs="宋体"/>
          <w:color w:val="auto"/>
          <w:szCs w:val="21"/>
          <w:highlight w:val="none"/>
          <w:lang w:eastAsia="zh-CN"/>
        </w:rPr>
        <w:t>。</w:t>
      </w:r>
    </w:p>
    <w:p w14:paraId="34B9A8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授权评标委员会对投标人资格进行审查。</w:t>
      </w:r>
    </w:p>
    <w:p w14:paraId="694DE1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 评标委员会应当向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提出书面评标报告，并抄送有关行政监督部门。评标报告应当如实记载以下内容：</w:t>
      </w:r>
    </w:p>
    <w:p w14:paraId="362811A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1D2357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31A7EEF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0D99B7E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0F8B76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（5）无效情况说明；</w:t>
      </w:r>
    </w:p>
    <w:p w14:paraId="4FC8D2B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（6）评标标准、评标方法或者评标因素一览表；</w:t>
      </w:r>
    </w:p>
    <w:p w14:paraId="792874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（7）经评审的价格或者评分比较一览表；</w:t>
      </w:r>
    </w:p>
    <w:p w14:paraId="33EDF4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（8）投标人串标、围标等违规行为的确认报告；</w:t>
      </w:r>
    </w:p>
    <w:p w14:paraId="378AB2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（9）经评审的投标人排序；</w:t>
      </w:r>
    </w:p>
    <w:p w14:paraId="4B027C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（10）推荐的中标候选人名单；</w:t>
      </w:r>
    </w:p>
    <w:p w14:paraId="59D25F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（11）澄清、说明、补正事项纪要。</w:t>
      </w:r>
    </w:p>
    <w:p w14:paraId="4331CA60">
      <w:pPr>
        <w:spacing w:line="440" w:lineRule="exact"/>
        <w:ind w:firstLine="205" w:firstLineChars="98"/>
        <w:jc w:val="left"/>
        <w:rPr>
          <w:rFonts w:hint="eastAsia" w:ascii="宋体"/>
          <w:b w:val="0"/>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评标委员会应自觉接受有关监督管理部门的现场监督，评标委员会成员与评标活动有关的工作人员和监督人员不得向他人透露对投标文件的评审和比较、中标候选人的推荐以及与评标有关的其他情况。投标文件及与评标有关的资料应当保密</w:t>
      </w:r>
      <w:r>
        <w:rPr>
          <w:rFonts w:hint="eastAsia" w:ascii="宋体"/>
          <w:b w:val="0"/>
          <w:bCs/>
          <w:color w:val="auto"/>
          <w:szCs w:val="21"/>
          <w:highlight w:val="none"/>
          <w:lang w:val="en-US" w:eastAsia="zh-CN"/>
        </w:rPr>
        <w:t xml:space="preserve">。 </w:t>
      </w:r>
    </w:p>
    <w:p w14:paraId="256E6BE5">
      <w:pPr>
        <w:spacing w:line="440" w:lineRule="exact"/>
        <w:jc w:val="left"/>
        <w:rPr>
          <w:rFonts w:hint="eastAsia" w:ascii="宋体"/>
          <w:b/>
          <w:color w:val="auto"/>
          <w:szCs w:val="21"/>
          <w:highlight w:val="none"/>
        </w:rPr>
      </w:pPr>
      <w:r>
        <w:rPr>
          <w:rFonts w:hint="eastAsia" w:ascii="宋体"/>
          <w:b/>
          <w:color w:val="auto"/>
          <w:szCs w:val="21"/>
          <w:highlight w:val="none"/>
          <w:lang w:val="en-US" w:eastAsia="zh-CN"/>
        </w:rPr>
        <w:t xml:space="preserve">27. 评标 </w:t>
      </w:r>
    </w:p>
    <w:p w14:paraId="311324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  评标准备工作</w:t>
      </w:r>
    </w:p>
    <w:p w14:paraId="7BDC76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27.1.1阅读由招标人或招标代理单位编写的招标项目情况的说明材料；</w:t>
      </w:r>
    </w:p>
    <w:p w14:paraId="001C44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27.1.2阅读、研究招标文件和相关评标资料，获取评标所需要的重要信息和数据；</w:t>
      </w:r>
    </w:p>
    <w:p w14:paraId="299648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27.1.3熟悉招标文件规定的评标方法及在评标过程中需要考虑的相关因素；</w:t>
      </w:r>
    </w:p>
    <w:p w14:paraId="169461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27.1.4核对评标工作用表。</w:t>
      </w:r>
    </w:p>
    <w:p w14:paraId="6D87DD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  评标办法</w:t>
      </w:r>
    </w:p>
    <w:p w14:paraId="4ABF6C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27.2.1评标委员会按照第二章“评标办法”规定的方法、评审因素、标准和程序对投标文件进行评审。第二章“评标办法”没有规定的方法、评审因素和标准，不作为评标依据。</w:t>
      </w:r>
    </w:p>
    <w:p w14:paraId="5E75C0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27.3评标原则：</w:t>
      </w:r>
    </w:p>
    <w:p w14:paraId="27CFAF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遵循公平、公正、科学和择优的原则。</w:t>
      </w:r>
    </w:p>
    <w:p w14:paraId="4E4A2B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 投标文件的澄清</w:t>
      </w:r>
    </w:p>
    <w:p w14:paraId="2A215D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27.4.1 在评标过程中，评标委员会认为需要，可要求投标人对投标文件中的有关问题进行澄清或提供补充说明及有关资料，投标人应做出答复，答复将视为投标文件的组成部分，答复中不得变更价格、服务期、自报质量等实质性内容。</w:t>
      </w:r>
      <w:r>
        <w:rPr>
          <w:rFonts w:hint="eastAsia" w:ascii="宋体" w:hAnsi="宋体" w:eastAsia="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p>
    <w:p w14:paraId="196EDB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27.4.2投标截止时间后，投标人对投标报价或其它实质性内容修正的函件和增加的任何优惠条件，一律不得作为评标、定标的依据。</w:t>
      </w:r>
    </w:p>
    <w:p w14:paraId="379380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27.4.3 招标人不接受投标人主动提出的澄清。</w:t>
      </w:r>
    </w:p>
    <w:p w14:paraId="06F0B0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27.5评审意见分歧的处理办法</w:t>
      </w:r>
    </w:p>
    <w:p w14:paraId="69F124A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（1）评标委员会应当对投标人提供的报告、证明材料及详细说明认真研究。对存在意见分歧的，可采用投票方式表决决定（按多数评委意见为准）；</w:t>
      </w:r>
    </w:p>
    <w:p w14:paraId="6DE5331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（2）招标投标当事人对评标结果提出质疑或者投诉，公共资源交易监督机构认为需要重新进行评标的，评标委员会成员应当按照公共资源交易监督机构要求重新评标。</w:t>
      </w:r>
    </w:p>
    <w:p w14:paraId="630F06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27.6评标报告的签署</w:t>
      </w:r>
    </w:p>
    <w:p w14:paraId="2A2F60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13A9682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27.7评标过程的保密</w:t>
      </w:r>
    </w:p>
    <w:p w14:paraId="4E822EA3">
      <w:pPr>
        <w:spacing w:line="440" w:lineRule="exact"/>
        <w:ind w:firstLine="205" w:firstLineChars="98"/>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color w:val="auto"/>
          <w:szCs w:val="21"/>
          <w:highlight w:val="none"/>
          <w:lang w:val="en-US" w:eastAsia="zh-CN"/>
        </w:rPr>
        <w:t> 评标委员会成员和与评标活动有关的工作人员不得透露对投标文件的评审和比较、中标候选人的推荐情况以及与评标有关的其他情况</w:t>
      </w:r>
      <w:r>
        <w:rPr>
          <w:rFonts w:hint="eastAsia" w:ascii="宋体" w:hAnsi="Times New Roman" w:eastAsia="宋体" w:cs="Times New Roman"/>
          <w:b w:val="0"/>
          <w:bCs/>
          <w:color w:val="auto"/>
          <w:szCs w:val="21"/>
          <w:highlight w:val="none"/>
          <w:lang w:val="en-US" w:eastAsia="zh-CN"/>
        </w:rPr>
        <w:t xml:space="preserve">。 </w:t>
      </w:r>
    </w:p>
    <w:p w14:paraId="67425C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27.8评标结果公告</w:t>
      </w:r>
    </w:p>
    <w:p w14:paraId="002C3227">
      <w:pPr>
        <w:spacing w:line="440" w:lineRule="exact"/>
        <w:ind w:firstLine="422" w:firstLineChars="200"/>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b/>
          <w:bCs/>
          <w:color w:val="auto"/>
          <w:szCs w:val="21"/>
          <w:highlight w:val="none"/>
          <w:lang w:val="en-US" w:eastAsia="zh-CN"/>
        </w:rPr>
        <w:t>招标人应将中标人的情况在滁州市城投工程咨询管理有限公司（https://www.czctgczx.com/）网站上予以公告，公告期为3日</w:t>
      </w:r>
      <w:r>
        <w:rPr>
          <w:rFonts w:hint="eastAsia" w:ascii="宋体" w:hAnsi="Times New Roman" w:eastAsia="宋体" w:cs="Times New Roman"/>
          <w:b w:val="0"/>
          <w:bCs/>
          <w:color w:val="auto"/>
          <w:szCs w:val="21"/>
          <w:highlight w:val="none"/>
          <w:lang w:val="en-US" w:eastAsia="zh-CN"/>
        </w:rPr>
        <w:t xml:space="preserve">。 </w:t>
      </w:r>
    </w:p>
    <w:p w14:paraId="7B732A4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 定标</w:t>
      </w:r>
    </w:p>
    <w:p w14:paraId="7CBC244B">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中标人的确定</w:t>
      </w:r>
    </w:p>
    <w:p w14:paraId="312012EC">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.1.1除投标人须知前附表规定评标委员会直接确定中标人外，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人依据评标委员会推荐的中标候选人确定中标人，评标委员会推荐中标候选人的人数见投标人须知前附表。</w:t>
      </w:r>
    </w:p>
    <w:p w14:paraId="7A869D92">
      <w:pPr>
        <w:pStyle w:val="18"/>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.1.2中标人确定后，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应将中标信息在</w:t>
      </w:r>
      <w:r>
        <w:rPr>
          <w:rFonts w:hint="eastAsia" w:ascii="宋体" w:hAnsi="宋体" w:eastAsia="宋体" w:cs="宋体"/>
          <w:color w:val="auto"/>
          <w:szCs w:val="21"/>
          <w:highlight w:val="none"/>
          <w:lang w:val="en-US" w:eastAsia="zh-CN"/>
        </w:rPr>
        <w:t>滁州市城投工程咨询管理有限公司（https://www.czctgczx.com/）等</w:t>
      </w:r>
      <w:r>
        <w:rPr>
          <w:rFonts w:hint="eastAsia" w:ascii="宋体" w:hAnsi="宋体" w:eastAsia="宋体" w:cs="宋体"/>
          <w:color w:val="auto"/>
          <w:szCs w:val="21"/>
          <w:highlight w:val="none"/>
        </w:rPr>
        <w:t>网站上公告。</w:t>
      </w:r>
    </w:p>
    <w:p w14:paraId="5604CD8A">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中标通知书</w:t>
      </w:r>
    </w:p>
    <w:p w14:paraId="240A53A8">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代理机构应在中标人确定之日起2个工作日内，向中标人发出中标通知书。</w:t>
      </w:r>
    </w:p>
    <w:p w14:paraId="6292799B">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.2.2中标通知书须加盖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代理机构公章后，方可发出。</w:t>
      </w:r>
    </w:p>
    <w:p w14:paraId="13613C4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29</w:t>
      </w:r>
      <w:r>
        <w:rPr>
          <w:rFonts w:hint="eastAsia" w:ascii="宋体" w:hAnsi="宋体" w:eastAsia="宋体" w:cs="宋体"/>
          <w:b/>
          <w:color w:val="auto"/>
          <w:szCs w:val="21"/>
          <w:highlight w:val="none"/>
        </w:rPr>
        <w:t>. 开评标异常情况处理</w:t>
      </w:r>
    </w:p>
    <w:p w14:paraId="5C9BE4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 xml:space="preserve">.1重新招标 </w:t>
      </w:r>
    </w:p>
    <w:p w14:paraId="446F54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有下列情形之一的，</w:t>
      </w:r>
      <w:r>
        <w:rPr>
          <w:rFonts w:hint="eastAsia" w:ascii="宋体" w:hAnsi="宋体" w:eastAsia="宋体" w:cs="宋体"/>
          <w:color w:val="auto"/>
          <w:kern w:val="10"/>
          <w:szCs w:val="21"/>
          <w:highlight w:val="none"/>
          <w:lang w:eastAsia="zh-CN"/>
        </w:rPr>
        <w:t>招标人</w:t>
      </w:r>
      <w:r>
        <w:rPr>
          <w:rFonts w:hint="eastAsia" w:ascii="宋体" w:hAnsi="宋体" w:eastAsia="宋体" w:cs="宋体"/>
          <w:color w:val="auto"/>
          <w:kern w:val="10"/>
          <w:szCs w:val="21"/>
          <w:highlight w:val="none"/>
        </w:rPr>
        <w:t>将重新招标：</w:t>
      </w:r>
    </w:p>
    <w:p w14:paraId="3E17D152">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 xml:space="preserve">(1)投标截止时间止，投标人少于三个的； </w:t>
      </w:r>
    </w:p>
    <w:p w14:paraId="556D50B6">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(2)经评标委员会评审后否决所有投标的；</w:t>
      </w:r>
    </w:p>
    <w:p w14:paraId="750F8A2C">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(3)出现影响采购公正的违法、违规行为的；</w:t>
      </w:r>
    </w:p>
    <w:p w14:paraId="02A4A144">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(4)投标人的报价均脱离实际且无充分证据的；</w:t>
      </w:r>
    </w:p>
    <w:p w14:paraId="4C565AB0">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(5)因重大变故，采购任务取消的。</w:t>
      </w:r>
    </w:p>
    <w:p w14:paraId="44A10C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.2变更采购方式</w:t>
      </w:r>
    </w:p>
    <w:p w14:paraId="38D0BFD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kern w:val="10"/>
          <w:szCs w:val="21"/>
          <w:highlight w:val="none"/>
          <w:lang w:val="en-US" w:eastAsia="zh-CN"/>
        </w:rPr>
      </w:pPr>
      <w:r>
        <w:rPr>
          <w:rFonts w:hint="eastAsia" w:ascii="宋体" w:hAnsi="宋体" w:cs="宋体"/>
          <w:color w:val="auto"/>
          <w:kern w:val="10"/>
          <w:szCs w:val="21"/>
          <w:highlight w:val="none"/>
          <w:lang w:val="en-US" w:eastAsia="zh-CN"/>
        </w:rPr>
        <w:t xml:space="preserve">    /。</w:t>
      </w:r>
    </w:p>
    <w:p w14:paraId="6CB16242">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4" w:name="_Toc21491"/>
      <w:bookmarkStart w:id="55" w:name="_Toc22926"/>
      <w:r>
        <w:rPr>
          <w:rFonts w:hint="eastAsia" w:ascii="宋体" w:hAnsi="宋体" w:eastAsia="宋体" w:cs="宋体"/>
          <w:b/>
          <w:bCs/>
          <w:color w:val="auto"/>
          <w:sz w:val="28"/>
          <w:highlight w:val="none"/>
        </w:rPr>
        <w:t>六、合同的授予</w:t>
      </w:r>
      <w:bookmarkEnd w:id="54"/>
      <w:bookmarkEnd w:id="55"/>
    </w:p>
    <w:p w14:paraId="2EDC141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.合同授予标准</w:t>
      </w:r>
    </w:p>
    <w:p w14:paraId="282F258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.1本招标工程的合同授予按本须知第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条规定所确定的中标人。</w:t>
      </w:r>
    </w:p>
    <w:p w14:paraId="3811C16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.合同协议书的签订</w:t>
      </w:r>
    </w:p>
    <w:p w14:paraId="65ADE3E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.1中标通知书发放后3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日内，按照招标文件和中标人的投标文件订立书面合同。招标人和中标人不得再行订立背离合同实质性内容的其他协议。</w:t>
      </w:r>
    </w:p>
    <w:p w14:paraId="433C1E4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中标人如不按本</w:t>
      </w:r>
      <w:r>
        <w:rPr>
          <w:rFonts w:hint="eastAsia" w:ascii="宋体" w:hAnsi="宋体" w:cs="宋体"/>
          <w:color w:val="auto"/>
          <w:sz w:val="21"/>
          <w:szCs w:val="21"/>
          <w:highlight w:val="none"/>
          <w:lang w:eastAsia="zh-CN"/>
        </w:rPr>
        <w:t>投标人须知</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条的规定与招标人订立合同，则招标人将取消其中标资格，给招标人造成的损失超过投标担保数额的，还应当对超过部分予以赔偿，同时依法承担相应法律责任。</w:t>
      </w:r>
    </w:p>
    <w:p w14:paraId="6CA53D9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highlight w:val="none"/>
          <w:lang w:val="en-US" w:eastAsia="zh-CN"/>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中标人应当按照合同约定履行义务，完成中标项目的实施，不得将中标项目转让（转包）给他人。</w:t>
      </w:r>
      <w:r>
        <w:rPr>
          <w:rFonts w:hint="eastAsia" w:ascii="宋体" w:hAnsi="宋体" w:eastAsia="宋体" w:cs="宋体"/>
          <w:color w:val="auto"/>
          <w:highlight w:val="none"/>
          <w:lang w:val="en-US" w:eastAsia="zh-CN"/>
        </w:rPr>
        <w:t xml:space="preserve"> </w:t>
      </w:r>
      <w:bookmarkStart w:id="56" w:name="_Toc3222"/>
      <w:bookmarkStart w:id="57" w:name="_Toc31589_WPSOffice_Level1"/>
      <w:r>
        <w:rPr>
          <w:rFonts w:hint="eastAsia" w:ascii="宋体" w:hAnsi="宋体" w:eastAsia="宋体" w:cs="宋体"/>
          <w:color w:val="auto"/>
          <w:highlight w:val="none"/>
          <w:lang w:val="en-US" w:eastAsia="zh-CN"/>
        </w:rPr>
        <w:t xml:space="preserve"> </w:t>
      </w:r>
    </w:p>
    <w:p w14:paraId="1A0FFB64">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七</w:t>
      </w:r>
      <w:r>
        <w:rPr>
          <w:rFonts w:hint="eastAsia" w:ascii="宋体" w:hAnsi="宋体" w:eastAsia="宋体" w:cs="宋体"/>
          <w:b/>
          <w:bCs/>
          <w:color w:val="auto"/>
          <w:sz w:val="28"/>
          <w:highlight w:val="none"/>
          <w:lang w:eastAsia="zh-CN"/>
        </w:rPr>
        <w:t>、</w:t>
      </w:r>
      <w:r>
        <w:rPr>
          <w:rFonts w:hint="eastAsia" w:ascii="宋体" w:hAnsi="宋体" w:eastAsia="宋体" w:cs="宋体"/>
          <w:b/>
          <w:bCs/>
          <w:color w:val="auto"/>
          <w:sz w:val="28"/>
          <w:highlight w:val="none"/>
        </w:rPr>
        <w:t>纪律和监督</w:t>
      </w:r>
    </w:p>
    <w:p w14:paraId="4D39E8B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32</w:t>
      </w:r>
      <w:r>
        <w:rPr>
          <w:rFonts w:hint="eastAsia" w:ascii="宋体" w:hAnsi="宋体" w:eastAsia="宋体" w:cs="宋体"/>
          <w:b/>
          <w:color w:val="auto"/>
          <w:sz w:val="21"/>
          <w:szCs w:val="21"/>
          <w:highlight w:val="none"/>
        </w:rPr>
        <w:t>. 对</w:t>
      </w:r>
      <w:r>
        <w:rPr>
          <w:rFonts w:hint="eastAsia" w:ascii="宋体" w:hAnsi="宋体" w:eastAsia="宋体" w:cs="宋体"/>
          <w:b/>
          <w:color w:val="auto"/>
          <w:sz w:val="21"/>
          <w:szCs w:val="21"/>
          <w:highlight w:val="none"/>
          <w:lang w:val="en-US" w:eastAsia="zh-CN"/>
        </w:rPr>
        <w:t>招标</w:t>
      </w:r>
      <w:r>
        <w:rPr>
          <w:rFonts w:hint="eastAsia" w:ascii="宋体" w:hAnsi="宋体" w:eastAsia="宋体" w:cs="宋体"/>
          <w:b/>
          <w:color w:val="auto"/>
          <w:sz w:val="21"/>
          <w:szCs w:val="21"/>
          <w:highlight w:val="none"/>
        </w:rPr>
        <w:t xml:space="preserve">人的纪律要求 </w:t>
      </w:r>
    </w:p>
    <w:p w14:paraId="4F26488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2</w:t>
      </w:r>
      <w:r>
        <w:rPr>
          <w:rFonts w:hint="eastAsia" w:ascii="宋体" w:hAnsi="宋体" w:eastAsia="宋体" w:cs="宋体"/>
          <w:color w:val="auto"/>
          <w:kern w:val="10"/>
          <w:sz w:val="21"/>
          <w:szCs w:val="21"/>
          <w:highlight w:val="none"/>
        </w:rPr>
        <w:t>.1</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 xml:space="preserve">人不得泄漏招标投标活动中应当保密的情况和资料，不得与投标人串通损害国家利益，社会公共利益或者他人合法权益。 </w:t>
      </w:r>
    </w:p>
    <w:p w14:paraId="5551F485">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对投标人的纪律要求 </w:t>
      </w:r>
    </w:p>
    <w:p w14:paraId="7504D9C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3</w:t>
      </w:r>
      <w:r>
        <w:rPr>
          <w:rFonts w:hint="eastAsia" w:ascii="宋体" w:hAnsi="宋体" w:eastAsia="宋体" w:cs="宋体"/>
          <w:color w:val="auto"/>
          <w:kern w:val="10"/>
          <w:sz w:val="21"/>
          <w:szCs w:val="21"/>
          <w:highlight w:val="none"/>
        </w:rPr>
        <w:t>.1投标人不得相互串通投标或者与</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人串通投标，不得向</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人或者评标委员会成员行贿谋取中标，不得以他人名义投标或者以其他方式弄虚作假骗取中标；投标人不得以任何方式干扰、影响评标工作。</w:t>
      </w:r>
    </w:p>
    <w:p w14:paraId="7BDEB76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对评标委员会成员的纪律要求 </w:t>
      </w:r>
    </w:p>
    <w:p w14:paraId="6CB3C10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.1评标委员会成员不得收受他人的财物或者其他好处，不得向他人透漏对投标文件的评审和比较、中标候选人的推荐情况以及评标有关的其他情况。</w:t>
      </w:r>
    </w:p>
    <w:p w14:paraId="03E470D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.2在评标活动中，评标委员会成员不得擅离职守，影响评标程序正常进行，不得使用第</w:t>
      </w:r>
      <w:r>
        <w:rPr>
          <w:rFonts w:hint="eastAsia" w:ascii="宋体" w:hAnsi="宋体" w:cs="宋体"/>
          <w:color w:val="auto"/>
          <w:kern w:val="10"/>
          <w:sz w:val="21"/>
          <w:szCs w:val="21"/>
          <w:highlight w:val="none"/>
          <w:lang w:eastAsia="zh-CN"/>
        </w:rPr>
        <w:t>二</w:t>
      </w:r>
      <w:r>
        <w:rPr>
          <w:rFonts w:hint="eastAsia" w:ascii="宋体" w:hAnsi="宋体" w:eastAsia="宋体" w:cs="宋体"/>
          <w:color w:val="auto"/>
          <w:kern w:val="10"/>
          <w:sz w:val="21"/>
          <w:szCs w:val="21"/>
          <w:highlight w:val="none"/>
        </w:rPr>
        <w:t xml:space="preserve">章“评标办法”没有规定的评审因素和标准进行评标。 </w:t>
      </w:r>
    </w:p>
    <w:p w14:paraId="72153F7E">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35</w:t>
      </w:r>
      <w:r>
        <w:rPr>
          <w:rFonts w:hint="eastAsia" w:ascii="宋体" w:hAnsi="宋体" w:eastAsia="宋体" w:cs="宋体"/>
          <w:b/>
          <w:color w:val="auto"/>
          <w:sz w:val="21"/>
          <w:szCs w:val="21"/>
          <w:highlight w:val="none"/>
        </w:rPr>
        <w:t xml:space="preserve">. 对与评标活动有关的工作人员的纪律要求 </w:t>
      </w:r>
    </w:p>
    <w:p w14:paraId="27E68A89">
      <w:pPr>
        <w:adjustRightInd w:val="0"/>
        <w:snapToGrid w:val="0"/>
        <w:spacing w:line="440" w:lineRule="exact"/>
        <w:rPr>
          <w:rFonts w:hint="eastAsia" w:ascii="宋体"/>
          <w:color w:val="auto"/>
          <w:kern w:val="10"/>
          <w:szCs w:val="21"/>
          <w:highlight w:val="none"/>
        </w:rPr>
      </w:pPr>
      <w:r>
        <w:rPr>
          <w:rFonts w:hint="eastAsia" w:ascii="宋体" w:hAnsi="宋体" w:eastAsia="宋体" w:cs="宋体"/>
          <w:color w:val="auto"/>
          <w:kern w:val="10"/>
          <w:sz w:val="21"/>
          <w:szCs w:val="21"/>
          <w:highlight w:val="none"/>
          <w:lang w:val="en-US" w:eastAsia="zh-CN"/>
        </w:rPr>
        <w:t>35.1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r>
        <w:rPr>
          <w:rFonts w:hint="eastAsia" w:ascii="宋体"/>
          <w:color w:val="auto"/>
          <w:kern w:val="10"/>
          <w:szCs w:val="21"/>
          <w:highlight w:val="none"/>
        </w:rPr>
        <w:t>。</w:t>
      </w:r>
    </w:p>
    <w:p w14:paraId="5F5F9D3C">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8" w:name="_Toc449028875"/>
      <w:r>
        <w:rPr>
          <w:rFonts w:hint="eastAsia" w:ascii="宋体" w:hAnsi="宋体" w:eastAsia="宋体" w:cs="宋体"/>
          <w:b/>
          <w:bCs/>
          <w:color w:val="auto"/>
          <w:sz w:val="28"/>
          <w:highlight w:val="none"/>
          <w:lang w:val="en-US" w:eastAsia="zh-CN"/>
        </w:rPr>
        <w:t>八、</w:t>
      </w:r>
      <w:r>
        <w:rPr>
          <w:rFonts w:hint="eastAsia" w:ascii="宋体" w:hAnsi="宋体" w:eastAsia="宋体" w:cs="宋体"/>
          <w:b/>
          <w:bCs/>
          <w:color w:val="auto"/>
          <w:sz w:val="28"/>
          <w:highlight w:val="none"/>
        </w:rPr>
        <w:t>质疑</w:t>
      </w:r>
      <w:bookmarkEnd w:id="58"/>
    </w:p>
    <w:p w14:paraId="1CD4C1C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36</w:t>
      </w:r>
      <w:r>
        <w:rPr>
          <w:rFonts w:hint="eastAsia" w:ascii="宋体" w:hAnsi="宋体" w:eastAsia="宋体" w:cs="宋体"/>
          <w:b/>
          <w:color w:val="auto"/>
          <w:sz w:val="21"/>
          <w:szCs w:val="21"/>
          <w:highlight w:val="none"/>
        </w:rPr>
        <w:t>. 询问、质疑</w:t>
      </w:r>
    </w:p>
    <w:p w14:paraId="2E4B5FF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36.1 投标人对招标活动事项有疑问的，可以向招标人提出询问，招标人将在三日内作出答复，但答复的内容不涉及商业秘密。</w:t>
      </w:r>
    </w:p>
    <w:p w14:paraId="0294DB2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36.2 </w:t>
      </w:r>
      <w:r>
        <w:rPr>
          <w:rFonts w:hint="eastAsia" w:ascii="宋体" w:hAnsi="宋体" w:eastAsia="宋体" w:cs="宋体"/>
          <w:color w:val="auto"/>
          <w:sz w:val="21"/>
          <w:szCs w:val="21"/>
          <w:highlight w:val="none"/>
        </w:rPr>
        <w:t>投标人和其他利害关系人认为本次招标活动违反法律、法规和规章规定的，有权向有关行政监督部门投诉。投诉应当有明确的请求和必要的证明材料。</w:t>
      </w:r>
    </w:p>
    <w:p w14:paraId="4AC960A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36.3</w:t>
      </w:r>
      <w:r>
        <w:rPr>
          <w:rFonts w:hint="eastAsia" w:ascii="宋体" w:hAnsi="宋体" w:eastAsia="宋体" w:cs="宋体"/>
          <w:color w:val="auto"/>
          <w:sz w:val="21"/>
          <w:szCs w:val="21"/>
          <w:highlight w:val="none"/>
        </w:rPr>
        <w:t>投标人或其他利害关系人对评标结果有异议的，应在公示期间提出。招标人将在收到异议之日起3日内作出答复；作出答复前，将暂停招标投标活动。</w:t>
      </w: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一份质疑（异议）函只能针对一个项目提出质疑（异议），且针对同一招标采购程序环节的质疑（异议）应当一次性提出</w:t>
      </w:r>
      <w:r>
        <w:rPr>
          <w:rFonts w:hint="eastAsia" w:ascii="宋体" w:hAnsi="宋体" w:eastAsia="宋体" w:cs="宋体"/>
          <w:b/>
          <w:bCs/>
          <w:color w:val="auto"/>
          <w:sz w:val="21"/>
          <w:szCs w:val="21"/>
          <w:highlight w:val="none"/>
          <w:lang w:eastAsia="zh-CN"/>
        </w:rPr>
        <w:t>。</w:t>
      </w:r>
    </w:p>
    <w:p w14:paraId="358F522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36.4参与投标的投标人对中标公告提出的质疑，负有举证的责任。投标人提出质疑应当提交质疑函和必要的证明材料。质疑函应当包括下列内容：</w:t>
      </w:r>
    </w:p>
    <w:p w14:paraId="1CBAEEF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（一）投标人的姓名或者名称、地址、邮编、联系人及联系电话；</w:t>
      </w:r>
    </w:p>
    <w:p w14:paraId="7763497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（二）质疑项目的名称、编号；</w:t>
      </w:r>
    </w:p>
    <w:p w14:paraId="2B5293B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（三）具体、明确的质疑事项和与质疑事项相关的请求；</w:t>
      </w:r>
    </w:p>
    <w:p w14:paraId="0CC942E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（四）事实依据；</w:t>
      </w:r>
    </w:p>
    <w:p w14:paraId="0F584D0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（五）必要的法律依据；</w:t>
      </w:r>
    </w:p>
    <w:p w14:paraId="615070B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（六）提出质疑的日期。</w:t>
      </w:r>
    </w:p>
    <w:p w14:paraId="07F11C0E">
      <w:pPr>
        <w:keepNext w:val="0"/>
        <w:keepLines w:val="0"/>
        <w:pageBreakBefore w:val="0"/>
        <w:widowControl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投标人为自然人的，应当由本人签字；投标人为法人或者其他组织的，应当由法定代表人、主要负责人，或者其授权代表签字或者盖章，并加盖公章。</w:t>
      </w:r>
    </w:p>
    <w:p w14:paraId="26A452B3">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36.5</w:t>
      </w:r>
      <w:r>
        <w:rPr>
          <w:rFonts w:hint="eastAsia" w:ascii="宋体" w:hAnsi="宋体" w:eastAsia="宋体" w:cs="宋体"/>
          <w:color w:val="auto"/>
          <w:kern w:val="10"/>
          <w:sz w:val="21"/>
          <w:szCs w:val="21"/>
          <w:highlight w:val="none"/>
          <w:lang w:eastAsia="zh-CN"/>
        </w:rPr>
        <w:t>招标人</w:t>
      </w:r>
      <w:r>
        <w:rPr>
          <w:rFonts w:hint="eastAsia" w:ascii="宋体" w:hAnsi="宋体" w:eastAsia="宋体" w:cs="宋体"/>
          <w:color w:val="auto"/>
          <w:kern w:val="10"/>
          <w:sz w:val="21"/>
          <w:szCs w:val="21"/>
          <w:highlight w:val="none"/>
        </w:rPr>
        <w:t>或</w:t>
      </w:r>
      <w:r>
        <w:rPr>
          <w:rFonts w:hint="eastAsia" w:ascii="宋体" w:hAnsi="宋体" w:eastAsia="宋体" w:cs="宋体"/>
          <w:color w:val="auto"/>
          <w:kern w:val="10"/>
          <w:sz w:val="21"/>
          <w:szCs w:val="21"/>
          <w:highlight w:val="none"/>
          <w:lang w:eastAsia="zh-CN"/>
        </w:rPr>
        <w:t>招标代理机构</w:t>
      </w:r>
      <w:r>
        <w:rPr>
          <w:rFonts w:hint="eastAsia" w:ascii="宋体" w:hAnsi="宋体" w:eastAsia="宋体" w:cs="宋体"/>
          <w:color w:val="auto"/>
          <w:kern w:val="10"/>
          <w:sz w:val="21"/>
          <w:szCs w:val="21"/>
          <w:highlight w:val="none"/>
        </w:rPr>
        <w:t>在收到投标人的质疑函后，将审查质疑函的格式、内容以及所附的证明文件是否符合要求。如不符合，说明原因退回投标人；如符合要求，则接受该质疑函并向投标人出具受理证明</w:t>
      </w:r>
      <w:r>
        <w:rPr>
          <w:rFonts w:hint="eastAsia" w:ascii="宋体" w:hAnsi="宋体" w:eastAsia="宋体" w:cs="宋体"/>
          <w:color w:val="auto"/>
          <w:sz w:val="21"/>
          <w:szCs w:val="21"/>
          <w:highlight w:val="none"/>
          <w:lang w:val="en-US" w:eastAsia="zh-CN"/>
        </w:rPr>
        <w:t>。</w:t>
      </w:r>
    </w:p>
    <w:p w14:paraId="65F1D038">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sz w:val="21"/>
          <w:szCs w:val="21"/>
          <w:highlight w:val="none"/>
          <w:lang w:val="en-US" w:eastAsia="zh-CN"/>
        </w:rPr>
        <w:t>36.6处理质疑的时间，从实际接受投标人质疑函的时间开始计算</w:t>
      </w:r>
      <w:r>
        <w:rPr>
          <w:rFonts w:hint="eastAsia" w:ascii="宋体" w:hAnsi="宋体" w:eastAsia="宋体" w:cs="宋体"/>
          <w:color w:val="auto"/>
          <w:kern w:val="10"/>
          <w:sz w:val="21"/>
          <w:szCs w:val="21"/>
          <w:highlight w:val="none"/>
        </w:rPr>
        <w:t>。</w:t>
      </w:r>
    </w:p>
    <w:p w14:paraId="2DFD0EC6">
      <w:pPr>
        <w:pStyle w:val="6"/>
        <w:spacing w:before="0" w:after="0"/>
        <w:rPr>
          <w:rFonts w:hint="eastAsia" w:ascii="宋体" w:hAnsi="宋体" w:eastAsia="宋体" w:cs="宋体"/>
          <w:color w:val="auto"/>
          <w:highlight w:val="none"/>
          <w:lang w:val="en-US" w:eastAsia="zh-CN"/>
        </w:rPr>
      </w:pPr>
    </w:p>
    <w:p w14:paraId="32EDDA19">
      <w:pPr>
        <w:pStyle w:val="6"/>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59" w:name="_Toc13234"/>
      <w:bookmarkStart w:id="60" w:name="_Toc21844"/>
      <w:r>
        <w:rPr>
          <w:rFonts w:hint="eastAsia" w:ascii="宋体" w:hAnsi="宋体" w:eastAsia="宋体" w:cs="宋体"/>
          <w:color w:val="auto"/>
          <w:highlight w:val="none"/>
          <w:lang w:val="en-US" w:eastAsia="zh-CN"/>
        </w:rPr>
        <w:t>第二章 评标办法</w:t>
      </w:r>
      <w:bookmarkEnd w:id="59"/>
      <w:bookmarkEnd w:id="60"/>
    </w:p>
    <w:p w14:paraId="4E420EF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61" w:name="_Toc14912"/>
      <w:r>
        <w:rPr>
          <w:rFonts w:hint="eastAsia" w:ascii="宋体" w:hAnsi="宋体" w:eastAsia="宋体" w:cs="宋体"/>
          <w:b/>
          <w:bCs/>
          <w:color w:val="auto"/>
          <w:sz w:val="24"/>
          <w:szCs w:val="24"/>
          <w:highlight w:val="none"/>
          <w:lang w:val="en-US" w:eastAsia="zh-CN"/>
        </w:rPr>
        <w:t>一、总则</w:t>
      </w:r>
      <w:bookmarkEnd w:id="61"/>
    </w:p>
    <w:p w14:paraId="068C503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 本次评标采用</w:t>
      </w:r>
      <w:r>
        <w:rPr>
          <w:rFonts w:hint="eastAsia" w:ascii="宋体" w:hAnsi="宋体" w:cs="宋体"/>
          <w:b/>
          <w:bCs/>
          <w:color w:val="auto"/>
          <w:sz w:val="21"/>
          <w:szCs w:val="21"/>
          <w:highlight w:val="none"/>
          <w:lang w:val="en-US" w:eastAsia="zh-CN"/>
        </w:rPr>
        <w:t>综合评分法</w:t>
      </w:r>
    </w:p>
    <w:p w14:paraId="64AB08B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r>
        <w:rPr>
          <w:rFonts w:hint="eastAsia" w:ascii="宋体" w:hAnsi="宋体" w:cs="宋体"/>
          <w:color w:val="auto"/>
          <w:sz w:val="21"/>
          <w:szCs w:val="21"/>
          <w:highlight w:val="none"/>
          <w:lang w:val="en-US" w:eastAsia="zh-CN"/>
        </w:rPr>
        <w:t>综合评分法</w:t>
      </w:r>
      <w:r>
        <w:rPr>
          <w:rFonts w:hint="eastAsia" w:ascii="宋体" w:hAnsi="宋体" w:eastAsia="宋体" w:cs="宋体"/>
          <w:color w:val="auto"/>
          <w:sz w:val="21"/>
          <w:szCs w:val="21"/>
          <w:highlight w:val="none"/>
          <w:lang w:val="en-US" w:eastAsia="zh-CN"/>
        </w:rPr>
        <w:t>，评标委员会按照本章规定的评分标准进行打分，</w:t>
      </w:r>
      <w:r>
        <w:rPr>
          <w:rFonts w:hint="eastAsia" w:ascii="宋体" w:hAnsi="宋体" w:cs="宋体"/>
          <w:b/>
          <w:bCs/>
          <w:color w:val="auto"/>
          <w:szCs w:val="21"/>
          <w:highlight w:val="none"/>
        </w:rPr>
        <w:t>并按总得分由高到低顺序推荐</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名中标候选人，并标明排序</w:t>
      </w:r>
      <w:r>
        <w:rPr>
          <w:rFonts w:hint="eastAsia" w:ascii="宋体" w:hAnsi="宋体" w:eastAsia="宋体" w:cs="宋体"/>
          <w:color w:val="auto"/>
          <w:sz w:val="21"/>
          <w:szCs w:val="21"/>
          <w:highlight w:val="none"/>
          <w:lang w:val="en-US" w:eastAsia="zh-CN"/>
        </w:rPr>
        <w:t>。得分最高的为第一中标候选人，第二高的为第二中标候选人。</w:t>
      </w:r>
      <w:r>
        <w:rPr>
          <w:rFonts w:hint="eastAsia" w:ascii="宋体" w:hAnsi="宋体" w:eastAsia="宋体" w:cs="宋体"/>
          <w:b/>
          <w:bCs/>
          <w:color w:val="auto"/>
          <w:sz w:val="21"/>
          <w:szCs w:val="21"/>
          <w:highlight w:val="none"/>
        </w:rPr>
        <w:t>如总得分相等，以投标报价低的优先，投标报价仍相等，由评标委员会或招标人随机抽取确定排名，不得并列</w:t>
      </w:r>
      <w:r>
        <w:rPr>
          <w:rFonts w:hint="eastAsia" w:ascii="宋体" w:hAnsi="宋体" w:eastAsia="宋体" w:cs="宋体"/>
          <w:color w:val="auto"/>
          <w:sz w:val="21"/>
          <w:szCs w:val="21"/>
          <w:highlight w:val="none"/>
        </w:rPr>
        <w:t>。</w:t>
      </w:r>
    </w:p>
    <w:p w14:paraId="403526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2．评标程序</w:t>
      </w:r>
    </w:p>
    <w:p w14:paraId="59C70429">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先对投标人报价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以投标文件投标函中填写报价为准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按计算标准计算得分，得分按照从高到低进行排序（如总得分相等，以投标报价低的优先，投标报价仍相等，由招标人</w:t>
      </w:r>
      <w:r>
        <w:rPr>
          <w:rFonts w:hint="eastAsia" w:ascii="宋体" w:hAnsi="宋体" w:eastAsia="宋体" w:cs="宋体"/>
          <w:b/>
          <w:bCs/>
          <w:color w:val="auto"/>
          <w:sz w:val="21"/>
          <w:szCs w:val="21"/>
          <w:highlight w:val="none"/>
          <w:lang w:val="en-US" w:eastAsia="zh-CN"/>
        </w:rPr>
        <w:t>或评标委员会</w:t>
      </w:r>
      <w:r>
        <w:rPr>
          <w:rFonts w:hint="eastAsia" w:ascii="宋体" w:hAnsi="宋体" w:eastAsia="宋体" w:cs="宋体"/>
          <w:b/>
          <w:bCs/>
          <w:color w:val="auto"/>
          <w:sz w:val="21"/>
          <w:szCs w:val="21"/>
          <w:highlight w:val="none"/>
        </w:rPr>
        <w:t>随机抽取确定排名，不得并列）。对排序前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名的投标人投标文件进行评审并确定中标候选人。若排序前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w:t>
      </w:r>
      <w:r>
        <w:rPr>
          <w:rFonts w:hint="eastAsia" w:ascii="宋体" w:hAnsi="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文件评审不通过，则按得分排序递补至</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家投标人进行</w:t>
      </w:r>
      <w:r>
        <w:rPr>
          <w:rFonts w:hint="eastAsia" w:ascii="宋体" w:hAnsi="宋体" w:cs="宋体"/>
          <w:b/>
          <w:bCs/>
          <w:color w:val="auto"/>
          <w:sz w:val="21"/>
          <w:szCs w:val="21"/>
          <w:highlight w:val="none"/>
          <w:lang w:val="en-US" w:eastAsia="zh-CN"/>
        </w:rPr>
        <w:t>投标文件</w:t>
      </w:r>
      <w:r>
        <w:rPr>
          <w:rFonts w:hint="eastAsia" w:ascii="宋体" w:hAnsi="宋体" w:eastAsia="宋体" w:cs="宋体"/>
          <w:b/>
          <w:bCs/>
          <w:color w:val="auto"/>
          <w:sz w:val="21"/>
          <w:szCs w:val="21"/>
          <w:highlight w:val="none"/>
        </w:rPr>
        <w:t>评审</w:t>
      </w:r>
      <w:r>
        <w:rPr>
          <w:rFonts w:hint="eastAsia" w:ascii="宋体" w:hAnsi="宋体" w:eastAsia="宋体" w:cs="宋体"/>
          <w:b/>
          <w:bCs/>
          <w:color w:val="auto"/>
          <w:sz w:val="21"/>
          <w:szCs w:val="21"/>
          <w:highlight w:val="none"/>
          <w:lang w:eastAsia="zh-CN"/>
        </w:rPr>
        <w:t>。</w:t>
      </w:r>
    </w:p>
    <w:p w14:paraId="591D37D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2.1投标文件的初审</w:t>
      </w:r>
    </w:p>
    <w:p w14:paraId="29ADB92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2.1.1资格性检查。依据法律法规和</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的规定，对投标文件中的资格证明</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等进行审查，以确定投标人是否具备投标资格。</w:t>
      </w:r>
    </w:p>
    <w:p w14:paraId="0B195F5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2.1.2符合性检查。依据</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的规定，从投标文件的有效性、完整性和对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的响应程度进行审查，以确定投标人是否对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的实质性要求作出响应。</w:t>
      </w:r>
    </w:p>
    <w:p w14:paraId="7593A8C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2.2投标文件的澄清</w:t>
      </w:r>
    </w:p>
    <w:p w14:paraId="11B3623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在评标过程中，评标委员会认为需要，可要求投标单位对投标文件中的有关问题进行澄清或提供补充说明及有关资料，投标单位应做出书面答复。书面答复中不得变更价格、供货（服务）期、自报质量等实质性内容。</w:t>
      </w:r>
    </w:p>
    <w:p w14:paraId="0684D5D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79CAB15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color w:val="auto"/>
          <w:sz w:val="21"/>
          <w:szCs w:val="21"/>
          <w:highlight w:val="none"/>
        </w:rPr>
        <w:t>2.2.3  招标人不接受投标单位主动提出的澄清。</w:t>
      </w:r>
    </w:p>
    <w:p w14:paraId="34335270">
      <w:pPr>
        <w:keepNext w:val="0"/>
        <w:keepLines w:val="0"/>
        <w:pageBreakBefore w:val="0"/>
        <w:widowControl w:val="0"/>
        <w:kinsoku/>
        <w:wordWrap/>
        <w:overflowPunct/>
        <w:topLinePunct w:val="0"/>
        <w:autoSpaceDE/>
        <w:autoSpaceDN/>
        <w:bidi w:val="0"/>
        <w:adjustRightInd/>
        <w:snapToGrid/>
        <w:spacing w:before="313" w:beforeLines="100"/>
        <w:jc w:val="center"/>
        <w:textAlignment w:val="auto"/>
        <w:outlineLvl w:val="1"/>
        <w:rPr>
          <w:rFonts w:hint="eastAsia" w:ascii="宋体"/>
          <w:b/>
          <w:color w:val="auto"/>
          <w:sz w:val="28"/>
          <w:szCs w:val="28"/>
          <w:highlight w:val="none"/>
        </w:rPr>
      </w:pPr>
      <w:bookmarkStart w:id="62" w:name="_Toc449028878"/>
      <w:bookmarkStart w:id="63" w:name="_Toc58430318"/>
      <w:bookmarkStart w:id="64" w:name="_Toc29779"/>
      <w:r>
        <w:rPr>
          <w:rFonts w:hint="eastAsia" w:ascii="宋体"/>
          <w:b/>
          <w:color w:val="auto"/>
          <w:sz w:val="28"/>
          <w:szCs w:val="28"/>
          <w:highlight w:val="none"/>
        </w:rPr>
        <w:t>二、投标文件初审</w:t>
      </w:r>
      <w:bookmarkEnd w:id="62"/>
      <w:bookmarkEnd w:id="63"/>
    </w:p>
    <w:p w14:paraId="60FE3D0D">
      <w:pPr>
        <w:ind w:firstLine="310" w:firstLineChars="147"/>
        <w:rPr>
          <w:rFonts w:hint="eastAsia" w:ascii="宋体"/>
          <w:b/>
          <w:color w:val="auto"/>
          <w:szCs w:val="21"/>
          <w:highlight w:val="none"/>
        </w:rPr>
      </w:pPr>
      <w:r>
        <w:rPr>
          <w:rFonts w:hint="eastAsia" w:ascii="宋体"/>
          <w:b/>
          <w:color w:val="auto"/>
          <w:szCs w:val="21"/>
          <w:highlight w:val="none"/>
        </w:rPr>
        <w:t>3.资格性审查:</w:t>
      </w:r>
    </w:p>
    <w:p w14:paraId="31119948">
      <w:pPr>
        <w:spacing w:line="400" w:lineRule="exact"/>
        <w:ind w:firstLine="308" w:firstLineChars="147"/>
        <w:rPr>
          <w:rFonts w:hint="eastAsia"/>
          <w:color w:val="auto"/>
          <w:szCs w:val="21"/>
          <w:highlight w:val="none"/>
        </w:rPr>
      </w:pPr>
      <w:r>
        <w:rPr>
          <w:rFonts w:hint="eastAsia" w:ascii="宋体"/>
          <w:color w:val="auto"/>
          <w:szCs w:val="21"/>
          <w:highlight w:val="none"/>
        </w:rPr>
        <w:t>3.1</w:t>
      </w:r>
      <w:r>
        <w:rPr>
          <w:rFonts w:hint="eastAsia"/>
          <w:color w:val="auto"/>
          <w:szCs w:val="21"/>
          <w:highlight w:val="none"/>
        </w:rPr>
        <w:t>评审细则</w:t>
      </w:r>
    </w:p>
    <w:tbl>
      <w:tblPr>
        <w:tblStyle w:val="45"/>
        <w:tblW w:w="10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5296"/>
        <w:gridCol w:w="2757"/>
      </w:tblGrid>
      <w:tr w14:paraId="1697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7CC68F38">
            <w:pPr>
              <w:spacing w:line="320" w:lineRule="exact"/>
              <w:jc w:val="center"/>
              <w:rPr>
                <w:rFonts w:hint="eastAsia"/>
                <w:color w:val="auto"/>
                <w:highlight w:val="none"/>
              </w:rPr>
            </w:pPr>
            <w:r>
              <w:rPr>
                <w:rFonts w:hint="eastAsia" w:ascii="黑体" w:eastAsia="黑体" w:cs="黑体"/>
                <w:b/>
                <w:bCs/>
                <w:color w:val="auto"/>
                <w:szCs w:val="21"/>
                <w:highlight w:val="none"/>
              </w:rPr>
              <w:t>序号</w:t>
            </w:r>
          </w:p>
        </w:tc>
        <w:tc>
          <w:tcPr>
            <w:tcW w:w="6531" w:type="dxa"/>
            <w:gridSpan w:val="2"/>
            <w:noWrap w:val="0"/>
            <w:vAlign w:val="center"/>
          </w:tcPr>
          <w:p w14:paraId="7F5E48E7">
            <w:pPr>
              <w:spacing w:line="320" w:lineRule="exact"/>
              <w:jc w:val="center"/>
              <w:rPr>
                <w:rFonts w:hint="eastAsia"/>
                <w:color w:val="auto"/>
                <w:highlight w:val="none"/>
              </w:rPr>
            </w:pPr>
            <w:r>
              <w:rPr>
                <w:rFonts w:hint="eastAsia" w:ascii="宋体" w:hAnsi="宋体"/>
                <w:color w:val="auto"/>
                <w:szCs w:val="21"/>
                <w:highlight w:val="none"/>
              </w:rPr>
              <w:t>评审因素</w:t>
            </w:r>
          </w:p>
        </w:tc>
        <w:tc>
          <w:tcPr>
            <w:tcW w:w="2757" w:type="dxa"/>
            <w:noWrap w:val="0"/>
            <w:vAlign w:val="center"/>
          </w:tcPr>
          <w:p w14:paraId="52F81DF4">
            <w:pPr>
              <w:spacing w:line="320" w:lineRule="exact"/>
              <w:jc w:val="center"/>
              <w:rPr>
                <w:rFonts w:hint="eastAsia"/>
                <w:color w:val="auto"/>
                <w:highlight w:val="none"/>
              </w:rPr>
            </w:pPr>
            <w:r>
              <w:rPr>
                <w:rFonts w:hint="eastAsia" w:ascii="宋体" w:hAnsi="宋体"/>
                <w:color w:val="auto"/>
                <w:szCs w:val="21"/>
                <w:highlight w:val="none"/>
              </w:rPr>
              <w:t>评审标准</w:t>
            </w:r>
          </w:p>
        </w:tc>
      </w:tr>
      <w:tr w14:paraId="5D78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0B9A4B5D">
            <w:pPr>
              <w:spacing w:line="3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3034F54A">
            <w:pPr>
              <w:spacing w:line="320" w:lineRule="exact"/>
              <w:jc w:val="center"/>
              <w:rPr>
                <w:rFonts w:hint="eastAsia" w:ascii="宋体" w:hAnsi="宋体"/>
                <w:color w:val="auto"/>
                <w:szCs w:val="21"/>
                <w:highlight w:val="none"/>
              </w:rPr>
            </w:pPr>
            <w:r>
              <w:rPr>
                <w:rFonts w:hint="eastAsia" w:ascii="宋体"/>
                <w:color w:val="auto"/>
                <w:szCs w:val="21"/>
                <w:highlight w:val="none"/>
              </w:rPr>
              <w:t>重要要求</w:t>
            </w:r>
          </w:p>
        </w:tc>
        <w:tc>
          <w:tcPr>
            <w:tcW w:w="5296" w:type="dxa"/>
            <w:noWrap w:val="0"/>
            <w:vAlign w:val="center"/>
          </w:tcPr>
          <w:p w14:paraId="79A382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（1）法定代表人身份证明和本人有效身份证(或法定代表人授权委托书和委托代理人有效身份证)</w:t>
            </w:r>
          </w:p>
        </w:tc>
        <w:tc>
          <w:tcPr>
            <w:tcW w:w="2757" w:type="dxa"/>
            <w:noWrap w:val="0"/>
            <w:vAlign w:val="center"/>
          </w:tcPr>
          <w:p w14:paraId="2714234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olor w:val="auto"/>
                <w:szCs w:val="21"/>
                <w:highlight w:val="none"/>
              </w:rPr>
            </w:pPr>
            <w:r>
              <w:rPr>
                <w:rFonts w:hint="eastAsia"/>
                <w:color w:val="auto"/>
                <w:highlight w:val="none"/>
              </w:rPr>
              <w:t>检验电子标书。</w:t>
            </w:r>
          </w:p>
        </w:tc>
      </w:tr>
      <w:tr w14:paraId="206B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399706DB">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5C913C04">
            <w:pPr>
              <w:spacing w:line="320" w:lineRule="exact"/>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5296" w:type="dxa"/>
            <w:noWrap w:val="0"/>
            <w:vAlign w:val="center"/>
          </w:tcPr>
          <w:p w14:paraId="3C024E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）具有为本项目提供相应服务的能力</w:t>
            </w:r>
          </w:p>
        </w:tc>
        <w:tc>
          <w:tcPr>
            <w:tcW w:w="2757" w:type="dxa"/>
            <w:noWrap w:val="0"/>
            <w:vAlign w:val="center"/>
          </w:tcPr>
          <w:p w14:paraId="607FD9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734641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olor w:val="auto"/>
                <w:szCs w:val="21"/>
                <w:highlight w:val="none"/>
              </w:rPr>
            </w:pPr>
            <w:r>
              <w:rPr>
                <w:rFonts w:hint="eastAsia"/>
                <w:color w:val="auto"/>
                <w:highlight w:val="none"/>
              </w:rPr>
              <w:t>投标人有效的营业执照、税务登记证、组</w:t>
            </w:r>
            <w:r>
              <w:rPr>
                <w:rFonts w:hint="eastAsia" w:ascii="Times New Roman" w:hAnsi="Times New Roman" w:eastAsia="宋体" w:cs="Times New Roman"/>
                <w:color w:val="auto"/>
                <w:highlight w:val="none"/>
              </w:rPr>
              <w:t>织机构码证（或“三证合一证书”）</w:t>
            </w:r>
          </w:p>
        </w:tc>
      </w:tr>
      <w:tr w14:paraId="7F07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21878E8D">
            <w:pPr>
              <w:spacing w:line="320" w:lineRule="exact"/>
              <w:jc w:val="center"/>
              <w:rPr>
                <w:rFonts w:hint="eastAsia" w:ascii="宋体" w:hAnsi="宋体"/>
                <w:color w:val="auto"/>
                <w:szCs w:val="21"/>
                <w:highlight w:val="none"/>
              </w:rPr>
            </w:pPr>
          </w:p>
        </w:tc>
        <w:tc>
          <w:tcPr>
            <w:tcW w:w="1235" w:type="dxa"/>
            <w:vMerge w:val="continue"/>
            <w:noWrap w:val="0"/>
            <w:vAlign w:val="center"/>
          </w:tcPr>
          <w:p w14:paraId="7227E239">
            <w:pPr>
              <w:spacing w:line="320" w:lineRule="exact"/>
              <w:rPr>
                <w:rFonts w:hint="eastAsia" w:ascii="宋体" w:hAnsi="宋体"/>
                <w:color w:val="auto"/>
                <w:szCs w:val="21"/>
                <w:highlight w:val="none"/>
              </w:rPr>
            </w:pPr>
          </w:p>
        </w:tc>
        <w:tc>
          <w:tcPr>
            <w:tcW w:w="5296" w:type="dxa"/>
            <w:noWrap w:val="0"/>
            <w:vAlign w:val="center"/>
          </w:tcPr>
          <w:p w14:paraId="452012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（3）拟派项目负责人证书</w:t>
            </w:r>
          </w:p>
        </w:tc>
        <w:tc>
          <w:tcPr>
            <w:tcW w:w="2757" w:type="dxa"/>
            <w:noWrap w:val="0"/>
            <w:vAlign w:val="center"/>
          </w:tcPr>
          <w:p w14:paraId="2E0E8AE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b/>
                <w:color w:val="auto"/>
                <w:szCs w:val="21"/>
                <w:highlight w:val="none"/>
              </w:rPr>
            </w:pPr>
            <w:r>
              <w:rPr>
                <w:rFonts w:hint="eastAsia"/>
                <w:color w:val="auto"/>
                <w:highlight w:val="none"/>
              </w:rPr>
              <w:t>检验电子标书</w:t>
            </w:r>
          </w:p>
        </w:tc>
      </w:tr>
      <w:tr w14:paraId="5B8A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DD7B0EC">
            <w:pPr>
              <w:spacing w:line="320" w:lineRule="exact"/>
              <w:jc w:val="center"/>
              <w:rPr>
                <w:rFonts w:hint="eastAsia" w:ascii="宋体" w:hAnsi="宋体"/>
                <w:color w:val="auto"/>
                <w:szCs w:val="21"/>
                <w:highlight w:val="none"/>
              </w:rPr>
            </w:pPr>
          </w:p>
        </w:tc>
        <w:tc>
          <w:tcPr>
            <w:tcW w:w="1235" w:type="dxa"/>
            <w:vMerge w:val="continue"/>
            <w:noWrap w:val="0"/>
            <w:vAlign w:val="center"/>
          </w:tcPr>
          <w:p w14:paraId="2744FACC">
            <w:pPr>
              <w:spacing w:line="320" w:lineRule="exact"/>
              <w:rPr>
                <w:rFonts w:hint="eastAsia" w:ascii="宋体" w:hAnsi="宋体"/>
                <w:color w:val="auto"/>
                <w:szCs w:val="21"/>
                <w:highlight w:val="none"/>
              </w:rPr>
            </w:pPr>
          </w:p>
        </w:tc>
        <w:tc>
          <w:tcPr>
            <w:tcW w:w="5296" w:type="dxa"/>
            <w:noWrap w:val="0"/>
            <w:vAlign w:val="center"/>
          </w:tcPr>
          <w:p w14:paraId="69BC9D2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项目人员配备表</w:t>
            </w:r>
          </w:p>
        </w:tc>
        <w:tc>
          <w:tcPr>
            <w:tcW w:w="2757" w:type="dxa"/>
            <w:noWrap w:val="0"/>
            <w:vAlign w:val="center"/>
          </w:tcPr>
          <w:p w14:paraId="68DD7B7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highlight w:val="none"/>
              </w:rPr>
            </w:pPr>
            <w:r>
              <w:rPr>
                <w:rFonts w:hint="eastAsia"/>
                <w:color w:val="auto"/>
                <w:highlight w:val="none"/>
              </w:rPr>
              <w:t>格式见附件，检验电子标书</w:t>
            </w:r>
          </w:p>
        </w:tc>
      </w:tr>
      <w:tr w14:paraId="4FBF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546C486">
            <w:pPr>
              <w:spacing w:line="320" w:lineRule="exact"/>
              <w:jc w:val="center"/>
              <w:rPr>
                <w:rFonts w:hint="eastAsia" w:ascii="宋体" w:hAnsi="宋体"/>
                <w:color w:val="auto"/>
                <w:szCs w:val="21"/>
                <w:highlight w:val="none"/>
              </w:rPr>
            </w:pPr>
          </w:p>
        </w:tc>
        <w:tc>
          <w:tcPr>
            <w:tcW w:w="1235" w:type="dxa"/>
            <w:vMerge w:val="continue"/>
            <w:noWrap w:val="0"/>
            <w:vAlign w:val="center"/>
          </w:tcPr>
          <w:p w14:paraId="7B141123">
            <w:pPr>
              <w:spacing w:line="320" w:lineRule="exact"/>
              <w:rPr>
                <w:rFonts w:hint="eastAsia" w:ascii="宋体" w:hAnsi="宋体"/>
                <w:color w:val="auto"/>
                <w:szCs w:val="21"/>
                <w:highlight w:val="none"/>
              </w:rPr>
            </w:pPr>
          </w:p>
        </w:tc>
        <w:tc>
          <w:tcPr>
            <w:tcW w:w="5296" w:type="dxa"/>
            <w:noWrap w:val="0"/>
            <w:vAlign w:val="center"/>
          </w:tcPr>
          <w:p w14:paraId="6F4CA72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项目组其他成员（不含项目负责人）</w:t>
            </w:r>
            <w:r>
              <w:rPr>
                <w:rFonts w:hint="eastAsia" w:ascii="宋体" w:hAnsi="宋体" w:eastAsia="宋体" w:cs="宋体"/>
                <w:color w:val="auto"/>
                <w:highlight w:val="none"/>
                <w:lang w:eastAsia="zh-CN"/>
              </w:rPr>
              <w:t>：</w:t>
            </w:r>
            <w:r>
              <w:rPr>
                <w:rFonts w:hint="eastAsia" w:ascii="宋体" w:hAnsi="宋体" w:cs="宋体"/>
                <w:color w:val="auto"/>
                <w:highlight w:val="none"/>
                <w:lang w:eastAsia="zh-CN"/>
              </w:rPr>
              <w:t>不少于2名且具有在本单位注册的二级及以上造价工程师（土木建筑工程专业至少1名）</w:t>
            </w:r>
          </w:p>
        </w:tc>
        <w:tc>
          <w:tcPr>
            <w:tcW w:w="2757" w:type="dxa"/>
            <w:noWrap w:val="0"/>
            <w:vAlign w:val="center"/>
          </w:tcPr>
          <w:p w14:paraId="551EAE5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highlight w:val="none"/>
              </w:rPr>
            </w:pPr>
            <w:r>
              <w:rPr>
                <w:rFonts w:hint="eastAsia"/>
                <w:color w:val="auto"/>
                <w:highlight w:val="none"/>
              </w:rPr>
              <w:t>检验电子标书</w:t>
            </w:r>
          </w:p>
        </w:tc>
      </w:tr>
      <w:tr w14:paraId="5EF3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40F8812C">
            <w:pPr>
              <w:spacing w:line="320" w:lineRule="exact"/>
              <w:jc w:val="center"/>
              <w:rPr>
                <w:rFonts w:hint="eastAsia" w:ascii="宋体" w:hAnsi="宋体"/>
                <w:color w:val="auto"/>
                <w:szCs w:val="21"/>
                <w:highlight w:val="none"/>
              </w:rPr>
            </w:pPr>
          </w:p>
        </w:tc>
        <w:tc>
          <w:tcPr>
            <w:tcW w:w="1235" w:type="dxa"/>
            <w:vMerge w:val="continue"/>
            <w:noWrap w:val="0"/>
            <w:vAlign w:val="center"/>
          </w:tcPr>
          <w:p w14:paraId="63886723">
            <w:pPr>
              <w:spacing w:line="320" w:lineRule="exact"/>
              <w:rPr>
                <w:rFonts w:hint="eastAsia" w:ascii="宋体" w:hAnsi="宋体"/>
                <w:color w:val="auto"/>
                <w:szCs w:val="21"/>
                <w:highlight w:val="none"/>
              </w:rPr>
            </w:pPr>
          </w:p>
        </w:tc>
        <w:tc>
          <w:tcPr>
            <w:tcW w:w="5296" w:type="dxa"/>
            <w:noWrap w:val="0"/>
            <w:vAlign w:val="center"/>
          </w:tcPr>
          <w:p w14:paraId="2A2A922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投标人须提供法定代表人（或委托代理人）及拟派的上述项目负责人和项目组成员须持有社保部门出具的本单位为其缴纳的投标前近三个月的养老保险证明材料；投标人是事业单位的，须其主管部门出具证明（证明文件两个月内有效）；注：若投标人拟派的项目负责人为已退休人员，须同时提供①退休证明材料；②与投标人签订的返聘劳动合同；③项目负责人社保卡所在银行出具的退休工资流水；④银行出具的工资流水和返聘单位出具的工资表（加盖返聘单位公章，现聘用单位（投标人）所发工资）。</w:t>
            </w:r>
          </w:p>
        </w:tc>
        <w:tc>
          <w:tcPr>
            <w:tcW w:w="2757" w:type="dxa"/>
            <w:noWrap w:val="0"/>
            <w:vAlign w:val="center"/>
          </w:tcPr>
          <w:p w14:paraId="48FC561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highlight w:val="none"/>
              </w:rPr>
            </w:pPr>
            <w:r>
              <w:rPr>
                <w:rFonts w:hint="eastAsia"/>
                <w:color w:val="auto"/>
                <w:highlight w:val="none"/>
              </w:rPr>
              <w:t>检验电子标书</w:t>
            </w:r>
          </w:p>
        </w:tc>
      </w:tr>
      <w:tr w14:paraId="646E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25" w:type="dxa"/>
            <w:vMerge w:val="continue"/>
            <w:noWrap w:val="0"/>
            <w:vAlign w:val="center"/>
          </w:tcPr>
          <w:p w14:paraId="1E9B2A14">
            <w:pPr>
              <w:spacing w:line="320" w:lineRule="exact"/>
              <w:jc w:val="center"/>
              <w:rPr>
                <w:rFonts w:hint="eastAsia" w:ascii="宋体" w:hAnsi="宋体"/>
                <w:color w:val="auto"/>
                <w:szCs w:val="21"/>
                <w:highlight w:val="none"/>
              </w:rPr>
            </w:pPr>
          </w:p>
        </w:tc>
        <w:tc>
          <w:tcPr>
            <w:tcW w:w="1235" w:type="dxa"/>
            <w:vMerge w:val="continue"/>
            <w:noWrap w:val="0"/>
            <w:vAlign w:val="center"/>
          </w:tcPr>
          <w:p w14:paraId="2546461F">
            <w:pPr>
              <w:spacing w:line="320" w:lineRule="exact"/>
              <w:rPr>
                <w:rFonts w:hint="eastAsia" w:ascii="宋体" w:hAnsi="宋体"/>
                <w:color w:val="auto"/>
                <w:szCs w:val="21"/>
                <w:highlight w:val="none"/>
              </w:rPr>
            </w:pPr>
          </w:p>
        </w:tc>
        <w:tc>
          <w:tcPr>
            <w:tcW w:w="5296" w:type="dxa"/>
            <w:noWrap w:val="0"/>
            <w:vAlign w:val="center"/>
          </w:tcPr>
          <w:p w14:paraId="202375E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）投标函</w:t>
            </w:r>
          </w:p>
        </w:tc>
        <w:tc>
          <w:tcPr>
            <w:tcW w:w="2757" w:type="dxa"/>
            <w:noWrap w:val="0"/>
            <w:vAlign w:val="center"/>
          </w:tcPr>
          <w:p w14:paraId="3BC905C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highlight w:val="none"/>
              </w:rPr>
            </w:pPr>
            <w:r>
              <w:rPr>
                <w:rFonts w:hint="eastAsia"/>
                <w:color w:val="auto"/>
                <w:highlight w:val="none"/>
              </w:rPr>
              <w:t>格式见附件，检验电子标书</w:t>
            </w:r>
          </w:p>
        </w:tc>
      </w:tr>
    </w:tbl>
    <w:p w14:paraId="609AB6C5">
      <w:pPr>
        <w:spacing w:line="400" w:lineRule="exact"/>
        <w:rPr>
          <w:rFonts w:hint="eastAsia" w:ascii="宋体" w:hAnsi="宋体"/>
          <w:b/>
          <w:color w:val="auto"/>
          <w:szCs w:val="21"/>
          <w:highlight w:val="none"/>
        </w:rPr>
      </w:pPr>
      <w:r>
        <w:rPr>
          <w:rFonts w:hint="eastAsia" w:ascii="宋体"/>
          <w:b/>
          <w:color w:val="auto"/>
          <w:szCs w:val="21"/>
          <w:highlight w:val="none"/>
          <w:lang w:val="en-US" w:eastAsia="zh-CN"/>
        </w:rPr>
        <w:t xml:space="preserve">3.2 </w:t>
      </w:r>
      <w:r>
        <w:rPr>
          <w:rFonts w:hint="eastAsia" w:ascii="宋体" w:hAnsi="宋体"/>
          <w:b/>
          <w:color w:val="auto"/>
          <w:szCs w:val="21"/>
          <w:highlight w:val="none"/>
        </w:rPr>
        <w:t>如评标专家在检验电子投标文件过程中，如果由于投标人自身原因导致评标专家无法查看并检验电子投标文件中相关资料的，否决其投标。即使投标人将原件携带至现场的，同样按否决投标处理。</w:t>
      </w:r>
    </w:p>
    <w:p w14:paraId="5DB09720">
      <w:pPr>
        <w:spacing w:line="440" w:lineRule="exact"/>
        <w:rPr>
          <w:rFonts w:hint="eastAsia" w:ascii="宋体"/>
          <w:b/>
          <w:color w:val="auto"/>
          <w:szCs w:val="21"/>
          <w:highlight w:val="none"/>
        </w:rPr>
      </w:pPr>
      <w:r>
        <w:rPr>
          <w:rFonts w:hint="eastAsia" w:ascii="宋体" w:hAnsi="宋体"/>
          <w:b/>
          <w:color w:val="auto"/>
          <w:szCs w:val="21"/>
          <w:highlight w:val="none"/>
        </w:rPr>
        <w:t>3.</w:t>
      </w:r>
      <w:r>
        <w:rPr>
          <w:rFonts w:hint="eastAsia" w:ascii="宋体" w:hAnsi="宋体"/>
          <w:b/>
          <w:color w:val="auto"/>
          <w:szCs w:val="21"/>
          <w:highlight w:val="none"/>
          <w:lang w:val="en-US" w:eastAsia="zh-CN"/>
        </w:rPr>
        <w:t>3</w:t>
      </w:r>
      <w:r>
        <w:rPr>
          <w:rFonts w:hint="eastAsia" w:ascii="宋体" w:hAnsi="宋体"/>
          <w:b/>
          <w:color w:val="auto"/>
          <w:szCs w:val="21"/>
          <w:highlight w:val="none"/>
        </w:rPr>
        <w:t>招标文件中资格审查及评标细则中涉及到的投标人需要提供企业的相关证书扫描件，如企业的资格证书、营业执照（或三证合一的有效证件）等可以提供公证件扫描件，公证件扫描件的效力等同于原件扫描件。交易活动资格审查和评标环节中，凡是要求提供相关证书或证明原件扫描件的，投标企业均可以提供带官方二维码的相关证书（证明）复印件扫描件替代原件扫描件，但投标企业自行承担复印件扫描件二维码不清晰，无法扫描，可能导致资格审查不通过的后果</w:t>
      </w:r>
      <w:r>
        <w:rPr>
          <w:rFonts w:hint="eastAsia" w:ascii="宋体"/>
          <w:b/>
          <w:color w:val="auto"/>
          <w:szCs w:val="21"/>
          <w:highlight w:val="none"/>
          <w:lang w:val="en-US" w:eastAsia="zh-CN"/>
        </w:rPr>
        <w:t xml:space="preserve">。 </w:t>
      </w:r>
    </w:p>
    <w:p w14:paraId="3E11B30C">
      <w:pPr>
        <w:spacing w:line="440" w:lineRule="exact"/>
        <w:ind w:firstLine="310" w:firstLineChars="147"/>
        <w:rPr>
          <w:rFonts w:hint="eastAsia" w:ascii="宋体"/>
          <w:b/>
          <w:color w:val="auto"/>
          <w:szCs w:val="21"/>
          <w:highlight w:val="none"/>
        </w:rPr>
      </w:pPr>
      <w:r>
        <w:rPr>
          <w:rFonts w:hint="eastAsia" w:ascii="宋体"/>
          <w:b/>
          <w:color w:val="auto"/>
          <w:szCs w:val="21"/>
          <w:highlight w:val="none"/>
        </w:rPr>
        <w:t>4.符合性审查</w:t>
      </w:r>
    </w:p>
    <w:p w14:paraId="52B4741C">
      <w:pPr>
        <w:spacing w:line="440" w:lineRule="exact"/>
        <w:ind w:firstLine="315" w:firstLineChars="150"/>
        <w:rPr>
          <w:rFonts w:hint="eastAsia" w:ascii="宋体"/>
          <w:color w:val="auto"/>
          <w:szCs w:val="21"/>
          <w:highlight w:val="none"/>
        </w:rPr>
      </w:pPr>
      <w:r>
        <w:rPr>
          <w:rFonts w:hint="eastAsia" w:ascii="宋体"/>
          <w:color w:val="auto"/>
          <w:szCs w:val="21"/>
          <w:highlight w:val="none"/>
        </w:rPr>
        <w:t>4．1评审细则</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5101"/>
      </w:tblGrid>
      <w:tr w14:paraId="21C1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44B6CA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eastAsia="黑体" w:cs="黑体"/>
                <w:b/>
                <w:bCs/>
                <w:color w:val="auto"/>
                <w:szCs w:val="21"/>
                <w:highlight w:val="none"/>
              </w:rPr>
            </w:pPr>
            <w:r>
              <w:rPr>
                <w:rFonts w:hint="eastAsia" w:ascii="黑体" w:eastAsia="黑体" w:cs="黑体"/>
                <w:b/>
                <w:bCs/>
                <w:color w:val="auto"/>
                <w:szCs w:val="21"/>
                <w:highlight w:val="none"/>
              </w:rPr>
              <w:t>序号</w:t>
            </w:r>
          </w:p>
        </w:tc>
        <w:tc>
          <w:tcPr>
            <w:tcW w:w="4135" w:type="dxa"/>
            <w:gridSpan w:val="2"/>
            <w:noWrap w:val="0"/>
            <w:vAlign w:val="center"/>
          </w:tcPr>
          <w:p w14:paraId="39163D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5101" w:type="dxa"/>
            <w:noWrap w:val="0"/>
            <w:vAlign w:val="center"/>
          </w:tcPr>
          <w:p w14:paraId="40130CA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6972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31" w:type="dxa"/>
            <w:vMerge w:val="restart"/>
            <w:noWrap w:val="0"/>
            <w:vAlign w:val="center"/>
          </w:tcPr>
          <w:p w14:paraId="5E30E1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Cs w:val="21"/>
                <w:highlight w:val="none"/>
              </w:rPr>
            </w:pPr>
            <w:r>
              <w:rPr>
                <w:rFonts w:hint="eastAsia" w:ascii="宋体"/>
                <w:color w:val="auto"/>
                <w:szCs w:val="21"/>
                <w:highlight w:val="none"/>
              </w:rPr>
              <w:t>1</w:t>
            </w:r>
          </w:p>
        </w:tc>
        <w:tc>
          <w:tcPr>
            <w:tcW w:w="1204" w:type="dxa"/>
            <w:vMerge w:val="restart"/>
            <w:noWrap w:val="0"/>
            <w:vAlign w:val="center"/>
          </w:tcPr>
          <w:p w14:paraId="14328F5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投标文件的有效性</w:t>
            </w:r>
          </w:p>
        </w:tc>
        <w:tc>
          <w:tcPr>
            <w:tcW w:w="2931" w:type="dxa"/>
            <w:noWrap w:val="0"/>
            <w:vAlign w:val="center"/>
          </w:tcPr>
          <w:p w14:paraId="015118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（1）投标文件签署</w:t>
            </w:r>
          </w:p>
        </w:tc>
        <w:tc>
          <w:tcPr>
            <w:tcW w:w="5101" w:type="dxa"/>
            <w:noWrap w:val="0"/>
            <w:vAlign w:val="center"/>
          </w:tcPr>
          <w:p w14:paraId="1DA41E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签字、盖章符合要求。</w:t>
            </w:r>
          </w:p>
        </w:tc>
      </w:tr>
      <w:tr w14:paraId="553F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7905205E">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1204" w:type="dxa"/>
            <w:vMerge w:val="continue"/>
            <w:noWrap w:val="0"/>
            <w:vAlign w:val="center"/>
          </w:tcPr>
          <w:p w14:paraId="0C50280C">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2931" w:type="dxa"/>
            <w:noWrap w:val="0"/>
            <w:vAlign w:val="center"/>
          </w:tcPr>
          <w:p w14:paraId="3A2D0D4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（2）投标方案</w:t>
            </w:r>
          </w:p>
        </w:tc>
        <w:tc>
          <w:tcPr>
            <w:tcW w:w="5101" w:type="dxa"/>
            <w:noWrap w:val="0"/>
            <w:vAlign w:val="center"/>
          </w:tcPr>
          <w:p w14:paraId="492408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宋体"/>
                <w:color w:val="auto"/>
                <w:szCs w:val="21"/>
                <w:highlight w:val="none"/>
              </w:rPr>
            </w:pPr>
            <w:r>
              <w:rPr>
                <w:rFonts w:hint="eastAsia" w:ascii="宋体" w:hAnsi="宋体" w:cs="仿宋_GB2312"/>
                <w:color w:val="auto"/>
                <w:szCs w:val="21"/>
                <w:highlight w:val="none"/>
                <w:lang w:val="zh-CN"/>
              </w:rPr>
              <w:t>每个分包只能有一个方案投标。</w:t>
            </w:r>
          </w:p>
        </w:tc>
      </w:tr>
      <w:tr w14:paraId="3DA8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3B748B3B">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1204" w:type="dxa"/>
            <w:vMerge w:val="continue"/>
            <w:noWrap w:val="0"/>
            <w:vAlign w:val="center"/>
          </w:tcPr>
          <w:p w14:paraId="58AA67A8">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2931" w:type="dxa"/>
            <w:noWrap w:val="0"/>
            <w:vAlign w:val="center"/>
          </w:tcPr>
          <w:p w14:paraId="16A8D7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olor w:val="auto"/>
                <w:szCs w:val="21"/>
                <w:highlight w:val="none"/>
              </w:rPr>
              <w:t>（3）报价唯一</w:t>
            </w:r>
          </w:p>
        </w:tc>
        <w:tc>
          <w:tcPr>
            <w:tcW w:w="5101" w:type="dxa"/>
            <w:noWrap w:val="0"/>
            <w:vAlign w:val="center"/>
          </w:tcPr>
          <w:p w14:paraId="5B76B05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宋体"/>
                <w:color w:val="auto"/>
                <w:szCs w:val="21"/>
                <w:highlight w:val="none"/>
              </w:rPr>
            </w:pPr>
            <w:r>
              <w:rPr>
                <w:rFonts w:hint="eastAsia" w:ascii="宋体" w:cs="仿宋_GB2312"/>
                <w:color w:val="auto"/>
                <w:szCs w:val="21"/>
                <w:highlight w:val="none"/>
                <w:lang w:val="zh-CN"/>
              </w:rPr>
              <w:t>只能在限价范围内报价，</w:t>
            </w:r>
            <w:r>
              <w:rPr>
                <w:rFonts w:hint="eastAsia" w:ascii="宋体"/>
                <w:color w:val="auto"/>
                <w:szCs w:val="21"/>
                <w:highlight w:val="none"/>
              </w:rPr>
              <w:t>只能有一个有效报价，不得提交选择性报价。</w:t>
            </w:r>
          </w:p>
        </w:tc>
      </w:tr>
      <w:tr w14:paraId="6D9B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5BB5A752">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1204" w:type="dxa"/>
            <w:vMerge w:val="continue"/>
            <w:noWrap w:val="0"/>
            <w:vAlign w:val="center"/>
          </w:tcPr>
          <w:p w14:paraId="3D464BDC">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2931" w:type="dxa"/>
            <w:noWrap w:val="0"/>
            <w:vAlign w:val="center"/>
          </w:tcPr>
          <w:p w14:paraId="1570C2C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olor w:val="auto"/>
                <w:szCs w:val="21"/>
                <w:highlight w:val="none"/>
              </w:rPr>
            </w:pPr>
            <w:r>
              <w:rPr>
                <w:rFonts w:hint="eastAsia" w:ascii="宋体"/>
                <w:color w:val="auto"/>
                <w:szCs w:val="21"/>
                <w:highlight w:val="none"/>
              </w:rPr>
              <w:t xml:space="preserve"> (4) 投标文件的有效期</w:t>
            </w:r>
          </w:p>
        </w:tc>
        <w:tc>
          <w:tcPr>
            <w:tcW w:w="5101" w:type="dxa"/>
            <w:noWrap w:val="0"/>
            <w:vAlign w:val="center"/>
          </w:tcPr>
          <w:p w14:paraId="0A1047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完全响应。</w:t>
            </w:r>
          </w:p>
        </w:tc>
      </w:tr>
      <w:tr w14:paraId="4B6B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731" w:type="dxa"/>
            <w:vMerge w:val="restart"/>
            <w:noWrap w:val="0"/>
            <w:vAlign w:val="center"/>
          </w:tcPr>
          <w:p w14:paraId="450388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Cs w:val="21"/>
                <w:highlight w:val="none"/>
              </w:rPr>
            </w:pPr>
            <w:r>
              <w:rPr>
                <w:rFonts w:hint="eastAsia" w:ascii="宋体"/>
                <w:color w:val="auto"/>
                <w:szCs w:val="21"/>
                <w:highlight w:val="none"/>
              </w:rPr>
              <w:t>2</w:t>
            </w:r>
          </w:p>
        </w:tc>
        <w:tc>
          <w:tcPr>
            <w:tcW w:w="1204" w:type="dxa"/>
            <w:vMerge w:val="restart"/>
            <w:noWrap w:val="0"/>
            <w:vAlign w:val="center"/>
          </w:tcPr>
          <w:p w14:paraId="7F32534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投标文件的完整性</w:t>
            </w:r>
          </w:p>
        </w:tc>
        <w:tc>
          <w:tcPr>
            <w:tcW w:w="2931" w:type="dxa"/>
            <w:noWrap w:val="0"/>
            <w:vAlign w:val="center"/>
          </w:tcPr>
          <w:p w14:paraId="5EF20D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宋体"/>
                <w:color w:val="auto"/>
                <w:szCs w:val="21"/>
                <w:highlight w:val="none"/>
              </w:rPr>
            </w:pPr>
            <w:r>
              <w:rPr>
                <w:rFonts w:hint="eastAsia" w:ascii="宋体" w:cs="仿宋_GB2312"/>
                <w:color w:val="auto"/>
                <w:szCs w:val="21"/>
                <w:highlight w:val="none"/>
                <w:lang w:val="zh-CN"/>
              </w:rPr>
              <w:t>（5）投标文件份数</w:t>
            </w:r>
          </w:p>
        </w:tc>
        <w:tc>
          <w:tcPr>
            <w:tcW w:w="5101" w:type="dxa"/>
            <w:noWrap w:val="0"/>
            <w:vAlign w:val="center"/>
          </w:tcPr>
          <w:p w14:paraId="0504A0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宋体"/>
                <w:color w:val="auto"/>
                <w:szCs w:val="21"/>
                <w:highlight w:val="none"/>
              </w:rPr>
            </w:pPr>
            <w:r>
              <w:rPr>
                <w:rFonts w:hint="eastAsia" w:ascii="宋体" w:hAnsi="宋体" w:cs="宋体"/>
                <w:color w:val="auto"/>
                <w:szCs w:val="21"/>
                <w:highlight w:val="none"/>
              </w:rPr>
              <w:t>网上递交的电子投标文件：一份</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tc>
      </w:tr>
      <w:tr w14:paraId="2B6B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54C11AB6">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1204" w:type="dxa"/>
            <w:vMerge w:val="continue"/>
            <w:noWrap w:val="0"/>
            <w:vAlign w:val="center"/>
          </w:tcPr>
          <w:p w14:paraId="068F4ED8">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2931" w:type="dxa"/>
            <w:noWrap w:val="0"/>
            <w:vAlign w:val="center"/>
          </w:tcPr>
          <w:p w14:paraId="5F71AF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（6）投标文件形式内容</w:t>
            </w:r>
          </w:p>
        </w:tc>
        <w:tc>
          <w:tcPr>
            <w:tcW w:w="5101" w:type="dxa"/>
            <w:noWrap w:val="0"/>
            <w:vAlign w:val="center"/>
          </w:tcPr>
          <w:p w14:paraId="253308E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投标文件内容清晰、齐全无遗漏。</w:t>
            </w:r>
          </w:p>
        </w:tc>
      </w:tr>
    </w:tbl>
    <w:p w14:paraId="63A9902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4.2资格审查及评分细则中涉及的有关证明材料及相关证书，电子投标文件中须按招标文件要求上传</w:t>
      </w:r>
      <w:r>
        <w:rPr>
          <w:rFonts w:hint="eastAsia" w:ascii="宋体" w:hAnsi="宋体"/>
          <w:b/>
          <w:color w:val="auto"/>
          <w:szCs w:val="21"/>
          <w:highlight w:val="none"/>
        </w:rPr>
        <w:t>扫描件</w:t>
      </w:r>
      <w:r>
        <w:rPr>
          <w:rFonts w:hint="eastAsia" w:ascii="宋体"/>
          <w:color w:val="auto"/>
          <w:szCs w:val="21"/>
          <w:highlight w:val="none"/>
        </w:rPr>
        <w:t>，以供审查。</w:t>
      </w:r>
    </w:p>
    <w:p w14:paraId="7F46A05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4.3．评标委员会判定投标文件的响应性只根据投标文件本身的内容，而不寻求外部的证据，但投标有不真实不正确的内容时除外。</w:t>
      </w:r>
    </w:p>
    <w:p w14:paraId="12E29A7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bCs/>
          <w:color w:val="auto"/>
          <w:sz w:val="24"/>
          <w:szCs w:val="24"/>
          <w:highlight w:val="none"/>
        </w:rPr>
      </w:pPr>
      <w:r>
        <w:rPr>
          <w:rFonts w:hint="eastAsia" w:ascii="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7D924252">
      <w:pPr>
        <w:keepNext w:val="0"/>
        <w:keepLines w:val="0"/>
        <w:pageBreakBefore w:val="0"/>
        <w:widowControl w:val="0"/>
        <w:kinsoku/>
        <w:wordWrap/>
        <w:overflowPunct/>
        <w:topLinePunct w:val="0"/>
        <w:autoSpaceDE/>
        <w:autoSpaceDN/>
        <w:bidi w:val="0"/>
        <w:adjustRightInd/>
        <w:snapToGrid/>
        <w:spacing w:before="313" w:beforeLines="100" w:line="440" w:lineRule="exact"/>
        <w:jc w:val="center"/>
        <w:textAlignment w:val="auto"/>
        <w:outlineLvl w:val="1"/>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投标文件的澄清和补正</w:t>
      </w:r>
      <w:bookmarkEnd w:id="64"/>
    </w:p>
    <w:p w14:paraId="4E35044F">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评审阶段，评委可能会要求有关投标人就其投标书中含义不明确、同类问题表述不一致或者有明显文字和计算错误的内容进行澄清。</w:t>
      </w:r>
      <w:r>
        <w:rPr>
          <w:rFonts w:hint="eastAsia" w:ascii="宋体" w:hAnsi="宋体" w:eastAsia="宋体" w:cs="宋体"/>
          <w:b/>
          <w:bCs/>
          <w:color w:val="auto"/>
          <w:sz w:val="21"/>
          <w:szCs w:val="21"/>
          <w:highlight w:val="none"/>
        </w:rPr>
        <w:t>如因投标人未参加开标导致开评标过程中无法澄清、说明或补正的，视同投标人放弃该权利。</w:t>
      </w:r>
    </w:p>
    <w:p w14:paraId="33FDDA61">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投标人的澄清、说明或者补</w:t>
      </w:r>
    </w:p>
    <w:p w14:paraId="267F1FA5">
      <w:pPr>
        <w:keepNext w:val="0"/>
        <w:keepLines w:val="0"/>
        <w:pageBreakBefore w:val="0"/>
        <w:widowControl w:val="0"/>
        <w:kinsoku/>
        <w:wordWrap/>
        <w:overflowPunct/>
        <w:topLinePunct w:val="0"/>
        <w:autoSpaceDE/>
        <w:autoSpaceDN/>
        <w:bidi w:val="0"/>
        <w:adjustRightInd/>
        <w:snapToGrid/>
        <w:spacing w:line="440" w:lineRule="exact"/>
        <w:ind w:firstLine="527" w:firstLineChars="250"/>
        <w:textAlignment w:val="auto"/>
        <w:rPr>
          <w:rFonts w:hint="eastAsia" w:ascii="宋体" w:hAnsi="宋体" w:eastAsia="宋体" w:cs="宋体"/>
          <w:color w:val="auto"/>
          <w:sz w:val="21"/>
          <w:szCs w:val="21"/>
          <w:highlight w:val="none"/>
        </w:rPr>
      </w:pPr>
      <w:r>
        <w:rPr>
          <w:rFonts w:hint="eastAsia" w:ascii="宋体" w:hAnsi="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r>
        <w:rPr>
          <w:rFonts w:hint="eastAsia" w:ascii="宋体" w:hAnsi="宋体" w:cs="宋体"/>
          <w:b/>
          <w:bCs/>
          <w:color w:val="auto"/>
          <w:szCs w:val="21"/>
          <w:highlight w:val="none"/>
        </w:rPr>
        <w:t>。</w:t>
      </w:r>
    </w:p>
    <w:p w14:paraId="23841C5D">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评委会修正错误的原则：</w:t>
      </w:r>
    </w:p>
    <w:p w14:paraId="1053594E">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如果数字表示的金额和用文字表示的金额不一致时，以文字表示的金额为准</w:t>
      </w:r>
      <w:r>
        <w:rPr>
          <w:rFonts w:hint="eastAsia" w:ascii="宋体" w:hAnsi="宋体" w:eastAsia="宋体" w:cs="宋体"/>
          <w:color w:val="auto"/>
          <w:sz w:val="21"/>
          <w:szCs w:val="21"/>
          <w:highlight w:val="none"/>
          <w:lang w:eastAsia="zh-CN"/>
        </w:rPr>
        <w:t>。</w:t>
      </w:r>
    </w:p>
    <w:p w14:paraId="2973CB46">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如果单价与数量的乘积和总价不一致，以单价为准，修正总价；当单价小数点有明显的错位时，评委会将以总价为准，并修正其单价；投标的数量与招标的数量不一致时，以招标数量为准。</w:t>
      </w:r>
    </w:p>
    <w:p w14:paraId="1138E099">
      <w:pPr>
        <w:keepNext w:val="0"/>
        <w:keepLines w:val="0"/>
        <w:pageBreakBefore w:val="0"/>
        <w:widowControl w:val="0"/>
        <w:kinsoku/>
        <w:wordWrap/>
        <w:overflowPunct/>
        <w:topLinePunct w:val="0"/>
        <w:autoSpaceDE/>
        <w:autoSpaceDN/>
        <w:bidi w:val="0"/>
        <w:adjustRightInd/>
        <w:snapToGrid/>
        <w:spacing w:line="440" w:lineRule="exact"/>
        <w:ind w:firstLine="403" w:firstLineChars="192"/>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评委会将按上述修正错误的方法调整投标文件中的投标报价，调整后的价格应对投标人具有约束力。无论投标人是接受或是拒绝调整后的价格，都应当由法定代表人（或委托代理人）签字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予以确认。投标人拒绝对投标文件出现的错漏按上述原则进行修正、澄清、说明，评标委员会应当否决其投标。</w:t>
      </w:r>
    </w:p>
    <w:p w14:paraId="111B32F8">
      <w:pPr>
        <w:rPr>
          <w:rFonts w:hint="eastAsia" w:ascii="宋体" w:hAnsi="宋体" w:cs="宋体"/>
          <w:b/>
          <w:bCs/>
          <w:color w:val="auto"/>
          <w:sz w:val="24"/>
          <w:szCs w:val="24"/>
          <w:highlight w:val="none"/>
          <w:lang w:val="en-US" w:eastAsia="zh-CN"/>
        </w:rPr>
      </w:pPr>
      <w:bookmarkStart w:id="65" w:name="_Toc30419"/>
    </w:p>
    <w:p w14:paraId="49A6CEAA">
      <w:pPr>
        <w:keepNext w:val="0"/>
        <w:keepLines w:val="0"/>
        <w:pageBreakBefore w:val="0"/>
        <w:widowControl w:val="0"/>
        <w:kinsoku/>
        <w:wordWrap/>
        <w:overflowPunct/>
        <w:topLinePunct w:val="0"/>
        <w:autoSpaceDE/>
        <w:autoSpaceDN/>
        <w:bidi w:val="0"/>
        <w:adjustRightInd/>
        <w:snapToGrid/>
        <w:spacing w:before="313" w:beforeLines="100" w:line="440" w:lineRule="exact"/>
        <w:jc w:val="center"/>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四、投标报价评分细则</w:t>
      </w:r>
      <w:bookmarkEnd w:id="65"/>
    </w:p>
    <w:tbl>
      <w:tblPr>
        <w:tblStyle w:val="45"/>
        <w:tblW w:w="966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49"/>
        <w:gridCol w:w="1842"/>
        <w:gridCol w:w="6067"/>
      </w:tblGrid>
      <w:tr w14:paraId="5A1E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58" w:type="dxa"/>
            <w:gridSpan w:val="2"/>
            <w:vAlign w:val="center"/>
          </w:tcPr>
          <w:p w14:paraId="146095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w:t>
            </w:r>
          </w:p>
        </w:tc>
        <w:tc>
          <w:tcPr>
            <w:tcW w:w="1842" w:type="dxa"/>
            <w:vAlign w:val="center"/>
          </w:tcPr>
          <w:p w14:paraId="2E66ED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6067" w:type="dxa"/>
            <w:vAlign w:val="center"/>
          </w:tcPr>
          <w:p w14:paraId="22D39B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14:paraId="5FC8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Merge w:val="restart"/>
            <w:vAlign w:val="center"/>
          </w:tcPr>
          <w:p w14:paraId="46BB24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49" w:type="dxa"/>
            <w:vMerge w:val="restart"/>
            <w:vAlign w:val="center"/>
          </w:tcPr>
          <w:p w14:paraId="4F9826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842" w:type="dxa"/>
            <w:vAlign w:val="center"/>
          </w:tcPr>
          <w:p w14:paraId="2BBC26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投标函签字盖章</w:t>
            </w:r>
          </w:p>
        </w:tc>
        <w:tc>
          <w:tcPr>
            <w:tcW w:w="6067" w:type="dxa"/>
            <w:vAlign w:val="center"/>
          </w:tcPr>
          <w:p w14:paraId="4DD0365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须按格式文件要求签字或盖章，否则经评委会一致认定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 按照无效投标处理。</w:t>
            </w:r>
          </w:p>
        </w:tc>
      </w:tr>
      <w:tr w14:paraId="2A66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vMerge w:val="continue"/>
            <w:vAlign w:val="center"/>
          </w:tcPr>
          <w:p w14:paraId="68D41E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5EB6DDC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5F2077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6067" w:type="dxa"/>
            <w:vAlign w:val="center"/>
          </w:tcPr>
          <w:p w14:paraId="2DA2E22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符合“投标文件格式”的要求，否则经评委会一致认定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,按照无效投标处理.</w:t>
            </w:r>
          </w:p>
        </w:tc>
      </w:tr>
      <w:tr w14:paraId="0D48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09" w:type="dxa"/>
            <w:vMerge w:val="continue"/>
            <w:vAlign w:val="center"/>
          </w:tcPr>
          <w:p w14:paraId="0F6B766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2D64B55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69A3E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6067" w:type="dxa"/>
            <w:vAlign w:val="center"/>
          </w:tcPr>
          <w:p w14:paraId="0E620C5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只能有一个报价，否则按无效标处理</w:t>
            </w:r>
          </w:p>
        </w:tc>
      </w:tr>
      <w:tr w14:paraId="506B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09" w:type="dxa"/>
            <w:vMerge w:val="continue"/>
            <w:vAlign w:val="center"/>
          </w:tcPr>
          <w:p w14:paraId="37040A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025AADE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7CFA88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投标函的报价</w:t>
            </w:r>
          </w:p>
        </w:tc>
        <w:tc>
          <w:tcPr>
            <w:tcW w:w="6067" w:type="dxa"/>
            <w:vAlign w:val="center"/>
          </w:tcPr>
          <w:p w14:paraId="7E1DB2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不高于最高限价</w:t>
            </w:r>
          </w:p>
        </w:tc>
      </w:tr>
      <w:tr w14:paraId="78A9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vAlign w:val="center"/>
          </w:tcPr>
          <w:p w14:paraId="69CF0C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049" w:type="dxa"/>
            <w:vAlign w:val="center"/>
          </w:tcPr>
          <w:p w14:paraId="038F43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w:t>
            </w:r>
          </w:p>
          <w:p w14:paraId="4F8F846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分）</w:t>
            </w:r>
          </w:p>
        </w:tc>
        <w:tc>
          <w:tcPr>
            <w:tcW w:w="7909" w:type="dxa"/>
            <w:gridSpan w:val="2"/>
            <w:vAlign w:val="center"/>
          </w:tcPr>
          <w:p w14:paraId="6A0149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eastAsia="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招标人设置投标报价最高限价</w:t>
            </w:r>
            <w:r>
              <w:rPr>
                <w:rFonts w:hint="eastAsia" w:ascii="宋体" w:hAnsi="宋体" w:cs="宋体"/>
                <w:color w:val="auto"/>
                <w:sz w:val="21"/>
                <w:szCs w:val="21"/>
                <w:highlight w:val="none"/>
                <w:lang w:val="en-US" w:eastAsia="zh-CN"/>
              </w:rPr>
              <w:t>为《收费标准》计算费用的50%（报价均保留两位小数，小数点后第三位将四舍五入进行修正）</w:t>
            </w:r>
            <w:r>
              <w:rPr>
                <w:rFonts w:hint="eastAsia" w:ascii="宋体" w:hAnsi="宋体" w:cs="宋体"/>
                <w:color w:val="auto"/>
                <w:sz w:val="21"/>
                <w:szCs w:val="21"/>
                <w:highlight w:val="none"/>
              </w:rPr>
              <w:t>，各投标人有效报价不得高于最高限价，否则，其投标文件按无效标处理。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投标报价不可以填报0或负数，否则按无效标处理</w:t>
            </w:r>
            <w:r>
              <w:rPr>
                <w:rFonts w:hint="eastAsia" w:ascii="宋体" w:hAnsi="宋体" w:cs="宋体"/>
                <w:color w:val="auto"/>
                <w:sz w:val="21"/>
                <w:szCs w:val="21"/>
                <w:highlight w:val="none"/>
                <w:lang w:eastAsia="zh-CN"/>
              </w:rPr>
              <w:t>）</w:t>
            </w:r>
          </w:p>
          <w:p w14:paraId="489FCF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rPr>
              <w:t>（2）评标基准值=所有有效投标人</w:t>
            </w:r>
            <w:r>
              <w:rPr>
                <w:rFonts w:hint="eastAsia" w:ascii="宋体"/>
                <w:color w:val="auto"/>
                <w:sz w:val="21"/>
                <w:szCs w:val="21"/>
                <w:highlight w:val="none"/>
                <w:lang w:val="en-US" w:eastAsia="zh-CN"/>
              </w:rPr>
              <w:t>投标</w:t>
            </w:r>
            <w:r>
              <w:rPr>
                <w:rFonts w:hint="eastAsia" w:ascii="宋体"/>
                <w:color w:val="auto"/>
                <w:sz w:val="21"/>
                <w:szCs w:val="21"/>
                <w:highlight w:val="none"/>
              </w:rPr>
              <w:t>报价的算术平均值（小数点后保留两位小数，小数点后第三位四舍五入）。</w:t>
            </w:r>
          </w:p>
          <w:p w14:paraId="68E18B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rPr>
              <w:t>（3）</w:t>
            </w:r>
            <w:r>
              <w:rPr>
                <w:rFonts w:hint="eastAsia" w:ascii="宋体"/>
                <w:color w:val="auto"/>
                <w:sz w:val="21"/>
                <w:szCs w:val="21"/>
                <w:highlight w:val="none"/>
                <w:lang w:val="en-US" w:eastAsia="zh-CN"/>
              </w:rPr>
              <w:t>计算报价偏差率</w:t>
            </w:r>
          </w:p>
          <w:p w14:paraId="13DC7E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①偏差率=|（投标报价-评标基准价）/评标基准价|×100%</w:t>
            </w:r>
          </w:p>
          <w:p w14:paraId="38EB46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（4）计算报价得分</w:t>
            </w:r>
          </w:p>
          <w:p w14:paraId="452F0B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①投标报价等于评标基准价的得满分。</w:t>
            </w:r>
          </w:p>
          <w:p w14:paraId="6813A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②投标报价高于评标基准价的，投标报价得分=报价满分值-偏差率×100×1</w:t>
            </w:r>
          </w:p>
          <w:p w14:paraId="2D3C30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③投标报价低于评标基准价的，投标报价得分=报价满分值-偏差率×100×0.5</w:t>
            </w:r>
            <w:r>
              <w:rPr>
                <w:rFonts w:hint="eastAsia" w:ascii="宋体"/>
                <w:color w:val="auto"/>
                <w:sz w:val="21"/>
                <w:szCs w:val="21"/>
                <w:highlight w:val="none"/>
              </w:rPr>
              <w:t>。</w:t>
            </w:r>
          </w:p>
          <w:p w14:paraId="4CD4631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olor w:val="auto"/>
                <w:sz w:val="21"/>
                <w:szCs w:val="21"/>
                <w:highlight w:val="none"/>
              </w:rPr>
            </w:pPr>
            <w:r>
              <w:rPr>
                <w:rFonts w:hint="eastAsia" w:ascii="宋体"/>
                <w:color w:val="auto"/>
                <w:sz w:val="21"/>
                <w:szCs w:val="21"/>
                <w:highlight w:val="none"/>
              </w:rPr>
              <w:t>注：计算过程中，评标基准值、偏差率、报价得分均保留两位小数，小数点后第三位四舍五入。</w:t>
            </w:r>
          </w:p>
          <w:p w14:paraId="6C860A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rPr>
            </w:pPr>
            <w:r>
              <w:rPr>
                <w:rFonts w:hint="eastAsia" w:ascii="宋体"/>
                <w:color w:val="auto"/>
                <w:sz w:val="21"/>
                <w:szCs w:val="21"/>
                <w:highlight w:val="none"/>
              </w:rPr>
              <w:t>本项分值由评标委员会计算。</w:t>
            </w:r>
          </w:p>
        </w:tc>
      </w:tr>
    </w:tbl>
    <w:p w14:paraId="1DD67D2D">
      <w:pPr>
        <w:keepNext w:val="0"/>
        <w:keepLines w:val="0"/>
        <w:pageBreakBefore w:val="0"/>
        <w:widowControl w:val="0"/>
        <w:kinsoku/>
        <w:wordWrap/>
        <w:overflowPunct/>
        <w:topLinePunct w:val="0"/>
        <w:autoSpaceDE/>
        <w:autoSpaceDN/>
        <w:bidi w:val="0"/>
        <w:adjustRightInd/>
        <w:snapToGrid/>
        <w:spacing w:before="313" w:beforeLines="100" w:line="360" w:lineRule="exact"/>
        <w:jc w:val="center"/>
        <w:textAlignment w:val="auto"/>
        <w:outlineLvl w:val="1"/>
        <w:rPr>
          <w:rFonts w:hint="eastAsia" w:ascii="宋体" w:hAnsi="宋体" w:eastAsia="宋体" w:cs="宋体"/>
          <w:b/>
          <w:bCs/>
          <w:color w:val="auto"/>
          <w:sz w:val="24"/>
          <w:szCs w:val="24"/>
          <w:highlight w:val="none"/>
        </w:rPr>
      </w:pPr>
      <w:bookmarkStart w:id="66" w:name="_Toc20318"/>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推荐中标候选人</w:t>
      </w:r>
      <w:bookmarkEnd w:id="66"/>
    </w:p>
    <w:p w14:paraId="1BD855F9">
      <w:pPr>
        <w:pStyle w:val="2"/>
        <w:keepNext w:val="0"/>
        <w:keepLines w:val="0"/>
        <w:pageBreakBefore w:val="0"/>
        <w:widowControl w:val="0"/>
        <w:kinsoku/>
        <w:wordWrap/>
        <w:overflowPunct/>
        <w:topLinePunct w:val="0"/>
        <w:autoSpaceDE/>
        <w:autoSpaceDN/>
        <w:bidi w:val="0"/>
        <w:adjustRightInd/>
        <w:spacing w:line="440" w:lineRule="exact"/>
        <w:ind w:right="0" w:right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评标</w:t>
      </w:r>
      <w:r>
        <w:rPr>
          <w:rFonts w:hint="eastAsia" w:ascii="宋体" w:hAnsi="宋体" w:eastAsia="宋体" w:cs="宋体"/>
          <w:color w:val="auto"/>
          <w:sz w:val="21"/>
          <w:szCs w:val="21"/>
          <w:highlight w:val="none"/>
          <w:lang w:val="en-US" w:eastAsia="zh-CN"/>
        </w:rPr>
        <w:t>小组先</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投标报价不高于投标限价的</w:t>
      </w:r>
      <w:r>
        <w:rPr>
          <w:rFonts w:hint="eastAsia" w:ascii="宋体" w:hAnsi="宋体" w:eastAsia="宋体" w:cs="宋体"/>
          <w:color w:val="auto"/>
          <w:sz w:val="21"/>
          <w:szCs w:val="21"/>
          <w:highlight w:val="none"/>
        </w:rPr>
        <w:t>投标人报价按计算标准计算得分，得分按照从高到低进行排序（如总得分相等，以投标报价低的优先，投标报价仍相等，由招标人</w:t>
      </w:r>
      <w:r>
        <w:rPr>
          <w:rFonts w:hint="eastAsia" w:ascii="宋体" w:hAnsi="宋体" w:eastAsia="宋体" w:cs="宋体"/>
          <w:color w:val="auto"/>
          <w:sz w:val="21"/>
          <w:szCs w:val="21"/>
          <w:highlight w:val="none"/>
          <w:lang w:val="en-US" w:eastAsia="zh-CN"/>
        </w:rPr>
        <w:t>或评标委员会</w:t>
      </w:r>
      <w:r>
        <w:rPr>
          <w:rFonts w:hint="eastAsia" w:ascii="宋体" w:hAnsi="宋体" w:eastAsia="宋体" w:cs="宋体"/>
          <w:color w:val="auto"/>
          <w:sz w:val="21"/>
          <w:szCs w:val="21"/>
          <w:highlight w:val="none"/>
        </w:rPr>
        <w:t>随机抽取确定排名，不得并列）。对排序前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文件进行评审并确定中标候选人。若排序前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文件评审不通过，则按得分排序递补至</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家投标人进行</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w:t>
      </w:r>
    </w:p>
    <w:p w14:paraId="2D219C1B">
      <w:pPr>
        <w:keepNext w:val="0"/>
        <w:keepLines w:val="0"/>
        <w:pageBreakBefore w:val="0"/>
        <w:widowControl w:val="0"/>
        <w:kinsoku/>
        <w:wordWrap/>
        <w:overflowPunct/>
        <w:topLinePunct w:val="0"/>
        <w:autoSpaceDE/>
        <w:autoSpaceDN/>
        <w:bidi w:val="0"/>
        <w:adjustRightInd/>
        <w:snapToGrid w:val="0"/>
        <w:spacing w:line="440" w:lineRule="exact"/>
        <w:ind w:right="0" w:rightChars="0" w:firstLine="570"/>
        <w:textAlignment w:val="auto"/>
        <w:rPr>
          <w:rFonts w:hint="eastAsia" w:ascii="宋体"/>
          <w:b/>
          <w:color w:val="auto"/>
          <w:szCs w:val="21"/>
          <w:highlight w:val="none"/>
        </w:rPr>
      </w:pPr>
      <w:r>
        <w:rPr>
          <w:rFonts w:hint="eastAsia" w:ascii="宋体"/>
          <w:b/>
          <w:color w:val="auto"/>
          <w:szCs w:val="21"/>
          <w:highlight w:val="none"/>
          <w:lang w:val="en-US" w:eastAsia="zh-CN"/>
        </w:rPr>
        <w:t>9.</w:t>
      </w:r>
      <w:r>
        <w:rPr>
          <w:rFonts w:hint="eastAsia" w:ascii="宋体" w:hAnsi="宋体"/>
          <w:b/>
          <w:color w:val="auto"/>
          <w:sz w:val="24"/>
          <w:highlight w:val="none"/>
        </w:rPr>
        <w:t xml:space="preserve"> </w:t>
      </w:r>
      <w:r>
        <w:rPr>
          <w:rFonts w:hint="eastAsia" w:ascii="宋体"/>
          <w:b/>
          <w:color w:val="auto"/>
          <w:szCs w:val="21"/>
          <w:highlight w:val="none"/>
        </w:rPr>
        <w:t>无效投标条款</w:t>
      </w:r>
    </w:p>
    <w:p w14:paraId="62BE0682">
      <w:pPr>
        <w:snapToGrid w:val="0"/>
        <w:spacing w:line="400" w:lineRule="exact"/>
        <w:ind w:firstLine="525" w:firstLineChars="250"/>
        <w:rPr>
          <w:rFonts w:hint="eastAsia" w:ascii="宋体" w:eastAsia="宋体" w:cs="宋体"/>
          <w:color w:val="auto"/>
          <w:szCs w:val="21"/>
          <w:highlight w:val="none"/>
          <w:lang w:eastAsia="zh-CN"/>
        </w:rPr>
      </w:pPr>
      <w:r>
        <w:rPr>
          <w:rFonts w:hint="eastAsia" w:ascii="宋体" w:cs="宋体"/>
          <w:color w:val="auto"/>
          <w:szCs w:val="21"/>
          <w:highlight w:val="none"/>
          <w:lang w:val="en-US" w:eastAsia="zh-CN"/>
        </w:rPr>
        <w:t>9</w:t>
      </w:r>
      <w:r>
        <w:rPr>
          <w:rFonts w:hint="eastAsia" w:ascii="宋体" w:cs="宋体"/>
          <w:color w:val="auto"/>
          <w:szCs w:val="21"/>
          <w:highlight w:val="none"/>
        </w:rPr>
        <w:t>.1投标文件有下列情形之一的,其投标文件拒收</w:t>
      </w:r>
      <w:r>
        <w:rPr>
          <w:rFonts w:hint="eastAsia" w:ascii="宋体" w:cs="宋体"/>
          <w:color w:val="auto"/>
          <w:szCs w:val="21"/>
          <w:highlight w:val="none"/>
          <w:lang w:eastAsia="zh-CN"/>
        </w:rPr>
        <w:t>：</w:t>
      </w:r>
    </w:p>
    <w:p w14:paraId="478800D3">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）未在开标截止时间前通过网上招标投标系统递交有效电子投标文件的，开标系统不予接收，投标将被拒绝。</w:t>
      </w:r>
    </w:p>
    <w:p w14:paraId="197DD24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企业接到远程解密指令后，须在规定时间内解密。因投标人自身原因导致投标文件在规定时间内未能解密、解密失败或解密超时，投标文件无效；解密时间：从本项目投标截止时间开始计时，至完成投标文件解密时间，不得超过</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lang w:eastAsia="zh-CN"/>
        </w:rPr>
        <w:t>0分钟，否则投标文件将被拒绝。</w:t>
      </w:r>
    </w:p>
    <w:p w14:paraId="74A3DC8C">
      <w:pPr>
        <w:snapToGrid w:val="0"/>
        <w:spacing w:line="400" w:lineRule="exact"/>
        <w:ind w:firstLine="525" w:firstLineChars="250"/>
        <w:rPr>
          <w:rFonts w:hint="eastAsia" w:ascii="宋体" w:hAnsi="Times New Roman" w:eastAsia="宋体" w:cs="宋体"/>
          <w:color w:val="auto"/>
          <w:szCs w:val="21"/>
          <w:highlight w:val="none"/>
          <w:lang w:eastAsia="zh-CN"/>
        </w:rPr>
      </w:pPr>
      <w:r>
        <w:rPr>
          <w:rFonts w:hint="eastAsia" w:ascii="宋体" w:hAnsi="Times New Roman" w:eastAsia="宋体" w:cs="宋体"/>
          <w:color w:val="auto"/>
          <w:szCs w:val="21"/>
          <w:highlight w:val="none"/>
          <w:lang w:val="en-US" w:eastAsia="zh-CN"/>
        </w:rPr>
        <w:t>9</w:t>
      </w:r>
      <w:r>
        <w:rPr>
          <w:rFonts w:hint="eastAsia" w:ascii="宋体" w:hAnsi="Times New Roman" w:eastAsia="宋体" w:cs="宋体"/>
          <w:color w:val="auto"/>
          <w:szCs w:val="21"/>
          <w:highlight w:val="none"/>
          <w:lang w:eastAsia="zh-CN"/>
        </w:rPr>
        <w:t>.2 投标人有下列情形之一的,资格审查后其投标作无效投标处理：</w:t>
      </w:r>
    </w:p>
    <w:p w14:paraId="1B1D6993">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(1)投标人为本项目提供招标代理服务的；</w:t>
      </w:r>
    </w:p>
    <w:p w14:paraId="126D240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(2)投标人与在本项目代理机构存在相互任职或工作的；</w:t>
      </w:r>
    </w:p>
    <w:p w14:paraId="459DB034">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(3)评标专家无法查看并检验电子投标文件中相关资料的；</w:t>
      </w:r>
    </w:p>
    <w:p w14:paraId="25FE51C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(4)联合体投标未提交联合体协议的；</w:t>
      </w:r>
    </w:p>
    <w:p w14:paraId="26ED93D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(5)</w:t>
      </w:r>
      <w:r>
        <w:rPr>
          <w:rFonts w:hint="eastAsia" w:ascii="宋体" w:hAnsi="宋体" w:eastAsia="宋体" w:cs="宋体"/>
          <w:b w:val="0"/>
          <w:bCs/>
          <w:color w:val="auto"/>
          <w:szCs w:val="21"/>
          <w:highlight w:val="none"/>
          <w:lang w:val="en-US" w:eastAsia="zh-CN"/>
        </w:rPr>
        <w:t>被责令停产停业的；</w:t>
      </w:r>
    </w:p>
    <w:p w14:paraId="185A7153">
      <w:pPr>
        <w:snapToGrid w:val="0"/>
        <w:spacing w:line="440" w:lineRule="exact"/>
        <w:ind w:right="-212" w:rightChars="-101"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eastAsia="zh-CN"/>
        </w:rPr>
        <w:t>(6)</w:t>
      </w:r>
      <w:r>
        <w:rPr>
          <w:rFonts w:hint="eastAsia" w:ascii="宋体" w:hAnsi="宋体" w:eastAsia="宋体" w:cs="宋体"/>
          <w:b w:val="0"/>
          <w:bCs/>
          <w:color w:val="auto"/>
          <w:szCs w:val="21"/>
          <w:highlight w:val="none"/>
          <w:lang w:val="en-US" w:eastAsia="zh-CN"/>
        </w:rPr>
        <w:t>被暂停或取消参与政府采购项目资格的；</w:t>
      </w:r>
    </w:p>
    <w:p w14:paraId="1729B442">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(7)</w:t>
      </w:r>
      <w:r>
        <w:rPr>
          <w:rFonts w:hint="eastAsia" w:ascii="宋体" w:hAnsi="宋体" w:eastAsia="宋体" w:cs="宋体"/>
          <w:b w:val="0"/>
          <w:bCs/>
          <w:color w:val="auto"/>
          <w:szCs w:val="21"/>
          <w:highlight w:val="none"/>
          <w:lang w:val="en-US" w:eastAsia="zh-CN"/>
        </w:rPr>
        <w:t>投标人单位负责人为同一人或者存在直接控股、管理关系的不同单位的；</w:t>
      </w:r>
    </w:p>
    <w:p w14:paraId="360473C5">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(8)保证金不按第二章“投标人须知”及其前附表要求提交投标保证金的；</w:t>
      </w:r>
    </w:p>
    <w:p w14:paraId="18F42FC9">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(9)投标人基本资格条件和特定资格条件中有一项及以上不符合要求的；</w:t>
      </w:r>
    </w:p>
    <w:p w14:paraId="2EE6A9D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(10)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4CF61F88">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(11)投标人单方面出现其他投标人材料的；</w:t>
      </w:r>
    </w:p>
    <w:p w14:paraId="24A30557">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(12)其它情形，经评标委员会委提出按无效投标处理；</w:t>
      </w:r>
    </w:p>
    <w:p w14:paraId="2607D00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(13)招标文件规定的其它无效投标情形。</w:t>
      </w:r>
    </w:p>
    <w:p w14:paraId="719A569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.3 投标人有下列情形之一的,符合性审查后其投标按无效投标处理：</w:t>
      </w:r>
    </w:p>
    <w:p w14:paraId="39CA70E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(1)投标文件签字、盖章不全，经评标委员会一致认定对开评标内容有实质性影响的；</w:t>
      </w:r>
    </w:p>
    <w:p w14:paraId="4DFA380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(2)未按规定的格式填写导致实质性内容不全以及实质上不响应，或者关键字迹模糊、无法辨认的；</w:t>
      </w:r>
    </w:p>
    <w:p w14:paraId="531B491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(3)同一投标人提交两个以上不同的投标文件或者投标报价，但招标文件规定提交备选方案的除外；</w:t>
      </w:r>
    </w:p>
    <w:p w14:paraId="478E67AE">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(4)投标文件没有对招标文件的实质性要求和条件作出响应；</w:t>
      </w:r>
    </w:p>
    <w:p w14:paraId="57126E6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 xml:space="preserve">(5)投标报价超出规定的投标限价或公布的采购预算的或投标人的投标报价各项单价高于招标文件给定的单价最高限价； </w:t>
      </w:r>
    </w:p>
    <w:p w14:paraId="0ABE2C5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(6)不按评标委员会要求澄清、说明或补正的，或者评标委员会根据招标文件的规定对</w:t>
      </w:r>
      <w:r>
        <w:rPr>
          <w:rFonts w:hint="eastAsia" w:ascii="宋体" w:hAnsi="宋体" w:cs="宋体"/>
          <w:b w:val="0"/>
          <w:bCs/>
          <w:color w:val="auto"/>
          <w:szCs w:val="21"/>
          <w:highlight w:val="none"/>
          <w:lang w:val="en-US" w:eastAsia="zh-CN"/>
        </w:rPr>
        <w:t>投标</w:t>
      </w:r>
      <w:r>
        <w:rPr>
          <w:rFonts w:hint="eastAsia" w:ascii="宋体" w:hAnsi="宋体" w:cs="宋体"/>
          <w:b w:val="0"/>
          <w:bCs/>
          <w:color w:val="auto"/>
          <w:szCs w:val="21"/>
          <w:highlight w:val="none"/>
          <w:lang w:eastAsia="zh-CN"/>
        </w:rPr>
        <w:t>文件的计算错误进行修正后，投标人不接受修正的投标报价的；</w:t>
      </w:r>
    </w:p>
    <w:p w14:paraId="250B220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lang w:eastAsia="zh-CN"/>
        </w:rPr>
        <w:t>)其它情形，经评标委员会委提出按无效投标处理的；</w:t>
      </w:r>
    </w:p>
    <w:p w14:paraId="65D34F3C">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8</w:t>
      </w:r>
      <w:r>
        <w:rPr>
          <w:rFonts w:hint="eastAsia" w:ascii="宋体" w:hAnsi="宋体" w:cs="宋体"/>
          <w:b w:val="0"/>
          <w:bCs/>
          <w:color w:val="auto"/>
          <w:szCs w:val="21"/>
          <w:highlight w:val="none"/>
          <w:lang w:eastAsia="zh-CN"/>
        </w:rPr>
        <w:t>)投标文件含有招标人不能接受的附加条件的；</w:t>
      </w:r>
    </w:p>
    <w:p w14:paraId="43292335">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)招标文件规定的其它无效投标情形。</w:t>
      </w:r>
    </w:p>
    <w:p w14:paraId="6A75F892">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.4 投标人有下列情形之一的, 详细评审后其投标按无效投标处理：</w:t>
      </w:r>
    </w:p>
    <w:p w14:paraId="185F4F6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(1)投标产品不符合必须强制执行的国家标准的；</w:t>
      </w:r>
    </w:p>
    <w:p w14:paraId="556521D5">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(2)投标人有串通投标、弄虚作假、行贿等违法行为；</w:t>
      </w:r>
    </w:p>
    <w:p w14:paraId="7BE964DB">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(3)投标文件含有违反国家法律、法规的内容，或附有招标人不能接受的条件的；</w:t>
      </w:r>
    </w:p>
    <w:p w14:paraId="303DB013">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4</w:t>
      </w:r>
      <w:r>
        <w:rPr>
          <w:rFonts w:hint="eastAsia" w:ascii="宋体" w:hAnsi="宋体" w:eastAsia="宋体" w:cs="宋体"/>
          <w:b w:val="0"/>
          <w:bCs/>
          <w:color w:val="auto"/>
          <w:szCs w:val="21"/>
          <w:highlight w:val="none"/>
          <w:lang w:eastAsia="zh-CN"/>
        </w:rPr>
        <w:t>)报价明显低于其他投标人，且不能证明报价合理性的投标无效；</w:t>
      </w:r>
    </w:p>
    <w:p w14:paraId="2851407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5</w:t>
      </w:r>
      <w:r>
        <w:rPr>
          <w:rFonts w:hint="eastAsia" w:ascii="宋体" w:hAnsi="宋体" w:eastAsia="宋体" w:cs="宋体"/>
          <w:b w:val="0"/>
          <w:bCs/>
          <w:color w:val="auto"/>
          <w:szCs w:val="21"/>
          <w:highlight w:val="none"/>
          <w:lang w:eastAsia="zh-CN"/>
        </w:rPr>
        <w:t>)拒不确认评标委员会评审修正的投标无效；</w:t>
      </w:r>
    </w:p>
    <w:p w14:paraId="767B61D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6</w:t>
      </w:r>
      <w:r>
        <w:rPr>
          <w:rFonts w:hint="eastAsia" w:ascii="宋体" w:hAnsi="宋体" w:eastAsia="宋体" w:cs="宋体"/>
          <w:b w:val="0"/>
          <w:bCs/>
          <w:color w:val="auto"/>
          <w:szCs w:val="21"/>
          <w:highlight w:val="none"/>
          <w:lang w:eastAsia="zh-CN"/>
        </w:rPr>
        <w:t>)其它情形，经评标委员会委提出按无效投标处理的；</w:t>
      </w:r>
    </w:p>
    <w:p w14:paraId="0A5A1B4A">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7</w:t>
      </w:r>
      <w:r>
        <w:rPr>
          <w:rFonts w:hint="eastAsia" w:ascii="宋体" w:hAnsi="宋体" w:eastAsia="宋体" w:cs="宋体"/>
          <w:b w:val="0"/>
          <w:bCs/>
          <w:color w:val="auto"/>
          <w:szCs w:val="21"/>
          <w:highlight w:val="none"/>
          <w:lang w:eastAsia="zh-CN"/>
        </w:rPr>
        <w:t>)招标文件规定的其它无效投标情形。</w:t>
      </w:r>
    </w:p>
    <w:p w14:paraId="063810C8">
      <w:pPr>
        <w:rPr>
          <w:rFonts w:hint="eastAsia"/>
          <w:color w:val="auto"/>
          <w:highlight w:val="none"/>
        </w:rPr>
      </w:pPr>
    </w:p>
    <w:bookmarkEnd w:id="56"/>
    <w:bookmarkEnd w:id="57"/>
    <w:p w14:paraId="3F25F4D6">
      <w:pPr>
        <w:pStyle w:val="6"/>
        <w:keepNext/>
        <w:keepLines/>
        <w:pageBreakBefore/>
        <w:widowControl w:val="0"/>
        <w:kinsoku/>
        <w:wordWrap/>
        <w:overflowPunct/>
        <w:topLinePunct w:val="0"/>
        <w:autoSpaceDE/>
        <w:autoSpaceDN/>
        <w:bidi w:val="0"/>
        <w:adjustRightInd/>
        <w:snapToGrid/>
        <w:spacing w:before="0" w:after="0"/>
        <w:textAlignment w:val="auto"/>
        <w:rPr>
          <w:rFonts w:hint="default" w:ascii="宋体" w:hAnsi="宋体" w:eastAsia="宋体" w:cs="宋体"/>
          <w:color w:val="auto"/>
          <w:sz w:val="44"/>
          <w:szCs w:val="44"/>
          <w:highlight w:val="none"/>
          <w:lang w:val="en-US" w:eastAsia="zh-CN"/>
        </w:rPr>
      </w:pPr>
      <w:bookmarkStart w:id="67" w:name="_Toc29967"/>
      <w:bookmarkStart w:id="68" w:name="_Toc3848"/>
      <w:r>
        <w:rPr>
          <w:rFonts w:hint="eastAsia" w:ascii="宋体" w:hAnsi="宋体" w:eastAsia="宋体" w:cs="宋体"/>
          <w:color w:val="auto"/>
          <w:sz w:val="44"/>
          <w:szCs w:val="44"/>
          <w:highlight w:val="none"/>
          <w:lang w:val="en-US" w:eastAsia="zh-CN"/>
        </w:rPr>
        <w:t>第三章 合同条款</w:t>
      </w:r>
      <w:bookmarkEnd w:id="67"/>
      <w:bookmarkEnd w:id="68"/>
      <w:r>
        <w:rPr>
          <w:rFonts w:hint="eastAsia" w:ascii="宋体" w:hAnsi="宋体" w:eastAsia="宋体" w:cs="宋体"/>
          <w:color w:val="auto"/>
          <w:sz w:val="44"/>
          <w:szCs w:val="44"/>
          <w:highlight w:val="none"/>
          <w:lang w:val="en-US" w:eastAsia="zh-CN"/>
        </w:rPr>
        <w:t>（格式仅供参考）</w:t>
      </w:r>
    </w:p>
    <w:p w14:paraId="1F207759">
      <w:pPr>
        <w:rPr>
          <w:rFonts w:hint="eastAsia" w:ascii="宋体" w:hAnsi="宋体" w:eastAsia="宋体" w:cs="宋体"/>
          <w:color w:val="auto"/>
          <w:highlight w:val="none"/>
        </w:rPr>
      </w:pPr>
    </w:p>
    <w:p w14:paraId="1AB93262">
      <w:pPr>
        <w:keepNext w:val="0"/>
        <w:keepLines w:val="0"/>
        <w:widowControl w:val="0"/>
        <w:suppressLineNumbers w:val="0"/>
        <w:spacing w:before="304" w:beforeLines="100" w:beforeAutospacing="0" w:after="304" w:afterLines="100" w:afterAutospacing="0" w:line="400" w:lineRule="exact"/>
        <w:ind w:left="0" w:right="0"/>
        <w:jc w:val="center"/>
        <w:outlineLvl w:val="1"/>
        <w:rPr>
          <w:rFonts w:hint="default" w:ascii="汉仪大黑简" w:hAnsi="汉仪大黑简" w:eastAsia="汉仪大黑简" w:cs="汉仪大黑简"/>
          <w:b w:val="0"/>
          <w:color w:val="auto"/>
          <w:kern w:val="2"/>
          <w:sz w:val="28"/>
          <w:szCs w:val="28"/>
          <w:highlight w:val="none"/>
        </w:rPr>
      </w:pPr>
      <w:r>
        <w:rPr>
          <w:rFonts w:hint="default" w:ascii="汉仪大黑简" w:hAnsi="汉仪大黑简" w:eastAsia="汉仪大黑简" w:cs="汉仪大黑简"/>
          <w:b w:val="0"/>
          <w:color w:val="auto"/>
          <w:kern w:val="2"/>
          <w:sz w:val="28"/>
          <w:szCs w:val="28"/>
          <w:highlight w:val="none"/>
          <w:lang w:val="en-US" w:eastAsia="zh-CN" w:bidi="ar"/>
        </w:rPr>
        <w:t>安徽省建设工程造价咨询合同（ＷＦ－2014－05）</w:t>
      </w:r>
    </w:p>
    <w:p w14:paraId="054CC86A">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第一部分  合同协议书</w:t>
      </w:r>
    </w:p>
    <w:p w14:paraId="02891F4F">
      <w:pPr>
        <w:keepNext w:val="0"/>
        <w:keepLines w:val="0"/>
        <w:widowControl w:val="0"/>
        <w:suppressLineNumbers w:val="0"/>
        <w:adjustRightInd w:val="0"/>
        <w:snapToGrid w:val="0"/>
        <w:spacing w:before="153" w:beforeLines="50" w:beforeAutospacing="0" w:after="0" w:afterAutospacing="0"/>
        <w:ind w:left="0" w:right="0"/>
        <w:jc w:val="left"/>
        <w:rPr>
          <w:rFonts w:hint="default" w:ascii="宋体" w:hAnsi="宋体" w:eastAsia="宋体" w:cs="宋体"/>
          <w:b w:val="0"/>
          <w:color w:val="auto"/>
          <w:kern w:val="2"/>
          <w:sz w:val="24"/>
          <w:szCs w:val="24"/>
          <w:highlight w:val="none"/>
          <w:lang w:val="en-US"/>
        </w:rPr>
      </w:pPr>
      <w:r>
        <w:rPr>
          <w:rFonts w:hint="eastAsia" w:ascii="宋体" w:hAnsi="宋体" w:eastAsia="宋体" w:cs="宋体"/>
          <w:b w:val="0"/>
          <w:color w:val="auto"/>
          <w:kern w:val="2"/>
          <w:sz w:val="24"/>
          <w:szCs w:val="24"/>
          <w:highlight w:val="none"/>
          <w:lang w:val="en-US" w:eastAsia="zh-CN" w:bidi="ar"/>
        </w:rPr>
        <w:t>委托人（全称）：</w:t>
      </w:r>
      <w:r>
        <w:rPr>
          <w:rFonts w:hint="eastAsia" w:ascii="宋体" w:hAnsi="宋体" w:cs="宋体"/>
          <w:b w:val="0"/>
          <w:color w:val="auto"/>
          <w:kern w:val="2"/>
          <w:sz w:val="24"/>
          <w:szCs w:val="24"/>
          <w:highlight w:val="none"/>
          <w:u w:val="single"/>
          <w:lang w:val="en-US" w:eastAsia="zh-CN" w:bidi="ar"/>
        </w:rPr>
        <w:t>滁州市明湖建设管理服务中心</w:t>
      </w:r>
      <w:r>
        <w:rPr>
          <w:rFonts w:hint="eastAsia" w:ascii="宋体" w:hAnsi="宋体" w:eastAsia="宋体" w:cs="宋体"/>
          <w:b w:val="0"/>
          <w:color w:val="auto"/>
          <w:kern w:val="2"/>
          <w:sz w:val="24"/>
          <w:szCs w:val="24"/>
          <w:highlight w:val="none"/>
          <w:u w:val="single"/>
          <w:lang w:val="en-US" w:eastAsia="zh-CN" w:bidi="ar"/>
        </w:rPr>
        <w:t xml:space="preserve">      </w:t>
      </w:r>
      <w:r>
        <w:rPr>
          <w:rFonts w:hint="eastAsia" w:ascii="宋体" w:hAnsi="宋体" w:cs="宋体"/>
          <w:b w:val="0"/>
          <w:color w:val="auto"/>
          <w:kern w:val="2"/>
          <w:sz w:val="24"/>
          <w:szCs w:val="24"/>
          <w:highlight w:val="none"/>
          <w:u w:val="single"/>
          <w:lang w:val="en-US" w:eastAsia="zh-CN" w:bidi="ar"/>
        </w:rPr>
        <w:t xml:space="preserve">                             </w:t>
      </w:r>
    </w:p>
    <w:p w14:paraId="79FF0C5A">
      <w:pPr>
        <w:keepNext w:val="0"/>
        <w:keepLines w:val="0"/>
        <w:widowControl w:val="0"/>
        <w:suppressLineNumbers w:val="0"/>
        <w:adjustRightInd w:val="0"/>
        <w:snapToGrid w:val="0"/>
        <w:spacing w:before="153" w:beforeLines="50" w:beforeAutospacing="0" w:after="0" w:afterAutospacing="0"/>
        <w:ind w:left="0" w:right="0"/>
        <w:jc w:val="left"/>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bidi="ar"/>
        </w:rPr>
        <w:t>受托人（全称）：</w:t>
      </w:r>
      <w:r>
        <w:rPr>
          <w:rFonts w:hint="eastAsia" w:ascii="宋体" w:hAnsi="宋体" w:eastAsia="宋体" w:cs="宋体"/>
          <w:b w:val="0"/>
          <w:color w:val="auto"/>
          <w:kern w:val="2"/>
          <w:sz w:val="24"/>
          <w:szCs w:val="24"/>
          <w:highlight w:val="none"/>
          <w:u w:val="single"/>
          <w:lang w:val="en-US" w:eastAsia="zh-CN" w:bidi="ar"/>
        </w:rPr>
        <w:t xml:space="preserve"> </w:t>
      </w:r>
      <w:r>
        <w:rPr>
          <w:rFonts w:hint="eastAsia" w:ascii="宋体" w:hAnsi="宋体" w:cs="宋体"/>
          <w:b w:val="0"/>
          <w:color w:val="auto"/>
          <w:kern w:val="2"/>
          <w:sz w:val="24"/>
          <w:szCs w:val="24"/>
          <w:highlight w:val="none"/>
          <w:u w:val="single"/>
          <w:lang w:val="en-US" w:eastAsia="zh-CN" w:bidi="ar"/>
        </w:rPr>
        <w:t xml:space="preserve"> </w:t>
      </w:r>
      <w:r>
        <w:rPr>
          <w:rFonts w:hint="eastAsia" w:ascii="宋体" w:hAnsi="宋体" w:eastAsia="宋体" w:cs="宋体"/>
          <w:b w:val="0"/>
          <w:color w:val="auto"/>
          <w:kern w:val="2"/>
          <w:sz w:val="24"/>
          <w:szCs w:val="24"/>
          <w:highlight w:val="none"/>
          <w:u w:val="single"/>
          <w:lang w:val="en-US" w:eastAsia="zh-CN" w:bidi="ar"/>
        </w:rPr>
        <w:t xml:space="preserve">                                </w:t>
      </w:r>
    </w:p>
    <w:p w14:paraId="5E24DF9B">
      <w:pPr>
        <w:keepNext w:val="0"/>
        <w:keepLines w:val="0"/>
        <w:widowControl w:val="0"/>
        <w:suppressLineNumbers w:val="0"/>
        <w:spacing w:before="0" w:beforeAutospacing="0" w:after="0" w:afterAutospacing="0"/>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根据《中华人民共和国民法典》及有关法律规定，遵循平等、自愿、公平和诚实信用的原则，双方就</w:t>
      </w:r>
      <w:r>
        <w:rPr>
          <w:rFonts w:hint="eastAsia" w:ascii="宋体" w:hAnsi="宋体" w:cs="宋体"/>
          <w:color w:val="auto"/>
          <w:kern w:val="2"/>
          <w:sz w:val="24"/>
          <w:szCs w:val="24"/>
          <w:highlight w:val="none"/>
          <w:u w:val="single"/>
          <w:lang w:val="en-US" w:eastAsia="zh-CN" w:bidi="ar"/>
        </w:rPr>
        <w:t>明湖公园园路应急工程工程量清单及最高投标限价编制服务项目</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及有关事项协商一致，共同达成如下协议：</w:t>
      </w:r>
    </w:p>
    <w:p w14:paraId="6C6B7DEA">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一、工程概况</w:t>
      </w:r>
    </w:p>
    <w:p w14:paraId="61CB2C0F">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lang w:val="en-US" w:eastAsia="zh-CN" w:bidi="ar"/>
        </w:rPr>
        <w:t xml:space="preserve">1. </w:t>
      </w:r>
      <w:r>
        <w:rPr>
          <w:rFonts w:hint="eastAsia" w:ascii="宋体" w:hAnsi="宋体" w:eastAsia="宋体" w:cs="宋体"/>
          <w:bCs w:val="0"/>
          <w:color w:val="auto"/>
          <w:kern w:val="2"/>
          <w:sz w:val="24"/>
          <w:szCs w:val="24"/>
          <w:highlight w:val="none"/>
          <w:lang w:val="en-US" w:eastAsia="zh-CN" w:bidi="ar"/>
        </w:rPr>
        <w:t>工程名称</w:t>
      </w:r>
      <w:r>
        <w:rPr>
          <w:rFonts w:hint="eastAsia" w:ascii="宋体" w:hAnsi="宋体" w:eastAsia="宋体" w:cs="宋体"/>
          <w:color w:val="auto"/>
          <w:kern w:val="2"/>
          <w:sz w:val="24"/>
          <w:szCs w:val="24"/>
          <w:highlight w:val="none"/>
          <w:lang w:val="en-US" w:eastAsia="zh-CN" w:bidi="ar"/>
        </w:rPr>
        <w:t>：</w:t>
      </w:r>
      <w:r>
        <w:rPr>
          <w:rFonts w:hint="eastAsia" w:ascii="宋体" w:hAnsi="宋体" w:cs="宋体"/>
          <w:color w:val="auto"/>
          <w:kern w:val="2"/>
          <w:sz w:val="24"/>
          <w:szCs w:val="24"/>
          <w:highlight w:val="none"/>
          <w:u w:val="single"/>
          <w:lang w:val="en-US" w:eastAsia="zh-CN" w:bidi="ar"/>
        </w:rPr>
        <w:t>明湖公园园路应急工程工程量清单及最高投标限价编制服务项目</w:t>
      </w:r>
    </w:p>
    <w:p w14:paraId="32D08296">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color w:val="auto"/>
          <w:kern w:val="2"/>
          <w:sz w:val="24"/>
          <w:szCs w:val="24"/>
          <w:highlight w:val="none"/>
          <w:u w:val="none"/>
          <w:lang w:val="en-US" w:eastAsia="zh-CN" w:bidi="ar"/>
        </w:rPr>
        <w:t>2. 工程地点：</w:t>
      </w:r>
      <w:r>
        <w:rPr>
          <w:rFonts w:hint="eastAsia" w:ascii="宋体" w:hAnsi="宋体" w:cs="宋体"/>
          <w:color w:val="auto"/>
          <w:kern w:val="2"/>
          <w:sz w:val="24"/>
          <w:szCs w:val="24"/>
          <w:highlight w:val="none"/>
          <w:u w:val="single"/>
          <w:lang w:val="en-US" w:eastAsia="zh-CN" w:bidi="ar"/>
        </w:rPr>
        <w:t>滁州市</w:t>
      </w:r>
    </w:p>
    <w:p w14:paraId="7BCB6CBE">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3. </w:t>
      </w:r>
      <w:r>
        <w:rPr>
          <w:rFonts w:hint="eastAsia" w:ascii="宋体" w:hAnsi="宋体" w:eastAsia="宋体" w:cs="宋体"/>
          <w:bCs w:val="0"/>
          <w:color w:val="auto"/>
          <w:kern w:val="2"/>
          <w:sz w:val="24"/>
          <w:szCs w:val="24"/>
          <w:highlight w:val="none"/>
          <w:lang w:val="en-US" w:eastAsia="zh-CN" w:bidi="ar"/>
        </w:rPr>
        <w:t>工程规模：</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w:t>
      </w:r>
    </w:p>
    <w:p w14:paraId="1FFD75C0">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二、咨询业务范围</w:t>
      </w:r>
    </w:p>
    <w:p w14:paraId="65066C61">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u w:val="single"/>
          <w:lang w:val="en-US" w:eastAsia="zh-CN" w:bidi="ar"/>
        </w:rPr>
      </w:pPr>
      <w:r>
        <w:rPr>
          <w:rFonts w:hint="eastAsia" w:ascii="宋体" w:hAnsi="宋体" w:eastAsia="宋体" w:cs="宋体"/>
          <w:bCs w:val="0"/>
          <w:color w:val="auto"/>
          <w:kern w:val="2"/>
          <w:sz w:val="24"/>
          <w:szCs w:val="24"/>
          <w:highlight w:val="none"/>
          <w:u w:val="single"/>
          <w:lang w:val="en-US" w:eastAsia="zh-CN" w:bidi="ar"/>
        </w:rPr>
        <w:t>工程量清单及最高投标限价编制服务</w:t>
      </w:r>
    </w:p>
    <w:p w14:paraId="23FD6909">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三、咨询期限</w:t>
      </w:r>
    </w:p>
    <w:p w14:paraId="1D56BA86">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lang w:val="en-US" w:eastAsia="zh-CN" w:bidi="ar"/>
        </w:rPr>
      </w:pPr>
      <w:r>
        <w:rPr>
          <w:rFonts w:hint="eastAsia" w:ascii="宋体" w:hAnsi="宋体" w:eastAsia="宋体" w:cs="宋体"/>
          <w:bCs w:val="0"/>
          <w:color w:val="auto"/>
          <w:kern w:val="2"/>
          <w:sz w:val="24"/>
          <w:szCs w:val="24"/>
          <w:highlight w:val="none"/>
          <w:lang w:val="en-US" w:eastAsia="zh-CN" w:bidi="ar"/>
        </w:rPr>
        <w:t>领取图纸之日起</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日内完成工程量清单和最高投标限价的编制及备案工作。</w:t>
      </w:r>
    </w:p>
    <w:p w14:paraId="5DA37E0F">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计划开始日期：</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年</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月</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日。</w:t>
      </w:r>
    </w:p>
    <w:p w14:paraId="1AE40EF5">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计划结束日期：</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年</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月</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日。</w:t>
      </w:r>
    </w:p>
    <w:p w14:paraId="63D1DD2E">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四、质量标准</w:t>
      </w:r>
    </w:p>
    <w:p w14:paraId="73B69814">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lang w:val="en-US" w:eastAsia="zh-CN" w:bidi="ar"/>
        </w:rPr>
      </w:pPr>
      <w:r>
        <w:rPr>
          <w:rFonts w:hint="eastAsia" w:ascii="宋体" w:hAnsi="宋体" w:eastAsia="宋体" w:cs="宋体"/>
          <w:bCs w:val="0"/>
          <w:color w:val="auto"/>
          <w:kern w:val="2"/>
          <w:sz w:val="24"/>
          <w:szCs w:val="24"/>
          <w:highlight w:val="none"/>
          <w:lang w:val="en-US" w:eastAsia="zh-CN" w:bidi="ar"/>
        </w:rPr>
        <w:t>符合《建设工程造价咨询成果文件质量标准》（CECA/GCF2012）</w:t>
      </w:r>
      <w:r>
        <w:rPr>
          <w:rFonts w:hint="eastAsia" w:ascii="宋体" w:hAnsi="宋体" w:cs="宋体"/>
          <w:bCs w:val="0"/>
          <w:color w:val="auto"/>
          <w:kern w:val="2"/>
          <w:sz w:val="24"/>
          <w:szCs w:val="24"/>
          <w:highlight w:val="none"/>
          <w:lang w:val="en-US" w:eastAsia="zh-CN" w:bidi="ar"/>
        </w:rPr>
        <w:t>。</w:t>
      </w:r>
    </w:p>
    <w:p w14:paraId="5C787948">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 xml:space="preserve">五、咨询酬金 </w:t>
      </w:r>
    </w:p>
    <w:p w14:paraId="1FB289B2">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支付方式：</w:t>
      </w:r>
      <w:r>
        <w:rPr>
          <w:rFonts w:hint="eastAsia" w:ascii="宋体" w:hAnsi="宋体" w:cs="宋体"/>
          <w:b/>
          <w:bCs/>
          <w:color w:val="auto"/>
          <w:kern w:val="2"/>
          <w:sz w:val="24"/>
          <w:szCs w:val="24"/>
          <w:highlight w:val="none"/>
          <w:u w:val="single"/>
          <w:lang w:val="en-US" w:eastAsia="zh-CN" w:bidi="ar"/>
        </w:rPr>
        <w:t>相关工作成果经招标人或主管部门确认，并完成核对工作后，支付编制费用的50%，余款待工程竣工验收合格结算后30日内一次性付清。</w:t>
      </w:r>
    </w:p>
    <w:p w14:paraId="1D6093F3">
      <w:pPr>
        <w:keepNext w:val="0"/>
        <w:keepLines w:val="0"/>
        <w:widowControl w:val="0"/>
        <w:suppressLineNumbers w:val="0"/>
        <w:spacing w:before="153" w:beforeLines="50" w:beforeAutospacing="0" w:after="0" w:afterAutospacing="0" w:line="400" w:lineRule="exact"/>
        <w:ind w:left="0" w:right="0" w:firstLine="720" w:firstLineChars="3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费率，《收费标准》计算费用的</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w:t>
      </w:r>
    </w:p>
    <w:p w14:paraId="70F01EE9">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六、履约保证金</w:t>
      </w:r>
    </w:p>
    <w:p w14:paraId="6C0957B0">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0"/>
          <w:sz w:val="24"/>
          <w:szCs w:val="24"/>
          <w:highlight w:val="none"/>
        </w:rPr>
      </w:pPr>
      <w:r>
        <w:rPr>
          <w:rFonts w:hint="eastAsia" w:ascii="宋体" w:hAnsi="宋体" w:cs="宋体"/>
          <w:b w:val="0"/>
          <w:bCs w:val="0"/>
          <w:color w:val="auto"/>
          <w:kern w:val="2"/>
          <w:sz w:val="24"/>
          <w:szCs w:val="24"/>
          <w:highlight w:val="none"/>
          <w:lang w:val="en-US" w:eastAsia="zh-CN" w:bidi="ar"/>
        </w:rPr>
        <w:t xml:space="preserve"> 本项目不需要缴纳履约保证金</w:t>
      </w:r>
      <w:r>
        <w:rPr>
          <w:rFonts w:hint="eastAsia" w:ascii="宋体" w:hAnsi="宋体" w:eastAsia="宋体" w:cs="宋体"/>
          <w:b w:val="0"/>
          <w:bCs w:val="0"/>
          <w:color w:val="auto"/>
          <w:kern w:val="2"/>
          <w:sz w:val="24"/>
          <w:szCs w:val="24"/>
          <w:highlight w:val="none"/>
          <w:lang w:val="en-US" w:eastAsia="zh-CN" w:bidi="ar"/>
        </w:rPr>
        <w:t>。</w:t>
      </w:r>
    </w:p>
    <w:p w14:paraId="0313D4AC">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七、合同文件构成</w:t>
      </w:r>
    </w:p>
    <w:p w14:paraId="0467C1B3">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本协议书与下列文件一起构成造价咨询合同文件：</w:t>
      </w:r>
    </w:p>
    <w:p w14:paraId="7C6A99DB">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中标通知书（如果有）；</w:t>
      </w:r>
    </w:p>
    <w:p w14:paraId="2BE3FEED">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 xml:space="preserve">投标函及其附录（如果有）； </w:t>
      </w:r>
    </w:p>
    <w:p w14:paraId="131AB3E3">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通用合同条款；</w:t>
      </w:r>
    </w:p>
    <w:p w14:paraId="4B1087FE">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专用合同条款。</w:t>
      </w:r>
    </w:p>
    <w:p w14:paraId="183B3E33">
      <w:pPr>
        <w:keepNext w:val="0"/>
        <w:keepLines w:val="0"/>
        <w:widowControl w:val="0"/>
        <w:suppressLineNumbers w:val="0"/>
        <w:autoSpaceDE w:val="0"/>
        <w:autoSpaceDN w:val="0"/>
        <w:adjustRightInd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在合同订立及履行过程中形成的与合同有关的文件均构成合同文件组成部分。</w:t>
      </w:r>
    </w:p>
    <w:p w14:paraId="1008414D">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上述各项合同文件包括合同当事人就该项合同文件所作出的补充和修改，属于同一类内容的文件，应以最新签署的为准。</w:t>
      </w:r>
    </w:p>
    <w:p w14:paraId="1387D53E">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八、词语含义</w:t>
      </w:r>
    </w:p>
    <w:p w14:paraId="16D16D48">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本协议书中词语含义与第二部分通用合同条款中赋予的含义相同。</w:t>
      </w:r>
    </w:p>
    <w:p w14:paraId="4C2D7D87">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九、本合同于</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年</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月</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日签订。</w:t>
      </w:r>
    </w:p>
    <w:p w14:paraId="3AFA8BC9">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十、签订地点</w:t>
      </w:r>
    </w:p>
    <w:p w14:paraId="5093C671">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本合同在</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b w:val="0"/>
          <w:color w:val="auto"/>
          <w:kern w:val="2"/>
          <w:sz w:val="24"/>
          <w:szCs w:val="24"/>
          <w:highlight w:val="none"/>
          <w:u w:val="single"/>
          <w:lang w:val="en-US" w:eastAsia="zh-CN" w:bidi="ar"/>
        </w:rPr>
        <w:t>滁州市明湖建设管理服务中心</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签订。</w:t>
      </w:r>
    </w:p>
    <w:p w14:paraId="79039180">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十一、补充协议</w:t>
      </w:r>
    </w:p>
    <w:p w14:paraId="7AD6BE1C">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合同未尽事宜，合同当事人另行签订补充协议，补充协议是合同的组成部分。</w:t>
      </w:r>
    </w:p>
    <w:p w14:paraId="63F7719F">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十二、合同生效</w:t>
      </w:r>
    </w:p>
    <w:p w14:paraId="4F83DD4A">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本合同自</w:t>
      </w:r>
      <w:r>
        <w:rPr>
          <w:rFonts w:hint="eastAsia" w:ascii="宋体" w:hAnsi="宋体" w:cs="宋体"/>
          <w:color w:val="auto"/>
          <w:kern w:val="2"/>
          <w:sz w:val="24"/>
          <w:szCs w:val="24"/>
          <w:highlight w:val="none"/>
          <w:u w:val="single"/>
          <w:lang w:val="en-US" w:eastAsia="zh-CN" w:bidi="ar"/>
        </w:rPr>
        <w:t>甲乙双方盖章后</w:t>
      </w:r>
      <w:r>
        <w:rPr>
          <w:rFonts w:hint="eastAsia" w:ascii="宋体" w:hAnsi="宋体" w:eastAsia="宋体" w:cs="宋体"/>
          <w:color w:val="auto"/>
          <w:kern w:val="2"/>
          <w:sz w:val="24"/>
          <w:szCs w:val="24"/>
          <w:highlight w:val="none"/>
          <w:lang w:val="en-US" w:eastAsia="zh-CN" w:bidi="ar"/>
        </w:rPr>
        <w:t>生效。</w:t>
      </w:r>
    </w:p>
    <w:p w14:paraId="2AF75075">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十三、合同份数</w:t>
      </w:r>
    </w:p>
    <w:p w14:paraId="6411AA19">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本合同一式</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4</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份，均具有同等法律效力，委托人</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2</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份，受托人</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2</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份。</w:t>
      </w:r>
    </w:p>
    <w:p w14:paraId="30DE53EB">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 xml:space="preserve"> </w:t>
      </w:r>
    </w:p>
    <w:p w14:paraId="631BB8ED">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委托人：  （公章）                       受托人：  （公章）</w:t>
      </w:r>
    </w:p>
    <w:p w14:paraId="6310F0DA">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7EED1143">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FB85B8D">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法定代表人或其委托代理人：              法定代表人或其委托代理人：</w:t>
      </w:r>
    </w:p>
    <w:p w14:paraId="2DE921B2">
      <w:pPr>
        <w:keepNext w:val="0"/>
        <w:keepLines w:val="0"/>
        <w:widowControl w:val="0"/>
        <w:suppressLineNumbers w:val="0"/>
        <w:spacing w:before="0" w:beforeAutospacing="0" w:after="0" w:afterAutospacing="0" w:line="400" w:lineRule="exact"/>
        <w:ind w:left="0" w:right="0" w:firstLine="960" w:firstLineChars="4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（签字）                               （签字）</w:t>
      </w:r>
    </w:p>
    <w:p w14:paraId="569BF31A">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8998B14">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    址：</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地    址：</w:t>
      </w:r>
      <w:r>
        <w:rPr>
          <w:rFonts w:hint="eastAsia" w:ascii="宋体" w:hAnsi="宋体" w:eastAsia="宋体" w:cs="宋体"/>
          <w:color w:val="auto"/>
          <w:kern w:val="2"/>
          <w:sz w:val="24"/>
          <w:szCs w:val="24"/>
          <w:highlight w:val="none"/>
          <w:u w:val="single"/>
          <w:lang w:val="en-US" w:eastAsia="zh-CN" w:bidi="ar"/>
        </w:rPr>
        <w:t xml:space="preserve">                </w:t>
      </w:r>
    </w:p>
    <w:p w14:paraId="4057472B">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邮政编码：</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邮政编码：</w:t>
      </w:r>
      <w:r>
        <w:rPr>
          <w:rFonts w:hint="eastAsia" w:ascii="宋体" w:hAnsi="宋体" w:eastAsia="宋体" w:cs="宋体"/>
          <w:color w:val="auto"/>
          <w:kern w:val="2"/>
          <w:sz w:val="24"/>
          <w:szCs w:val="24"/>
          <w:highlight w:val="none"/>
          <w:u w:val="single"/>
          <w:lang w:val="en-US" w:eastAsia="zh-CN" w:bidi="ar"/>
        </w:rPr>
        <w:t xml:space="preserve">                  </w:t>
      </w:r>
    </w:p>
    <w:p w14:paraId="4BF31FE9">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    话：</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电    话：</w:t>
      </w:r>
      <w:r>
        <w:rPr>
          <w:rFonts w:hint="eastAsia" w:ascii="宋体" w:hAnsi="宋体" w:eastAsia="宋体" w:cs="宋体"/>
          <w:color w:val="auto"/>
          <w:kern w:val="2"/>
          <w:sz w:val="24"/>
          <w:szCs w:val="24"/>
          <w:highlight w:val="none"/>
          <w:u w:val="single"/>
          <w:lang w:val="en-US" w:eastAsia="zh-CN" w:bidi="ar"/>
        </w:rPr>
        <w:t xml:space="preserve">                  </w:t>
      </w:r>
    </w:p>
    <w:p w14:paraId="668B16AA">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传    真：</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传    真：</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w:t>
      </w:r>
    </w:p>
    <w:p w14:paraId="4EDA71CF">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电子信箱：</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电子信箱：</w:t>
      </w:r>
      <w:r>
        <w:rPr>
          <w:rFonts w:hint="eastAsia" w:ascii="宋体" w:hAnsi="宋体" w:eastAsia="宋体" w:cs="宋体"/>
          <w:color w:val="auto"/>
          <w:kern w:val="2"/>
          <w:sz w:val="24"/>
          <w:szCs w:val="24"/>
          <w:highlight w:val="none"/>
          <w:u w:val="single"/>
          <w:lang w:val="en-US" w:eastAsia="zh-CN" w:bidi="ar"/>
        </w:rPr>
        <w:t xml:space="preserve">                  </w:t>
      </w:r>
    </w:p>
    <w:p w14:paraId="0C610547">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开户银行：</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开户银行：</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w:t>
      </w:r>
    </w:p>
    <w:p w14:paraId="0A0B3F9F">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账    号：</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账    号：</w:t>
      </w:r>
      <w:r>
        <w:rPr>
          <w:rFonts w:hint="eastAsia" w:ascii="宋体" w:hAnsi="宋体" w:eastAsia="宋体" w:cs="宋体"/>
          <w:color w:val="auto"/>
          <w:kern w:val="2"/>
          <w:sz w:val="24"/>
          <w:szCs w:val="24"/>
          <w:highlight w:val="none"/>
          <w:u w:val="single"/>
          <w:lang w:val="en-US" w:eastAsia="zh-CN" w:bidi="ar"/>
        </w:rPr>
        <w:t xml:space="preserve">                                    </w:t>
      </w:r>
    </w:p>
    <w:p w14:paraId="0AB9A65D">
      <w:pPr>
        <w:keepNext w:val="0"/>
        <w:keepLines w:val="0"/>
        <w:widowControl w:val="0"/>
        <w:suppressLineNumbers w:val="0"/>
        <w:spacing w:before="0" w:beforeLines="50" w:beforeAutospacing="0" w:after="0" w:afterLines="3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7359ECEF">
      <w:pPr>
        <w:keepNext w:val="0"/>
        <w:keepLines w:val="0"/>
        <w:widowControl w:val="0"/>
        <w:suppressLineNumbers w:val="0"/>
        <w:spacing w:before="0" w:beforeLines="50" w:beforeAutospacing="0" w:after="0" w:afterLines="3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5DC2AC0">
      <w:pPr>
        <w:keepNext w:val="0"/>
        <w:keepLines w:val="0"/>
        <w:widowControl w:val="0"/>
        <w:suppressLineNumbers w:val="0"/>
        <w:spacing w:before="153" w:beforeLines="50" w:beforeAutospacing="0" w:after="153" w:afterLines="50" w:afterAutospacing="0" w:line="400" w:lineRule="exact"/>
        <w:ind w:left="0" w:right="0" w:firstLine="0" w:firstLineChars="0"/>
        <w:jc w:val="center"/>
        <w:outlineLvl w:val="2"/>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bidi="ar"/>
        </w:rPr>
        <w:br w:type="page"/>
      </w:r>
      <w:r>
        <w:rPr>
          <w:rFonts w:hint="eastAsia" w:ascii="宋体" w:hAnsi="宋体" w:eastAsia="宋体" w:cs="宋体"/>
          <w:b/>
          <w:bCs/>
          <w:color w:val="auto"/>
          <w:kern w:val="2"/>
          <w:sz w:val="24"/>
          <w:szCs w:val="24"/>
          <w:highlight w:val="none"/>
          <w:lang w:val="en-US" w:eastAsia="zh-CN" w:bidi="ar"/>
        </w:rPr>
        <w:t>第二部分  通用合同条款</w:t>
      </w:r>
    </w:p>
    <w:p w14:paraId="655CAF52">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bookmarkStart w:id="69" w:name="_Toc303538973"/>
      <w:bookmarkEnd w:id="69"/>
      <w:bookmarkStart w:id="70" w:name="_Toc303538974"/>
      <w:bookmarkEnd w:id="70"/>
      <w:bookmarkStart w:id="71" w:name="_Toc303538976"/>
      <w:bookmarkEnd w:id="71"/>
      <w:bookmarkStart w:id="72" w:name="_Toc303538972"/>
      <w:bookmarkEnd w:id="72"/>
      <w:bookmarkStart w:id="73" w:name="_Toc303538975"/>
      <w:bookmarkEnd w:id="73"/>
      <w:bookmarkStart w:id="74" w:name="_Toc296503027"/>
      <w:bookmarkStart w:id="75" w:name="_Toc296346528"/>
      <w:r>
        <w:rPr>
          <w:rFonts w:hint="eastAsia" w:ascii="宋体" w:hAnsi="宋体" w:eastAsia="宋体" w:cs="宋体"/>
          <w:b w:val="0"/>
          <w:color w:val="auto"/>
          <w:sz w:val="24"/>
          <w:szCs w:val="24"/>
          <w:highlight w:val="none"/>
        </w:rPr>
        <w:t xml:space="preserve"> 一般约定</w:t>
      </w:r>
      <w:bookmarkEnd w:id="74"/>
      <w:bookmarkEnd w:id="75"/>
    </w:p>
    <w:p w14:paraId="0DFBE77C">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76" w:name="_Toc296503028"/>
      <w:bookmarkStart w:id="77" w:name="_Toc337558728"/>
      <w:bookmarkStart w:id="78" w:name="_Toc296346529"/>
      <w:bookmarkStart w:id="79" w:name="_Toc407261895"/>
      <w:r>
        <w:rPr>
          <w:rFonts w:hint="eastAsia" w:ascii="宋体" w:hAnsi="宋体" w:eastAsia="宋体" w:cs="宋体"/>
          <w:color w:val="auto"/>
          <w:sz w:val="24"/>
          <w:szCs w:val="24"/>
          <w:highlight w:val="none"/>
        </w:rPr>
        <w:t>1.1 词语定义</w:t>
      </w:r>
      <w:bookmarkEnd w:id="76"/>
      <w:bookmarkEnd w:id="77"/>
      <w:bookmarkEnd w:id="78"/>
      <w:r>
        <w:rPr>
          <w:rFonts w:hint="eastAsia" w:ascii="宋体" w:hAnsi="宋体" w:eastAsia="宋体" w:cs="宋体"/>
          <w:color w:val="auto"/>
          <w:sz w:val="24"/>
          <w:szCs w:val="24"/>
          <w:highlight w:val="none"/>
        </w:rPr>
        <w:t>与解释</w:t>
      </w:r>
      <w:bookmarkEnd w:id="79"/>
    </w:p>
    <w:p w14:paraId="6B03375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合同协议书、通用合同条款、专用合同条款中的下列词语具有本款所赋予的含义：</w:t>
      </w:r>
    </w:p>
    <w:p w14:paraId="7BF3889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委托人：是指与咨询人签订合同协议书的当事人及取得该当事人资格的合法继承人。</w:t>
      </w:r>
    </w:p>
    <w:p w14:paraId="189DC1D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咨询人：是指与委托人签订合同协议书的，具有相应工程造价咨询资质的当事人及取得该当事人资格的合法继承人。</w:t>
      </w:r>
    </w:p>
    <w:p w14:paraId="401A149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第三人：是指除委托人、咨询人以外与本咨询业务有关的当事人。</w:t>
      </w:r>
    </w:p>
    <w:p w14:paraId="23445B4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工程造价咨询：是指咨询人接受委托人的委托，运用工程造价的专业技能，为建设项目决策、设计、交易、实施、结算等各个阶段工程计价和工程造价管理提供的有偿服务。</w:t>
      </w:r>
    </w:p>
    <w:p w14:paraId="297DD85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1.1.5 工程造价咨询成果文件：是指咨询人在承担工程造价咨询业务时，为委托人出具的具有法律责任，反映各阶段工程造价确定与控制成果的文件。包括：投资估算书、设计概算书、施工图预算书、竣工结算书、工程量清单、招标控制价、工程计量与支付、工程索赔、工程造价鉴定意见书等文件。 </w:t>
      </w:r>
    </w:p>
    <w:p w14:paraId="0A8E35A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 综合误差率：是指工程造价咨询成果文件中审查出的编制错误的累计金额与最终修正后造价总额的比率。</w:t>
      </w:r>
    </w:p>
    <w:p w14:paraId="769ED89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 酬金：是指咨询人履行本合同义务，委托人按照本合同约定给付咨询人的金额。</w:t>
      </w:r>
    </w:p>
    <w:p w14:paraId="6671FAE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1.1.8 费用：是指不包含在酬金之内应由委托人承担的经济支出。</w:t>
      </w:r>
    </w:p>
    <w:p w14:paraId="375769F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1.1.9 书面形式：是指合同书、信件和数据电文等可以有形地表现所载内容的形式。</w:t>
      </w:r>
    </w:p>
    <w:p w14:paraId="382D1515">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0" w:name="_Toc296346530"/>
      <w:bookmarkStart w:id="81" w:name="_Toc296503029"/>
      <w:bookmarkStart w:id="82" w:name="_Toc337558729"/>
      <w:bookmarkStart w:id="83" w:name="_Toc407261896"/>
      <w:r>
        <w:rPr>
          <w:rFonts w:hint="eastAsia" w:ascii="宋体" w:hAnsi="宋体" w:eastAsia="宋体" w:cs="宋体"/>
          <w:color w:val="auto"/>
          <w:sz w:val="24"/>
          <w:szCs w:val="24"/>
          <w:highlight w:val="none"/>
        </w:rPr>
        <w:t>1.2 语言文字</w:t>
      </w:r>
      <w:bookmarkEnd w:id="80"/>
      <w:bookmarkEnd w:id="81"/>
      <w:bookmarkEnd w:id="82"/>
      <w:bookmarkEnd w:id="83"/>
    </w:p>
    <w:p w14:paraId="7EB4D68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合同以中国的汉语简体文字编写、解释和说明。合同当事人在专用合同条款中约定使用两种以上语言时，汉语为优先解释和说明合同的语言。</w:t>
      </w:r>
    </w:p>
    <w:p w14:paraId="3D9C3E29">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4" w:name="_Toc296346531"/>
      <w:bookmarkStart w:id="85" w:name="_Toc407261897"/>
      <w:bookmarkStart w:id="86" w:name="_Toc337558730"/>
      <w:bookmarkStart w:id="87" w:name="_Toc296503030"/>
      <w:r>
        <w:rPr>
          <w:rFonts w:hint="eastAsia" w:ascii="宋体" w:hAnsi="宋体" w:eastAsia="宋体" w:cs="宋体"/>
          <w:color w:val="auto"/>
          <w:sz w:val="24"/>
          <w:szCs w:val="24"/>
          <w:highlight w:val="none"/>
        </w:rPr>
        <w:t>1.3 法律</w:t>
      </w:r>
      <w:bookmarkEnd w:id="84"/>
      <w:bookmarkEnd w:id="85"/>
      <w:bookmarkEnd w:id="86"/>
      <w:bookmarkEnd w:id="87"/>
    </w:p>
    <w:p w14:paraId="6E211FE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合同所称法律是指中华人民共和国法律、行政法规、部门规章，以及本省地方性法规、规章等。</w:t>
      </w:r>
    </w:p>
    <w:p w14:paraId="32849A1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合同当事人可以在专用合同条款中约定合同适用的其他规范性文件。</w:t>
      </w:r>
    </w:p>
    <w:p w14:paraId="18948736">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8" w:name="_Toc407261898"/>
      <w:r>
        <w:rPr>
          <w:rFonts w:hint="eastAsia" w:ascii="宋体" w:hAnsi="宋体" w:eastAsia="宋体" w:cs="宋体"/>
          <w:color w:val="auto"/>
          <w:sz w:val="24"/>
          <w:szCs w:val="24"/>
          <w:highlight w:val="none"/>
        </w:rPr>
        <w:t>1.4 标准和规范</w:t>
      </w:r>
      <w:bookmarkEnd w:id="88"/>
    </w:p>
    <w:p w14:paraId="4802845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适用于工程造价咨询的国家标准、行业标准、本省地方性标准，以及相应的规范、规程等，合同当事人有特别要求的，应在专用合同条款中约定。</w:t>
      </w:r>
    </w:p>
    <w:p w14:paraId="6B1F8263">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9" w:name="_Toc407261899"/>
      <w:r>
        <w:rPr>
          <w:rFonts w:hint="eastAsia" w:ascii="宋体" w:hAnsi="宋体" w:eastAsia="宋体" w:cs="宋体"/>
          <w:color w:val="auto"/>
          <w:sz w:val="24"/>
          <w:szCs w:val="24"/>
          <w:highlight w:val="none"/>
        </w:rPr>
        <w:t>1</w:t>
      </w:r>
      <w:bookmarkStart w:id="90" w:name="_Toc337558731"/>
      <w:bookmarkStart w:id="91" w:name="_Toc296346532"/>
      <w:bookmarkStart w:id="92" w:name="_Toc296503031"/>
      <w:r>
        <w:rPr>
          <w:rFonts w:hint="eastAsia" w:ascii="宋体" w:hAnsi="宋体" w:eastAsia="宋体" w:cs="宋体"/>
          <w:color w:val="auto"/>
          <w:sz w:val="24"/>
          <w:szCs w:val="24"/>
          <w:highlight w:val="none"/>
        </w:rPr>
        <w:t>.5 合同文件的优先顺序</w:t>
      </w:r>
      <w:bookmarkEnd w:id="89"/>
    </w:p>
    <w:bookmarkEnd w:id="90"/>
    <w:bookmarkEnd w:id="91"/>
    <w:bookmarkEnd w:id="92"/>
    <w:p w14:paraId="2E8DF5A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组成合同的各项文件应互相解释，互为说明。除专用合同条款另有约定外，解释合同文件的优先顺序如下：</w:t>
      </w:r>
    </w:p>
    <w:p w14:paraId="5D7972B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合同协议书；</w:t>
      </w:r>
    </w:p>
    <w:p w14:paraId="7FA5135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中标通知书（如果有）；</w:t>
      </w:r>
    </w:p>
    <w:p w14:paraId="6B7D68FE">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投标函及其附录（如果有）；</w:t>
      </w:r>
    </w:p>
    <w:p w14:paraId="3574D11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专用合同条款；</w:t>
      </w:r>
    </w:p>
    <w:p w14:paraId="612E66C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通用合同条款。</w:t>
      </w:r>
    </w:p>
    <w:p w14:paraId="7608230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w:t>
      </w:r>
    </w:p>
    <w:p w14:paraId="75B3BAA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在合同订立及履行过程中形成的与合同有关的文件均构成合同文件组成部分，并根据其性质确定优先解释顺序。</w:t>
      </w:r>
    </w:p>
    <w:p w14:paraId="2DE4FB41">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93" w:name="_Toc351203502"/>
      <w:bookmarkStart w:id="94" w:name="_Toc407261900"/>
      <w:r>
        <w:rPr>
          <w:rFonts w:hint="eastAsia" w:ascii="宋体" w:hAnsi="宋体" w:eastAsia="宋体" w:cs="宋体"/>
          <w:color w:val="auto"/>
          <w:sz w:val="24"/>
          <w:szCs w:val="24"/>
          <w:highlight w:val="none"/>
        </w:rPr>
        <w:t>1</w:t>
      </w:r>
      <w:bookmarkStart w:id="95" w:name="_Toc337558733"/>
      <w:bookmarkStart w:id="96" w:name="_Toc296503033"/>
      <w:bookmarkStart w:id="97" w:name="_Toc296346534"/>
      <w:r>
        <w:rPr>
          <w:rFonts w:hint="eastAsia" w:ascii="宋体" w:hAnsi="宋体" w:eastAsia="宋体" w:cs="宋体"/>
          <w:color w:val="auto"/>
          <w:sz w:val="24"/>
          <w:szCs w:val="24"/>
          <w:highlight w:val="none"/>
        </w:rPr>
        <w:t>.6 联络</w:t>
      </w:r>
      <w:bookmarkEnd w:id="93"/>
      <w:bookmarkEnd w:id="94"/>
    </w:p>
    <w:bookmarkEnd w:id="95"/>
    <w:bookmarkEnd w:id="96"/>
    <w:bookmarkEnd w:id="97"/>
    <w:p w14:paraId="39AB8AB4">
      <w:pPr>
        <w:pageBreakBefore w:val="0"/>
        <w:widowControl w:val="0"/>
        <w:kinsoku/>
        <w:wordWrap/>
        <w:overflowPunct/>
        <w:topLinePunct w:val="0"/>
        <w:autoSpaceDE w:val="0"/>
        <w:autoSpaceDN w:val="0"/>
        <w:bidi w:val="0"/>
        <w:adjustRightInd w:val="0"/>
        <w:snapToGrid/>
        <w:spacing w:beforeLines="0" w:afterLines="0" w:line="49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kern w:val="0"/>
          <w:sz w:val="24"/>
          <w:szCs w:val="24"/>
          <w:highlight w:val="none"/>
        </w:rPr>
        <w:t xml:space="preserve"> 与合同有关的通知、批准、证明、证书、指示、指令、要求、请求、同意、意见、确定和决定等，均应采用书面形式，并应在合同约定的期限内送达接收人和送达地点。</w:t>
      </w:r>
    </w:p>
    <w:p w14:paraId="2F70B389">
      <w:pPr>
        <w:pageBreakBefore w:val="0"/>
        <w:widowControl w:val="0"/>
        <w:kinsoku/>
        <w:wordWrap/>
        <w:overflowPunct/>
        <w:topLinePunct w:val="0"/>
        <w:autoSpaceDE w:val="0"/>
        <w:autoSpaceDN w:val="0"/>
        <w:bidi w:val="0"/>
        <w:adjustRightInd w:val="0"/>
        <w:snapToGrid/>
        <w:spacing w:beforeLines="0" w:afterLines="0" w:line="49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1.6.2</w:t>
      </w:r>
      <w:r>
        <w:rPr>
          <w:rFonts w:hint="eastAsia" w:ascii="宋体" w:hAnsi="宋体" w:eastAsia="宋体" w:cs="宋体"/>
          <w:color w:val="auto"/>
          <w:kern w:val="0"/>
          <w:sz w:val="24"/>
          <w:szCs w:val="24"/>
          <w:highlight w:val="none"/>
        </w:rPr>
        <w:t xml:space="preserve"> 委托人和咨询人应在专用合同条款中约定各自的送达接收人、送达地点、电子邮箱。任何一方合同当事人指定的接收人或送达地点或电子邮箱发生变动的，应提前3天以书面形式通知对方。</w:t>
      </w:r>
    </w:p>
    <w:p w14:paraId="5FD7D84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r>
        <w:rPr>
          <w:rFonts w:hint="eastAsia" w:ascii="宋体" w:hAnsi="宋体" w:eastAsia="宋体" w:cs="宋体"/>
          <w:color w:val="auto"/>
          <w:kern w:val="0"/>
          <w:sz w:val="24"/>
          <w:szCs w:val="24"/>
          <w:highlight w:val="none"/>
        </w:rPr>
        <w:t xml:space="preserve"> 委托人和咨询人应当及时签收另一方送达至送达地点和指定接收人的来往信函。拒不签收的，由此增加的费用和延误的咨询期限由拒绝接收一方承担。</w:t>
      </w:r>
    </w:p>
    <w:p w14:paraId="6E9285BE">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98" w:name="_Toc407261901"/>
      <w:r>
        <w:rPr>
          <w:rFonts w:hint="eastAsia" w:ascii="宋体" w:hAnsi="宋体" w:eastAsia="宋体" w:cs="宋体"/>
          <w:color w:val="auto"/>
          <w:sz w:val="24"/>
          <w:szCs w:val="24"/>
          <w:highlight w:val="none"/>
        </w:rPr>
        <w:t>1.7 守法诚信</w:t>
      </w:r>
      <w:bookmarkEnd w:id="98"/>
    </w:p>
    <w:p w14:paraId="24B9E2A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从事工程造价咨询活动，应当遵循独立、客观、公正、诚实信用的原则，不得损害社会公共利益和他人的合法权益。除委托人书面同意外，咨询人及其工程造价专业人员不得从与实施工程造价咨询业务有关的第三人处获得任何经济利益。</w:t>
      </w:r>
    </w:p>
    <w:p w14:paraId="2415EEBD">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99" w:name="_Toc407261902"/>
      <w:r>
        <w:rPr>
          <w:rFonts w:hint="eastAsia" w:ascii="宋体" w:hAnsi="宋体" w:eastAsia="宋体" w:cs="宋体"/>
          <w:color w:val="auto"/>
          <w:sz w:val="24"/>
          <w:szCs w:val="24"/>
          <w:highlight w:val="none"/>
        </w:rPr>
        <w:t>1.8 保密</w:t>
      </w:r>
      <w:bookmarkEnd w:id="99"/>
    </w:p>
    <w:p w14:paraId="521AD79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双方不得泄露对方申明的保密资料，亦不得泄露与实施工程造价咨询业务有关的第三人所提供的保密资料，保密事项在专用合同条款中约定。</w:t>
      </w:r>
    </w:p>
    <w:p w14:paraId="408ADD0D">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00" w:name="_Toc407261903"/>
      <w:r>
        <w:rPr>
          <w:rFonts w:hint="eastAsia" w:ascii="宋体" w:hAnsi="宋体" w:eastAsia="宋体" w:cs="宋体"/>
          <w:b w:val="0"/>
          <w:color w:val="auto"/>
          <w:sz w:val="24"/>
          <w:szCs w:val="24"/>
          <w:highlight w:val="none"/>
        </w:rPr>
        <w:t>2. 委托人</w:t>
      </w:r>
      <w:bookmarkEnd w:id="100"/>
    </w:p>
    <w:p w14:paraId="32109BEF">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1" w:name="_Toc407261904"/>
      <w:r>
        <w:rPr>
          <w:rFonts w:hint="eastAsia" w:ascii="宋体" w:hAnsi="宋体" w:eastAsia="宋体" w:cs="宋体"/>
          <w:color w:val="auto"/>
          <w:sz w:val="24"/>
          <w:szCs w:val="24"/>
          <w:highlight w:val="none"/>
        </w:rPr>
        <w:t>2.1 委托人代表</w:t>
      </w:r>
      <w:bookmarkEnd w:id="101"/>
    </w:p>
    <w:p w14:paraId="4774071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授权一名熟悉工程情况的代表，负责与咨询人联系。委托人应在专用合同条款中明确委托人代表的姓名、职务、联系方式及授权范围等事项。委托人代表经委托人授权后代表委托人履行合同。委托人更换委托人代表的，应提前7天书面通知咨询人。</w:t>
      </w:r>
    </w:p>
    <w:p w14:paraId="3D6B548F">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2" w:name="_Toc407261905"/>
      <w:r>
        <w:rPr>
          <w:rFonts w:hint="eastAsia" w:ascii="宋体" w:hAnsi="宋体" w:eastAsia="宋体" w:cs="宋体"/>
          <w:color w:val="auto"/>
          <w:sz w:val="24"/>
          <w:szCs w:val="24"/>
          <w:highlight w:val="none"/>
        </w:rPr>
        <w:t>2.2 提供资料</w:t>
      </w:r>
      <w:bookmarkEnd w:id="102"/>
    </w:p>
    <w:p w14:paraId="23BCC9C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委托人向咨询人提供的工程造价咨询所需要的资料名称及提供时间在专用合同条款中约定，委托人对其提供资料的真实性、准确性和完整性负责。</w:t>
      </w:r>
    </w:p>
    <w:p w14:paraId="2102C50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咨询人需要委托人和第三人提供工程造价咨询所需要的最新资料的，除专用合同条款另有约定外，委托人应尽其努力在相应咨询工作开展前的合理期限内提供，合理期限应以不影响咨询人的正常咨询工作为限。</w:t>
      </w:r>
    </w:p>
    <w:p w14:paraId="1B676D7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委托人未能按合同约定及时向咨询人提供咨询资料的，由委托人承担由此增加的费用和延误的咨询期限。</w:t>
      </w:r>
    </w:p>
    <w:p w14:paraId="2996AE61">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3" w:name="_Toc407261906"/>
      <w:r>
        <w:rPr>
          <w:rFonts w:hint="eastAsia" w:ascii="宋体" w:hAnsi="宋体" w:eastAsia="宋体" w:cs="宋体"/>
          <w:color w:val="auto"/>
          <w:sz w:val="24"/>
          <w:szCs w:val="24"/>
          <w:highlight w:val="none"/>
        </w:rPr>
        <w:t>2.3 提供工作条件</w:t>
      </w:r>
      <w:bookmarkEnd w:id="103"/>
    </w:p>
    <w:p w14:paraId="31CA174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委托人应负责与本工程造价咨询业务有关的第三人的协调，为咨询人履行本合同提供必要的外部条件。</w:t>
      </w:r>
    </w:p>
    <w:p w14:paraId="3D4D4A7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咨询人接受委托实施施工阶段全过程造价管理咨询工作的，委托人应当在施工现场为咨询人提供必要的办公用房、办公家具，供咨询人使用。</w:t>
      </w:r>
    </w:p>
    <w:p w14:paraId="2176EB3D">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4" w:name="_Toc407261907"/>
      <w:r>
        <w:rPr>
          <w:rFonts w:hint="eastAsia" w:ascii="宋体" w:hAnsi="宋体" w:eastAsia="宋体" w:cs="宋体"/>
          <w:color w:val="auto"/>
          <w:sz w:val="24"/>
          <w:szCs w:val="24"/>
          <w:highlight w:val="none"/>
        </w:rPr>
        <w:t>2.4 答复</w:t>
      </w:r>
      <w:bookmarkEnd w:id="104"/>
    </w:p>
    <w:p w14:paraId="55E5F95E">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委托人应在专用合同条款约定的时间内，对咨询人以书面形式提交并要求作出决定的事宜，给予书面答复。委托人逾期未答复，影响咨询工作正常开展的，由委托人承担由此增加的费用和延误的咨询期限。</w:t>
      </w:r>
    </w:p>
    <w:p w14:paraId="27BC5E7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除专用合同条款另有约定外，对咨询人以书面形式提交并要求第三人作出决定的事宜，由委托人送达第三人，第三人在合理期限内未答复，影响咨询工作正常开展的，由委托人承担由此增加的费用和延误的咨询期限。</w:t>
      </w:r>
    </w:p>
    <w:p w14:paraId="639DC94C">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5" w:name="_Toc407261908"/>
      <w:r>
        <w:rPr>
          <w:rFonts w:hint="eastAsia" w:ascii="宋体" w:hAnsi="宋体" w:eastAsia="宋体" w:cs="宋体"/>
          <w:color w:val="auto"/>
          <w:sz w:val="24"/>
          <w:szCs w:val="24"/>
          <w:highlight w:val="none"/>
        </w:rPr>
        <w:t>2.5 支付酬金</w:t>
      </w:r>
      <w:bookmarkEnd w:id="105"/>
    </w:p>
    <w:p w14:paraId="45129F3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委托人应按合同约定，向咨询人支付酬金。</w:t>
      </w:r>
    </w:p>
    <w:p w14:paraId="73CAEB3B">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06" w:name="_Toc407261909"/>
      <w:r>
        <w:rPr>
          <w:rFonts w:hint="eastAsia" w:ascii="宋体" w:hAnsi="宋体" w:eastAsia="宋体" w:cs="宋体"/>
          <w:b w:val="0"/>
          <w:color w:val="auto"/>
          <w:sz w:val="24"/>
          <w:szCs w:val="24"/>
          <w:highlight w:val="none"/>
        </w:rPr>
        <w:t>3. 咨询人</w:t>
      </w:r>
      <w:bookmarkEnd w:id="106"/>
    </w:p>
    <w:p w14:paraId="4CDDE96D">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7" w:name="_Toc384137544"/>
      <w:bookmarkStart w:id="108" w:name="_Toc407261910"/>
      <w:bookmarkStart w:id="109" w:name="_Toc383940899"/>
      <w:bookmarkStart w:id="110" w:name="_Toc389602818"/>
      <w:bookmarkStart w:id="111" w:name="_Toc389663475"/>
      <w:bookmarkStart w:id="112" w:name="_Toc384026373"/>
      <w:r>
        <w:rPr>
          <w:rFonts w:hint="eastAsia" w:ascii="宋体" w:hAnsi="宋体" w:eastAsia="宋体" w:cs="宋体"/>
          <w:color w:val="auto"/>
          <w:sz w:val="24"/>
          <w:szCs w:val="24"/>
          <w:highlight w:val="none"/>
        </w:rPr>
        <w:t>3.1 咨询人的一般义务</w:t>
      </w:r>
      <w:bookmarkEnd w:id="107"/>
      <w:bookmarkEnd w:id="108"/>
      <w:bookmarkEnd w:id="109"/>
      <w:bookmarkEnd w:id="110"/>
      <w:bookmarkEnd w:id="111"/>
      <w:bookmarkEnd w:id="112"/>
    </w:p>
    <w:p w14:paraId="1D279C1E">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向委托人提供与工程造价咨询业务有关的资料，包括工程造价咨询企业资质证书、承担本合同咨询业务的工程造价专业人员任命文件、工程造价咨询实施方案等。</w:t>
      </w:r>
    </w:p>
    <w:p w14:paraId="24F9FAB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踏勘现场，了解情况，收集、整理工程造价咨询项目有关的基础资料和编制依据，进行有效性、合规性核对，保证工程计价基础资料和编制依据的全面性、真实性和有效性。</w:t>
      </w:r>
    </w:p>
    <w:p w14:paraId="355C9D2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 按照咨询合同约定的工作范围和内容，编制、审核、审定工程造价咨询成果文件，并在专用合同条款约定的时间内，向委托人提交符合国家、行业规定及合同约定的工程造价咨询成果文件。</w:t>
      </w:r>
    </w:p>
    <w:p w14:paraId="19C133E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 组织咨询服务回访，听取委托人对服务质量的评价意见，及时进行总结，提出相应的改进措施。</w:t>
      </w:r>
    </w:p>
    <w:p w14:paraId="1AD10FF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3.1.5 收集工程造价咨询业务中形成的工程造价咨询过程文件和工程造价咨询成果文件，整理立卷后建立档案。</w:t>
      </w:r>
    </w:p>
    <w:p w14:paraId="05C45D8E">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13" w:name="_Toc407261911"/>
      <w:r>
        <w:rPr>
          <w:rFonts w:hint="eastAsia" w:ascii="宋体" w:hAnsi="宋体" w:eastAsia="宋体" w:cs="宋体"/>
          <w:color w:val="auto"/>
          <w:sz w:val="24"/>
          <w:szCs w:val="24"/>
          <w:highlight w:val="none"/>
        </w:rPr>
        <w:t>3.2 项目负责人</w:t>
      </w:r>
      <w:bookmarkEnd w:id="113"/>
    </w:p>
    <w:p w14:paraId="53DF10D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应是咨询人正式聘用，并取得造价工程师注册证书的人员。咨询人应在专用合同条款中明确其任命的咨询项目负责人的姓名、身份证号、注册执业证书编号、联系方式及授权范围等事项，项目负责人经咨询人授权后代表咨询人履行合同。</w:t>
      </w:r>
    </w:p>
    <w:p w14:paraId="54272911">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14" w:name="_Toc407261912"/>
      <w:bookmarkStart w:id="115" w:name="_Toc384026375"/>
      <w:bookmarkStart w:id="116" w:name="_Toc383940901"/>
      <w:bookmarkStart w:id="117" w:name="_Toc384137546"/>
      <w:bookmarkStart w:id="118" w:name="_Toc389602820"/>
      <w:bookmarkStart w:id="119" w:name="_Toc389663477"/>
      <w:r>
        <w:rPr>
          <w:rFonts w:hint="eastAsia" w:ascii="宋体" w:hAnsi="宋体" w:eastAsia="宋体" w:cs="宋体"/>
          <w:color w:val="auto"/>
          <w:sz w:val="24"/>
          <w:szCs w:val="24"/>
          <w:highlight w:val="none"/>
        </w:rPr>
        <w:t>3.3 工程造价专业人员</w:t>
      </w:r>
      <w:bookmarkEnd w:id="114"/>
      <w:bookmarkEnd w:id="115"/>
      <w:bookmarkEnd w:id="116"/>
      <w:bookmarkEnd w:id="117"/>
      <w:bookmarkEnd w:id="118"/>
      <w:bookmarkEnd w:id="119"/>
    </w:p>
    <w:p w14:paraId="3925302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除专用合同条款另有约定外，咨询人应当在本合同签订后的7天内，提交任命的承担本合同咨询业务的工程造价专业人员注册证书和资格证书，以及为工程造价专业人员缴纳的社会保险有效证明，供委托人核验。咨询人违反约定的，应按照专用合同条款的约定，承担违约责任。</w:t>
      </w:r>
    </w:p>
    <w:p w14:paraId="2BEE090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在合同履行过程中，工程造价专业人员应保持相对稳定，以保证咨询工作正常进行。咨询人更换工程造价专业人员时，应提前7天书面通知委托人，并征得委托人书面同意。未经委托人书面同意，咨询人不得擅自更换工程造价专业人员。咨询人擅自更换工程造价专业人员的，应按照专用合同条款的约定，承担违约责任。</w:t>
      </w:r>
    </w:p>
    <w:p w14:paraId="58A9F1B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咨询人承担施工阶段全过程造价管理咨询业务的，应安排工程造价专业人员进驻施工现场，且每月在施工现场时间不得少于专用合同条款约定的天数。工程造价专业人员</w:t>
      </w:r>
      <w:r>
        <w:rPr>
          <w:rFonts w:hint="eastAsia" w:ascii="宋体" w:hAnsi="宋体" w:eastAsia="宋体" w:cs="宋体"/>
          <w:color w:val="auto"/>
          <w:kern w:val="0"/>
          <w:sz w:val="24"/>
          <w:szCs w:val="24"/>
          <w:highlight w:val="none"/>
        </w:rPr>
        <w:t>确需离开施工现场时，应征得委托人同意。</w:t>
      </w:r>
      <w:r>
        <w:rPr>
          <w:rFonts w:hint="eastAsia" w:ascii="宋体" w:hAnsi="宋体" w:eastAsia="宋体" w:cs="宋体"/>
          <w:color w:val="auto"/>
          <w:sz w:val="24"/>
          <w:szCs w:val="24"/>
          <w:highlight w:val="none"/>
        </w:rPr>
        <w:t>咨询人违反约定的，应按照专用合同条款的约定，承担违约责任。</w:t>
      </w:r>
    </w:p>
    <w:p w14:paraId="0AEF6BD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 委托人要求咨询人撤换不能按照合同约定履行职责及义务的工程造价专业人员的，咨询人应当撤换。咨询人无正当理由拒绝撤换的，应按照专用合同条款的约定，承担违约责任。</w:t>
      </w:r>
    </w:p>
    <w:p w14:paraId="1DA684C6">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20" w:name="_Toc407261913"/>
      <w:r>
        <w:rPr>
          <w:rFonts w:hint="eastAsia" w:ascii="宋体" w:hAnsi="宋体" w:eastAsia="宋体" w:cs="宋体"/>
          <w:b w:val="0"/>
          <w:color w:val="auto"/>
          <w:sz w:val="24"/>
          <w:szCs w:val="24"/>
          <w:highlight w:val="none"/>
        </w:rPr>
        <w:t>4. 咨询业务范围和工作内容</w:t>
      </w:r>
      <w:bookmarkEnd w:id="120"/>
    </w:p>
    <w:p w14:paraId="26B814E1">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1" w:name="_Toc407261914"/>
      <w:r>
        <w:rPr>
          <w:rFonts w:hint="eastAsia" w:ascii="宋体" w:hAnsi="宋体" w:eastAsia="宋体" w:cs="宋体"/>
          <w:color w:val="auto"/>
          <w:sz w:val="24"/>
          <w:szCs w:val="24"/>
          <w:highlight w:val="none"/>
        </w:rPr>
        <w:t>4.1 咨询业务范围</w:t>
      </w:r>
      <w:bookmarkEnd w:id="121"/>
    </w:p>
    <w:p w14:paraId="72CC49A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合同当事人应在合同协议书中约定选择下列工程造价咨询业务中的一项或数项业务，并可在合同协议书中约定其他工程造价咨询业务。</w:t>
      </w:r>
    </w:p>
    <w:p w14:paraId="353AAD9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投资估算的编制或审核；</w:t>
      </w:r>
    </w:p>
    <w:p w14:paraId="2D368DB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设计概算的编制或审核；</w:t>
      </w:r>
    </w:p>
    <w:p w14:paraId="48C86A6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施工图预算的编制或审核；</w:t>
      </w:r>
    </w:p>
    <w:p w14:paraId="63C751E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工程量清单的编制或审核；</w:t>
      </w:r>
    </w:p>
    <w:p w14:paraId="6526AC4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招标控制价的编制或审核；</w:t>
      </w:r>
    </w:p>
    <w:p w14:paraId="135C89F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sz w:val="24"/>
          <w:szCs w:val="24"/>
          <w:highlight w:val="none"/>
        </w:rPr>
        <w:t>投标报价的编制；</w:t>
      </w:r>
    </w:p>
    <w:p w14:paraId="798A498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（7）</w:t>
      </w:r>
      <w:r>
        <w:rPr>
          <w:rFonts w:hint="eastAsia" w:ascii="宋体" w:hAnsi="宋体" w:eastAsia="宋体" w:cs="宋体"/>
          <w:color w:val="auto"/>
          <w:sz w:val="24"/>
          <w:szCs w:val="24"/>
          <w:highlight w:val="none"/>
        </w:rPr>
        <w:t>工程结算的编制或审核；</w:t>
      </w:r>
    </w:p>
    <w:p w14:paraId="17D1085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（8）</w:t>
      </w:r>
      <w:r>
        <w:rPr>
          <w:rFonts w:hint="eastAsia" w:ascii="宋体" w:hAnsi="宋体" w:eastAsia="宋体" w:cs="宋体"/>
          <w:color w:val="auto"/>
          <w:sz w:val="24"/>
          <w:szCs w:val="24"/>
          <w:highlight w:val="none"/>
        </w:rPr>
        <w:t>竣工决算的编制或审核；</w:t>
      </w:r>
    </w:p>
    <w:p w14:paraId="09936E5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（9）</w:t>
      </w:r>
      <w:r>
        <w:rPr>
          <w:rFonts w:hint="eastAsia" w:ascii="宋体" w:hAnsi="宋体" w:eastAsia="宋体" w:cs="宋体"/>
          <w:color w:val="auto"/>
          <w:sz w:val="24"/>
          <w:szCs w:val="24"/>
          <w:highlight w:val="none"/>
        </w:rPr>
        <w:t>施工阶段全过程造价管理咨询；</w:t>
      </w:r>
    </w:p>
    <w:p w14:paraId="5A68B45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（10）</w:t>
      </w:r>
      <w:r>
        <w:rPr>
          <w:rFonts w:hint="eastAsia" w:ascii="宋体" w:hAnsi="宋体" w:eastAsia="宋体" w:cs="宋体"/>
          <w:color w:val="auto"/>
          <w:sz w:val="24"/>
          <w:szCs w:val="24"/>
          <w:highlight w:val="none"/>
        </w:rPr>
        <w:t>工程造价鉴定。</w:t>
      </w:r>
    </w:p>
    <w:p w14:paraId="213D188B">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2" w:name="_Toc407261915"/>
      <w:r>
        <w:rPr>
          <w:rFonts w:hint="eastAsia" w:ascii="宋体" w:hAnsi="宋体" w:eastAsia="宋体" w:cs="宋体"/>
          <w:color w:val="auto"/>
          <w:sz w:val="24"/>
          <w:szCs w:val="24"/>
          <w:highlight w:val="none"/>
        </w:rPr>
        <w:t>4.2 咨询工作内容</w:t>
      </w:r>
      <w:bookmarkEnd w:id="122"/>
    </w:p>
    <w:p w14:paraId="7355BC8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工程造价咨询工作内容，由合同当事人在专用合同条款中约定。</w:t>
      </w:r>
    </w:p>
    <w:p w14:paraId="77C82277">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23" w:name="_Toc407261916"/>
      <w:bookmarkStart w:id="124" w:name="_Toc296346574"/>
      <w:bookmarkStart w:id="125" w:name="_Toc337558772"/>
      <w:bookmarkStart w:id="126" w:name="_Toc296503073"/>
      <w:r>
        <w:rPr>
          <w:rFonts w:hint="eastAsia" w:ascii="宋体" w:hAnsi="宋体" w:eastAsia="宋体" w:cs="宋体"/>
          <w:b w:val="0"/>
          <w:color w:val="auto"/>
          <w:sz w:val="24"/>
          <w:szCs w:val="24"/>
          <w:highlight w:val="none"/>
        </w:rPr>
        <w:t>5. 咨询期限</w:t>
      </w:r>
      <w:bookmarkEnd w:id="123"/>
    </w:p>
    <w:bookmarkEnd w:id="124"/>
    <w:bookmarkEnd w:id="125"/>
    <w:bookmarkEnd w:id="126"/>
    <w:p w14:paraId="5B826E85">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7" w:name="_Toc407261917"/>
      <w:r>
        <w:rPr>
          <w:rFonts w:hint="eastAsia" w:ascii="宋体" w:hAnsi="宋体" w:eastAsia="宋体" w:cs="宋体"/>
          <w:color w:val="auto"/>
          <w:sz w:val="24"/>
          <w:szCs w:val="24"/>
          <w:highlight w:val="none"/>
        </w:rPr>
        <w:t>5.1 咨询期限开始</w:t>
      </w:r>
      <w:bookmarkEnd w:id="127"/>
    </w:p>
    <w:p w14:paraId="23FA80A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咨询人应按照合同约定的时间开展咨询工作，因委托人提供咨询资料延后等原因，导致咨询工作未能按照计划开始日期开展的，咨询开始日期和结束日期相应顺延。</w:t>
      </w:r>
    </w:p>
    <w:p w14:paraId="287E2243">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8" w:name="_Toc407261918"/>
      <w:r>
        <w:rPr>
          <w:rFonts w:hint="eastAsia" w:ascii="宋体" w:hAnsi="宋体" w:eastAsia="宋体" w:cs="宋体"/>
          <w:color w:val="auto"/>
          <w:sz w:val="24"/>
          <w:szCs w:val="24"/>
          <w:highlight w:val="none"/>
        </w:rPr>
        <w:t>5.2 咨询期限延误</w:t>
      </w:r>
      <w:bookmarkEnd w:id="128"/>
    </w:p>
    <w:p w14:paraId="4C38231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 因委托人原因导致咨询期限延误</w:t>
      </w:r>
    </w:p>
    <w:p w14:paraId="0207DB5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在合同履行过程中，因下列情况导致咨询期限延误和费用增加的，由委托人承担由此延误的期限和增加的费用：</w:t>
      </w:r>
    </w:p>
    <w:p w14:paraId="2662291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委托人未能按合同约定向咨询人提供工程造价咨询所需要的资料或所提供咨询资料不符合合同约定的；</w:t>
      </w:r>
    </w:p>
    <w:p w14:paraId="71253A5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委托人未能按合同约定提供咨询工作条件，影响咨询工作正常开展的；</w:t>
      </w:r>
    </w:p>
    <w:p w14:paraId="61ECDE5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委托人未能在合理期限内对咨询人以书面形式提交并要求作出决定的事宜，给予书面答复，影响咨询工作正常开展的；</w:t>
      </w:r>
    </w:p>
    <w:p w14:paraId="0994980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委托人未能按合同约定分段支付酬金的；</w:t>
      </w:r>
    </w:p>
    <w:p w14:paraId="6317110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工程暂停施工或工期延误，影响咨询工作正常开展的；</w:t>
      </w:r>
    </w:p>
    <w:p w14:paraId="5B70057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sz w:val="24"/>
          <w:szCs w:val="24"/>
          <w:highlight w:val="none"/>
        </w:rPr>
        <w:t>专用合同条款中约定的其他情形。</w:t>
      </w:r>
    </w:p>
    <w:p w14:paraId="67396E8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 因咨询人原因导致咨询期限延误</w:t>
      </w:r>
    </w:p>
    <w:p w14:paraId="11BE2C0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bookmarkStart w:id="129" w:name="_Toc296346577"/>
      <w:bookmarkStart w:id="130" w:name="_Toc296503076"/>
      <w:r>
        <w:rPr>
          <w:rFonts w:hint="eastAsia" w:ascii="宋体" w:hAnsi="宋体" w:eastAsia="宋体" w:cs="宋体"/>
          <w:color w:val="auto"/>
          <w:sz w:val="24"/>
          <w:szCs w:val="24"/>
          <w:highlight w:val="none"/>
        </w:rPr>
        <w:t>因</w:t>
      </w:r>
      <w:bookmarkEnd w:id="129"/>
      <w:bookmarkEnd w:id="130"/>
      <w:r>
        <w:rPr>
          <w:rFonts w:hint="eastAsia" w:ascii="宋体" w:hAnsi="宋体" w:eastAsia="宋体" w:cs="宋体"/>
          <w:color w:val="auto"/>
          <w:sz w:val="24"/>
          <w:szCs w:val="24"/>
          <w:highlight w:val="none"/>
        </w:rPr>
        <w:t>咨询人原因造成咨询期限延误的，咨询人应承担由此给委托人造成的损失，合同双方可在专用合同条款中约定逾期完成咨询业务违约金的计算方法和逾期完成咨询业务违约金的上限。咨询人支付逾期完成咨询业务违约金后，不免除咨询人继续完成咨询业务的义务。</w:t>
      </w:r>
    </w:p>
    <w:p w14:paraId="2A9BB65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 因第三人原因导致咨询期限延误</w:t>
      </w:r>
    </w:p>
    <w:p w14:paraId="00AA026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在合同履行过程中，因下列情况导致咨询期限延误和费用增加的，由委托人承担由此延误的期限和增加的费用：</w:t>
      </w:r>
    </w:p>
    <w:p w14:paraId="15BF3AD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第三人未能在合理期限内提供工程造价咨询所需要的资料或所提供咨询资料不符合合同约定的；</w:t>
      </w:r>
    </w:p>
    <w:p w14:paraId="607769B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第三人未能在合理期限内对咨询人以书面形式提交并要求作出决定的事宜，给予书面答复，影响咨询工作正常开展的；</w:t>
      </w:r>
    </w:p>
    <w:p w14:paraId="4E3AB06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专用合同条款中约定的其他情形。</w:t>
      </w:r>
    </w:p>
    <w:p w14:paraId="01E0B9A0">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1" w:name="_Toc407261919"/>
      <w:r>
        <w:rPr>
          <w:rFonts w:hint="eastAsia" w:ascii="宋体" w:hAnsi="宋体" w:eastAsia="宋体" w:cs="宋体"/>
          <w:color w:val="auto"/>
          <w:sz w:val="24"/>
          <w:szCs w:val="24"/>
          <w:highlight w:val="none"/>
        </w:rPr>
        <w:t>5.3 工程造价咨询成果文件交付期限</w:t>
      </w:r>
      <w:bookmarkEnd w:id="131"/>
    </w:p>
    <w:p w14:paraId="6C308B7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 咨询人应在合同约定的期限内完成咨询工作，并按专用合同条款约定的份数,向委托人提交工程造价咨询成果文件。除专用合同条款另有约定外，委托人应在收到咨询人提交的工程造价咨询成果文件后14天内完成确认。委托人对工程造价咨询成果文件有异议的，咨询人应进行复核；经复核确实存在误差的，咨询人应修正，并提交修正后的工程造价咨询成果文件。委托人逾期未确认也未提出修改意见的, 工程造价咨询成果文件视为已被认可。</w:t>
      </w:r>
    </w:p>
    <w:p w14:paraId="7FA2A2F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 在施工阶段全过程造价管理咨询工作中，因咨询人原因未能在合理的期限内完成工程计量与支付、合同价款调整等文件编制或审核，给委托人造成损失的，应按照专用合同条款的约定，承担违约责任。</w:t>
      </w:r>
    </w:p>
    <w:p w14:paraId="6448BF1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5.3.3 咨询人提交的工程造价咨询成果文件需要第三人共同确认的，确因特殊原因不能共同签署时，咨询人应单独出具工程造价咨询成果文件，并承担相应法律责任。</w:t>
      </w:r>
    </w:p>
    <w:p w14:paraId="42DEAC64">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32" w:name="_Toc407261920"/>
      <w:r>
        <w:rPr>
          <w:rFonts w:hint="eastAsia" w:ascii="宋体" w:hAnsi="宋体" w:eastAsia="宋体" w:cs="宋体"/>
          <w:b w:val="0"/>
          <w:color w:val="auto"/>
          <w:sz w:val="24"/>
          <w:szCs w:val="24"/>
          <w:highlight w:val="none"/>
        </w:rPr>
        <w:t>6. 咨询质量</w:t>
      </w:r>
      <w:bookmarkEnd w:id="132"/>
    </w:p>
    <w:p w14:paraId="07CA2DDB">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3" w:name="_Toc407261921"/>
      <w:r>
        <w:rPr>
          <w:rFonts w:hint="eastAsia" w:ascii="宋体" w:hAnsi="宋体" w:eastAsia="宋体" w:cs="宋体"/>
          <w:color w:val="auto"/>
          <w:sz w:val="24"/>
          <w:szCs w:val="24"/>
          <w:highlight w:val="none"/>
        </w:rPr>
        <w:t>6.1 质量要求</w:t>
      </w:r>
      <w:bookmarkEnd w:id="133"/>
    </w:p>
    <w:p w14:paraId="238FDA3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bookmarkStart w:id="134" w:name="_Toc337558760"/>
      <w:r>
        <w:rPr>
          <w:rFonts w:hint="eastAsia" w:ascii="宋体" w:hAnsi="宋体" w:eastAsia="宋体" w:cs="宋体"/>
          <w:color w:val="auto"/>
          <w:sz w:val="24"/>
          <w:szCs w:val="24"/>
          <w:highlight w:val="none"/>
        </w:rPr>
        <w:t>咨询人出具的工程造价咨询成果文件质量应符合现行国家或行业工程计价有关规定、标准、规范的要求。</w:t>
      </w:r>
    </w:p>
    <w:p w14:paraId="4DA0F54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委托人要求的工程造价咨询成果文件质量标准高于现行国家或行业标准的，应在专用合同条款中约定具体的质量标准，并相应增加咨询酬金。</w:t>
      </w:r>
    </w:p>
    <w:p w14:paraId="39D0435F">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5" w:name="_Toc407261922"/>
      <w:r>
        <w:rPr>
          <w:rFonts w:hint="eastAsia" w:ascii="宋体" w:hAnsi="宋体" w:eastAsia="宋体" w:cs="宋体"/>
          <w:color w:val="auto"/>
          <w:sz w:val="24"/>
          <w:szCs w:val="24"/>
          <w:highlight w:val="none"/>
        </w:rPr>
        <w:t>6.2 质量保证措施</w:t>
      </w:r>
      <w:bookmarkEnd w:id="135"/>
    </w:p>
    <w:bookmarkEnd w:id="134"/>
    <w:p w14:paraId="2B8963D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咨询人应建立相应的质量管理体系，并通过计划管理、流程控制保证工程造价咨询成果文件质量。</w:t>
      </w:r>
    </w:p>
    <w:p w14:paraId="0A572D18">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6" w:name="_Toc407261923"/>
      <w:r>
        <w:rPr>
          <w:rFonts w:hint="eastAsia" w:ascii="宋体" w:hAnsi="宋体" w:eastAsia="宋体" w:cs="宋体"/>
          <w:color w:val="auto"/>
          <w:sz w:val="24"/>
          <w:szCs w:val="24"/>
          <w:highlight w:val="none"/>
        </w:rPr>
        <w:t>6.3 质量不合格处理</w:t>
      </w:r>
      <w:bookmarkEnd w:id="136"/>
    </w:p>
    <w:p w14:paraId="7CA3844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未达到合同约定标准的，委托人有权要求咨询人采取补救措施，直至达到本合同要求的质量标准，并可根据工程造价咨询成果文件综合误差率相应减少咨询酬金。委托人已支付全部酬金的，有权要求咨询人退还相应减少的酬金。减少酬金计算方法在专用合同条款中约定。</w:t>
      </w:r>
    </w:p>
    <w:p w14:paraId="13273F2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因咨询人原因造成工程造价咨询成果文件质量未达到合同约定标准给委托人造成损失的，咨询人应承担违约责任，合同双方可在专用合同条款中约定因质量不合格产生的损失赔偿额的计算方法。</w:t>
      </w:r>
    </w:p>
    <w:p w14:paraId="14E20092">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37" w:name="_Toc407261924"/>
      <w:r>
        <w:rPr>
          <w:rFonts w:hint="eastAsia" w:ascii="宋体" w:hAnsi="宋体" w:eastAsia="宋体" w:cs="宋体"/>
          <w:b w:val="0"/>
          <w:color w:val="auto"/>
          <w:sz w:val="24"/>
          <w:szCs w:val="24"/>
          <w:highlight w:val="none"/>
        </w:rPr>
        <w:t>7. 咨询酬金</w:t>
      </w:r>
      <w:bookmarkEnd w:id="137"/>
    </w:p>
    <w:p w14:paraId="78DCD3B7">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8" w:name="_Toc407261925"/>
      <w:r>
        <w:rPr>
          <w:rFonts w:hint="eastAsia" w:ascii="宋体" w:hAnsi="宋体" w:eastAsia="宋体" w:cs="宋体"/>
          <w:color w:val="auto"/>
          <w:sz w:val="24"/>
          <w:szCs w:val="24"/>
          <w:highlight w:val="none"/>
        </w:rPr>
        <w:t>7.1 酬金计算方式</w:t>
      </w:r>
      <w:bookmarkEnd w:id="138"/>
    </w:p>
    <w:p w14:paraId="5EDA37E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除专用合同条款另有约定外，合同当事人应在</w:t>
      </w:r>
      <w:r>
        <w:rPr>
          <w:rFonts w:hint="eastAsia" w:ascii="宋体" w:hAnsi="宋体" w:eastAsia="宋体" w:cs="宋体"/>
          <w:color w:val="auto"/>
          <w:kern w:val="0"/>
          <w:sz w:val="24"/>
          <w:szCs w:val="24"/>
          <w:highlight w:val="none"/>
        </w:rPr>
        <w:t>合同协议书或</w:t>
      </w:r>
      <w:r>
        <w:rPr>
          <w:rFonts w:hint="eastAsia" w:ascii="宋体" w:hAnsi="宋体" w:eastAsia="宋体" w:cs="宋体"/>
          <w:color w:val="auto"/>
          <w:sz w:val="24"/>
          <w:szCs w:val="24"/>
          <w:highlight w:val="none"/>
        </w:rPr>
        <w:t>专用合同条款</w:t>
      </w:r>
      <w:r>
        <w:rPr>
          <w:rFonts w:hint="eastAsia" w:ascii="宋体" w:hAnsi="宋体" w:eastAsia="宋体" w:cs="宋体"/>
          <w:color w:val="auto"/>
          <w:kern w:val="0"/>
          <w:sz w:val="24"/>
          <w:szCs w:val="24"/>
          <w:highlight w:val="none"/>
        </w:rPr>
        <w:t>中选择下列</w:t>
      </w:r>
      <w:r>
        <w:rPr>
          <w:rFonts w:hint="eastAsia" w:ascii="宋体" w:hAnsi="宋体" w:eastAsia="宋体" w:cs="宋体"/>
          <w:color w:val="auto"/>
          <w:sz w:val="24"/>
          <w:szCs w:val="24"/>
          <w:highlight w:val="none"/>
        </w:rPr>
        <w:t>酬金计算方式之一：</w:t>
      </w:r>
    </w:p>
    <w:p w14:paraId="797C89D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 固定酬金</w:t>
      </w:r>
    </w:p>
    <w:p w14:paraId="336D71F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合同当事人在合同协议书中约定咨询酬金金额。</w:t>
      </w:r>
    </w:p>
    <w:p w14:paraId="6CA7FF9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 基本酬金加绩效酬金</w:t>
      </w:r>
    </w:p>
    <w:p w14:paraId="3EE0C8B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合同当事人可以在专用合同条款中约定按以下计算方式确定委托人支付给咨询人的基本酬金和绩效酬金金额：</w:t>
      </w:r>
    </w:p>
    <w:p w14:paraId="71F35D3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以咨询人编审的工程造价咨询成果文件总价为基数，乘以专用合同条款约定的基本酬金比例，计算确定基本酬金金额。</w:t>
      </w:r>
    </w:p>
    <w:p w14:paraId="49D659A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（2）委托人除支付咨询人基本酬金外，如咨询人审核的工程造价成果文件有审减（增）额的，可以审减（增）额为基数，乘以专用合同条款约定的绩效酬金比例，计算确定绩效酬金金额。</w:t>
      </w:r>
    </w:p>
    <w:p w14:paraId="03852151">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9" w:name="_Toc407261926"/>
      <w:r>
        <w:rPr>
          <w:rFonts w:hint="eastAsia" w:ascii="宋体" w:hAnsi="宋体" w:eastAsia="宋体" w:cs="宋体"/>
          <w:color w:val="auto"/>
          <w:sz w:val="24"/>
          <w:szCs w:val="24"/>
          <w:highlight w:val="none"/>
        </w:rPr>
        <w:t>7.2 预付酬金</w:t>
      </w:r>
      <w:bookmarkEnd w:id="139"/>
    </w:p>
    <w:p w14:paraId="0478164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合同期限超过6个月的咨询业务，委托人应预付咨询人酬金，预付酬金的支付比例或金额、支付期限在专用合同条款中约定。预付酬金应用于支付承担本合同咨询业务的工程造价专业人员工资。委托人逾期支付预付酬金的，应按照专用合同条款的约定，承担违约责任。</w:t>
      </w:r>
    </w:p>
    <w:p w14:paraId="580CB918">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0" w:name="_Toc407261927"/>
      <w:r>
        <w:rPr>
          <w:rFonts w:hint="eastAsia" w:ascii="宋体" w:hAnsi="宋体" w:eastAsia="宋体" w:cs="宋体"/>
          <w:color w:val="auto"/>
          <w:sz w:val="24"/>
          <w:szCs w:val="24"/>
          <w:highlight w:val="none"/>
        </w:rPr>
        <w:t>7.3 酬金分段结算与支付</w:t>
      </w:r>
      <w:bookmarkEnd w:id="140"/>
    </w:p>
    <w:p w14:paraId="502B566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7.3.1合同当事人应在</w:t>
      </w:r>
      <w:r>
        <w:rPr>
          <w:rFonts w:hint="eastAsia" w:ascii="宋体" w:hAnsi="宋体" w:eastAsia="宋体" w:cs="宋体"/>
          <w:color w:val="auto"/>
          <w:kern w:val="0"/>
          <w:sz w:val="24"/>
          <w:szCs w:val="24"/>
          <w:highlight w:val="none"/>
        </w:rPr>
        <w:t>专用合同条款中约定</w:t>
      </w:r>
      <w:r>
        <w:rPr>
          <w:rFonts w:hint="eastAsia" w:ascii="宋体" w:hAnsi="宋体" w:eastAsia="宋体" w:cs="宋体"/>
          <w:color w:val="auto"/>
          <w:sz w:val="24"/>
          <w:szCs w:val="24"/>
          <w:highlight w:val="none"/>
        </w:rPr>
        <w:t>酬金分段结算与支付的比例或金额。咨询人应</w:t>
      </w:r>
      <w:r>
        <w:rPr>
          <w:rFonts w:hint="eastAsia" w:ascii="宋体" w:hAnsi="宋体" w:eastAsia="宋体" w:cs="宋体"/>
          <w:color w:val="auto"/>
          <w:kern w:val="0"/>
          <w:sz w:val="24"/>
          <w:szCs w:val="24"/>
          <w:highlight w:val="none"/>
        </w:rPr>
        <w:t>按照专用合同条款约定的</w:t>
      </w:r>
      <w:r>
        <w:rPr>
          <w:rFonts w:hint="eastAsia" w:ascii="宋体" w:hAnsi="宋体" w:eastAsia="宋体" w:cs="宋体"/>
          <w:color w:val="auto"/>
          <w:sz w:val="24"/>
          <w:szCs w:val="24"/>
          <w:highlight w:val="none"/>
        </w:rPr>
        <w:t>期限或咨询业务进度节点向委托人提交酬金分段结算与支付申请书。</w:t>
      </w:r>
    </w:p>
    <w:p w14:paraId="615BF83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7.3.2 </w:t>
      </w:r>
      <w:r>
        <w:rPr>
          <w:rFonts w:hint="eastAsia" w:ascii="宋体" w:hAnsi="宋体" w:eastAsia="宋体" w:cs="宋体"/>
          <w:color w:val="auto"/>
          <w:kern w:val="0"/>
          <w:sz w:val="24"/>
          <w:szCs w:val="24"/>
          <w:highlight w:val="none"/>
        </w:rPr>
        <w:t>除专用合同条款另有约定外，</w:t>
      </w:r>
      <w:r>
        <w:rPr>
          <w:rFonts w:hint="eastAsia" w:ascii="宋体" w:hAnsi="宋体" w:eastAsia="宋体" w:cs="宋体"/>
          <w:color w:val="auto"/>
          <w:sz w:val="24"/>
          <w:szCs w:val="24"/>
          <w:highlight w:val="none"/>
        </w:rPr>
        <w:t>委托人应自收到咨询人提交的酬金分段结算与支付申请书之日起14天内审核确认，</w:t>
      </w:r>
      <w:r>
        <w:rPr>
          <w:rFonts w:hint="eastAsia" w:ascii="宋体" w:hAnsi="宋体" w:eastAsia="宋体" w:cs="宋体"/>
          <w:color w:val="auto"/>
          <w:kern w:val="0"/>
          <w:sz w:val="24"/>
          <w:szCs w:val="24"/>
          <w:highlight w:val="none"/>
        </w:rPr>
        <w:t>并完成</w:t>
      </w:r>
      <w:r>
        <w:rPr>
          <w:rFonts w:hint="eastAsia" w:ascii="宋体" w:hAnsi="宋体" w:eastAsia="宋体" w:cs="宋体"/>
          <w:color w:val="auto"/>
          <w:sz w:val="24"/>
          <w:szCs w:val="24"/>
          <w:highlight w:val="none"/>
        </w:rPr>
        <w:t>支付。委托人逾期支付的，按照中国人民银行发布的同期同类贷款基准利率支付违约金。</w:t>
      </w:r>
    </w:p>
    <w:p w14:paraId="168743B8">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1" w:name="_Toc407261928"/>
      <w:r>
        <w:rPr>
          <w:rFonts w:hint="eastAsia" w:ascii="宋体" w:hAnsi="宋体" w:eastAsia="宋体" w:cs="宋体"/>
          <w:color w:val="auto"/>
          <w:sz w:val="24"/>
          <w:szCs w:val="24"/>
          <w:highlight w:val="none"/>
        </w:rPr>
        <w:t>7.4 酬金结清与支付</w:t>
      </w:r>
      <w:bookmarkEnd w:id="141"/>
    </w:p>
    <w:p w14:paraId="531D9AA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 除专用合同条款另有约定外，咨询人应自提交的工程造价咨询成果文件经委托人确认后14天内，向委托人提交酬金结清与支付申请书。</w:t>
      </w:r>
    </w:p>
    <w:p w14:paraId="3169112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7.4.2 除专用合同条款另有约定外，委托人应自收到咨询人提交的酬金结清与支付申请书之日起14天内审核确认，委托人逾期未审核确认也未提出异议的, 酬金结清与支付申请视为已被认可。</w:t>
      </w:r>
    </w:p>
    <w:p w14:paraId="5DB34EF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7.4.3 除专用合同条款另有约定外，委托人应自审核确认酬金结清与支付申请书之日起14天内</w:t>
      </w:r>
      <w:r>
        <w:rPr>
          <w:rFonts w:hint="eastAsia" w:ascii="宋体" w:hAnsi="宋体" w:eastAsia="宋体" w:cs="宋体"/>
          <w:color w:val="auto"/>
          <w:kern w:val="0"/>
          <w:sz w:val="24"/>
          <w:szCs w:val="24"/>
          <w:highlight w:val="none"/>
        </w:rPr>
        <w:t>将结清未支付的</w:t>
      </w:r>
      <w:r>
        <w:rPr>
          <w:rFonts w:hint="eastAsia" w:ascii="宋体" w:hAnsi="宋体" w:eastAsia="宋体" w:cs="宋体"/>
          <w:color w:val="auto"/>
          <w:sz w:val="24"/>
          <w:szCs w:val="24"/>
          <w:highlight w:val="none"/>
        </w:rPr>
        <w:t>酬金</w:t>
      </w:r>
      <w:r>
        <w:rPr>
          <w:rFonts w:hint="eastAsia" w:ascii="宋体" w:hAnsi="宋体" w:eastAsia="宋体" w:cs="宋体"/>
          <w:color w:val="auto"/>
          <w:kern w:val="0"/>
          <w:sz w:val="24"/>
          <w:szCs w:val="24"/>
          <w:highlight w:val="none"/>
        </w:rPr>
        <w:t>一次性支付给咨询人</w:t>
      </w:r>
      <w:r>
        <w:rPr>
          <w:rFonts w:hint="eastAsia" w:ascii="宋体" w:hAnsi="宋体" w:eastAsia="宋体" w:cs="宋体"/>
          <w:color w:val="auto"/>
          <w:sz w:val="24"/>
          <w:szCs w:val="24"/>
          <w:highlight w:val="none"/>
        </w:rPr>
        <w:t>。委托人逾期支付的，按照中国人民银行发布的同期同类贷款基准利率支付违约金。</w:t>
      </w:r>
    </w:p>
    <w:p w14:paraId="1B068B4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7.4.4 委托人对咨询人提交的酬金结清与支付申请书有异议时，应当在收到咨询人提交的酬金结清与支付申请书后14天内，以书面形式向咨询人发出异议通知。无异议部分的款项应按期支付，有异议部分的款项按照第10条〔争议解决〕的约定处理。</w:t>
      </w:r>
    </w:p>
    <w:p w14:paraId="6629DA2A">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2" w:name="_Toc407261929"/>
      <w:r>
        <w:rPr>
          <w:rFonts w:hint="eastAsia" w:ascii="宋体" w:hAnsi="宋体" w:eastAsia="宋体" w:cs="宋体"/>
          <w:color w:val="auto"/>
          <w:sz w:val="24"/>
          <w:szCs w:val="24"/>
          <w:highlight w:val="none"/>
        </w:rPr>
        <w:t>7.5 费用支付</w:t>
      </w:r>
      <w:bookmarkEnd w:id="142"/>
    </w:p>
    <w:p w14:paraId="63CBC82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因工程建设需要，由咨询人配合委托人组织的外出询价、考察以及聘请相关专家等发生的费用由委托人支付。</w:t>
      </w:r>
    </w:p>
    <w:p w14:paraId="57AE7377">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43" w:name="_Toc407261930"/>
      <w:r>
        <w:rPr>
          <w:rFonts w:hint="eastAsia" w:ascii="宋体" w:hAnsi="宋体" w:eastAsia="宋体" w:cs="宋体"/>
          <w:b w:val="0"/>
          <w:color w:val="auto"/>
          <w:sz w:val="24"/>
          <w:szCs w:val="24"/>
          <w:highlight w:val="none"/>
        </w:rPr>
        <w:t>8. 变更</w:t>
      </w:r>
      <w:bookmarkEnd w:id="143"/>
    </w:p>
    <w:p w14:paraId="1E094717">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4" w:name="_Toc407261931"/>
      <w:bookmarkStart w:id="145" w:name="_Toc296503084"/>
      <w:bookmarkStart w:id="146" w:name="_Toc296346585"/>
      <w:bookmarkStart w:id="147" w:name="_Toc337558788"/>
      <w:r>
        <w:rPr>
          <w:rFonts w:hint="eastAsia" w:ascii="宋体" w:hAnsi="宋体" w:eastAsia="宋体" w:cs="宋体"/>
          <w:color w:val="auto"/>
          <w:sz w:val="24"/>
          <w:szCs w:val="24"/>
          <w:highlight w:val="none"/>
        </w:rPr>
        <w:t>8.1 变更的范围</w:t>
      </w:r>
      <w:bookmarkEnd w:id="144"/>
    </w:p>
    <w:bookmarkEnd w:id="145"/>
    <w:bookmarkEnd w:id="146"/>
    <w:bookmarkEnd w:id="147"/>
    <w:p w14:paraId="1A7AACA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合同履行过程中发生以下情形的，应按照本条约定进行变更：</w:t>
      </w:r>
    </w:p>
    <w:p w14:paraId="70DF948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扩大或缩小工程规模的；</w:t>
      </w:r>
    </w:p>
    <w:p w14:paraId="77571FA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增加或减少咨询业务范围和工作内容的；</w:t>
      </w:r>
    </w:p>
    <w:p w14:paraId="026DDA0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提高或降低咨询质量标准的；</w:t>
      </w:r>
    </w:p>
    <w:p w14:paraId="1808882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专用合同条款中约定的其他情形。</w:t>
      </w:r>
    </w:p>
    <w:p w14:paraId="7ED7AED1">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8" w:name="_Toc407261932"/>
      <w:r>
        <w:rPr>
          <w:rFonts w:hint="eastAsia" w:ascii="宋体" w:hAnsi="宋体" w:eastAsia="宋体" w:cs="宋体"/>
          <w:color w:val="auto"/>
          <w:sz w:val="24"/>
          <w:szCs w:val="24"/>
          <w:highlight w:val="none"/>
        </w:rPr>
        <w:t>8.2 变更引起的咨询酬金和期限调整</w:t>
      </w:r>
      <w:bookmarkEnd w:id="148"/>
    </w:p>
    <w:p w14:paraId="27493BE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8.2.1 变更引起的咨询酬金和期限调整，由咨询人根据变更导致咨询工作量变化大小，与委托人协商后</w:t>
      </w:r>
      <w:r>
        <w:rPr>
          <w:rFonts w:hint="eastAsia" w:ascii="宋体" w:hAnsi="宋体" w:eastAsia="宋体" w:cs="宋体"/>
          <w:color w:val="auto"/>
          <w:kern w:val="0"/>
          <w:sz w:val="24"/>
          <w:szCs w:val="24"/>
          <w:highlight w:val="none"/>
        </w:rPr>
        <w:t>做可共同接受的修改。</w:t>
      </w:r>
      <w:r>
        <w:rPr>
          <w:rFonts w:hint="eastAsia" w:ascii="宋体" w:hAnsi="宋体" w:eastAsia="宋体" w:cs="宋体"/>
          <w:color w:val="auto"/>
          <w:sz w:val="24"/>
          <w:szCs w:val="24"/>
          <w:highlight w:val="none"/>
        </w:rPr>
        <w:t>合同当事人也可在专用合同条款中约定变更引起的咨询酬金和期限调整的计算方法。</w:t>
      </w:r>
    </w:p>
    <w:p w14:paraId="4092142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8.2.2 咨询人应在收到委托人下达的变更指示后14天内，向委托人提交变更引起的咨询酬金和期限调整申请。委托人应在咨询人提交申请后14天内审批完毕。委托人逾期未完成审批或未提出异议的，视为认可咨询人提交的变更申请。</w:t>
      </w:r>
    </w:p>
    <w:p w14:paraId="3CEE2169">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9" w:name="_Toc407261933"/>
      <w:r>
        <w:rPr>
          <w:rFonts w:hint="eastAsia" w:ascii="宋体" w:hAnsi="宋体" w:eastAsia="宋体" w:cs="宋体"/>
          <w:color w:val="auto"/>
          <w:sz w:val="24"/>
          <w:szCs w:val="24"/>
          <w:highlight w:val="none"/>
        </w:rPr>
        <w:t>8.3 咨询人的合理化建议</w:t>
      </w:r>
      <w:bookmarkEnd w:id="149"/>
    </w:p>
    <w:p w14:paraId="1DF9853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咨询人可以向委托人提出合理化建议并说明实施该建议对工程造价和工期的影响。</w:t>
      </w:r>
    </w:p>
    <w:p w14:paraId="704CCD6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降低了工程造价或者提高了工程经济效益，使委托人受益的，委托人可对咨询人给予奖励。除专用合同条款另有约定外，合理化建议的奖励金额，以合理化建议给委托人带来的受益额为基数，乘以专用合同条款约定的奖励金额的比率计算确定。</w:t>
      </w:r>
    </w:p>
    <w:p w14:paraId="5D3A4FE2">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50" w:name="_Toc407261934"/>
      <w:r>
        <w:rPr>
          <w:rFonts w:hint="eastAsia" w:ascii="宋体" w:hAnsi="宋体" w:eastAsia="宋体" w:cs="宋体"/>
          <w:b w:val="0"/>
          <w:color w:val="auto"/>
          <w:sz w:val="24"/>
          <w:szCs w:val="24"/>
          <w:highlight w:val="none"/>
        </w:rPr>
        <w:t>9. 违约</w:t>
      </w:r>
      <w:bookmarkEnd w:id="150"/>
    </w:p>
    <w:p w14:paraId="2CD6B6BE">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1" w:name="_Toc407261935"/>
      <w:r>
        <w:rPr>
          <w:rFonts w:hint="eastAsia" w:ascii="宋体" w:hAnsi="宋体" w:eastAsia="宋体" w:cs="宋体"/>
          <w:color w:val="auto"/>
          <w:sz w:val="24"/>
          <w:szCs w:val="24"/>
          <w:highlight w:val="none"/>
        </w:rPr>
        <w:t>9.1 委托人违约</w:t>
      </w:r>
      <w:bookmarkEnd w:id="151"/>
    </w:p>
    <w:p w14:paraId="48539F0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未能按照合同约定履行合同义务的，咨询人可向委托人发出通知，要求委托人采取有效措施纠正违约行为。委托人应承担因其违约给咨询人增加的费用和延误的咨询期限，并按专用合同条款的约定承担违约责任。</w:t>
      </w:r>
    </w:p>
    <w:p w14:paraId="709A54A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委托人收到咨询人通知后56天内仍不纠正其违约行为且影响咨询工作正常开展的，咨询人有权解除合同。委托人应在解除合同后28天内按专用合同条款的约定完成已完咨询业务酬金结算和付款。合同当事人未能就解除合同后的结清达成一致的，按照第10条〔争议解决〕的约定处理。</w:t>
      </w:r>
    </w:p>
    <w:p w14:paraId="79DBA1DF">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2" w:name="_Toc407261936"/>
      <w:r>
        <w:rPr>
          <w:rFonts w:hint="eastAsia" w:ascii="宋体" w:hAnsi="宋体" w:eastAsia="宋体" w:cs="宋体"/>
          <w:color w:val="auto"/>
          <w:sz w:val="24"/>
          <w:szCs w:val="24"/>
          <w:highlight w:val="none"/>
        </w:rPr>
        <w:t>9.2 咨询人违约</w:t>
      </w:r>
      <w:bookmarkEnd w:id="152"/>
    </w:p>
    <w:p w14:paraId="4D127DE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未能按照合同约定履行合同义务的，委托人可向咨询人发出整改通知，要求其在指定的合理期限内改正。咨询人应承担因其违约行为而增加的费用和延误的咨询期限，并按专用合同条款的约定承担违约责任。</w:t>
      </w:r>
    </w:p>
    <w:p w14:paraId="54D12C2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委托人发出整改通知后，咨询人在指定的合理期限内仍不纠正违约行为，委托人有权解除合同。合同当事人应在解除合同后28天内按专用合同条款的约定完成已完咨询业务酬金结算和付款。合同当事人未能就解除合同后的结清达成一致的，按照第10条〔争议解决〕的约定处理。</w:t>
      </w:r>
    </w:p>
    <w:p w14:paraId="03E8F136">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3" w:name="_Toc407261937"/>
      <w:r>
        <w:rPr>
          <w:rFonts w:hint="eastAsia" w:ascii="宋体" w:hAnsi="宋体" w:eastAsia="宋体" w:cs="宋体"/>
          <w:color w:val="auto"/>
          <w:sz w:val="24"/>
          <w:szCs w:val="24"/>
          <w:highlight w:val="none"/>
        </w:rPr>
        <w:t>9.3 第三人造成的违约</w:t>
      </w:r>
      <w:bookmarkEnd w:id="153"/>
    </w:p>
    <w:p w14:paraId="4522CD9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在合同履行过程中，一方当事人因第三人的原因造成违约的，应当向对方当事人承担违约责任。一方当事人和第三人之间的纠纷，依照法律规定或者按照约定解决。</w:t>
      </w:r>
    </w:p>
    <w:p w14:paraId="2B3865A5">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54" w:name="_Toc407261938"/>
      <w:r>
        <w:rPr>
          <w:rFonts w:hint="eastAsia" w:ascii="宋体" w:hAnsi="宋体" w:eastAsia="宋体" w:cs="宋体"/>
          <w:b w:val="0"/>
          <w:color w:val="auto"/>
          <w:sz w:val="24"/>
          <w:szCs w:val="24"/>
          <w:highlight w:val="none"/>
        </w:rPr>
        <w:t>10. 争议解决</w:t>
      </w:r>
      <w:bookmarkEnd w:id="154"/>
    </w:p>
    <w:p w14:paraId="6E7CCF0F">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5" w:name="_Toc407261939"/>
      <w:bookmarkStart w:id="156" w:name="_Toc337558841"/>
      <w:bookmarkStart w:id="157" w:name="_Toc296346648"/>
      <w:bookmarkStart w:id="158" w:name="_Toc296503147"/>
      <w:r>
        <w:rPr>
          <w:rFonts w:hint="eastAsia" w:ascii="宋体" w:hAnsi="宋体" w:eastAsia="宋体" w:cs="宋体"/>
          <w:color w:val="auto"/>
          <w:sz w:val="24"/>
          <w:szCs w:val="24"/>
          <w:highlight w:val="none"/>
        </w:rPr>
        <w:t>10.1 和解</w:t>
      </w:r>
      <w:bookmarkEnd w:id="155"/>
    </w:p>
    <w:bookmarkEnd w:id="156"/>
    <w:bookmarkEnd w:id="157"/>
    <w:bookmarkEnd w:id="158"/>
    <w:p w14:paraId="38BC54B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合同当事人可以就争议自行和解，自行和解达成协议的经双方签字并盖章后作为合同补充文件，双方均应遵照执行。</w:t>
      </w:r>
    </w:p>
    <w:p w14:paraId="7C1CBA2D">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9" w:name="_Toc407261940"/>
      <w:r>
        <w:rPr>
          <w:rFonts w:hint="eastAsia" w:ascii="宋体" w:hAnsi="宋体" w:eastAsia="宋体" w:cs="宋体"/>
          <w:color w:val="auto"/>
          <w:sz w:val="24"/>
          <w:szCs w:val="24"/>
          <w:highlight w:val="none"/>
        </w:rPr>
        <w:t>10</w:t>
      </w:r>
      <w:bookmarkStart w:id="160" w:name="_Toc296346649"/>
      <w:bookmarkStart w:id="161" w:name="_Toc337558842"/>
      <w:bookmarkStart w:id="162" w:name="_Toc296503148"/>
      <w:r>
        <w:rPr>
          <w:rFonts w:hint="eastAsia" w:ascii="宋体" w:hAnsi="宋体" w:eastAsia="宋体" w:cs="宋体"/>
          <w:color w:val="auto"/>
          <w:sz w:val="24"/>
          <w:szCs w:val="24"/>
          <w:highlight w:val="none"/>
        </w:rPr>
        <w:t>.2 调解</w:t>
      </w:r>
      <w:bookmarkEnd w:id="159"/>
    </w:p>
    <w:bookmarkEnd w:id="160"/>
    <w:bookmarkEnd w:id="161"/>
    <w:bookmarkEnd w:id="162"/>
    <w:p w14:paraId="2DE3B59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合同当事人可以就争议请求工程造价管理部门、行业协会或其他第三方进行调解，调解达成协议的，经双方签字并盖章后作为合同补充文件，双方均应遵照执行。</w:t>
      </w:r>
    </w:p>
    <w:p w14:paraId="7F47D95E">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63" w:name="_Toc407261941"/>
      <w:r>
        <w:rPr>
          <w:rFonts w:hint="eastAsia" w:ascii="宋体" w:hAnsi="宋体" w:eastAsia="宋体" w:cs="宋体"/>
          <w:color w:val="auto"/>
          <w:sz w:val="24"/>
          <w:szCs w:val="24"/>
          <w:highlight w:val="none"/>
        </w:rPr>
        <w:t>10.3 仲裁或诉讼</w:t>
      </w:r>
      <w:bookmarkEnd w:id="163"/>
    </w:p>
    <w:p w14:paraId="0432A6E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因合同及合同有关事项产生的争议，合同当事人可以在专用合同条款中约定下列任意一种方式解决争议：</w:t>
      </w:r>
    </w:p>
    <w:p w14:paraId="71374EC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向约定的仲裁委员会申请仲裁；</w:t>
      </w:r>
    </w:p>
    <w:p w14:paraId="4228C71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向有管辖权的人民法院起诉。</w:t>
      </w:r>
    </w:p>
    <w:p w14:paraId="1B69A1D9">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64" w:name="_Toc407261942"/>
      <w:r>
        <w:rPr>
          <w:rFonts w:hint="eastAsia" w:ascii="宋体" w:hAnsi="宋体" w:eastAsia="宋体" w:cs="宋体"/>
          <w:color w:val="auto"/>
          <w:sz w:val="24"/>
          <w:szCs w:val="24"/>
          <w:highlight w:val="none"/>
        </w:rPr>
        <w:t>10.4 争议解决条款效力</w:t>
      </w:r>
      <w:bookmarkEnd w:id="164"/>
    </w:p>
    <w:p w14:paraId="071205E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b/>
          <w:color w:val="auto"/>
          <w:kern w:val="44"/>
          <w:sz w:val="24"/>
          <w:szCs w:val="24"/>
          <w:highlight w:val="none"/>
        </w:rPr>
      </w:pPr>
      <w:r>
        <w:rPr>
          <w:rFonts w:hint="eastAsia" w:ascii="宋体" w:hAnsi="宋体" w:eastAsia="宋体" w:cs="宋体"/>
          <w:color w:val="auto"/>
          <w:sz w:val="24"/>
          <w:szCs w:val="24"/>
          <w:highlight w:val="none"/>
        </w:rPr>
        <w:t>合同有关争议解决的条款独立存在，合同的变更、解除、终止、无效或者被撤销均不影响其效力。</w:t>
      </w:r>
    </w:p>
    <w:p w14:paraId="3E4C436E">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44222BCE">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7255436F">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4A6FDB30">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040EFF5A">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第三部分  专用合同条款</w:t>
      </w:r>
    </w:p>
    <w:p w14:paraId="06ED47D5">
      <w:pPr>
        <w:keepNext w:val="0"/>
        <w:keepLines w:val="0"/>
        <w:widowControl w:val="0"/>
        <w:suppressLineNumbers w:val="0"/>
        <w:spacing w:before="153" w:beforeLines="50" w:beforeAutospacing="0" w:after="153" w:afterLines="50" w:afterAutospacing="0" w:line="400" w:lineRule="exact"/>
        <w:ind w:left="0" w:right="0"/>
        <w:jc w:val="both"/>
        <w:outlineLvl w:val="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 xml:space="preserve"> </w:t>
      </w:r>
    </w:p>
    <w:p w14:paraId="169CF46A">
      <w:pPr>
        <w:pStyle w:val="7"/>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bookmarkStart w:id="165" w:name="_Toc296891196"/>
      <w:bookmarkStart w:id="166" w:name="_Toc296347155"/>
      <w:bookmarkStart w:id="167" w:name="_Toc296503156"/>
      <w:bookmarkStart w:id="168" w:name="_Toc296890984"/>
      <w:bookmarkStart w:id="169" w:name="_Toc296944495"/>
      <w:bookmarkStart w:id="170" w:name="_Toc297120456"/>
      <w:bookmarkStart w:id="171" w:name="_Toc296346657"/>
      <w:bookmarkStart w:id="172" w:name="_Toc292559361"/>
      <w:bookmarkStart w:id="173" w:name="_Toc297048342"/>
      <w:bookmarkStart w:id="174" w:name="_Toc292559866"/>
      <w:r>
        <w:rPr>
          <w:rFonts w:hint="eastAsia" w:ascii="宋体" w:hAnsi="宋体" w:eastAsia="宋体" w:cs="宋体"/>
          <w:b w:val="0"/>
          <w:color w:val="auto"/>
          <w:sz w:val="24"/>
          <w:szCs w:val="24"/>
          <w:highlight w:val="none"/>
        </w:rPr>
        <w:t>. 一般约定</w:t>
      </w:r>
    </w:p>
    <w:bookmarkEnd w:id="165"/>
    <w:bookmarkEnd w:id="166"/>
    <w:bookmarkEnd w:id="167"/>
    <w:bookmarkEnd w:id="168"/>
    <w:bookmarkEnd w:id="169"/>
    <w:bookmarkEnd w:id="170"/>
    <w:bookmarkEnd w:id="171"/>
    <w:bookmarkEnd w:id="172"/>
    <w:bookmarkEnd w:id="173"/>
    <w:bookmarkEnd w:id="174"/>
    <w:p w14:paraId="4FC78582">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1.3法律</w:t>
      </w:r>
    </w:p>
    <w:p w14:paraId="1AD4BA60">
      <w:pPr>
        <w:pageBreakBefore w:val="0"/>
        <w:kinsoku/>
        <w:wordWrap/>
        <w:overflowPunct/>
        <w:topLinePunct w:val="0"/>
        <w:autoSpaceDE w:val="0"/>
        <w:autoSpaceDN w:val="0"/>
        <w:bidi w:val="0"/>
        <w:adjustRightInd w:val="0"/>
        <w:snapToGrid/>
        <w:spacing w:beforeLines="0" w:afterLines="0" w:line="500" w:lineRule="exact"/>
        <w:ind w:left="596" w:leftChars="2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 xml:space="preserve">/　　　　　　　 </w:t>
      </w:r>
    </w:p>
    <w:p w14:paraId="71CB6F6B">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 标准和规范</w:t>
      </w:r>
    </w:p>
    <w:p w14:paraId="385D7F9A">
      <w:pPr>
        <w:pageBreakBefore w:val="0"/>
        <w:kinsoku/>
        <w:wordWrap/>
        <w:overflowPunct/>
        <w:topLinePunct w:val="0"/>
        <w:bidi w:val="0"/>
        <w:snapToGrid/>
        <w:spacing w:beforeLines="0" w:afterLines="0" w:line="500" w:lineRule="exact"/>
        <w:ind w:left="596" w:leftChars="2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适用于工程造价咨询的标准规范包括：</w:t>
      </w:r>
      <w:r>
        <w:rPr>
          <w:rFonts w:hint="eastAsia" w:ascii="宋体" w:hAnsi="宋体" w:eastAsia="宋体" w:cs="宋体"/>
          <w:color w:val="auto"/>
          <w:sz w:val="24"/>
          <w:szCs w:val="24"/>
          <w:highlight w:val="none"/>
          <w:u w:val="single"/>
        </w:rPr>
        <w:t>现行行业工程计价有关规程、标准等</w:t>
      </w:r>
      <w:r>
        <w:rPr>
          <w:rFonts w:hint="eastAsia" w:ascii="宋体" w:hAnsi="宋体" w:eastAsia="宋体" w:cs="宋体"/>
          <w:color w:val="auto"/>
          <w:sz w:val="24"/>
          <w:szCs w:val="24"/>
          <w:highlight w:val="none"/>
        </w:rPr>
        <w:t>。</w:t>
      </w:r>
    </w:p>
    <w:p w14:paraId="6FE27432">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 合同文件的优先顺序</w:t>
      </w:r>
    </w:p>
    <w:p w14:paraId="4B280383">
      <w:pPr>
        <w:pageBreakBefore w:val="0"/>
        <w:kinsoku/>
        <w:wordWrap/>
        <w:overflowPunct/>
        <w:topLinePunct w:val="0"/>
        <w:bidi w:val="0"/>
        <w:snapToGrid/>
        <w:spacing w:beforeLines="0" w:afterLines="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r>
        <w:rPr>
          <w:rFonts w:hint="eastAsia" w:ascii="宋体" w:hAnsi="宋体" w:eastAsia="宋体" w:cs="宋体"/>
          <w:color w:val="auto"/>
          <w:sz w:val="24"/>
          <w:szCs w:val="24"/>
          <w:highlight w:val="none"/>
          <w:u w:val="single"/>
        </w:rPr>
        <w:t>执行通用合同条款</w:t>
      </w:r>
      <w:r>
        <w:rPr>
          <w:rFonts w:hint="eastAsia" w:ascii="宋体" w:hAnsi="宋体" w:eastAsia="宋体" w:cs="宋体"/>
          <w:color w:val="auto"/>
          <w:sz w:val="24"/>
          <w:szCs w:val="24"/>
          <w:highlight w:val="none"/>
        </w:rPr>
        <w:t>。</w:t>
      </w:r>
    </w:p>
    <w:p w14:paraId="720E3695">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 联络</w:t>
      </w:r>
    </w:p>
    <w:p w14:paraId="7285C354">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kern w:val="0"/>
          <w:sz w:val="24"/>
          <w:szCs w:val="24"/>
          <w:highlight w:val="none"/>
        </w:rPr>
        <w:t>委托人和咨询人应当在</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kern w:val="0"/>
          <w:sz w:val="24"/>
          <w:szCs w:val="24"/>
          <w:highlight w:val="none"/>
        </w:rPr>
        <w:t>天内将与合同有关的通知、批准、证明、证书、指示、指令、要求、请求、同意、意见、确定和决定等书面函件送达对方当事人。</w:t>
      </w:r>
    </w:p>
    <w:p w14:paraId="53E9189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1.6.2</w:t>
      </w:r>
      <w:r>
        <w:rPr>
          <w:rFonts w:hint="eastAsia" w:ascii="宋体" w:hAnsi="宋体" w:eastAsia="宋体" w:cs="宋体"/>
          <w:color w:val="auto"/>
          <w:kern w:val="0"/>
          <w:sz w:val="24"/>
          <w:szCs w:val="24"/>
          <w:highlight w:val="none"/>
        </w:rPr>
        <w:t xml:space="preserve"> 委托人接收文件的地点：</w:t>
      </w:r>
      <w:r>
        <w:rPr>
          <w:rFonts w:hint="eastAsia" w:ascii="宋体" w:hAnsi="宋体" w:cs="宋体"/>
          <w:color w:val="auto"/>
          <w:kern w:val="0"/>
          <w:sz w:val="24"/>
          <w:szCs w:val="24"/>
          <w:highlight w:val="none"/>
          <w:u w:val="single"/>
          <w:lang w:eastAsia="zh-CN"/>
        </w:rPr>
        <w:t>滁州市明湖建设管理服务中心</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03BE986C">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委托人指定的接收人为：</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68C79F24">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委托人指定的电子邮箱：</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8DECF52">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咨询人接收文件的地点：</w:t>
      </w:r>
      <w:r>
        <w:rPr>
          <w:rFonts w:hint="eastAsia" w:ascii="宋体" w:hAnsi="宋体" w:eastAsia="宋体" w:cs="宋体"/>
          <w:color w:val="auto"/>
          <w:sz w:val="24"/>
          <w:szCs w:val="24"/>
          <w:highlight w:val="none"/>
          <w:u w:val="single"/>
        </w:rPr>
        <w:t>　　　　　　　　　　　 　　</w:t>
      </w:r>
      <w:r>
        <w:rPr>
          <w:rFonts w:hint="eastAsia" w:ascii="宋体" w:hAnsi="宋体" w:eastAsia="宋体" w:cs="宋体"/>
          <w:color w:val="auto"/>
          <w:kern w:val="0"/>
          <w:sz w:val="24"/>
          <w:szCs w:val="24"/>
          <w:highlight w:val="none"/>
        </w:rPr>
        <w:t>；</w:t>
      </w:r>
    </w:p>
    <w:p w14:paraId="791F6D7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咨询人指定的接收人为：</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415DED37">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咨询</w:t>
      </w:r>
      <w:r>
        <w:rPr>
          <w:rFonts w:hint="eastAsia" w:ascii="宋体" w:hAnsi="宋体" w:eastAsia="宋体" w:cs="宋体"/>
          <w:color w:val="auto"/>
          <w:sz w:val="24"/>
          <w:szCs w:val="24"/>
          <w:highlight w:val="none"/>
        </w:rPr>
        <w:t>人</w:t>
      </w:r>
      <w:r>
        <w:rPr>
          <w:rFonts w:hint="eastAsia" w:ascii="宋体" w:hAnsi="宋体" w:eastAsia="宋体" w:cs="宋体"/>
          <w:color w:val="auto"/>
          <w:kern w:val="0"/>
          <w:sz w:val="24"/>
          <w:szCs w:val="24"/>
          <w:highlight w:val="none"/>
        </w:rPr>
        <w:t>指定的电子邮箱：</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75D4E32">
      <w:pPr>
        <w:pStyle w:val="7"/>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75" w:name="_Toc407261945"/>
      <w:bookmarkStart w:id="176" w:name="_Toc351203634"/>
      <w:r>
        <w:rPr>
          <w:rFonts w:hint="eastAsia" w:ascii="宋体" w:hAnsi="宋体" w:eastAsia="宋体" w:cs="宋体"/>
          <w:b w:val="0"/>
          <w:color w:val="auto"/>
          <w:sz w:val="24"/>
          <w:szCs w:val="24"/>
          <w:highlight w:val="none"/>
        </w:rPr>
        <w:t>2</w:t>
      </w:r>
      <w:bookmarkStart w:id="177" w:name="_Toc292559362"/>
      <w:bookmarkStart w:id="178" w:name="_Toc296503157"/>
      <w:bookmarkStart w:id="179" w:name="_Toc292559867"/>
      <w:bookmarkStart w:id="180" w:name="_Toc296890985"/>
      <w:bookmarkStart w:id="181" w:name="_Toc296944496"/>
      <w:bookmarkStart w:id="182" w:name="_Toc296891197"/>
      <w:bookmarkStart w:id="183" w:name="_Toc297120457"/>
      <w:bookmarkStart w:id="184" w:name="_Toc296346658"/>
      <w:bookmarkStart w:id="185" w:name="_Toc296347156"/>
      <w:bookmarkStart w:id="186" w:name="_Toc297048343"/>
      <w:r>
        <w:rPr>
          <w:rFonts w:hint="eastAsia" w:ascii="宋体" w:hAnsi="宋体" w:eastAsia="宋体" w:cs="宋体"/>
          <w:b w:val="0"/>
          <w:color w:val="auto"/>
          <w:sz w:val="24"/>
          <w:szCs w:val="24"/>
          <w:highlight w:val="none"/>
        </w:rPr>
        <w:t>. 委托人</w:t>
      </w:r>
      <w:bookmarkEnd w:id="175"/>
      <w:bookmarkEnd w:id="176"/>
    </w:p>
    <w:bookmarkEnd w:id="177"/>
    <w:bookmarkEnd w:id="178"/>
    <w:bookmarkEnd w:id="179"/>
    <w:bookmarkEnd w:id="180"/>
    <w:bookmarkEnd w:id="181"/>
    <w:bookmarkEnd w:id="182"/>
    <w:bookmarkEnd w:id="183"/>
    <w:bookmarkEnd w:id="184"/>
    <w:bookmarkEnd w:id="185"/>
    <w:bookmarkEnd w:id="186"/>
    <w:p w14:paraId="431DAB7A">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委托人代表</w:t>
      </w:r>
    </w:p>
    <w:p w14:paraId="292A781C">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5CEE920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19E6FD7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0DD45C9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27F954E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17225B3F">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eastAsia="zh-CN"/>
        </w:rPr>
        <w:t>滁州市明湖建设管理服务中心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A7C8274">
      <w:pPr>
        <w:pageBreakBefore w:val="0"/>
        <w:kinsoku/>
        <w:wordWrap/>
        <w:overflowPunct/>
        <w:topLinePunct w:val="0"/>
        <w:bidi w:val="0"/>
        <w:snapToGrid/>
        <w:spacing w:beforeLines="0" w:afterLines="0"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委托人对委托人代表的授权范围如下</w:t>
      </w:r>
      <w:r>
        <w:rPr>
          <w:rFonts w:hint="eastAsia" w:ascii="宋体" w:hAnsi="宋体" w:eastAsia="宋体" w:cs="宋体"/>
          <w:color w:val="auto"/>
          <w:sz w:val="24"/>
          <w:szCs w:val="24"/>
          <w:highlight w:val="none"/>
          <w:u w:val="single"/>
        </w:rPr>
        <w:t>负责本工程工程量清单和最高投标限价编制及资料收集、提供、协调、沟通、确认、备案等相关事宜</w:t>
      </w:r>
      <w:r>
        <w:rPr>
          <w:rFonts w:hint="eastAsia" w:ascii="宋体" w:hAnsi="宋体" w:eastAsia="宋体" w:cs="宋体"/>
          <w:color w:val="auto"/>
          <w:sz w:val="24"/>
          <w:szCs w:val="24"/>
          <w:highlight w:val="none"/>
        </w:rPr>
        <w:t>。</w:t>
      </w:r>
    </w:p>
    <w:p w14:paraId="28049F0F">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提供资料</w:t>
      </w:r>
    </w:p>
    <w:p w14:paraId="2546D962">
      <w:pPr>
        <w:pageBreakBefore w:val="0"/>
        <w:kinsoku/>
        <w:wordWrap/>
        <w:overflowPunct/>
        <w:topLinePunct w:val="0"/>
        <w:bidi w:val="0"/>
        <w:snapToGrid/>
        <w:spacing w:beforeLines="0" w:afterLines="0"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委托人向咨询人提供的资料包括：</w:t>
      </w:r>
      <w:r>
        <w:rPr>
          <w:rFonts w:hint="eastAsia" w:ascii="宋体" w:hAnsi="宋体" w:eastAsia="宋体" w:cs="宋体"/>
          <w:color w:val="auto"/>
          <w:sz w:val="24"/>
          <w:szCs w:val="24"/>
          <w:highlight w:val="none"/>
          <w:u w:val="single"/>
        </w:rPr>
        <w:t xml:space="preserve">本工程招标文件、图审后的设计图纸、设计答疑等 </w:t>
      </w:r>
      <w:r>
        <w:rPr>
          <w:rFonts w:hint="eastAsia" w:ascii="宋体" w:hAnsi="宋体" w:eastAsia="宋体" w:cs="宋体"/>
          <w:color w:val="auto"/>
          <w:sz w:val="24"/>
          <w:szCs w:val="24"/>
          <w:highlight w:val="none"/>
        </w:rPr>
        <w:t>。</w:t>
      </w:r>
    </w:p>
    <w:p w14:paraId="2C3797DC">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委托人向咨询人提供资料的期限为：</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w:t>
      </w:r>
    </w:p>
    <w:p w14:paraId="7B7DD51B">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关于委托人向咨询人提供资料的特别约定：</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sz w:val="24"/>
          <w:szCs w:val="24"/>
          <w:highlight w:val="none"/>
        </w:rPr>
        <w:t>。</w:t>
      </w:r>
    </w:p>
    <w:p w14:paraId="6DA36F36">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 答复</w:t>
      </w:r>
    </w:p>
    <w:p w14:paraId="1A6E7854">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委托人对咨询人以书面形式提交并要求作出决定事宜的答复期限为：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EADE501">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关于咨询人以书面形式提交并要求第三人作出决定的事宜，由委托人送达第三人的特别约定：</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p w14:paraId="3208F3E9">
      <w:pPr>
        <w:pStyle w:val="7"/>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87" w:name="_Toc407261946"/>
      <w:r>
        <w:rPr>
          <w:rFonts w:hint="eastAsia" w:ascii="宋体" w:hAnsi="宋体" w:eastAsia="宋体" w:cs="宋体"/>
          <w:b w:val="0"/>
          <w:color w:val="auto"/>
          <w:sz w:val="24"/>
          <w:szCs w:val="24"/>
          <w:highlight w:val="none"/>
        </w:rPr>
        <w:t>3. 咨询人</w:t>
      </w:r>
      <w:bookmarkEnd w:id="187"/>
    </w:p>
    <w:p w14:paraId="5DACDD1D">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 项目负责人</w:t>
      </w:r>
    </w:p>
    <w:p w14:paraId="7E80ACA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36CC1C70">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4858F6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造价工程师注册证书号：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BEF31F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3C8D5C5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52F330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F2693BA">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咨询人对项目负责人的授权范围如下：</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817801B">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 工程造价专业人员</w:t>
      </w:r>
    </w:p>
    <w:p w14:paraId="3E496598">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咨询人提交工程造价专业人员任命文件及其注册证书或资格证书的期限：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A516864">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咨询人未提交</w:t>
      </w:r>
      <w:r>
        <w:rPr>
          <w:rFonts w:hint="eastAsia" w:ascii="宋体" w:hAnsi="宋体" w:eastAsia="宋体" w:cs="宋体"/>
          <w:color w:val="auto"/>
          <w:sz w:val="24"/>
          <w:szCs w:val="24"/>
          <w:highlight w:val="none"/>
        </w:rPr>
        <w:t>为工程造价专业人员缴纳的社会保险有效证明</w:t>
      </w:r>
      <w:r>
        <w:rPr>
          <w:rFonts w:hint="eastAsia" w:ascii="宋体" w:hAnsi="宋体" w:eastAsia="宋体" w:cs="宋体"/>
          <w:color w:val="auto"/>
          <w:kern w:val="0"/>
          <w:sz w:val="24"/>
          <w:szCs w:val="24"/>
          <w:highlight w:val="none"/>
        </w:rPr>
        <w:t>的违约责任：</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52343F2">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3.3.2 咨询人擅自更换工程造价专业人员的违约责任：</w:t>
      </w:r>
      <w:r>
        <w:rPr>
          <w:rFonts w:hint="eastAsia" w:ascii="宋体" w:hAnsi="宋体" w:eastAsia="宋体" w:cs="宋体"/>
          <w:color w:val="auto"/>
          <w:sz w:val="24"/>
          <w:szCs w:val="24"/>
          <w:highlight w:val="none"/>
          <w:u w:val="single"/>
        </w:rPr>
        <w:t xml:space="preserve">   /</w:t>
      </w:r>
    </w:p>
    <w:p w14:paraId="7E547338">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咨询人安排的工程造价专业人员</w:t>
      </w:r>
      <w:r>
        <w:rPr>
          <w:rFonts w:hint="eastAsia" w:ascii="宋体" w:hAnsi="宋体" w:eastAsia="宋体" w:cs="宋体"/>
          <w:color w:val="auto"/>
          <w:kern w:val="0"/>
          <w:sz w:val="24"/>
          <w:szCs w:val="24"/>
          <w:highlight w:val="none"/>
        </w:rPr>
        <w:t>每月在施工现场的时间要求：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518C76A">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工程造价专业人员</w:t>
      </w:r>
      <w:r>
        <w:rPr>
          <w:rFonts w:hint="eastAsia" w:ascii="宋体" w:hAnsi="宋体" w:eastAsia="宋体" w:cs="宋体"/>
          <w:color w:val="auto"/>
          <w:kern w:val="0"/>
          <w:sz w:val="24"/>
          <w:szCs w:val="24"/>
          <w:highlight w:val="none"/>
        </w:rPr>
        <w:t>未经批准，擅自离开施工现场的违约责任：</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18ACDC2">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 咨询人无正当理由拒绝撤换工程造价专业人员的违约责任：</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43EA864A">
      <w:pPr>
        <w:pStyle w:val="7"/>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88" w:name="_Toc407261947"/>
      <w:r>
        <w:rPr>
          <w:rFonts w:hint="eastAsia" w:ascii="宋体" w:hAnsi="宋体" w:eastAsia="宋体" w:cs="宋体"/>
          <w:b w:val="0"/>
          <w:color w:val="auto"/>
          <w:sz w:val="24"/>
          <w:szCs w:val="24"/>
          <w:highlight w:val="none"/>
        </w:rPr>
        <w:t>4. 咨询业务范围和工作内容</w:t>
      </w:r>
      <w:bookmarkEnd w:id="188"/>
    </w:p>
    <w:p w14:paraId="351F3BED">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4.2 咨询工作内容</w:t>
      </w:r>
    </w:p>
    <w:p w14:paraId="17F9BFFC">
      <w:pPr>
        <w:pageBreakBefore w:val="0"/>
        <w:kinsoku/>
        <w:wordWrap/>
        <w:overflowPunct/>
        <w:topLinePunct w:val="0"/>
        <w:bidi w:val="0"/>
        <w:snapToGrid/>
        <w:spacing w:beforeLines="0" w:afterLines="0" w:line="500" w:lineRule="exact"/>
        <w:ind w:left="596" w:leftChars="284"/>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工程造价咨询工作内容包括：</w:t>
      </w:r>
      <w:r>
        <w:rPr>
          <w:rFonts w:hint="eastAsia" w:ascii="宋体" w:hAnsi="宋体" w:eastAsia="宋体" w:cs="宋体"/>
          <w:color w:val="auto"/>
          <w:sz w:val="24"/>
          <w:szCs w:val="24"/>
          <w:highlight w:val="none"/>
          <w:u w:val="single"/>
        </w:rPr>
        <w:t>工程量清单和最高投标限价编制</w:t>
      </w:r>
      <w:r>
        <w:rPr>
          <w:rFonts w:hint="eastAsia" w:ascii="宋体" w:hAnsi="宋体" w:eastAsia="宋体" w:cs="宋体"/>
          <w:color w:val="auto"/>
          <w:sz w:val="24"/>
          <w:szCs w:val="24"/>
          <w:highlight w:val="none"/>
        </w:rPr>
        <w:t>。</w:t>
      </w:r>
    </w:p>
    <w:p w14:paraId="73537F58">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5.2 咨询期限延误</w:t>
      </w:r>
    </w:p>
    <w:p w14:paraId="1AE94BB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 因委托人原因导致咨询期限延误</w:t>
      </w:r>
    </w:p>
    <w:p w14:paraId="4701073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sz w:val="24"/>
          <w:szCs w:val="24"/>
          <w:highlight w:val="none"/>
        </w:rPr>
        <w:t>因委托人原因导致咨询期限延误的其他情形：</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521674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bookmarkStart w:id="189" w:name="_Toc297216177"/>
      <w:bookmarkStart w:id="190" w:name="_Toc297123518"/>
      <w:bookmarkStart w:id="191" w:name="_Toc300934970"/>
      <w:bookmarkStart w:id="192" w:name="_Toc303539127"/>
      <w:bookmarkStart w:id="193" w:name="_Toc304295548"/>
      <w:r>
        <w:rPr>
          <w:rFonts w:hint="eastAsia" w:ascii="宋体" w:hAnsi="宋体" w:eastAsia="宋体" w:cs="宋体"/>
          <w:color w:val="auto"/>
          <w:sz w:val="24"/>
          <w:szCs w:val="24"/>
          <w:highlight w:val="none"/>
        </w:rPr>
        <w:t>5.2.2 因咨询人原因导致咨询期限延误</w:t>
      </w:r>
    </w:p>
    <w:p w14:paraId="7569551E">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w:t>
      </w:r>
      <w:bookmarkStart w:id="194" w:name="_Toc312677487"/>
      <w:bookmarkStart w:id="195" w:name="_Toc312678013"/>
      <w:bookmarkStart w:id="196" w:name="_Toc318581170"/>
      <w:r>
        <w:rPr>
          <w:rFonts w:hint="eastAsia" w:ascii="宋体" w:hAnsi="宋体" w:eastAsia="宋体" w:cs="宋体"/>
          <w:color w:val="auto"/>
          <w:sz w:val="24"/>
          <w:szCs w:val="24"/>
          <w:highlight w:val="none"/>
        </w:rPr>
        <w:t>咨询人原因造成咨询期限延误，逾期完成咨询业务违约金的计算方法为：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bookmarkEnd w:id="189"/>
      <w:bookmarkEnd w:id="190"/>
      <w:bookmarkEnd w:id="191"/>
      <w:bookmarkEnd w:id="192"/>
      <w:bookmarkEnd w:id="193"/>
      <w:bookmarkEnd w:id="194"/>
      <w:bookmarkEnd w:id="195"/>
    </w:p>
    <w:bookmarkEnd w:id="196"/>
    <w:p w14:paraId="14275F5D">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因咨询人原因造成咨询期限延误，</w:t>
      </w:r>
      <w:bookmarkStart w:id="197" w:name="_Toc312678014"/>
      <w:bookmarkStart w:id="198" w:name="_Toc318581171"/>
      <w:r>
        <w:rPr>
          <w:rFonts w:hint="eastAsia" w:ascii="宋体" w:hAnsi="宋体" w:eastAsia="宋体" w:cs="宋体"/>
          <w:color w:val="auto"/>
          <w:sz w:val="24"/>
          <w:szCs w:val="24"/>
          <w:highlight w:val="none"/>
        </w:rPr>
        <w:t>逾期完成咨询业务违约金的上限：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197"/>
    <w:bookmarkEnd w:id="198"/>
    <w:p w14:paraId="0C36F7D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 因第三人原因导致咨询期限延误</w:t>
      </w:r>
    </w:p>
    <w:p w14:paraId="0346B837">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因第三人原因导致咨询期限延误的其他情形：</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B5E6C63">
      <w:pPr>
        <w:pageBreakBefore w:val="0"/>
        <w:kinsoku/>
        <w:wordWrap/>
        <w:overflowPunct/>
        <w:topLinePunct w:val="0"/>
        <w:bidi w:val="0"/>
        <w:snapToGrid/>
        <w:spacing w:beforeLines="0" w:afterLines="0" w:line="500" w:lineRule="exact"/>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5.3 工程造价咨询成果文件交付期限</w:t>
      </w:r>
    </w:p>
    <w:p w14:paraId="613328B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5.3.1咨询人向委托人提交工程造价咨询成果文件的份数</w:t>
      </w:r>
      <w:r>
        <w:rPr>
          <w:rFonts w:hint="eastAsia" w:ascii="宋体" w:hAnsi="宋体" w:eastAsia="宋体" w:cs="宋体"/>
          <w:color w:val="auto"/>
          <w:sz w:val="24"/>
          <w:szCs w:val="24"/>
          <w:highlight w:val="none"/>
          <w:u w:val="single"/>
        </w:rPr>
        <w:t xml:space="preserve">各捌份 </w:t>
      </w:r>
      <w:r>
        <w:rPr>
          <w:rFonts w:hint="eastAsia" w:ascii="宋体" w:hAnsi="宋体" w:eastAsia="宋体" w:cs="宋体"/>
          <w:color w:val="auto"/>
          <w:sz w:val="24"/>
          <w:szCs w:val="24"/>
          <w:highlight w:val="none"/>
        </w:rPr>
        <w:t>。</w:t>
      </w:r>
    </w:p>
    <w:p w14:paraId="70D4412C">
      <w:pPr>
        <w:keepNext w:val="0"/>
        <w:keepLines w:val="0"/>
        <w:pageBreakBefore w:val="0"/>
        <w:widowControl w:val="0"/>
        <w:kinsoku/>
        <w:wordWrap w:val="0"/>
        <w:overflowPunct/>
        <w:topLinePunct w:val="0"/>
        <w:autoSpaceDE/>
        <w:autoSpaceDN/>
        <w:bidi w:val="0"/>
        <w:adjustRightInd/>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委托人在收到咨询人提交的工程造价咨询成果文件后确认或提出修改意见的期限：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7CF3AA1">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5.3.2因咨询人原因未能在合理的期限内完成工程计量与支付、合同价款调整等文件编制或审核，给委托人造成损失的违约责任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EBC9106">
      <w:pPr>
        <w:pStyle w:val="7"/>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99" w:name="_Toc407261949"/>
      <w:r>
        <w:rPr>
          <w:rFonts w:hint="eastAsia" w:ascii="宋体" w:hAnsi="宋体" w:eastAsia="宋体" w:cs="宋体"/>
          <w:b w:val="0"/>
          <w:color w:val="auto"/>
          <w:sz w:val="24"/>
          <w:szCs w:val="24"/>
          <w:highlight w:val="none"/>
        </w:rPr>
        <w:t>6. 咨询质量</w:t>
      </w:r>
      <w:bookmarkEnd w:id="199"/>
    </w:p>
    <w:p w14:paraId="6563F6B8">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6.1 质量要求</w:t>
      </w:r>
    </w:p>
    <w:p w14:paraId="54E0CF1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工程造价咨询成果文件质量标准：</w:t>
      </w:r>
      <w:r>
        <w:rPr>
          <w:rFonts w:hint="eastAsia" w:ascii="宋体" w:hAnsi="宋体" w:eastAsia="宋体" w:cs="宋体"/>
          <w:color w:val="auto"/>
          <w:sz w:val="24"/>
          <w:szCs w:val="24"/>
          <w:highlight w:val="none"/>
          <w:u w:val="single"/>
        </w:rPr>
        <w:t xml:space="preserve">《建设工程造价咨询成果文件质量标准》（CECA/GCF2012） </w:t>
      </w:r>
      <w:r>
        <w:rPr>
          <w:rFonts w:hint="eastAsia" w:ascii="宋体" w:hAnsi="宋体" w:eastAsia="宋体" w:cs="宋体"/>
          <w:color w:val="auto"/>
          <w:sz w:val="24"/>
          <w:szCs w:val="24"/>
          <w:highlight w:val="none"/>
        </w:rPr>
        <w:t>。</w:t>
      </w:r>
    </w:p>
    <w:p w14:paraId="6B9F96F3">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6.3 质量不合格处理</w:t>
      </w:r>
    </w:p>
    <w:p w14:paraId="1E113E2D">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因咨询人原因造成工程造价咨询成果文件质量未达到合同约定标准，委托人相应减少咨询酬金的计算方法为：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A5488C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因咨询人原因造成工程造价咨询成果文件质量不合格产生的损失赔偿额的计算方法为：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C7FCD9C">
      <w:pPr>
        <w:pStyle w:val="7"/>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200" w:name="_Toc407261950"/>
      <w:r>
        <w:rPr>
          <w:rFonts w:hint="eastAsia" w:ascii="宋体" w:hAnsi="宋体" w:eastAsia="宋体" w:cs="宋体"/>
          <w:b w:val="0"/>
          <w:color w:val="auto"/>
          <w:sz w:val="24"/>
          <w:szCs w:val="24"/>
          <w:highlight w:val="none"/>
        </w:rPr>
        <w:t>7. 咨询酬金</w:t>
      </w:r>
      <w:bookmarkEnd w:id="200"/>
    </w:p>
    <w:p w14:paraId="392DD593">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7.1 酬金计算方式</w:t>
      </w:r>
    </w:p>
    <w:p w14:paraId="0D7D82FE">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咨询酬金其他计算方式：</w:t>
      </w:r>
      <w:r>
        <w:rPr>
          <w:rFonts w:hint="eastAsia" w:ascii="宋体" w:hAnsi="宋体" w:eastAsia="宋体" w:cs="宋体"/>
          <w:color w:val="auto"/>
          <w:sz w:val="24"/>
          <w:szCs w:val="24"/>
          <w:highlight w:val="none"/>
          <w:u w:val="single"/>
        </w:rPr>
        <w:t>工程量清单和最高投标限价编制费用=【施工中标价-（暂列金+暂估价）】*相应费率*</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%。请款时暂列金和暂估价均需扣除相应税金。</w:t>
      </w:r>
    </w:p>
    <w:p w14:paraId="06A3BE20">
      <w:pPr>
        <w:pageBreakBefore w:val="0"/>
        <w:kinsoku/>
        <w:wordWrap/>
        <w:overflowPunct/>
        <w:topLinePunct w:val="0"/>
        <w:bidi w:val="0"/>
        <w:snapToGrid/>
        <w:spacing w:beforeLines="0" w:afterLines="0"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7.1.2 基本酬金加绩效酬金</w:t>
      </w:r>
    </w:p>
    <w:p w14:paraId="56DB8ADE">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基本酬金比率：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F0A5F30">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绩效酬金比率：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50FD761">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7.2 预付酬金</w:t>
      </w:r>
    </w:p>
    <w:p w14:paraId="656E8B3A">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预付酬金支付比例或金额：</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09D463A">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预付酬金支付期限：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033A01B">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委托人逾期支付预付酬金的违约金的计算方式：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564B95B">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酬金分段结算与支付的比例或金额：</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7E379F7">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咨询人提交酬金分段结算与支付申请书的期限：</w:t>
      </w:r>
      <w:r>
        <w:rPr>
          <w:rFonts w:hint="eastAsia" w:ascii="宋体" w:hAnsi="宋体" w:eastAsia="宋体" w:cs="宋体"/>
          <w:color w:val="auto"/>
          <w:sz w:val="24"/>
          <w:szCs w:val="24"/>
          <w:highlight w:val="none"/>
          <w:u w:val="single"/>
        </w:rPr>
        <w:t xml:space="preserve">             </w:t>
      </w:r>
    </w:p>
    <w:p w14:paraId="54AA5FB8">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 委托人审核确认酬金分段结算与支付申请书并完成酬金支付的期限：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F48DEC3">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7.4 酬金结清与支付</w:t>
      </w:r>
    </w:p>
    <w:p w14:paraId="19E2B2EA">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 咨询人提交酬金结清与支付申请书的期限：</w:t>
      </w:r>
      <w:r>
        <w:rPr>
          <w:rFonts w:hint="eastAsia" w:ascii="宋体" w:hAnsi="宋体" w:eastAsia="宋体" w:cs="宋体"/>
          <w:color w:val="auto"/>
          <w:sz w:val="24"/>
          <w:szCs w:val="24"/>
          <w:highlight w:val="none"/>
          <w:u w:val="single"/>
        </w:rPr>
        <w:t xml:space="preserve">     /      </w:t>
      </w:r>
    </w:p>
    <w:p w14:paraId="41311E55">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7.4.2 委托人审核确认酬金结清与支付申请书的期限：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DF8C182">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7.4.3 委托人完成酬金支付的期限：</w:t>
      </w:r>
      <w:r>
        <w:rPr>
          <w:rFonts w:hint="eastAsia" w:ascii="宋体" w:hAnsi="宋体" w:cs="宋体"/>
          <w:color w:val="auto"/>
          <w:sz w:val="24"/>
          <w:szCs w:val="24"/>
          <w:highlight w:val="none"/>
          <w:u w:val="single"/>
          <w:lang w:val="en-US" w:eastAsia="zh-CN"/>
        </w:rPr>
        <w:t>相关工作成果经招标人或主管部门确认，并完成核对工作后，支付编制费用的50%，余款待工程竣工验收合格结算后30日内一次性付清。</w:t>
      </w:r>
    </w:p>
    <w:p w14:paraId="2A90F6C9">
      <w:pPr>
        <w:pStyle w:val="7"/>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1" w:name="_Toc407261951"/>
      <w:r>
        <w:rPr>
          <w:rFonts w:hint="eastAsia" w:ascii="宋体" w:hAnsi="宋体" w:eastAsia="宋体" w:cs="宋体"/>
          <w:b w:val="0"/>
          <w:color w:val="auto"/>
          <w:sz w:val="24"/>
          <w:szCs w:val="24"/>
          <w:highlight w:val="none"/>
        </w:rPr>
        <w:t>8. 变更</w:t>
      </w:r>
      <w:bookmarkEnd w:id="201"/>
    </w:p>
    <w:p w14:paraId="35D1A2C9">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8.1 变更的范围</w:t>
      </w:r>
    </w:p>
    <w:p w14:paraId="64F21B60">
      <w:pPr>
        <w:pageBreakBefore w:val="0"/>
        <w:kinsoku/>
        <w:wordWrap/>
        <w:overflowPunct/>
        <w:topLinePunct w:val="0"/>
        <w:bidi w:val="0"/>
        <w:snapToGrid/>
        <w:spacing w:beforeLines="0" w:afterLines="0" w:line="500" w:lineRule="exact"/>
        <w:ind w:firstLine="6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变更的其他情形：</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5898997">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8.2 变更引起的咨询酬金和期限调整</w:t>
      </w:r>
    </w:p>
    <w:p w14:paraId="7DCAB260">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8.2.1 变更引起咨询酬金调整的计算方法: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C63B523">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变更引起咨询期限调整的计算方法: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748C2E4">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8.3 咨询人的合理化建议</w:t>
      </w:r>
    </w:p>
    <w:p w14:paraId="39F9E69D">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合理化建议奖励金额的比率：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CA08277">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合理化建议奖励的其他计算方法：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A8905BC">
      <w:pPr>
        <w:pStyle w:val="7"/>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2" w:name="_Toc407261952"/>
      <w:r>
        <w:rPr>
          <w:rFonts w:hint="eastAsia" w:ascii="宋体" w:hAnsi="宋体" w:eastAsia="宋体" w:cs="宋体"/>
          <w:b w:val="0"/>
          <w:color w:val="auto"/>
          <w:sz w:val="24"/>
          <w:szCs w:val="24"/>
          <w:highlight w:val="none"/>
        </w:rPr>
        <w:t>9. 违约</w:t>
      </w:r>
      <w:bookmarkEnd w:id="202"/>
    </w:p>
    <w:p w14:paraId="16C80E4C">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9.1 委托人违约</w:t>
      </w:r>
    </w:p>
    <w:p w14:paraId="64384182">
      <w:pPr>
        <w:pageBreakBefore w:val="0"/>
        <w:kinsoku/>
        <w:wordWrap/>
        <w:overflowPunct/>
        <w:topLinePunct w:val="0"/>
        <w:bidi w:val="0"/>
        <w:snapToGrid/>
        <w:spacing w:before="120" w:beforeLines="0" w:after="12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关于委托人违约解除合同的特别约定：</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48F570A5">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因委托人违约解除合同的，关于已完咨询业务酬金结算和付款的约定：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F1910F4">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9.2 咨询人违约</w:t>
      </w:r>
    </w:p>
    <w:p w14:paraId="104B66E7">
      <w:pPr>
        <w:pageBreakBefore w:val="0"/>
        <w:kinsoku/>
        <w:wordWrap/>
        <w:overflowPunct/>
        <w:topLinePunct w:val="0"/>
        <w:bidi w:val="0"/>
        <w:snapToGrid/>
        <w:spacing w:before="120" w:beforeLines="0" w:after="12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关于咨询人违约解除合同的特别约定：</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2A7A4214">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因咨询人违约解除合同的，关于已完咨询业务酬金结算和付款的约定：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CFA3439">
      <w:pPr>
        <w:pStyle w:val="7"/>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3" w:name="_Toc407261953"/>
      <w:r>
        <w:rPr>
          <w:rFonts w:hint="eastAsia" w:ascii="宋体" w:hAnsi="宋体" w:eastAsia="宋体" w:cs="宋体"/>
          <w:b w:val="0"/>
          <w:color w:val="auto"/>
          <w:sz w:val="24"/>
          <w:szCs w:val="24"/>
          <w:highlight w:val="none"/>
        </w:rPr>
        <w:t>10. 争议解决</w:t>
      </w:r>
      <w:bookmarkEnd w:id="203"/>
    </w:p>
    <w:p w14:paraId="27DF95CD">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10.3 仲裁或诉讼</w:t>
      </w:r>
    </w:p>
    <w:p w14:paraId="597A863F">
      <w:pPr>
        <w:pageBreakBefore w:val="0"/>
        <w:kinsoku/>
        <w:wordWrap/>
        <w:overflowPunct/>
        <w:topLinePunct w:val="0"/>
        <w:bidi w:val="0"/>
        <w:snapToGrid/>
        <w:spacing w:beforeLines="0" w:after="12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种方式解决：</w:t>
      </w:r>
    </w:p>
    <w:p w14:paraId="2683F420">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 xml:space="preserve">     滁州市        </w:t>
      </w:r>
      <w:r>
        <w:rPr>
          <w:rFonts w:hint="eastAsia" w:ascii="宋体" w:hAnsi="宋体" w:eastAsia="宋体" w:cs="宋体"/>
          <w:color w:val="auto"/>
          <w:sz w:val="24"/>
          <w:szCs w:val="24"/>
          <w:highlight w:val="none"/>
        </w:rPr>
        <w:t>仲裁委员会申请仲裁；</w:t>
      </w:r>
    </w:p>
    <w:p w14:paraId="00B9D8C0">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人民法院起诉。</w:t>
      </w:r>
    </w:p>
    <w:p w14:paraId="711E9D09">
      <w:pPr>
        <w:pStyle w:val="2"/>
        <w:pageBreakBefore w:val="0"/>
        <w:kinsoku/>
        <w:wordWrap/>
        <w:overflowPunct/>
        <w:topLinePunct w:val="0"/>
        <w:bidi w:val="0"/>
        <w:snapToGrid/>
        <w:spacing w:beforeLines="0" w:afterLines="0" w:line="500" w:lineRule="exact"/>
        <w:textAlignment w:val="auto"/>
        <w:rPr>
          <w:rFonts w:hint="eastAsia" w:ascii="仿宋_GB2312" w:hAnsi="仿宋_GB2312" w:eastAsia="仿宋_GB2312" w:cs="仿宋_GB2312"/>
          <w:color w:val="auto"/>
          <w:sz w:val="30"/>
          <w:szCs w:val="30"/>
          <w:highlight w:val="none"/>
        </w:rPr>
      </w:pPr>
    </w:p>
    <w:p w14:paraId="7261B75D">
      <w:pPr>
        <w:pageBreakBefore w:val="0"/>
        <w:kinsoku/>
        <w:wordWrap/>
        <w:overflowPunct/>
        <w:topLinePunct w:val="0"/>
        <w:bidi w:val="0"/>
        <w:snapToGrid/>
        <w:spacing w:beforeLines="0" w:afterLines="0" w:line="500" w:lineRule="exact"/>
        <w:textAlignment w:val="auto"/>
        <w:rPr>
          <w:rFonts w:hint="eastAsia" w:ascii="仿宋_GB2312" w:hAnsi="仿宋_GB2312" w:eastAsia="仿宋_GB2312" w:cs="仿宋_GB2312"/>
          <w:color w:val="auto"/>
          <w:sz w:val="30"/>
          <w:szCs w:val="30"/>
          <w:highlight w:val="none"/>
        </w:rPr>
      </w:pPr>
    </w:p>
    <w:p w14:paraId="2AF2BF51">
      <w:pPr>
        <w:pStyle w:val="2"/>
        <w:spacing w:beforeLines="0" w:afterLines="0"/>
        <w:rPr>
          <w:rFonts w:hint="eastAsia" w:ascii="仿宋_GB2312" w:hAnsi="仿宋_GB2312" w:eastAsia="仿宋_GB2312" w:cs="仿宋_GB2312"/>
          <w:color w:val="auto"/>
          <w:sz w:val="30"/>
          <w:szCs w:val="30"/>
          <w:highlight w:val="none"/>
        </w:rPr>
      </w:pPr>
    </w:p>
    <w:p w14:paraId="232E2E76">
      <w:pPr>
        <w:spacing w:beforeLines="0" w:afterLines="0"/>
        <w:rPr>
          <w:rFonts w:hint="eastAsia" w:ascii="仿宋_GB2312" w:hAnsi="仿宋_GB2312" w:eastAsia="仿宋_GB2312" w:cs="仿宋_GB2312"/>
          <w:color w:val="auto"/>
          <w:sz w:val="30"/>
          <w:szCs w:val="30"/>
          <w:highlight w:val="none"/>
        </w:rPr>
      </w:pPr>
    </w:p>
    <w:p w14:paraId="6AC15FD6">
      <w:pPr>
        <w:keepNext w:val="0"/>
        <w:keepLines w:val="0"/>
        <w:widowControl w:val="0"/>
        <w:suppressLineNumbers w:val="0"/>
        <w:spacing w:before="0" w:beforeAutospacing="0" w:after="0" w:afterAutospacing="0"/>
        <w:ind w:left="0" w:right="0"/>
        <w:jc w:val="both"/>
        <w:rPr>
          <w:color w:val="auto"/>
          <w:highlight w:val="none"/>
        </w:rPr>
      </w:pPr>
    </w:p>
    <w:p w14:paraId="099B5ADB">
      <w:pPr>
        <w:pStyle w:val="6"/>
        <w:spacing w:before="0" w:after="0"/>
        <w:rPr>
          <w:rFonts w:hint="eastAsia" w:ascii="宋体" w:hAnsi="宋体" w:eastAsia="宋体" w:cs="宋体"/>
          <w:color w:val="auto"/>
          <w:highlight w:val="none"/>
          <w:lang w:val="en-US" w:eastAsia="zh-CN"/>
        </w:rPr>
      </w:pPr>
    </w:p>
    <w:p w14:paraId="164B5F6C">
      <w:pPr>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rPr>
        <w:br w:type="page"/>
      </w:r>
    </w:p>
    <w:p w14:paraId="092A411A">
      <w:pPr>
        <w:pStyle w:val="2"/>
        <w:widowControl/>
        <w:rPr>
          <w:rFonts w:hint="eastAsia" w:ascii="宋体" w:hAnsi="宋体" w:eastAsia="宋体" w:cs="宋体"/>
          <w:b/>
          <w:bCs/>
          <w:color w:val="auto"/>
          <w:kern w:val="2"/>
          <w:sz w:val="28"/>
          <w:szCs w:val="28"/>
          <w:highlight w:val="none"/>
        </w:rPr>
        <w:sectPr>
          <w:footerReference r:id="rId6" w:type="default"/>
          <w:pgSz w:w="12242" w:h="15842"/>
          <w:pgMar w:top="935" w:right="1106" w:bottom="936" w:left="1259" w:header="680" w:footer="680" w:gutter="0"/>
          <w:pgNumType w:fmt="decimal" w:start="1"/>
          <w:cols w:space="0" w:num="1"/>
          <w:docGrid w:type="lines" w:linePitch="318" w:charSpace="0"/>
        </w:sectPr>
      </w:pPr>
    </w:p>
    <w:p w14:paraId="1BCE9008">
      <w:pPr>
        <w:pStyle w:val="2"/>
        <w:widowControl/>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rPr>
        <w:t>附表</w:t>
      </w:r>
    </w:p>
    <w:p w14:paraId="1729D2A0">
      <w:pPr>
        <w:jc w:val="right"/>
        <w:rPr>
          <w:rFonts w:hint="default"/>
          <w:color w:val="auto"/>
          <w:highlight w:val="none"/>
        </w:rPr>
      </w:pPr>
      <w:r>
        <w:rPr>
          <w:rFonts w:hint="default"/>
          <w:color w:val="auto"/>
          <w:highlight w:val="none"/>
          <w:lang w:val="en-US" w:eastAsia="zh-CN"/>
        </w:rPr>
        <w:t>费率：‰</w:t>
      </w:r>
    </w:p>
    <w:tbl>
      <w:tblPr>
        <w:tblStyle w:val="45"/>
        <w:tblW w:w="14038" w:type="dxa"/>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716"/>
        <w:gridCol w:w="448"/>
        <w:gridCol w:w="1683"/>
        <w:gridCol w:w="755"/>
        <w:gridCol w:w="630"/>
        <w:gridCol w:w="1115"/>
        <w:gridCol w:w="558"/>
        <w:gridCol w:w="537"/>
        <w:gridCol w:w="60"/>
        <w:gridCol w:w="478"/>
        <w:gridCol w:w="72"/>
        <w:gridCol w:w="466"/>
        <w:gridCol w:w="46"/>
        <w:gridCol w:w="492"/>
        <w:gridCol w:w="510"/>
        <w:gridCol w:w="28"/>
        <w:gridCol w:w="516"/>
        <w:gridCol w:w="18"/>
        <w:gridCol w:w="3"/>
        <w:gridCol w:w="681"/>
        <w:gridCol w:w="4226"/>
      </w:tblGrid>
      <w:tr w14:paraId="30FC7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73F8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序号</w:t>
            </w:r>
          </w:p>
        </w:tc>
        <w:tc>
          <w:tcPr>
            <w:tcW w:w="21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8900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咨询项目</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586F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收费</w:t>
            </w:r>
          </w:p>
          <w:p w14:paraId="519CCC0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基础</w:t>
            </w:r>
          </w:p>
        </w:tc>
        <w:tc>
          <w:tcPr>
            <w:tcW w:w="17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956A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工程类型</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6D4DA1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单位工程金额(万元)</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050C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服务内容</w:t>
            </w:r>
          </w:p>
        </w:tc>
      </w:tr>
      <w:tr w14:paraId="56C65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D4E0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4515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BAF2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03D4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CC3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w:t>
            </w:r>
          </w:p>
          <w:p w14:paraId="5FF5FA3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0BB2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200</w:t>
            </w:r>
          </w:p>
          <w:p w14:paraId="60E3DC4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257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500</w:t>
            </w:r>
          </w:p>
          <w:p w14:paraId="589B5E4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CD9F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1000</w:t>
            </w:r>
          </w:p>
          <w:p w14:paraId="617628A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209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2000</w:t>
            </w:r>
          </w:p>
          <w:p w14:paraId="571DFF4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CE2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5000</w:t>
            </w:r>
          </w:p>
          <w:p w14:paraId="3F323D2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E314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10000</w:t>
            </w:r>
          </w:p>
          <w:p w14:paraId="43B8438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09AB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10000</w:t>
            </w:r>
          </w:p>
          <w:p w14:paraId="03A274B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以上</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D2CA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75B4D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350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一</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6AE5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可行性项目投资估算</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43A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估算价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FEE1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AD8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4346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C0CD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1.7</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FEC0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962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75C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2E63F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0.9</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344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0.7</w:t>
            </w:r>
          </w:p>
        </w:tc>
        <w:tc>
          <w:tcPr>
            <w:tcW w:w="4226" w:type="dxa"/>
            <w:vMerge w:val="restart"/>
            <w:tcBorders>
              <w:top w:val="nil"/>
              <w:left w:val="single" w:color="000000" w:sz="4" w:space="0"/>
              <w:bottom w:val="single" w:color="000000" w:sz="4" w:space="0"/>
              <w:right w:val="single" w:color="000000" w:sz="4" w:space="0"/>
            </w:tcBorders>
            <w:shd w:val="clear" w:color="auto" w:fill="auto"/>
            <w:vAlign w:val="center"/>
          </w:tcPr>
          <w:p w14:paraId="35B09B1A">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调查、收集资料，完成和出具投资估算或可行性经济评价报告</w:t>
            </w:r>
          </w:p>
        </w:tc>
      </w:tr>
      <w:tr w14:paraId="3F50C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9E3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二</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EABA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项目经济评价</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4AF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估算价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337E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6F6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A16D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693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9370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5FE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CDA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7ACA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9170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0.8</w:t>
            </w:r>
          </w:p>
        </w:tc>
        <w:tc>
          <w:tcPr>
            <w:tcW w:w="4226" w:type="dxa"/>
            <w:vMerge w:val="continue"/>
            <w:tcBorders>
              <w:top w:val="nil"/>
              <w:left w:val="single" w:color="000000" w:sz="4" w:space="0"/>
              <w:bottom w:val="single" w:color="000000" w:sz="4" w:space="0"/>
              <w:right w:val="single" w:color="000000" w:sz="4" w:space="0"/>
            </w:tcBorders>
            <w:shd w:val="clear" w:color="auto" w:fill="auto"/>
            <w:vAlign w:val="center"/>
          </w:tcPr>
          <w:p w14:paraId="43CF0BC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1D23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E0A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三</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627A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工程项目设计概算</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70B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概算价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19E4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CA7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D4C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CA10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FA44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D92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877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A067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959E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F4C6">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收集资料，根据初步设计图计算或复核工程量进行工料分析，出具工程概算书或审核报告</w:t>
            </w:r>
          </w:p>
        </w:tc>
      </w:tr>
      <w:tr w14:paraId="1E1A8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65498BF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四</w:t>
            </w:r>
          </w:p>
        </w:tc>
        <w:tc>
          <w:tcPr>
            <w:tcW w:w="448" w:type="dxa"/>
            <w:vMerge w:val="restart"/>
            <w:tcBorders>
              <w:top w:val="nil"/>
              <w:left w:val="single" w:color="000000" w:sz="4" w:space="0"/>
              <w:bottom w:val="single" w:color="000000" w:sz="4" w:space="0"/>
              <w:right w:val="single" w:color="000000" w:sz="4" w:space="0"/>
            </w:tcBorders>
            <w:shd w:val="clear" w:color="auto" w:fill="auto"/>
            <w:vAlign w:val="center"/>
          </w:tcPr>
          <w:p w14:paraId="79F54EA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定</w:t>
            </w:r>
          </w:p>
          <w:p w14:paraId="4083A75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额</w:t>
            </w:r>
          </w:p>
          <w:p w14:paraId="4C934E5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计</w:t>
            </w:r>
          </w:p>
          <w:p w14:paraId="00470BD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价</w:t>
            </w: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48FB96C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工程预算、结算、标底编制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6F8195B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414B0">
            <w:pPr>
              <w:keepNext w:val="0"/>
              <w:keepLines w:val="0"/>
              <w:widowControl w:val="0"/>
              <w:suppressLineNumbers w:val="0"/>
              <w:adjustRightInd w:val="0"/>
              <w:snapToGrid w:val="0"/>
              <w:spacing w:before="0" w:beforeAutospacing="0" w:after="0" w:afterAutospacing="0"/>
              <w:ind w:left="0" w:right="0" w:firstLine="720" w:firstLineChars="40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1CD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E7EA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2B92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D311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F21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7C1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61C9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4AF2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900A8">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收集资料，根据施工图或施工技术规范计算工程量，进行工料分析，</w:t>
            </w:r>
          </w:p>
          <w:p w14:paraId="74C02264">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完成计价，出具工程概算书或工程结算书</w:t>
            </w:r>
          </w:p>
        </w:tc>
      </w:tr>
      <w:tr w14:paraId="1074A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06C2875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567AD91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3408767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4D292F0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C29D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8FE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4.2</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26BB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B510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3.3</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D373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DB7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C23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2.4</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C27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2.2</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133A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F50C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40D20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3A75C7D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五</w:t>
            </w: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03FECA2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05CFCDC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工程预算、结算、标底审核</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7A98042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630" w:type="dxa"/>
            <w:vMerge w:val="restart"/>
            <w:tcBorders>
              <w:top w:val="nil"/>
              <w:left w:val="single" w:color="000000" w:sz="4" w:space="0"/>
              <w:bottom w:val="single" w:color="000000" w:sz="4" w:space="0"/>
              <w:right w:val="single" w:color="000000" w:sz="4" w:space="0"/>
            </w:tcBorders>
            <w:shd w:val="clear" w:color="auto" w:fill="auto"/>
            <w:vAlign w:val="center"/>
          </w:tcPr>
          <w:p w14:paraId="137BB5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w:t>
            </w:r>
          </w:p>
          <w:p w14:paraId="26DBE8D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基本收费</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EE9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B6C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A47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28E4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E6E7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A3E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29C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3CB9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F90A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0.9</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BDB4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E7E3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38F10DF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6A40640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0269BF4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397DF5B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14:paraId="290BF4D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2EA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nil"/>
              <w:right w:val="single" w:color="000000" w:sz="4" w:space="0"/>
            </w:tcBorders>
            <w:shd w:val="clear" w:color="auto" w:fill="auto"/>
            <w:vAlign w:val="center"/>
          </w:tcPr>
          <w:p w14:paraId="73CA5D0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6C89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987B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2392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AD0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D3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A78D2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AC4E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16A6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F716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A38BAE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09441E6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5CCFDB1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6062091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D36AE">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(2)审核增减额</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8DFC0C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49C6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08825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2FCBF31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六</w:t>
            </w:r>
          </w:p>
        </w:tc>
        <w:tc>
          <w:tcPr>
            <w:tcW w:w="448" w:type="dxa"/>
            <w:vMerge w:val="restart"/>
            <w:tcBorders>
              <w:top w:val="nil"/>
              <w:left w:val="single" w:color="000000" w:sz="4" w:space="0"/>
              <w:bottom w:val="single" w:color="000000" w:sz="4" w:space="0"/>
              <w:right w:val="single" w:color="000000" w:sz="4" w:space="0"/>
            </w:tcBorders>
            <w:shd w:val="clear" w:color="auto" w:fill="auto"/>
            <w:vAlign w:val="center"/>
          </w:tcPr>
          <w:p w14:paraId="3C8AFFC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清</w:t>
            </w:r>
          </w:p>
          <w:p w14:paraId="05FB0C2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单</w:t>
            </w:r>
          </w:p>
          <w:p w14:paraId="719FD38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计</w:t>
            </w:r>
          </w:p>
          <w:p w14:paraId="0E3B41A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价</w:t>
            </w: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79AD1D4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工程量清单编制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68E557C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中标价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7E99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369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4.8</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1E2C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4.3</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1766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3.8</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216F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6A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618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7850C">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2.5</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1FDB69">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10497">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1</w:t>
            </w:r>
            <w:r>
              <w:rPr>
                <w:rFonts w:hint="eastAsia" w:ascii="宋体" w:hAnsi="宋体" w:eastAsia="宋体" w:cs="宋体"/>
                <w:color w:val="auto"/>
                <w:kern w:val="2"/>
                <w:sz w:val="18"/>
                <w:szCs w:val="18"/>
                <w:highlight w:val="none"/>
                <w:lang w:val="en-US" w:eastAsia="zh-CN" w:bidi="ar"/>
              </w:rPr>
              <w:t>、工程量清单编制。根据“计价规范”及施工图编制拟建工程的分部分项项目、措施项目、项目编码、项目名称、单位和数量明细清单；</w:t>
            </w:r>
          </w:p>
          <w:p w14:paraId="19D24ECF">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2</w:t>
            </w:r>
            <w:r>
              <w:rPr>
                <w:rFonts w:hint="eastAsia" w:ascii="宋体" w:hAnsi="宋体" w:eastAsia="宋体" w:cs="宋体"/>
                <w:color w:val="auto"/>
                <w:kern w:val="2"/>
                <w:sz w:val="18"/>
                <w:szCs w:val="18"/>
                <w:highlight w:val="none"/>
                <w:lang w:val="en-US" w:eastAsia="zh-CN" w:bidi="ar"/>
              </w:rPr>
              <w:t>、控制价</w:t>
            </w:r>
            <w:r>
              <w:rPr>
                <w:rFonts w:hint="default" w:ascii="Times New Roman" w:hAnsi="Times New Roman" w:eastAsia="宋体" w:cs="Times New Roman"/>
                <w:color w:val="auto"/>
                <w:kern w:val="2"/>
                <w:sz w:val="18"/>
                <w:szCs w:val="18"/>
                <w:highlight w:val="none"/>
                <w:lang w:val="en-US" w:eastAsia="zh-CN" w:bidi="ar"/>
              </w:rPr>
              <w:t>(</w:t>
            </w:r>
            <w:r>
              <w:rPr>
                <w:rFonts w:hint="eastAsia" w:ascii="宋体" w:hAnsi="宋体" w:eastAsia="宋体" w:cs="宋体"/>
                <w:color w:val="auto"/>
                <w:kern w:val="2"/>
                <w:sz w:val="18"/>
                <w:szCs w:val="18"/>
                <w:highlight w:val="none"/>
                <w:lang w:val="en-US" w:eastAsia="zh-CN" w:bidi="ar"/>
              </w:rPr>
              <w:t>标底价</w:t>
            </w:r>
            <w:r>
              <w:rPr>
                <w:rFonts w:hint="default" w:ascii="Times New Roman" w:hAnsi="Times New Roman" w:eastAsia="宋体" w:cs="Times New Roman"/>
                <w:color w:val="auto"/>
                <w:kern w:val="2"/>
                <w:sz w:val="18"/>
                <w:szCs w:val="18"/>
                <w:highlight w:val="none"/>
                <w:lang w:val="en-US" w:eastAsia="zh-CN" w:bidi="ar"/>
              </w:rPr>
              <w:t>)</w:t>
            </w:r>
            <w:r>
              <w:rPr>
                <w:rFonts w:hint="eastAsia" w:ascii="宋体" w:hAnsi="宋体" w:eastAsia="宋体" w:cs="宋体"/>
                <w:color w:val="auto"/>
                <w:kern w:val="2"/>
                <w:sz w:val="18"/>
                <w:szCs w:val="18"/>
                <w:highlight w:val="none"/>
                <w:lang w:val="en-US" w:eastAsia="zh-CN" w:bidi="ar"/>
              </w:rPr>
              <w:t>应根据招标文件及提供的工程量清单，进行分部分项综合单价分析、措施项目分析，各项合价、总价等，完成工程量清单所需的全部费用；</w:t>
            </w:r>
          </w:p>
          <w:p w14:paraId="52A183B1">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3</w:t>
            </w:r>
            <w:r>
              <w:rPr>
                <w:rFonts w:hint="eastAsia" w:ascii="宋体" w:hAnsi="宋体" w:eastAsia="宋体" w:cs="宋体"/>
                <w:color w:val="auto"/>
                <w:kern w:val="2"/>
                <w:sz w:val="18"/>
                <w:szCs w:val="18"/>
                <w:highlight w:val="none"/>
                <w:lang w:val="en-US" w:eastAsia="zh-CN" w:bidi="ar"/>
              </w:rPr>
              <w:t>、工程结算编制，根据合同条款及投标报价、工程实施过程是发生的设计变更、现场签证、设备的价格变化及建筑经济政策的变化行编制；</w:t>
            </w:r>
          </w:p>
          <w:p w14:paraId="592B7445">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18"/>
                <w:szCs w:val="18"/>
                <w:highlight w:val="none"/>
                <w:lang w:val="en-US" w:eastAsia="zh-CN" w:bidi="ar"/>
              </w:rPr>
              <w:t>4</w:t>
            </w:r>
            <w:r>
              <w:rPr>
                <w:rFonts w:hint="eastAsia" w:ascii="宋体" w:hAnsi="宋体" w:eastAsia="宋体" w:cs="宋体"/>
                <w:color w:val="auto"/>
                <w:kern w:val="2"/>
                <w:sz w:val="18"/>
                <w:szCs w:val="18"/>
                <w:highlight w:val="none"/>
                <w:lang w:val="en-US" w:eastAsia="zh-CN" w:bidi="ar"/>
              </w:rPr>
              <w:t>、工程结算审核，可提供的工程结算资料，特别是综合单价的分析、设计变更及经济签证进行真实性、合理性审核；</w:t>
            </w:r>
          </w:p>
        </w:tc>
      </w:tr>
      <w:tr w14:paraId="00442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2EA065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25A4CE9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4663A88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5570575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164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320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73C7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0F82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4.0</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107F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041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52C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2.9</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7A751">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EE9A1B">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2.4</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1909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36739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F90B38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58C7C61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27392C7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控制价(标底价)</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7487DBF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中标价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1AED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4AD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0A6B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6349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822B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571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2E3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8D746">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CCFDE">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3033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6C63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7B7165E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0EA2704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72B7EB8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5D96325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5421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C86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48A8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5387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1.7</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B70B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A2A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763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1.3</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DC797">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6CB33">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34D3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0F519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0B69B96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3474F72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3B4E1F8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工程结算编制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78BEF23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2F29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E91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A0CB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3293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AE4D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89E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ED2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BBE13">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7D937">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0.9</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D589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F787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ACCE42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4B320A7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687958D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67502B2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627C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10C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0940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44FC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8A3A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751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27E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539CD">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D4678">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8E19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213F2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3F52B75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2D989EB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1FCDD2A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工程量清单</w:t>
            </w:r>
          </w:p>
          <w:p w14:paraId="5579D26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结算审核</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1C08FB0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送审工程</w:t>
            </w:r>
          </w:p>
          <w:p w14:paraId="1D09196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造价</w:t>
            </w:r>
          </w:p>
        </w:tc>
        <w:tc>
          <w:tcPr>
            <w:tcW w:w="630" w:type="dxa"/>
            <w:vMerge w:val="restart"/>
            <w:tcBorders>
              <w:top w:val="nil"/>
              <w:left w:val="single" w:color="000000" w:sz="4" w:space="0"/>
              <w:bottom w:val="single" w:color="000000" w:sz="4" w:space="0"/>
              <w:right w:val="single" w:color="000000" w:sz="4" w:space="0"/>
            </w:tcBorders>
            <w:shd w:val="clear" w:color="auto" w:fill="auto"/>
            <w:vAlign w:val="center"/>
          </w:tcPr>
          <w:p w14:paraId="7A6FBD6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(1)基本收费</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3D3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3C0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3.4</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A797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3.1</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CFEB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2.7</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E0FA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71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126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829E9">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2BEB1">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83F2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33A60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084310D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43F5343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28315B8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6782C7E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14:paraId="783339E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4BC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nil"/>
              <w:right w:val="single" w:color="000000" w:sz="4" w:space="0"/>
            </w:tcBorders>
            <w:shd w:val="clear" w:color="auto" w:fill="auto"/>
            <w:vAlign w:val="center"/>
          </w:tcPr>
          <w:p w14:paraId="3A40E38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3.6</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E562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B6BD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2150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59F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0C3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1C903">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2B1990">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DE3A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53BD5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7107B9C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66539B2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2943B1E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2B83A91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A4589">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(2)审核增减额</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4EA1DF1">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4E04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44357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079DB9C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七</w:t>
            </w:r>
          </w:p>
        </w:tc>
        <w:tc>
          <w:tcPr>
            <w:tcW w:w="2131"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5E9F280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施工阶段全过程工程</w:t>
            </w:r>
          </w:p>
          <w:p w14:paraId="065E48C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造价控制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568A5D6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6CF7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78D4D">
            <w:pPr>
              <w:keepNext w:val="0"/>
              <w:keepLines w:val="0"/>
              <w:widowControl w:val="0"/>
              <w:suppressLineNumbers w:val="0"/>
              <w:adjustRightInd w:val="0"/>
              <w:snapToGrid w:val="0"/>
              <w:spacing w:before="0" w:beforeAutospacing="0" w:after="0" w:afterAutospacing="0"/>
              <w:ind w:left="-16" w:leftChars="-51" w:right="0" w:hanging="91" w:hangingChars="51"/>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面议</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C921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2FAE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9</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F101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8</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53F0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7</w:t>
            </w:r>
          </w:p>
        </w:tc>
        <w:tc>
          <w:tcPr>
            <w:tcW w:w="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3AE3C">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6</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6D14">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 xml:space="preserve">5 </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2EA61">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1</w:t>
            </w:r>
            <w:r>
              <w:rPr>
                <w:rFonts w:hint="eastAsia" w:ascii="宋体" w:hAnsi="宋体" w:eastAsia="宋体" w:cs="宋体"/>
                <w:color w:val="auto"/>
                <w:kern w:val="2"/>
                <w:sz w:val="18"/>
                <w:szCs w:val="18"/>
                <w:highlight w:val="none"/>
                <w:lang w:val="en-US" w:eastAsia="zh-CN" w:bidi="ar"/>
              </w:rPr>
              <w:t>、根据施工承包合同价、进度计划，编制工程用款计划书；</w:t>
            </w:r>
            <w:r>
              <w:rPr>
                <w:rFonts w:hint="default" w:ascii="Times New Roman" w:hAnsi="Times New Roman" w:eastAsia="宋体" w:cs="Times New Roman"/>
                <w:color w:val="auto"/>
                <w:kern w:val="2"/>
                <w:sz w:val="18"/>
                <w:szCs w:val="18"/>
                <w:highlight w:val="none"/>
                <w:lang w:val="en-US" w:eastAsia="zh-CN" w:bidi="ar"/>
              </w:rPr>
              <w:t>2</w:t>
            </w:r>
            <w:r>
              <w:rPr>
                <w:rFonts w:hint="eastAsia" w:ascii="宋体" w:hAnsi="宋体" w:eastAsia="宋体" w:cs="宋体"/>
                <w:color w:val="auto"/>
                <w:kern w:val="2"/>
                <w:sz w:val="18"/>
                <w:szCs w:val="18"/>
                <w:highlight w:val="none"/>
                <w:lang w:val="en-US" w:eastAsia="zh-CN" w:bidi="ar"/>
              </w:rPr>
              <w:t>、参与工程造价控制的有关会议；</w:t>
            </w:r>
            <w:r>
              <w:rPr>
                <w:rFonts w:hint="default" w:ascii="Times New Roman" w:hAnsi="Times New Roman" w:eastAsia="宋体" w:cs="Times New Roman"/>
                <w:color w:val="auto"/>
                <w:kern w:val="2"/>
                <w:sz w:val="18"/>
                <w:szCs w:val="18"/>
                <w:highlight w:val="none"/>
                <w:lang w:val="en-US" w:eastAsia="zh-CN" w:bidi="ar"/>
              </w:rPr>
              <w:t>3</w:t>
            </w:r>
            <w:r>
              <w:rPr>
                <w:rFonts w:hint="eastAsia" w:ascii="宋体" w:hAnsi="宋体" w:eastAsia="宋体" w:cs="宋体"/>
                <w:color w:val="auto"/>
                <w:kern w:val="2"/>
                <w:sz w:val="18"/>
                <w:szCs w:val="18"/>
                <w:highlight w:val="none"/>
                <w:lang w:val="en-US" w:eastAsia="zh-CN" w:bidi="ar"/>
              </w:rPr>
              <w:t>、负责对施工单位上报的已完成工作量月报进行审核，提供当月付款建议书；</w:t>
            </w:r>
            <w:r>
              <w:rPr>
                <w:rFonts w:hint="default" w:ascii="Times New Roman" w:hAnsi="Times New Roman" w:eastAsia="宋体" w:cs="Times New Roman"/>
                <w:color w:val="auto"/>
                <w:kern w:val="2"/>
                <w:sz w:val="18"/>
                <w:szCs w:val="18"/>
                <w:highlight w:val="none"/>
                <w:lang w:val="en-US" w:eastAsia="zh-CN" w:bidi="ar"/>
              </w:rPr>
              <w:t>4</w:t>
            </w:r>
            <w:r>
              <w:rPr>
                <w:rFonts w:hint="eastAsia" w:ascii="宋体" w:hAnsi="宋体" w:eastAsia="宋体" w:cs="宋体"/>
                <w:color w:val="auto"/>
                <w:kern w:val="2"/>
                <w:sz w:val="18"/>
                <w:szCs w:val="18"/>
                <w:highlight w:val="none"/>
                <w:lang w:val="en-US" w:eastAsia="zh-CN" w:bidi="ar"/>
              </w:rPr>
              <w:t>、承、发包双方提出索赔时，为委托方提供咨询意见；</w:t>
            </w:r>
            <w:r>
              <w:rPr>
                <w:rFonts w:hint="default" w:ascii="Times New Roman" w:hAnsi="Times New Roman" w:eastAsia="宋体" w:cs="Times New Roman"/>
                <w:color w:val="auto"/>
                <w:kern w:val="2"/>
                <w:sz w:val="18"/>
                <w:szCs w:val="18"/>
                <w:highlight w:val="none"/>
                <w:lang w:val="en-US" w:eastAsia="zh-CN" w:bidi="ar"/>
              </w:rPr>
              <w:t>5</w:t>
            </w:r>
            <w:r>
              <w:rPr>
                <w:rFonts w:hint="eastAsia" w:ascii="宋体" w:hAnsi="宋体" w:eastAsia="宋体" w:cs="宋体"/>
                <w:color w:val="auto"/>
                <w:kern w:val="2"/>
                <w:sz w:val="18"/>
                <w:szCs w:val="18"/>
                <w:highlight w:val="none"/>
                <w:lang w:val="en-US" w:eastAsia="zh-CN" w:bidi="ar"/>
              </w:rPr>
              <w:t>、协助业主及时审核设计变更、现场签证等发生的费用，调整造价控制目标；</w:t>
            </w:r>
            <w:r>
              <w:rPr>
                <w:rFonts w:hint="default" w:ascii="Times New Roman" w:hAnsi="Times New Roman" w:eastAsia="宋体" w:cs="Times New Roman"/>
                <w:color w:val="auto"/>
                <w:kern w:val="2"/>
                <w:sz w:val="18"/>
                <w:szCs w:val="18"/>
                <w:highlight w:val="none"/>
                <w:lang w:val="en-US" w:eastAsia="zh-CN" w:bidi="ar"/>
              </w:rPr>
              <w:t>6</w:t>
            </w:r>
            <w:r>
              <w:rPr>
                <w:rFonts w:hint="eastAsia" w:ascii="宋体" w:hAnsi="宋体" w:eastAsia="宋体" w:cs="宋体"/>
                <w:color w:val="auto"/>
                <w:kern w:val="2"/>
                <w:sz w:val="18"/>
                <w:szCs w:val="18"/>
                <w:highlight w:val="none"/>
                <w:lang w:val="en-US" w:eastAsia="zh-CN" w:bidi="ar"/>
              </w:rPr>
              <w:t>、及时核定分阶段完工的分部工程结算，提供完整结算报告</w:t>
            </w:r>
          </w:p>
        </w:tc>
      </w:tr>
      <w:tr w14:paraId="1F718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DC248D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31"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25625B2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128E565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3330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1D90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面议</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3F71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32DA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1E2E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9</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B262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8</w:t>
            </w:r>
          </w:p>
        </w:tc>
        <w:tc>
          <w:tcPr>
            <w:tcW w:w="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834E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7</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6F0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6</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678B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C459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3F6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八</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5FDF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钢筋及预埋件计算</w:t>
            </w:r>
          </w:p>
        </w:tc>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3C90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127AA0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10元/吨</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561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r>
      <w:tr w14:paraId="1248B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D89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九</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8745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工程经济纠纷案件鉴证</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C7A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涉案金额</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8DE5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45118C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按涉案金额的10%～3%计算</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C50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调查取证，最终做出具体工程造价鉴证结论报告等工作</w:t>
            </w:r>
          </w:p>
        </w:tc>
      </w:tr>
      <w:tr w14:paraId="0426C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8C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十</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59F7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计时收费</w:t>
            </w:r>
          </w:p>
        </w:tc>
        <w:tc>
          <w:tcPr>
            <w:tcW w:w="696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35C2CD2">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注册造价师为：200元/人小时  造价员为：160元/人小时</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046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r>
    </w:tbl>
    <w:p w14:paraId="70ACDF02">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注：1、表中“工程预算、结算、标底审核”和“工程量清单结算审核”项目的计费方式为（1）+（2）。其中审增额向施工单位收取咨询费，审减额向建设单位收取咨询费。凡工程审减率超过10%的，其超过部分咨询费用由施工单位承担，无审核增减额的，按基本收费收取。咨询服务费一律由委托单位支付。</w:t>
      </w:r>
    </w:p>
    <w:p w14:paraId="31B45571">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lang w:val="en-US" w:eastAsia="zh-CN"/>
        </w:rPr>
      </w:pPr>
      <w:r>
        <w:rPr>
          <w:rFonts w:hint="eastAsia" w:ascii="宋体" w:hAnsi="宋体" w:eastAsia="宋体" w:cs="宋体"/>
          <w:b w:val="0"/>
          <w:bCs w:val="0"/>
          <w:color w:val="auto"/>
          <w:kern w:val="44"/>
          <w:sz w:val="18"/>
          <w:szCs w:val="18"/>
          <w:highlight w:val="none"/>
          <w:lang w:val="en-US" w:eastAsia="zh-CN"/>
        </w:rPr>
        <w:t>2、按基本收费标准不足1000元的，按1000元计费，计时收费按耗用工时计费。</w:t>
      </w:r>
    </w:p>
    <w:p w14:paraId="4087A201">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3、计费基数以单位工程金额计算；合同包干加签证项目，包干价部分应计入计费基数。</w:t>
      </w:r>
    </w:p>
    <w:p w14:paraId="0A514B47">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4、复审是指工程造价咨询单位接受委托，对经承、发包双方确认的工程造价成果文件进行再次审核，其收费率可在初审基础上啬20%。初资审核金额以承包方提交工程造价为准。</w:t>
      </w:r>
    </w:p>
    <w:p w14:paraId="41E518AE">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5、安装工程主材按规定都应列入造价，标底要求不列的，可以扣除但不得减少编制费用。</w:t>
      </w:r>
    </w:p>
    <w:p w14:paraId="2FA09B54">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r>
        <w:rPr>
          <w:rFonts w:hint="eastAsia" w:ascii="宋体" w:hAnsi="宋体" w:eastAsia="宋体" w:cs="宋体"/>
          <w:b w:val="0"/>
          <w:bCs w:val="0"/>
          <w:color w:val="auto"/>
          <w:kern w:val="44"/>
          <w:sz w:val="18"/>
          <w:szCs w:val="18"/>
          <w:highlight w:val="none"/>
          <w:lang w:val="en-US" w:eastAsia="zh-CN"/>
        </w:rPr>
        <w:t>6、本收费标准中的“建筑工程”适用建筑工程及配套的装饰工程、安装工程；市政工程等。“安装工程”适用单独安装工程、装饰工程（含二次装饰装修）；房屋修缮；园林绿化及仿古建筑工程等。</w:t>
      </w:r>
    </w:p>
    <w:p w14:paraId="0219B457">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671426D6">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2AA1313D">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7CA0D4B1">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197972F7">
      <w:pPr>
        <w:spacing w:before="0" w:beforeAutospacing="0" w:after="0" w:afterAutospacing="0"/>
        <w:jc w:val="both"/>
        <w:rPr>
          <w:rFonts w:hint="eastAsia" w:ascii="宋体" w:hAnsi="宋体" w:eastAsia="宋体" w:cs="宋体"/>
          <w:b w:val="0"/>
          <w:bCs w:val="0"/>
          <w:color w:val="auto"/>
          <w:kern w:val="44"/>
          <w:sz w:val="18"/>
          <w:szCs w:val="18"/>
          <w:highlight w:val="none"/>
        </w:rPr>
        <w:sectPr>
          <w:footerReference r:id="rId7" w:type="default"/>
          <w:pgSz w:w="15840" w:h="12240" w:orient="landscape"/>
          <w:pgMar w:top="1259" w:right="935" w:bottom="1106" w:left="936" w:header="680" w:footer="680" w:gutter="0"/>
          <w:pgNumType w:fmt="decimal"/>
          <w:cols w:space="0" w:num="1"/>
          <w:rtlGutter w:val="0"/>
          <w:docGrid w:type="lines" w:linePitch="318" w:charSpace="0"/>
        </w:sectPr>
      </w:pPr>
    </w:p>
    <w:p w14:paraId="6BCD3E8E">
      <w:pPr>
        <w:pStyle w:val="6"/>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204" w:name="_Toc30675"/>
      <w:bookmarkStart w:id="205" w:name="_Toc1482"/>
      <w:r>
        <w:rPr>
          <w:rFonts w:hint="eastAsia" w:ascii="宋体" w:hAnsi="宋体" w:eastAsia="宋体" w:cs="宋体"/>
          <w:color w:val="auto"/>
          <w:highlight w:val="none"/>
          <w:lang w:val="en-US" w:eastAsia="zh-CN"/>
        </w:rPr>
        <w:t>第四章 投标文件格式</w:t>
      </w:r>
      <w:bookmarkEnd w:id="204"/>
      <w:bookmarkEnd w:id="205"/>
    </w:p>
    <w:p w14:paraId="2AC451A3">
      <w:pPr>
        <w:jc w:val="center"/>
        <w:rPr>
          <w:rFonts w:hint="eastAsia" w:ascii="宋体" w:hAnsi="宋体" w:eastAsia="宋体" w:cs="宋体"/>
          <w:color w:val="auto"/>
          <w:sz w:val="28"/>
          <w:szCs w:val="28"/>
          <w:highlight w:val="none"/>
          <w:u w:val="single"/>
        </w:rPr>
      </w:pPr>
    </w:p>
    <w:p w14:paraId="16B002C1">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2BF899C5">
      <w:pPr>
        <w:jc w:val="center"/>
        <w:rPr>
          <w:rFonts w:hint="eastAsia" w:ascii="宋体" w:hAnsi="宋体" w:eastAsia="宋体" w:cs="宋体"/>
          <w:color w:val="auto"/>
          <w:sz w:val="20"/>
          <w:szCs w:val="20"/>
          <w:highlight w:val="none"/>
        </w:rPr>
      </w:pPr>
    </w:p>
    <w:p w14:paraId="5984FAB0">
      <w:pPr>
        <w:jc w:val="center"/>
        <w:rPr>
          <w:rFonts w:hint="eastAsia" w:ascii="宋体" w:hAnsi="宋体" w:eastAsia="宋体" w:cs="宋体"/>
          <w:color w:val="auto"/>
          <w:sz w:val="20"/>
          <w:szCs w:val="20"/>
          <w:highlight w:val="none"/>
        </w:rPr>
      </w:pPr>
    </w:p>
    <w:p w14:paraId="774E9746">
      <w:pPr>
        <w:jc w:val="center"/>
        <w:rPr>
          <w:rFonts w:hint="eastAsia" w:ascii="宋体" w:hAnsi="宋体" w:eastAsia="宋体" w:cs="宋体"/>
          <w:color w:val="auto"/>
          <w:sz w:val="20"/>
          <w:szCs w:val="20"/>
          <w:highlight w:val="none"/>
        </w:rPr>
      </w:pPr>
    </w:p>
    <w:p w14:paraId="530D7441">
      <w:pPr>
        <w:rPr>
          <w:rFonts w:hint="eastAsia" w:ascii="宋体" w:hAnsi="宋体" w:eastAsia="宋体" w:cs="宋体"/>
          <w:color w:val="auto"/>
          <w:sz w:val="20"/>
          <w:szCs w:val="20"/>
          <w:highlight w:val="none"/>
        </w:rPr>
      </w:pPr>
    </w:p>
    <w:p w14:paraId="00D858C3">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w:t>
      </w:r>
    </w:p>
    <w:p w14:paraId="28867CFF">
      <w:pPr>
        <w:ind w:firstLine="2880" w:firstLineChars="900"/>
        <w:jc w:val="both"/>
        <w:rPr>
          <w:rFonts w:hint="eastAsia" w:ascii="宋体" w:hAnsi="宋体" w:eastAsia="宋体" w:cs="宋体"/>
          <w:color w:val="auto"/>
          <w:sz w:val="32"/>
          <w:highlight w:val="none"/>
          <w:u w:val="none"/>
          <w:lang w:val="en-US" w:eastAsia="zh-CN"/>
        </w:rPr>
      </w:pPr>
    </w:p>
    <w:p w14:paraId="3D29AF2E">
      <w:pPr>
        <w:ind w:firstLine="2880" w:firstLineChars="900"/>
        <w:jc w:val="both"/>
        <w:rPr>
          <w:rFonts w:hint="default" w:ascii="宋体" w:hAnsi="宋体" w:eastAsia="宋体" w:cs="宋体"/>
          <w:color w:val="auto"/>
          <w:sz w:val="44"/>
          <w:szCs w:val="44"/>
          <w:highlight w:val="none"/>
          <w:u w:val="single"/>
          <w:lang w:val="en-US"/>
        </w:rPr>
      </w:pPr>
      <w:r>
        <w:rPr>
          <w:rFonts w:hint="eastAsia" w:ascii="宋体" w:hAnsi="宋体" w:eastAsia="宋体" w:cs="宋体"/>
          <w:color w:val="auto"/>
          <w:sz w:val="32"/>
          <w:highlight w:val="none"/>
          <w:u w:val="none"/>
          <w:lang w:val="en-US" w:eastAsia="zh-CN"/>
        </w:rPr>
        <w:t>项目编号：</w:t>
      </w:r>
      <w:r>
        <w:rPr>
          <w:rFonts w:hint="eastAsia" w:ascii="宋体" w:hAnsi="宋体" w:cs="宋体"/>
          <w:color w:val="auto"/>
          <w:sz w:val="32"/>
          <w:highlight w:val="none"/>
          <w:u w:val="none"/>
          <w:lang w:val="en-US" w:eastAsia="zh-CN"/>
        </w:rPr>
        <w:t xml:space="preserve">          </w:t>
      </w:r>
    </w:p>
    <w:p w14:paraId="0366733A">
      <w:pPr>
        <w:rPr>
          <w:rFonts w:hint="eastAsia" w:ascii="宋体" w:hAnsi="宋体" w:eastAsia="宋体" w:cs="宋体"/>
          <w:color w:val="auto"/>
          <w:sz w:val="28"/>
          <w:szCs w:val="28"/>
          <w:highlight w:val="none"/>
        </w:rPr>
      </w:pPr>
    </w:p>
    <w:p w14:paraId="51E6DC1B">
      <w:pPr>
        <w:rPr>
          <w:rFonts w:hint="eastAsia" w:ascii="宋体" w:hAnsi="宋体" w:eastAsia="宋体" w:cs="宋体"/>
          <w:color w:val="auto"/>
          <w:sz w:val="28"/>
          <w:szCs w:val="28"/>
          <w:highlight w:val="none"/>
        </w:rPr>
      </w:pPr>
    </w:p>
    <w:p w14:paraId="2A26D9A6">
      <w:pPr>
        <w:rPr>
          <w:rFonts w:hint="eastAsia" w:ascii="宋体" w:hAnsi="宋体" w:eastAsia="宋体" w:cs="宋体"/>
          <w:color w:val="auto"/>
          <w:sz w:val="28"/>
          <w:szCs w:val="28"/>
          <w:highlight w:val="none"/>
        </w:rPr>
      </w:pPr>
    </w:p>
    <w:p w14:paraId="740AB8F5">
      <w:pPr>
        <w:rPr>
          <w:rFonts w:hint="eastAsia" w:ascii="宋体" w:hAnsi="宋体" w:eastAsia="宋体" w:cs="宋体"/>
          <w:color w:val="auto"/>
          <w:sz w:val="28"/>
          <w:szCs w:val="28"/>
          <w:highlight w:val="none"/>
        </w:rPr>
      </w:pPr>
    </w:p>
    <w:p w14:paraId="178B625A">
      <w:pPr>
        <w:rPr>
          <w:rFonts w:hint="eastAsia" w:ascii="宋体" w:hAnsi="宋体" w:eastAsia="宋体" w:cs="宋体"/>
          <w:color w:val="auto"/>
          <w:sz w:val="28"/>
          <w:szCs w:val="28"/>
          <w:highlight w:val="none"/>
        </w:rPr>
      </w:pPr>
    </w:p>
    <w:p w14:paraId="053334BB">
      <w:pPr>
        <w:rPr>
          <w:rFonts w:hint="eastAsia" w:ascii="宋体" w:hAnsi="宋体" w:eastAsia="宋体" w:cs="宋体"/>
          <w:color w:val="auto"/>
          <w:sz w:val="28"/>
          <w:szCs w:val="28"/>
          <w:highlight w:val="none"/>
        </w:rPr>
      </w:pPr>
    </w:p>
    <w:p w14:paraId="4DB35F7F">
      <w:pPr>
        <w:rPr>
          <w:rFonts w:hint="eastAsia" w:ascii="宋体" w:hAnsi="宋体" w:eastAsia="宋体" w:cs="宋体"/>
          <w:color w:val="auto"/>
          <w:sz w:val="28"/>
          <w:szCs w:val="28"/>
          <w:highlight w:val="none"/>
        </w:rPr>
      </w:pPr>
    </w:p>
    <w:p w14:paraId="7EB0B0BD">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699EC1E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4D73F47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FC527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6C9FDD6">
      <w:pPr>
        <w:spacing w:line="480" w:lineRule="auto"/>
        <w:ind w:right="980" w:firstLine="602" w:firstLineChars="200"/>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目</w:t>
      </w:r>
      <w:r>
        <w:rPr>
          <w:rFonts w:hint="eastAsia" w:ascii="宋体" w:hAnsi="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rPr>
        <w:t>录</w:t>
      </w:r>
    </w:p>
    <w:p w14:paraId="10C3E88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p>
    <w:p w14:paraId="6363B49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cs="宋体"/>
          <w:color w:val="auto"/>
          <w:sz w:val="21"/>
          <w:szCs w:val="21"/>
          <w:highlight w:val="none"/>
          <w:lang w:val="en-US" w:eastAsia="zh-CN"/>
        </w:rPr>
        <w:t xml:space="preserve"> </w:t>
      </w:r>
    </w:p>
    <w:p w14:paraId="728BCB1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（3）拟派项目负责人</w:t>
      </w:r>
      <w:r>
        <w:rPr>
          <w:rFonts w:hint="eastAsia" w:ascii="宋体" w:hAnsi="宋体" w:eastAsia="宋体" w:cs="宋体"/>
          <w:color w:val="auto"/>
          <w:sz w:val="21"/>
          <w:szCs w:val="21"/>
          <w:highlight w:val="none"/>
          <w:lang w:val="en-US" w:eastAsia="zh-CN"/>
        </w:rPr>
        <w:t>身份证和</w:t>
      </w:r>
      <w:r>
        <w:rPr>
          <w:rFonts w:hint="eastAsia" w:ascii="宋体" w:hAnsi="宋体" w:eastAsia="宋体" w:cs="宋体"/>
          <w:color w:val="auto"/>
          <w:sz w:val="21"/>
          <w:szCs w:val="21"/>
          <w:highlight w:val="none"/>
        </w:rPr>
        <w:t>注册造价师证书且</w:t>
      </w:r>
      <w:r>
        <w:rPr>
          <w:rFonts w:hint="eastAsia" w:ascii="宋体" w:hAnsi="宋体" w:eastAsia="宋体" w:cs="宋体"/>
          <w:color w:val="auto"/>
          <w:sz w:val="21"/>
          <w:szCs w:val="21"/>
          <w:highlight w:val="none"/>
          <w:lang w:val="en-US" w:eastAsia="zh-CN"/>
        </w:rPr>
        <w:t>证明</w:t>
      </w:r>
      <w:r>
        <w:rPr>
          <w:rFonts w:hint="eastAsia" w:ascii="宋体" w:hAnsi="宋体" w:eastAsia="宋体" w:cs="宋体"/>
          <w:color w:val="auto"/>
          <w:sz w:val="21"/>
          <w:szCs w:val="21"/>
          <w:highlight w:val="none"/>
        </w:rPr>
        <w:t>专业为土木建筑工程</w:t>
      </w:r>
      <w:r>
        <w:rPr>
          <w:rFonts w:hint="eastAsia" w:ascii="宋体" w:hAnsi="宋体" w:eastAsia="宋体" w:cs="宋体"/>
          <w:color w:val="auto"/>
          <w:sz w:val="21"/>
          <w:szCs w:val="21"/>
          <w:highlight w:val="none"/>
          <w:lang w:val="en-US" w:eastAsia="zh-CN"/>
        </w:rPr>
        <w:t>的证明材料</w:t>
      </w:r>
      <w:r>
        <w:rPr>
          <w:rFonts w:hint="eastAsia" w:ascii="宋体" w:hAnsi="宋体" w:cs="宋体"/>
          <w:color w:val="auto"/>
          <w:sz w:val="21"/>
          <w:szCs w:val="21"/>
          <w:highlight w:val="none"/>
          <w:lang w:val="en-US" w:eastAsia="zh-CN"/>
        </w:rPr>
        <w:t xml:space="preserve">； </w:t>
      </w:r>
    </w:p>
    <w:p w14:paraId="096C6DD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项目人员配备表；（格式见附件）</w:t>
      </w:r>
    </w:p>
    <w:p w14:paraId="556FF28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cs="宋体"/>
          <w:color w:val="auto"/>
          <w:kern w:val="0"/>
          <w:sz w:val="21"/>
          <w:szCs w:val="21"/>
          <w:highlight w:val="none"/>
          <w:lang w:eastAsia="zh-CN"/>
        </w:rPr>
        <w:t>不少于2名且具有在本单位注册的二级及以上造价工程师（土木建筑工程专业至少1名）（注册证书且证明专业为土木建筑工程专业的证明材料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 xml:space="preserve"> </w:t>
      </w:r>
    </w:p>
    <w:p w14:paraId="7BC4350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（6）投标人须提供法定代表人（或委托代理人）及拟派的上述项目负责人和项目组成员须持有社保部门出具的本单位为其缴纳的投标前近三个月的养老保险证明</w:t>
      </w:r>
      <w:r>
        <w:rPr>
          <w:rFonts w:hint="eastAsia" w:ascii="宋体" w:hAnsi="宋体" w:eastAsia="宋体" w:cs="宋体"/>
          <w:color w:val="auto"/>
          <w:sz w:val="21"/>
          <w:szCs w:val="21"/>
          <w:highlight w:val="none"/>
          <w:lang w:val="en-US" w:eastAsia="zh-CN"/>
        </w:rPr>
        <w:t>材料；投标人是事业单位的，须其主管部门出具证明（证明文件两个月内有效）；注：若投标人拟派的项目负责人为已退休人员，须同时提供①退休证明材料；②与投标人签订的返聘劳动合同；③项目负责人社保卡所在银行出具的退休工资流水；④银行出具的工资流水和返聘单位出具的工资表（加盖返聘单位公章，现聘用单位（投标人）所发工资）。</w:t>
      </w:r>
    </w:p>
    <w:p w14:paraId="5A4D9BC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（7）投标函</w:t>
      </w:r>
      <w:r>
        <w:rPr>
          <w:rFonts w:hint="eastAsia" w:ascii="宋体" w:hAnsi="宋体" w:eastAsia="宋体" w:cs="宋体"/>
          <w:color w:val="auto"/>
          <w:sz w:val="21"/>
          <w:szCs w:val="21"/>
          <w:highlight w:val="none"/>
        </w:rPr>
        <w:t>；</w:t>
      </w:r>
    </w:p>
    <w:p w14:paraId="51E8197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投标人认为需要提供的其他材料。</w:t>
      </w:r>
    </w:p>
    <w:p w14:paraId="0CC44DA1">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0AF3D236">
      <w:pPr>
        <w:jc w:val="center"/>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rPr>
        <w:t>法定代表人身份证明或授权委托书</w:t>
      </w:r>
    </w:p>
    <w:p w14:paraId="0E2F3567">
      <w:pPr>
        <w:pStyle w:val="145"/>
        <w:spacing w:beforeLines="100" w:afterLines="100" w:line="480" w:lineRule="exact"/>
        <w:ind w:firstLine="180" w:firstLineChars="75"/>
        <w:rPr>
          <w:rFonts w:hint="eastAsia" w:ascii="宋体" w:hAnsi="宋体" w:eastAsia="宋体" w:cs="宋体"/>
          <w:b/>
          <w:color w:val="auto"/>
          <w:sz w:val="24"/>
          <w:szCs w:val="24"/>
          <w:highlight w:val="none"/>
        </w:rPr>
      </w:pPr>
      <w:bookmarkStart w:id="206" w:name="OLE_LINK13"/>
      <w:r>
        <w:rPr>
          <w:rFonts w:hint="eastAsia" w:ascii="宋体" w:hAnsi="宋体" w:eastAsia="宋体" w:cs="宋体"/>
          <w:color w:val="auto"/>
          <w:sz w:val="24"/>
          <w:szCs w:val="24"/>
          <w:highlight w:val="none"/>
        </w:rPr>
        <w:t>1、法定代表人身份证明</w:t>
      </w:r>
    </w:p>
    <w:p w14:paraId="41F8C1B0">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00D46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04F28CA">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6CFE56">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928DC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438176A">
      <w:pPr>
        <w:spacing w:line="480" w:lineRule="exact"/>
        <w:ind w:firstLine="144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40"/>
          <w:sz w:val="24"/>
          <w:szCs w:val="24"/>
          <w:highlight w:val="none"/>
        </w:rPr>
        <w:t>姓</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6C8CAD9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3DACF58B">
      <w:pPr>
        <w:spacing w:line="48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9F19DA4">
      <w:pPr>
        <w:spacing w:line="360" w:lineRule="auto"/>
        <w:ind w:firstLine="3480" w:firstLineChars="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（签章）</w:t>
      </w:r>
    </w:p>
    <w:p w14:paraId="71183C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bookmarkEnd w:id="206"/>
    <w:p w14:paraId="24F496D8">
      <w:pPr>
        <w:rPr>
          <w:rFonts w:hint="eastAsia" w:ascii="宋体" w:hAnsi="宋体" w:eastAsia="宋体" w:cs="宋体"/>
          <w:color w:val="auto"/>
          <w:sz w:val="24"/>
          <w:szCs w:val="24"/>
          <w:highlight w:val="none"/>
        </w:rPr>
      </w:pPr>
    </w:p>
    <w:p w14:paraId="1102F2AB">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2、授权委托书</w:t>
      </w:r>
    </w:p>
    <w:p w14:paraId="0864FD2B">
      <w:pPr>
        <w:spacing w:line="48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的法定代表人，现授权委托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为我公司法定代表人授权委托代理人，参加</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招标人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工程的投标活动。代理人在投标、开标、评标、合同谈判过程中所签署的一切文件和处理与之有关的一切事务，我均予以承认。</w:t>
      </w:r>
    </w:p>
    <w:p w14:paraId="3D2F7968">
      <w:pPr>
        <w:spacing w:line="480" w:lineRule="auto"/>
        <w:ind w:firstLine="480" w:firstLineChars="200"/>
        <w:rPr>
          <w:rFonts w:hint="eastAsia" w:ascii="宋体" w:hAnsi="宋体" w:eastAsia="宋体" w:cs="宋体"/>
          <w:color w:val="auto"/>
          <w:sz w:val="24"/>
          <w:szCs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lang w:eastAsia="zh-CN"/>
        </w:rPr>
        <w:t>。</w:t>
      </w:r>
    </w:p>
    <w:p w14:paraId="5186FBC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7ECF78C8">
      <w:pPr>
        <w:spacing w:line="480" w:lineRule="exact"/>
        <w:ind w:firstLine="480" w:firstLineChars="200"/>
        <w:rPr>
          <w:rFonts w:hint="eastAsia" w:ascii="宋体"/>
          <w:color w:val="auto"/>
          <w:sz w:val="24"/>
          <w:highlight w:val="none"/>
        </w:rPr>
      </w:pPr>
      <w:r>
        <w:rPr>
          <w:rFonts w:hint="eastAsia" w:ascii="宋体" w:hAnsi="宋体" w:eastAsia="宋体" w:cs="宋体"/>
          <w:color w:val="auto"/>
          <w:sz w:val="24"/>
          <w:szCs w:val="24"/>
          <w:highlight w:val="none"/>
        </w:rPr>
        <w:t>附：</w:t>
      </w:r>
      <w:r>
        <w:rPr>
          <w:rFonts w:hint="eastAsia" w:ascii="宋体"/>
          <w:color w:val="auto"/>
          <w:sz w:val="24"/>
          <w:highlight w:val="none"/>
        </w:rPr>
        <w:t>授权委托人有效身份证及法定代表人有效身份证</w:t>
      </w:r>
    </w:p>
    <w:p w14:paraId="54CB3CE1">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color w:val="auto"/>
          <w:sz w:val="24"/>
          <w:highlight w:val="none"/>
        </w:rPr>
        <w:t xml:space="preserve">                                    </w:t>
      </w:r>
      <w:r>
        <w:rPr>
          <w:rFonts w:hint="eastAsia" w:ascii="宋体" w:hAnsi="Times New Roman" w:eastAsia="宋体" w:cs="Times New Roman"/>
          <w:color w:val="auto"/>
          <w:sz w:val="24"/>
          <w:highlight w:val="none"/>
        </w:rPr>
        <w:t xml:space="preserve"> 投标人：             （签章）</w:t>
      </w:r>
    </w:p>
    <w:p w14:paraId="2B8D027D">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33159AC">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10F35531">
      <w:pPr>
        <w:spacing w:line="480" w:lineRule="auto"/>
        <w:ind w:right="980" w:firstLine="482" w:firstLineChars="200"/>
        <w:jc w:val="center"/>
        <w:rPr>
          <w:rFonts w:hint="eastAsia" w:ascii="宋体" w:hAnsi="宋体" w:eastAsia="宋体" w:cs="宋体"/>
          <w:b/>
          <w:bCs/>
          <w:color w:val="auto"/>
          <w:kern w:val="0"/>
          <w:sz w:val="24"/>
          <w:szCs w:val="24"/>
          <w:highlight w:val="none"/>
        </w:rPr>
      </w:pPr>
    </w:p>
    <w:p w14:paraId="4C192855">
      <w:pPr>
        <w:rPr>
          <w:rFonts w:hint="eastAsia" w:ascii="宋体" w:hAnsi="宋体" w:eastAsia="宋体" w:cs="宋体"/>
          <w:b/>
          <w:color w:val="auto"/>
          <w:sz w:val="28"/>
          <w:szCs w:val="28"/>
          <w:highlight w:val="none"/>
        </w:rPr>
      </w:pPr>
      <w:r>
        <w:rPr>
          <w:rFonts w:hint="eastAsia" w:ascii="宋体" w:hAnsi="宋体" w:eastAsia="宋体" w:cs="宋体"/>
          <w:b/>
          <w:bCs/>
          <w:color w:val="auto"/>
          <w:kern w:val="0"/>
          <w:sz w:val="30"/>
          <w:szCs w:val="30"/>
          <w:highlight w:val="none"/>
        </w:rPr>
        <w:br w:type="page"/>
      </w:r>
    </w:p>
    <w:p w14:paraId="21FDDC94">
      <w:pPr>
        <w:pStyle w:val="42"/>
        <w:keepNext w:val="0"/>
        <w:keepLines w:val="0"/>
        <w:pageBreakBefore w:val="0"/>
        <w:kinsoku/>
        <w:wordWrap/>
        <w:overflowPunct/>
        <w:topLinePunct w:val="0"/>
        <w:autoSpaceDE/>
        <w:autoSpaceDN/>
        <w:bidi w:val="0"/>
        <w:snapToGrid w:val="0"/>
        <w:spacing w:before="0" w:beforeAutospacing="0" w:after="0" w:afterAutospacing="0" w:line="500" w:lineRule="exact"/>
        <w:jc w:val="center"/>
        <w:textAlignment w:val="auto"/>
        <w:rPr>
          <w:rFonts w:hint="default" w:ascii="宋体" w:hAnsi="宋体" w:eastAsia="宋体" w:cs="宋体"/>
          <w:b/>
          <w:color w:val="auto"/>
          <w:kern w:val="2"/>
          <w:sz w:val="28"/>
          <w:szCs w:val="28"/>
          <w:highlight w:val="none"/>
          <w:lang w:val="en-US" w:eastAsia="zh-CN" w:bidi="ar-SA"/>
        </w:rPr>
      </w:pPr>
      <w:r>
        <w:rPr>
          <w:rFonts w:hint="default" w:ascii="宋体" w:hAnsi="宋体" w:eastAsia="宋体" w:cs="宋体"/>
          <w:b/>
          <w:color w:val="auto"/>
          <w:kern w:val="2"/>
          <w:sz w:val="28"/>
          <w:szCs w:val="28"/>
          <w:highlight w:val="none"/>
          <w:lang w:val="en-US" w:eastAsia="zh-CN" w:bidi="ar-SA"/>
        </w:rPr>
        <w:t>项目人员配备表</w:t>
      </w:r>
    </w:p>
    <w:tbl>
      <w:tblPr>
        <w:tblStyle w:val="46"/>
        <w:tblW w:w="9352"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782"/>
        <w:gridCol w:w="792"/>
        <w:gridCol w:w="1454"/>
        <w:gridCol w:w="2355"/>
        <w:gridCol w:w="1183"/>
        <w:gridCol w:w="1292"/>
      </w:tblGrid>
      <w:tr w14:paraId="4F16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center"/>
          </w:tcPr>
          <w:p w14:paraId="39F5E912">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岗位</w:t>
            </w:r>
          </w:p>
        </w:tc>
        <w:tc>
          <w:tcPr>
            <w:tcW w:w="782" w:type="dxa"/>
            <w:noWrap w:val="0"/>
            <w:vAlign w:val="center"/>
          </w:tcPr>
          <w:p w14:paraId="299851A4">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姓名</w:t>
            </w:r>
          </w:p>
        </w:tc>
        <w:tc>
          <w:tcPr>
            <w:tcW w:w="792" w:type="dxa"/>
            <w:noWrap w:val="0"/>
            <w:vAlign w:val="center"/>
          </w:tcPr>
          <w:p w14:paraId="11BFADFC">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性别</w:t>
            </w:r>
          </w:p>
        </w:tc>
        <w:tc>
          <w:tcPr>
            <w:tcW w:w="1454" w:type="dxa"/>
            <w:noWrap w:val="0"/>
            <w:vAlign w:val="center"/>
          </w:tcPr>
          <w:p w14:paraId="7B59E80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w:t>
            </w:r>
          </w:p>
        </w:tc>
        <w:tc>
          <w:tcPr>
            <w:tcW w:w="2355" w:type="dxa"/>
            <w:noWrap w:val="0"/>
            <w:vAlign w:val="center"/>
          </w:tcPr>
          <w:p w14:paraId="50D228A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注册证书资格等级</w:t>
            </w:r>
          </w:p>
        </w:tc>
        <w:tc>
          <w:tcPr>
            <w:tcW w:w="1183" w:type="dxa"/>
            <w:noWrap w:val="0"/>
            <w:vAlign w:val="top"/>
          </w:tcPr>
          <w:p w14:paraId="2402AD7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证书编号</w:t>
            </w:r>
          </w:p>
        </w:tc>
        <w:tc>
          <w:tcPr>
            <w:tcW w:w="1292" w:type="dxa"/>
            <w:noWrap w:val="0"/>
            <w:vAlign w:val="center"/>
          </w:tcPr>
          <w:p w14:paraId="5C4A99C1">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r>
      <w:tr w14:paraId="7599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7DAD8EA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w:t>
            </w:r>
          </w:p>
        </w:tc>
        <w:tc>
          <w:tcPr>
            <w:tcW w:w="782" w:type="dxa"/>
            <w:noWrap w:val="0"/>
            <w:vAlign w:val="top"/>
          </w:tcPr>
          <w:p w14:paraId="04B14B9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0435731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B389EA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4CE83D5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08E0B9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E359D28">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5B22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499511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68959EE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E41E0C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014F463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3861A87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C1F938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239EAA9">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1FEC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26281E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7C9B9D8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113C41B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7E8F5D6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523DE6F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614F96D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2489B64C">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6702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49CD33A1">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782" w:type="dxa"/>
            <w:noWrap w:val="0"/>
            <w:vAlign w:val="top"/>
          </w:tcPr>
          <w:p w14:paraId="46BBC33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2E1640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3E1BBC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17498B7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0B5DA3D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75F0B41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bl>
    <w:p w14:paraId="6D79D3F9">
      <w:pPr>
        <w:jc w:val="center"/>
        <w:rPr>
          <w:rFonts w:hint="eastAsia" w:ascii="宋体" w:hAnsi="宋体" w:eastAsia="宋体" w:cs="宋体"/>
          <w:color w:val="auto"/>
          <w:sz w:val="28"/>
          <w:szCs w:val="28"/>
          <w:highlight w:val="none"/>
          <w:u w:val="single"/>
        </w:rPr>
      </w:pPr>
    </w:p>
    <w:p w14:paraId="01683548">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             （签章）</w:t>
      </w:r>
    </w:p>
    <w:p w14:paraId="2538AB6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法定代表人或其委托代理人：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407EB7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30963256">
      <w:pPr>
        <w:jc w:val="center"/>
        <w:rPr>
          <w:rFonts w:hint="eastAsia" w:ascii="宋体" w:hAnsi="宋体" w:eastAsia="宋体" w:cs="宋体"/>
          <w:b/>
          <w:bCs/>
          <w:color w:val="auto"/>
          <w:sz w:val="28"/>
          <w:szCs w:val="28"/>
          <w:highlight w:val="none"/>
        </w:rPr>
      </w:pPr>
    </w:p>
    <w:p w14:paraId="7774A8B9">
      <w:pPr>
        <w:pStyle w:val="2"/>
        <w:rPr>
          <w:rFonts w:hint="eastAsia"/>
          <w:color w:val="auto"/>
          <w:highlight w:val="none"/>
        </w:rPr>
      </w:pPr>
    </w:p>
    <w:p w14:paraId="14A4BCCA">
      <w:pPr>
        <w:jc w:val="center"/>
        <w:rPr>
          <w:rFonts w:hint="eastAsia" w:ascii="宋体" w:hAnsi="宋体" w:eastAsia="宋体" w:cs="宋体"/>
          <w:b/>
          <w:bCs/>
          <w:color w:val="auto"/>
          <w:sz w:val="28"/>
          <w:szCs w:val="28"/>
          <w:highlight w:val="none"/>
        </w:rPr>
      </w:pPr>
    </w:p>
    <w:p w14:paraId="3CCC12D7">
      <w:pPr>
        <w:jc w:val="center"/>
        <w:rPr>
          <w:rFonts w:hint="eastAsia" w:ascii="宋体" w:hAnsi="宋体" w:eastAsia="宋体" w:cs="宋体"/>
          <w:b/>
          <w:bCs/>
          <w:color w:val="auto"/>
          <w:sz w:val="28"/>
          <w:szCs w:val="28"/>
          <w:highlight w:val="none"/>
        </w:rPr>
      </w:pPr>
    </w:p>
    <w:p w14:paraId="5E9002FF">
      <w:pPr>
        <w:jc w:val="center"/>
        <w:rPr>
          <w:rFonts w:hint="eastAsia" w:ascii="宋体" w:hAnsi="宋体" w:eastAsia="宋体" w:cs="宋体"/>
          <w:b/>
          <w:bCs/>
          <w:color w:val="auto"/>
          <w:sz w:val="28"/>
          <w:szCs w:val="28"/>
          <w:highlight w:val="none"/>
        </w:rPr>
      </w:pPr>
    </w:p>
    <w:p w14:paraId="5443CE27">
      <w:pPr>
        <w:jc w:val="center"/>
        <w:rPr>
          <w:rFonts w:hint="eastAsia" w:ascii="宋体" w:hAnsi="宋体" w:eastAsia="宋体" w:cs="宋体"/>
          <w:b/>
          <w:bCs/>
          <w:color w:val="auto"/>
          <w:sz w:val="28"/>
          <w:szCs w:val="28"/>
          <w:highlight w:val="none"/>
        </w:rPr>
      </w:pPr>
    </w:p>
    <w:p w14:paraId="57A6ABA6">
      <w:pPr>
        <w:jc w:val="center"/>
        <w:rPr>
          <w:rFonts w:hint="eastAsia" w:ascii="宋体" w:hAnsi="宋体" w:eastAsia="宋体" w:cs="宋体"/>
          <w:b/>
          <w:bCs/>
          <w:color w:val="auto"/>
          <w:sz w:val="28"/>
          <w:szCs w:val="28"/>
          <w:highlight w:val="none"/>
        </w:rPr>
      </w:pPr>
    </w:p>
    <w:p w14:paraId="41257297">
      <w:pPr>
        <w:jc w:val="center"/>
        <w:rPr>
          <w:rFonts w:hint="eastAsia" w:ascii="宋体" w:hAnsi="宋体" w:eastAsia="宋体" w:cs="宋体"/>
          <w:b/>
          <w:bCs/>
          <w:color w:val="auto"/>
          <w:sz w:val="28"/>
          <w:szCs w:val="28"/>
          <w:highlight w:val="none"/>
        </w:rPr>
      </w:pPr>
    </w:p>
    <w:p w14:paraId="22AD1574">
      <w:pPr>
        <w:jc w:val="center"/>
        <w:rPr>
          <w:rFonts w:hint="eastAsia" w:ascii="宋体" w:hAnsi="宋体" w:eastAsia="宋体" w:cs="宋体"/>
          <w:b/>
          <w:bCs/>
          <w:color w:val="auto"/>
          <w:sz w:val="28"/>
          <w:szCs w:val="28"/>
          <w:highlight w:val="none"/>
        </w:rPr>
      </w:pPr>
    </w:p>
    <w:p w14:paraId="54964737">
      <w:pPr>
        <w:jc w:val="center"/>
        <w:rPr>
          <w:rFonts w:hint="eastAsia" w:ascii="宋体" w:hAnsi="宋体" w:eastAsia="宋体" w:cs="宋体"/>
          <w:b/>
          <w:bCs/>
          <w:color w:val="auto"/>
          <w:sz w:val="28"/>
          <w:szCs w:val="28"/>
          <w:highlight w:val="none"/>
        </w:rPr>
      </w:pPr>
    </w:p>
    <w:p w14:paraId="6B9E4E6B">
      <w:pPr>
        <w:jc w:val="center"/>
        <w:rPr>
          <w:rFonts w:hint="eastAsia" w:ascii="宋体" w:hAnsi="宋体" w:eastAsia="宋体" w:cs="宋体"/>
          <w:b/>
          <w:bCs/>
          <w:color w:val="auto"/>
          <w:sz w:val="28"/>
          <w:szCs w:val="28"/>
          <w:highlight w:val="none"/>
        </w:rPr>
      </w:pPr>
    </w:p>
    <w:p w14:paraId="2FB0BF2A">
      <w:pPr>
        <w:jc w:val="center"/>
        <w:rPr>
          <w:rFonts w:hint="eastAsia" w:ascii="宋体" w:hAnsi="宋体" w:eastAsia="宋体" w:cs="宋体"/>
          <w:b/>
          <w:bCs/>
          <w:color w:val="auto"/>
          <w:sz w:val="28"/>
          <w:szCs w:val="28"/>
          <w:highlight w:val="none"/>
        </w:rPr>
      </w:pPr>
    </w:p>
    <w:p w14:paraId="2908FF31">
      <w:pPr>
        <w:jc w:val="center"/>
        <w:rPr>
          <w:rFonts w:hint="eastAsia" w:ascii="宋体" w:hAnsi="宋体" w:eastAsia="宋体" w:cs="宋体"/>
          <w:b/>
          <w:bCs/>
          <w:color w:val="auto"/>
          <w:sz w:val="28"/>
          <w:szCs w:val="28"/>
          <w:highlight w:val="none"/>
        </w:rPr>
      </w:pPr>
    </w:p>
    <w:p w14:paraId="356B19B2">
      <w:pPr>
        <w:pStyle w:val="2"/>
        <w:rPr>
          <w:rFonts w:hint="eastAsia"/>
          <w:color w:val="auto"/>
          <w:highlight w:val="none"/>
        </w:rPr>
      </w:pPr>
    </w:p>
    <w:p w14:paraId="19883A2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 标 函</w:t>
      </w:r>
    </w:p>
    <w:p w14:paraId="462CCD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color w:val="auto"/>
          <w:szCs w:val="21"/>
          <w:highlight w:val="none"/>
        </w:rPr>
      </w:pPr>
      <w:r>
        <w:rPr>
          <w:rFonts w:hint="eastAsia" w:ascii="宋体"/>
          <w:color w:val="auto"/>
          <w:szCs w:val="21"/>
          <w:highlight w:val="none"/>
        </w:rPr>
        <w:t>致：</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 xml:space="preserve">      </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招标</w:t>
      </w:r>
      <w:r>
        <w:rPr>
          <w:rFonts w:hint="eastAsia" w:ascii="宋体"/>
          <w:color w:val="auto"/>
          <w:szCs w:val="21"/>
          <w:highlight w:val="none"/>
          <w:u w:val="single"/>
        </w:rPr>
        <w:t xml:space="preserve">人)       </w:t>
      </w:r>
      <w:r>
        <w:rPr>
          <w:rFonts w:hint="eastAsia" w:ascii="宋体"/>
          <w:color w:val="auto"/>
          <w:szCs w:val="21"/>
          <w:highlight w:val="none"/>
        </w:rPr>
        <w:t xml:space="preserve"> </w:t>
      </w:r>
    </w:p>
    <w:p w14:paraId="27BAC3B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rPr>
        <w:t>1.我们决定参加贵单位组织的“</w:t>
      </w:r>
      <w:r>
        <w:rPr>
          <w:rFonts w:hint="eastAsia" w:ascii="宋体"/>
          <w:color w:val="auto"/>
          <w:szCs w:val="21"/>
          <w:highlight w:val="none"/>
          <w:u w:val="single"/>
        </w:rPr>
        <w:t xml:space="preserve"> （项目名称） </w:t>
      </w:r>
      <w:r>
        <w:rPr>
          <w:rFonts w:hint="eastAsia" w:ascii="宋体"/>
          <w:color w:val="auto"/>
          <w:szCs w:val="21"/>
          <w:highlight w:val="none"/>
          <w:u w:val="single"/>
          <w:lang w:val="en-US" w:eastAsia="zh-CN"/>
        </w:rPr>
        <w:t xml:space="preserve">      </w:t>
      </w:r>
      <w:r>
        <w:rPr>
          <w:rFonts w:hint="eastAsia" w:ascii="宋体"/>
          <w:color w:val="auto"/>
          <w:szCs w:val="21"/>
          <w:highlight w:val="none"/>
          <w:u w:val="single"/>
        </w:rPr>
        <w:t xml:space="preserve">   </w:t>
      </w:r>
      <w:r>
        <w:rPr>
          <w:rFonts w:hint="eastAsia" w:ascii="宋体"/>
          <w:color w:val="auto"/>
          <w:szCs w:val="21"/>
          <w:highlight w:val="none"/>
        </w:rPr>
        <w:t>”的</w:t>
      </w:r>
      <w:r>
        <w:rPr>
          <w:rFonts w:hint="eastAsia" w:ascii="宋体"/>
          <w:color w:val="auto"/>
          <w:szCs w:val="21"/>
          <w:highlight w:val="none"/>
          <w:lang w:val="en-US" w:eastAsia="zh-CN"/>
        </w:rPr>
        <w:t>招标</w:t>
      </w:r>
      <w:r>
        <w:rPr>
          <w:rFonts w:hint="eastAsia" w:ascii="宋体"/>
          <w:color w:val="auto"/>
          <w:szCs w:val="21"/>
          <w:highlight w:val="none"/>
        </w:rPr>
        <w:t xml:space="preserve">。我方授权 </w:t>
      </w:r>
      <w:r>
        <w:rPr>
          <w:rFonts w:hint="eastAsia" w:ascii="宋体"/>
          <w:color w:val="auto"/>
          <w:szCs w:val="21"/>
          <w:highlight w:val="none"/>
          <w:u w:val="single"/>
        </w:rPr>
        <w:t xml:space="preserve">              </w:t>
      </w:r>
      <w:r>
        <w:rPr>
          <w:rFonts w:hint="eastAsia" w:ascii="宋体"/>
          <w:color w:val="auto"/>
          <w:szCs w:val="21"/>
          <w:highlight w:val="none"/>
        </w:rPr>
        <w:t>(姓名和职务)代表我方</w:t>
      </w:r>
      <w:r>
        <w:rPr>
          <w:rFonts w:hint="eastAsia" w:ascii="宋体"/>
          <w:color w:val="auto"/>
          <w:szCs w:val="21"/>
          <w:highlight w:val="none"/>
          <w:u w:val="single"/>
        </w:rPr>
        <w:t xml:space="preserve">               </w:t>
      </w:r>
      <w:r>
        <w:rPr>
          <w:rFonts w:hint="eastAsia" w:ascii="宋体"/>
          <w:color w:val="auto"/>
          <w:szCs w:val="21"/>
          <w:highlight w:val="none"/>
        </w:rPr>
        <w:t>（投标人的名称）全权处理本项目投标的有关事宜。</w:t>
      </w:r>
    </w:p>
    <w:p w14:paraId="247D7B96">
      <w:pPr>
        <w:keepNext w:val="0"/>
        <w:keepLines w:val="0"/>
        <w:pageBreakBefore w:val="0"/>
        <w:widowControl w:val="0"/>
        <w:suppressLineNumbers w:val="0"/>
        <w:kinsoku/>
        <w:wordWrap/>
        <w:overflowPunct/>
        <w:topLinePunct w:val="0"/>
        <w:autoSpaceDE/>
        <w:autoSpaceDN/>
        <w:bidi w:val="0"/>
        <w:adjustRightInd/>
        <w:snapToGrid/>
        <w:spacing w:before="153" w:beforeLines="50" w:beforeAutospacing="0" w:after="0" w:afterAutospacing="0" w:line="560" w:lineRule="exact"/>
        <w:ind w:left="0" w:right="0" w:firstLine="411" w:firstLineChars="196"/>
        <w:jc w:val="left"/>
        <w:textAlignment w:val="auto"/>
        <w:rPr>
          <w:rFonts w:hint="eastAsia" w:ascii="宋体" w:hAnsi="Times New Roman" w:eastAsia="宋体" w:cs="Times New Roman"/>
          <w:color w:val="auto"/>
          <w:szCs w:val="21"/>
          <w:highlight w:val="none"/>
          <w:lang w:val="en-US" w:eastAsia="zh-CN"/>
        </w:rPr>
      </w:pPr>
      <w:r>
        <w:rPr>
          <w:rFonts w:hint="eastAsia" w:ascii="宋体"/>
          <w:color w:val="auto"/>
          <w:szCs w:val="21"/>
          <w:highlight w:val="none"/>
        </w:rPr>
        <w:t>2.我方愿意按照招标文件规定的各项要求，向</w:t>
      </w:r>
      <w:r>
        <w:rPr>
          <w:rFonts w:hint="eastAsia" w:ascii="宋体"/>
          <w:color w:val="auto"/>
          <w:szCs w:val="21"/>
          <w:highlight w:val="none"/>
          <w:lang w:val="en-US" w:eastAsia="zh-CN"/>
        </w:rPr>
        <w:t>招标</w:t>
      </w:r>
      <w:r>
        <w:rPr>
          <w:rFonts w:hint="eastAsia" w:ascii="宋体"/>
          <w:color w:val="auto"/>
          <w:szCs w:val="21"/>
          <w:highlight w:val="none"/>
        </w:rPr>
        <w:t>人提供</w:t>
      </w:r>
      <w:r>
        <w:rPr>
          <w:rFonts w:hint="eastAsia" w:ascii="宋体"/>
          <w:color w:val="auto"/>
          <w:szCs w:val="21"/>
          <w:highlight w:val="none"/>
          <w:lang w:val="en-US" w:eastAsia="zh-CN"/>
        </w:rPr>
        <w:t>本</w:t>
      </w:r>
      <w:r>
        <w:rPr>
          <w:rFonts w:hint="eastAsia" w:ascii="宋体"/>
          <w:color w:val="auto"/>
          <w:szCs w:val="21"/>
          <w:highlight w:val="none"/>
        </w:rPr>
        <w:t>项目的服务，我方报价为</w:t>
      </w:r>
      <w:r>
        <w:rPr>
          <w:rFonts w:hint="eastAsia" w:ascii="宋体"/>
          <w:b/>
          <w:bCs/>
          <w:color w:val="auto"/>
          <w:szCs w:val="21"/>
          <w:highlight w:val="none"/>
          <w:lang w:val="en-US" w:eastAsia="zh-CN"/>
        </w:rPr>
        <w:t>《收费标准》计算费用的</w:t>
      </w:r>
      <w:r>
        <w:rPr>
          <w:rFonts w:hint="eastAsia" w:ascii="宋体"/>
          <w:b/>
          <w:bCs/>
          <w:color w:val="auto"/>
          <w:szCs w:val="21"/>
          <w:highlight w:val="none"/>
          <w:u w:val="single"/>
        </w:rPr>
        <w:t xml:space="preserve">      </w:t>
      </w:r>
      <w:r>
        <w:rPr>
          <w:rFonts w:hint="eastAsia" w:ascii="宋体"/>
          <w:b/>
          <w:bCs/>
          <w:color w:val="auto"/>
          <w:szCs w:val="21"/>
          <w:highlight w:val="none"/>
          <w:lang w:val="en-US" w:eastAsia="zh-CN"/>
        </w:rPr>
        <w:t>％</w:t>
      </w:r>
      <w:r>
        <w:rPr>
          <w:rFonts w:hint="eastAsia" w:ascii="宋体"/>
          <w:b/>
          <w:bCs/>
          <w:color w:val="auto"/>
          <w:szCs w:val="21"/>
          <w:highlight w:val="none"/>
        </w:rPr>
        <w:t>。</w:t>
      </w:r>
      <w:r>
        <w:rPr>
          <w:rFonts w:hint="eastAsia" w:ascii="宋体"/>
          <w:color w:val="auto"/>
          <w:szCs w:val="21"/>
          <w:highlight w:val="none"/>
        </w:rPr>
        <w:t>项目负责人为</w:t>
      </w:r>
      <w:r>
        <w:rPr>
          <w:rFonts w:hint="eastAsia" w:ascii="宋体"/>
          <w:color w:val="auto"/>
          <w:szCs w:val="21"/>
          <w:highlight w:val="none"/>
          <w:u w:val="single"/>
        </w:rPr>
        <w:t xml:space="preserve">       </w:t>
      </w:r>
      <w:r>
        <w:rPr>
          <w:rFonts w:hint="eastAsia" w:ascii="宋体"/>
          <w:color w:val="auto"/>
          <w:szCs w:val="21"/>
          <w:highlight w:val="none"/>
        </w:rPr>
        <w:t>，</w:t>
      </w:r>
      <w:r>
        <w:rPr>
          <w:rFonts w:hint="eastAsia" w:ascii="宋体" w:hAnsi="Times New Roman" w:eastAsia="宋体" w:cs="Times New Roman"/>
          <w:color w:val="auto"/>
          <w:szCs w:val="21"/>
          <w:highlight w:val="none"/>
        </w:rPr>
        <w:t>服务期：</w:t>
      </w:r>
      <w:r>
        <w:rPr>
          <w:rFonts w:hint="eastAsia" w:ascii="宋体" w:hAnsi="Times New Roman" w:eastAsia="宋体" w:cs="Times New Roman"/>
          <w:color w:val="auto"/>
          <w:szCs w:val="21"/>
          <w:highlight w:val="none"/>
          <w:lang w:val="en-US" w:eastAsia="zh-CN"/>
        </w:rPr>
        <w:t>领取图纸之日起</w:t>
      </w:r>
      <w:r>
        <w:rPr>
          <w:rFonts w:hint="eastAsia" w:ascii="宋体" w:hAnsi="Times New Roman" w:eastAsia="宋体" w:cs="Times New Roman"/>
          <w:color w:val="auto"/>
          <w:szCs w:val="21"/>
          <w:highlight w:val="none"/>
          <w:u w:val="single"/>
          <w:lang w:val="en-US" w:eastAsia="zh-CN"/>
        </w:rPr>
        <w:t xml:space="preserve">   </w:t>
      </w:r>
      <w:r>
        <w:rPr>
          <w:rFonts w:hint="eastAsia" w:ascii="宋体" w:hAnsi="Times New Roman" w:eastAsia="宋体" w:cs="Times New Roman"/>
          <w:color w:val="auto"/>
          <w:szCs w:val="21"/>
          <w:highlight w:val="none"/>
          <w:lang w:val="en-US" w:eastAsia="zh-CN"/>
        </w:rPr>
        <w:t>日内完成工程量清单和最高投标限价的编制及备案工作。</w:t>
      </w:r>
    </w:p>
    <w:p w14:paraId="4BC742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3.本项目投标有效期为</w:t>
      </w:r>
      <w:r>
        <w:rPr>
          <w:rFonts w:hint="eastAsia" w:ascii="宋体" w:hAnsi="Times New Roman" w:eastAsia="宋体" w:cs="Times New Roman"/>
          <w:color w:val="auto"/>
          <w:szCs w:val="21"/>
          <w:highlight w:val="none"/>
          <w:u w:val="single"/>
        </w:rPr>
        <w:t xml:space="preserve">  </w:t>
      </w:r>
      <w:r>
        <w:rPr>
          <w:rFonts w:hint="eastAsia" w:ascii="宋体" w:cs="Times New Roman"/>
          <w:color w:val="auto"/>
          <w:szCs w:val="21"/>
          <w:highlight w:val="none"/>
          <w:u w:val="single"/>
          <w:lang w:val="en-US" w:eastAsia="zh-CN"/>
        </w:rPr>
        <w:t xml:space="preserve"> 60 </w:t>
      </w:r>
      <w:r>
        <w:rPr>
          <w:rFonts w:hint="eastAsia" w:ascii="宋体" w:hAnsi="Times New Roman" w:eastAsia="宋体" w:cs="Times New Roman"/>
          <w:color w:val="auto"/>
          <w:szCs w:val="21"/>
          <w:highlight w:val="none"/>
          <w:u w:val="single"/>
        </w:rPr>
        <w:t xml:space="preserve"> </w:t>
      </w:r>
      <w:r>
        <w:rPr>
          <w:rFonts w:hint="eastAsia" w:ascii="宋体" w:hAnsi="Times New Roman" w:eastAsia="宋体" w:cs="Times New Roman"/>
          <w:color w:val="auto"/>
          <w:szCs w:val="21"/>
          <w:highlight w:val="none"/>
        </w:rPr>
        <w:t xml:space="preserve"> 日历天（从投标截止之日算起）。</w:t>
      </w:r>
    </w:p>
    <w:p w14:paraId="5F32699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rPr>
        <w:t>4.一旦我方成为合同签字人，我方将严格履行合同规定的责任和义务。</w:t>
      </w:r>
    </w:p>
    <w:p w14:paraId="204B7EC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lang w:val="en-US" w:eastAsia="zh-CN"/>
        </w:rPr>
        <w:t>5</w:t>
      </w:r>
      <w:r>
        <w:rPr>
          <w:rFonts w:hint="eastAsia" w:ascii="宋体"/>
          <w:color w:val="auto"/>
          <w:szCs w:val="21"/>
          <w:highlight w:val="none"/>
        </w:rPr>
        <w:t>.若我方中标，愿意为本项目提交的纸质投标文件一式</w:t>
      </w:r>
      <w:r>
        <w:rPr>
          <w:rFonts w:hint="eastAsia" w:ascii="宋体"/>
          <w:color w:val="auto"/>
          <w:szCs w:val="21"/>
          <w:highlight w:val="none"/>
          <w:lang w:val="en-US" w:eastAsia="zh-CN"/>
        </w:rPr>
        <w:t>二</w:t>
      </w:r>
      <w:r>
        <w:rPr>
          <w:rFonts w:hint="eastAsia" w:ascii="宋体"/>
          <w:color w:val="auto"/>
          <w:szCs w:val="21"/>
          <w:highlight w:val="none"/>
        </w:rPr>
        <w:t>份，其中正本一份、副本</w:t>
      </w:r>
      <w:r>
        <w:rPr>
          <w:rFonts w:hint="eastAsia" w:ascii="宋体"/>
          <w:color w:val="auto"/>
          <w:szCs w:val="21"/>
          <w:highlight w:val="none"/>
          <w:lang w:val="en-US" w:eastAsia="zh-CN"/>
        </w:rPr>
        <w:t>一</w:t>
      </w:r>
      <w:r>
        <w:rPr>
          <w:rFonts w:hint="eastAsia" w:ascii="宋体"/>
          <w:color w:val="auto"/>
          <w:szCs w:val="21"/>
          <w:highlight w:val="none"/>
        </w:rPr>
        <w:t>份。</w:t>
      </w:r>
    </w:p>
    <w:p w14:paraId="52593B2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.我方愿意提供可能另外要求的、与采购投标有关的文件资料，并保证我方已提供和将要提供的文件是真实的、准确的。</w:t>
      </w:r>
    </w:p>
    <w:p w14:paraId="12403E3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rPr>
        <w:t>8.我单位提供如下通讯地址：</w:t>
      </w:r>
      <w:r>
        <w:rPr>
          <w:rFonts w:hint="eastAsia" w:ascii="宋体"/>
          <w:color w:val="auto"/>
          <w:szCs w:val="21"/>
          <w:highlight w:val="none"/>
          <w:u w:val="single"/>
        </w:rPr>
        <w:t xml:space="preserve">                电子邮箱（地址）</w:t>
      </w:r>
      <w:r>
        <w:rPr>
          <w:rFonts w:hint="eastAsia" w:ascii="宋体"/>
          <w:color w:val="auto"/>
          <w:szCs w:val="21"/>
          <w:highlight w:val="none"/>
        </w:rPr>
        <w:t>，确认本项目相关法律文书均通过提供的以上地址送达，相关文书只要发送至以上电子邮箱（地址）即视为送达，投标人愿意承担一切法律后果。</w:t>
      </w:r>
    </w:p>
    <w:p w14:paraId="00DF6C2E">
      <w:pPr>
        <w:pStyle w:val="2"/>
        <w:spacing w:line="360" w:lineRule="auto"/>
        <w:rPr>
          <w:rFonts w:hint="eastAsia" w:ascii="宋体" w:hAnsi="宋体" w:eastAsia="宋体" w:cs="宋体"/>
          <w:color w:val="auto"/>
          <w:szCs w:val="21"/>
          <w:highlight w:val="none"/>
        </w:rPr>
      </w:pPr>
    </w:p>
    <w:p w14:paraId="52ECA389">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rPr>
      </w:pPr>
    </w:p>
    <w:p w14:paraId="45B1C6C3">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（签章） </w:t>
      </w:r>
    </w:p>
    <w:p w14:paraId="1F08F4FE">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签字或盖章</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 xml:space="preserve">         </w:t>
      </w:r>
    </w:p>
    <w:p w14:paraId="2267CA40">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04B0F2ED">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联系电话：</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rPr>
        <w:t xml:space="preserve">                </w:t>
      </w:r>
    </w:p>
    <w:p w14:paraId="23F4B22F">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4CE9E6A">
      <w:pPr>
        <w:spacing w:line="360" w:lineRule="auto"/>
        <w:rPr>
          <w:rFonts w:hint="eastAsia" w:ascii="宋体" w:hAnsi="宋体" w:cs="宋体"/>
          <w:b/>
          <w:color w:val="auto"/>
          <w:sz w:val="28"/>
          <w:szCs w:val="28"/>
          <w:highlight w:val="none"/>
          <w:lang w:val="en-US" w:eastAsia="zh-CN"/>
        </w:rPr>
      </w:pPr>
    </w:p>
    <w:p w14:paraId="35B540EB">
      <w:pPr>
        <w:spacing w:line="360" w:lineRule="auto"/>
        <w:rPr>
          <w:rFonts w:hint="eastAsia" w:ascii="宋体" w:hAnsi="宋体" w:cs="宋体"/>
          <w:b/>
          <w:color w:val="auto"/>
          <w:sz w:val="28"/>
          <w:szCs w:val="28"/>
          <w:highlight w:val="none"/>
          <w:lang w:val="en-US" w:eastAsia="zh-CN"/>
        </w:rPr>
      </w:pPr>
    </w:p>
    <w:p w14:paraId="3718D3FE">
      <w:pPr>
        <w:pStyle w:val="6"/>
        <w:spacing w:before="0" w:after="0"/>
        <w:rPr>
          <w:rFonts w:hint="eastAsia" w:ascii="宋体" w:hAnsi="宋体" w:eastAsia="宋体" w:cs="宋体"/>
          <w:color w:val="auto"/>
          <w:highlight w:val="none"/>
          <w:lang w:val="en-US" w:eastAsia="zh-CN"/>
        </w:rPr>
      </w:pPr>
      <w:bookmarkStart w:id="207" w:name="_Toc6595"/>
      <w:bookmarkStart w:id="208" w:name="_Toc31498"/>
      <w:r>
        <w:rPr>
          <w:rFonts w:hint="eastAsia" w:ascii="宋体" w:hAnsi="宋体" w:eastAsia="宋体" w:cs="宋体"/>
          <w:color w:val="auto"/>
          <w:highlight w:val="none"/>
          <w:lang w:val="en-US" w:eastAsia="zh-CN"/>
        </w:rPr>
        <w:t>第五章 招标单位、招标代理机构对本招标文件的确认</w:t>
      </w:r>
      <w:bookmarkEnd w:id="207"/>
      <w:bookmarkEnd w:id="208"/>
    </w:p>
    <w:tbl>
      <w:tblPr>
        <w:tblStyle w:val="45"/>
        <w:tblW w:w="968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9"/>
      </w:tblGrid>
      <w:tr w14:paraId="45B9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689" w:type="dxa"/>
          </w:tcPr>
          <w:p w14:paraId="326BAA51">
            <w:pPr>
              <w:spacing w:line="320" w:lineRule="atLeast"/>
              <w:ind w:firstLine="560" w:firstLineChars="200"/>
              <w:rPr>
                <w:rFonts w:hint="eastAsia" w:ascii="宋体" w:hAnsi="宋体" w:eastAsia="宋体" w:cs="宋体"/>
                <w:color w:val="auto"/>
                <w:sz w:val="28"/>
                <w:szCs w:val="28"/>
                <w:highlight w:val="none"/>
              </w:rPr>
            </w:pPr>
          </w:p>
          <w:p w14:paraId="388A6941">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我单位对</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明湖公园园路应急工程工程量清单及最高投标限价编制服务项目</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的招标文件进行确认。</w:t>
            </w:r>
          </w:p>
          <w:p w14:paraId="70D47DF8">
            <w:pPr>
              <w:spacing w:line="320" w:lineRule="atLeast"/>
              <w:ind w:firstLine="560" w:firstLineChars="200"/>
              <w:rPr>
                <w:rFonts w:hint="eastAsia" w:ascii="宋体" w:hAnsi="宋体" w:eastAsia="宋体" w:cs="宋体"/>
                <w:color w:val="auto"/>
                <w:sz w:val="28"/>
                <w:szCs w:val="28"/>
                <w:highlight w:val="none"/>
              </w:rPr>
            </w:pPr>
          </w:p>
          <w:p w14:paraId="16EDA7DA">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招标人：</w:t>
            </w:r>
            <w:r>
              <w:rPr>
                <w:rFonts w:hint="eastAsia" w:ascii="宋体" w:hAnsi="宋体" w:cs="宋体"/>
                <w:color w:val="auto"/>
                <w:sz w:val="28"/>
                <w:szCs w:val="28"/>
                <w:highlight w:val="none"/>
                <w:lang w:eastAsia="zh-CN"/>
              </w:rPr>
              <w:t>滁州市明湖建设管理服务中心</w:t>
            </w:r>
          </w:p>
          <w:p w14:paraId="3463F686">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钟兰翔</w:t>
            </w:r>
          </w:p>
          <w:p w14:paraId="0C9165C7">
            <w:pPr>
              <w:spacing w:line="320" w:lineRule="atLeas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w:t>
            </w:r>
            <w:r>
              <w:rPr>
                <w:rFonts w:hint="eastAsia" w:ascii="宋体" w:hAnsi="宋体" w:cs="宋体"/>
                <w:color w:val="auto"/>
                <w:sz w:val="28"/>
                <w:szCs w:val="28"/>
                <w:highlight w:val="none"/>
                <w:lang w:val="en-US" w:eastAsia="zh-CN"/>
              </w:rPr>
              <w:t>15155005346</w:t>
            </w:r>
          </w:p>
          <w:p w14:paraId="6E5C8EF3">
            <w:pPr>
              <w:spacing w:line="500" w:lineRule="exact"/>
              <w:ind w:firstLine="281" w:firstLineChars="100"/>
              <w:rPr>
                <w:rFonts w:hint="eastAsia" w:ascii="宋体" w:hAnsi="宋体" w:eastAsia="宋体" w:cs="宋体"/>
                <w:b/>
                <w:bCs/>
                <w:color w:val="auto"/>
                <w:sz w:val="28"/>
                <w:szCs w:val="28"/>
                <w:highlight w:val="none"/>
              </w:rPr>
            </w:pPr>
          </w:p>
          <w:p w14:paraId="1E3913DA">
            <w:pPr>
              <w:spacing w:line="50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（单位盖章）</w:t>
            </w:r>
          </w:p>
          <w:p w14:paraId="33C2043A">
            <w:pPr>
              <w:ind w:firstLine="5320" w:firstLineChars="19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2026年2月</w:t>
            </w:r>
            <w:r>
              <w:rPr>
                <w:rFonts w:hint="eastAsia" w:ascii="宋体" w:hAnsi="宋体" w:cs="宋体"/>
                <w:color w:val="auto"/>
                <w:sz w:val="28"/>
                <w:szCs w:val="28"/>
                <w:highlight w:val="none"/>
                <w:lang w:val="en-US" w:eastAsia="zh-CN"/>
              </w:rPr>
              <w:t>27</w:t>
            </w:r>
            <w:r>
              <w:rPr>
                <w:rFonts w:hint="eastAsia" w:ascii="宋体" w:hAnsi="宋体" w:cs="宋体"/>
                <w:color w:val="auto"/>
                <w:sz w:val="28"/>
                <w:szCs w:val="28"/>
                <w:highlight w:val="none"/>
                <w:lang w:eastAsia="zh-CN"/>
              </w:rPr>
              <w:t>日</w:t>
            </w:r>
          </w:p>
        </w:tc>
      </w:tr>
      <w:tr w14:paraId="60B4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1" w:hRule="atLeast"/>
        </w:trPr>
        <w:tc>
          <w:tcPr>
            <w:tcW w:w="9689" w:type="dxa"/>
          </w:tcPr>
          <w:p w14:paraId="2D346054">
            <w:pPr>
              <w:spacing w:line="320" w:lineRule="atLeast"/>
              <w:ind w:firstLine="560" w:firstLineChars="200"/>
              <w:rPr>
                <w:rFonts w:hint="eastAsia" w:ascii="宋体" w:hAnsi="宋体" w:eastAsia="宋体" w:cs="宋体"/>
                <w:color w:val="auto"/>
                <w:sz w:val="28"/>
                <w:szCs w:val="28"/>
                <w:highlight w:val="none"/>
              </w:rPr>
            </w:pPr>
          </w:p>
          <w:p w14:paraId="429FA252">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招标代理机构：滁州市城投工程咨询管理有限公司</w:t>
            </w:r>
          </w:p>
          <w:p w14:paraId="396B5BE0">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周晓培</w:t>
            </w:r>
          </w:p>
          <w:p w14:paraId="3E3D785F">
            <w:pPr>
              <w:spacing w:line="320" w:lineRule="atLeas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r>
              <w:rPr>
                <w:rFonts w:hint="eastAsia" w:ascii="宋体" w:hAnsi="宋体" w:cs="宋体"/>
                <w:color w:val="auto"/>
                <w:sz w:val="28"/>
                <w:szCs w:val="28"/>
                <w:highlight w:val="none"/>
                <w:lang w:eastAsia="zh-CN"/>
              </w:rPr>
              <w:t>0550-3519519</w:t>
            </w:r>
            <w:r>
              <w:rPr>
                <w:rFonts w:hint="eastAsia" w:ascii="宋体" w:hAnsi="宋体" w:cs="宋体"/>
                <w:color w:val="auto"/>
                <w:sz w:val="28"/>
                <w:szCs w:val="28"/>
                <w:highlight w:val="none"/>
                <w:lang w:val="en-US" w:eastAsia="zh-CN"/>
              </w:rPr>
              <w:t>、18255055896</w:t>
            </w:r>
          </w:p>
          <w:p w14:paraId="497AA04E">
            <w:pPr>
              <w:rPr>
                <w:rFonts w:hint="eastAsia" w:ascii="宋体" w:hAnsi="宋体" w:eastAsia="宋体" w:cs="宋体"/>
                <w:color w:val="auto"/>
                <w:sz w:val="28"/>
                <w:szCs w:val="28"/>
                <w:highlight w:val="none"/>
              </w:rPr>
            </w:pPr>
          </w:p>
          <w:p w14:paraId="216C42AC">
            <w:pPr>
              <w:ind w:firstLine="5040" w:firstLineChars="1800"/>
              <w:rPr>
                <w:rFonts w:hint="eastAsia" w:ascii="宋体" w:hAnsi="宋体" w:eastAsia="宋体" w:cs="宋体"/>
                <w:color w:val="auto"/>
                <w:sz w:val="28"/>
                <w:szCs w:val="28"/>
                <w:highlight w:val="none"/>
              </w:rPr>
            </w:pPr>
          </w:p>
          <w:p w14:paraId="60AF574C">
            <w:pPr>
              <w:ind w:firstLine="5320" w:firstLineChars="19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（单位盖章）</w:t>
            </w:r>
          </w:p>
          <w:p w14:paraId="5AE54977">
            <w:pPr>
              <w:ind w:firstLine="4900" w:firstLineChars="17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2026年2月</w:t>
            </w:r>
            <w:r>
              <w:rPr>
                <w:rFonts w:hint="eastAsia" w:ascii="宋体" w:hAnsi="宋体" w:cs="宋体"/>
                <w:color w:val="auto"/>
                <w:sz w:val="28"/>
                <w:szCs w:val="28"/>
                <w:highlight w:val="none"/>
                <w:lang w:val="en-US" w:eastAsia="zh-CN"/>
              </w:rPr>
              <w:t>27</w:t>
            </w:r>
            <w:r>
              <w:rPr>
                <w:rFonts w:hint="eastAsia" w:ascii="宋体" w:hAnsi="宋体" w:cs="宋体"/>
                <w:color w:val="auto"/>
                <w:sz w:val="28"/>
                <w:szCs w:val="28"/>
                <w:highlight w:val="none"/>
                <w:lang w:eastAsia="zh-CN"/>
              </w:rPr>
              <w:t>日</w:t>
            </w:r>
          </w:p>
        </w:tc>
      </w:tr>
    </w:tbl>
    <w:p w14:paraId="22D2196B">
      <w:pPr>
        <w:pStyle w:val="20"/>
        <w:jc w:val="left"/>
        <w:rPr>
          <w:rFonts w:hint="eastAsia" w:ascii="宋体" w:hAnsi="宋体" w:eastAsia="宋体" w:cs="宋体"/>
          <w:color w:val="auto"/>
          <w:kern w:val="0"/>
          <w:sz w:val="24"/>
          <w:szCs w:val="24"/>
          <w:highlight w:val="none"/>
        </w:rPr>
      </w:pPr>
    </w:p>
    <w:p w14:paraId="63AE5489">
      <w:pPr>
        <w:pStyle w:val="20"/>
        <w:jc w:val="left"/>
        <w:rPr>
          <w:rFonts w:hint="eastAsia" w:ascii="宋体" w:hAnsi="宋体" w:eastAsia="宋体" w:cs="宋体"/>
          <w:color w:val="auto"/>
          <w:kern w:val="0"/>
          <w:sz w:val="24"/>
          <w:szCs w:val="24"/>
          <w:highlight w:val="none"/>
        </w:rPr>
      </w:pPr>
    </w:p>
    <w:p w14:paraId="542E3EE9">
      <w:pPr>
        <w:pStyle w:val="20"/>
        <w:jc w:val="left"/>
        <w:rPr>
          <w:rFonts w:hint="eastAsia" w:ascii="宋体" w:hAnsi="宋体" w:eastAsia="宋体" w:cs="宋体"/>
          <w:color w:val="auto"/>
          <w:kern w:val="0"/>
          <w:sz w:val="24"/>
          <w:szCs w:val="24"/>
          <w:highlight w:val="none"/>
        </w:rPr>
      </w:pPr>
    </w:p>
    <w:p w14:paraId="386F7769">
      <w:pPr>
        <w:pStyle w:val="2"/>
        <w:ind w:left="199" w:leftChars="95" w:firstLine="198" w:firstLineChars="66"/>
        <w:rPr>
          <w:rFonts w:hint="eastAsia" w:hAnsi="宋体"/>
          <w:color w:val="auto"/>
          <w:sz w:val="30"/>
          <w:szCs w:val="30"/>
          <w:highlight w:val="none"/>
        </w:rPr>
      </w:pPr>
    </w:p>
    <w:p w14:paraId="32517B5B">
      <w:pPr>
        <w:pStyle w:val="20"/>
        <w:jc w:val="left"/>
        <w:rPr>
          <w:rFonts w:hint="eastAsia" w:ascii="宋体" w:hAnsi="宋体" w:eastAsia="宋体" w:cs="宋体"/>
          <w:color w:val="auto"/>
          <w:kern w:val="0"/>
          <w:sz w:val="24"/>
          <w:szCs w:val="24"/>
          <w:highlight w:val="none"/>
        </w:rPr>
      </w:pPr>
    </w:p>
    <w:sectPr>
      <w:footerReference r:id="rId8" w:type="default"/>
      <w:pgSz w:w="11906" w:h="16838"/>
      <w:pgMar w:top="935" w:right="1106" w:bottom="936" w:left="1259" w:header="680" w:footer="680"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60405020304"/>
    <w:charset w:val="00"/>
    <w:family w:val="roman"/>
    <w:pitch w:val="default"/>
    <w:sig w:usb0="00000000" w:usb1="00000000" w:usb2="00000000" w:usb3="00000000" w:csb0="00000093"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auto"/>
    <w:pitch w:val="default"/>
    <w:sig w:usb0="00000000" w:usb1="00000000" w:usb2="00000000" w:usb3="00000000" w:csb0="80000000" w:csb1="00000000"/>
  </w:font>
  <w:font w:name="汉仪大黑简">
    <w:altName w:val="黑体"/>
    <w:panose1 w:val="00000000000000000000"/>
    <w:charset w:val="00"/>
    <w:family w:val="auto"/>
    <w:pitch w:val="default"/>
    <w:sig w:usb0="00000000" w:usb1="00000000" w:usb2="00000000" w:usb3="00000000" w:csb0="00000000" w:csb1="00000000"/>
  </w:font>
  <w:font w:name="Kingsoft UE">
    <w:panose1 w:val="02000100010000000000"/>
    <w:charset w:val="00"/>
    <w:family w:val="auto"/>
    <w:pitch w:val="default"/>
    <w:sig w:usb0="00000001" w:usb1="00004000" w:usb2="00000000" w:usb3="00000000" w:csb0="00000001" w:csb1="00000000"/>
  </w:font>
  <w:font w:name="KSOF2A9ED157">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EE9D1">
    <w:pPr>
      <w:pStyle w:val="30"/>
      <w:rPr>
        <w:rStyle w:val="49"/>
      </w:rPr>
    </w:pPr>
  </w:p>
  <w:p w14:paraId="24D89652">
    <w:pPr>
      <w:pStyle w:val="30"/>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113FE5FF"/>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113FE5FF"/>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5F65">
    <w:pPr>
      <w:pStyle w:val="30"/>
      <w:tabs>
        <w:tab w:val="center" w:pos="7483"/>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2467DE">
                          <w:pPr>
                            <w:pStyle w:val="30"/>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612467DE">
                    <w:pPr>
                      <w:pStyle w:val="30"/>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2C0A7">
    <w:pPr>
      <w:pStyle w:val="30"/>
      <w:rPr>
        <w:rStyle w:val="49"/>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40528">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6040528">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59DC18A4">
    <w:pPr>
      <w:pStyle w:val="30"/>
      <w:ind w:right="360"/>
      <w:rPr>
        <w:kern w:val="0"/>
      </w:rPr>
    </w:pPr>
    <w:r>
      <mc:AlternateContent>
        <mc:Choice Requires="wps">
          <w:drawing>
            <wp:anchor distT="0" distB="0" distL="114300" distR="114300" simplePos="0" relativeHeight="251661312"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2"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5D5C6234"/>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1312;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Bcxk6a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WlDhuceDn&#10;79/OP36df36tsztDiA0mPYR7mHcRYZY6KrD5iyLIWBw9XR2VYyICg1W9ulm9uaFE4Fn1dlXVxXL2&#10;eDtATO+ktySDlgJOrBjJjx9iwoqYeknJxZy/08aUqRn3VwATp4gsY59v5/anhjNK426cVex8d0Ll&#10;5r1DN/PLuAC4gN0FHALofY/NVdkQlolwGqW1+eXkcf+5L1mPf8v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Bcxk6auAEAAHUDAAAOAAAAAAAAAAEAIAAAACkBAABkcnMvZTJvRG9jLnhtbFBL&#10;BQYAAAAABgAGAFkBAABTBQAAAAA=&#10;">
              <v:fill on="f" focussize="0,0"/>
              <v:stroke on="f"/>
              <v:imagedata o:title=""/>
              <o:lock v:ext="edit" aspectratio="f"/>
              <v:textbox inset="0mm,0mm,0mm,0mm">
                <w:txbxContent>
                  <w:p w14:paraId="5D5C6234"/>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34885">
    <w:pPr>
      <w:pStyle w:val="30"/>
      <w:rPr>
        <w:rStyle w:val="49"/>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ADC461">
                          <w:pPr>
                            <w:pStyle w:val="30"/>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4ADC461">
                    <w:pPr>
                      <w:pStyle w:val="30"/>
                    </w:pPr>
                    <w:r>
                      <w:fldChar w:fldCharType="begin"/>
                    </w:r>
                    <w:r>
                      <w:instrText xml:space="preserve"> PAGE  \* MERGEFORMAT </w:instrText>
                    </w:r>
                    <w:r>
                      <w:fldChar w:fldCharType="separate"/>
                    </w:r>
                    <w:r>
                      <w:t>44</w:t>
                    </w:r>
                    <w:r>
                      <w:fldChar w:fldCharType="end"/>
                    </w:r>
                  </w:p>
                </w:txbxContent>
              </v:textbox>
            </v:shape>
          </w:pict>
        </mc:Fallback>
      </mc:AlternateContent>
    </w:r>
  </w:p>
  <w:p w14:paraId="77C6AFA8">
    <w:pPr>
      <w:pStyle w:val="30"/>
      <w:ind w:right="360"/>
      <w:rPr>
        <w:kern w:val="0"/>
      </w:rPr>
    </w:pPr>
    <w:r>
      <mc:AlternateContent>
        <mc:Choice Requires="wps">
          <w:drawing>
            <wp:anchor distT="0" distB="0" distL="114300" distR="114300" simplePos="0" relativeHeight="251661312"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3"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2B2323A"/>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1312;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Fn6JTuQEAAHUDAAAOAAAAZHJzL2Uyb0RvYy54bWyt&#10;U0tu2zAQ3RfoHQjua1oK0jqC5WyMBAGKNkCaA9AUZRHgD0Paki/Q3qCrbrrvuXyODinZSdNNFtlQ&#10;j8Phm3lvqOX1YDTZSwjK2ZoWszkl0grXKLut6eO3mw8LSkLktuHaWVnTgwz0evX+3bL3lSxd53Qj&#10;gSCJDVXva9rF6CvGguik4WHmvLR42DowPOIWtqwB3iO70ayczz+y3kHjwQkZAkbX4yGdGOE1hK5t&#10;lZBrJ3ZG2jiygtQ8oqTQKR/oKnfbtlLEr20bZCS6pqg05hWLIN6kla2WvNoC950SUwv8NS280GS4&#10;slj0TLXmkZMdqP+ojBLggmvjTDjDRiHZEVRRzF9489BxL7MWtDr4s+nh7WjFl/09ENXU9IISyw0O&#10;/Pjzx/HXn+Pv72Vyp/ehwqQHfw/TLiBMUocWTPqiCDJkRw9nR+UQicBgUS4uF58uKRF4VlwtijJb&#10;zp5uewjxVjpDEqgp4MSykXz/OUSsiKmnlFTMuhuldZ6atv8EMHGMyDz26XZqf2w4oThshknFxjUH&#10;VK7vLLqZXsYJwAlsTmDnQW07bK5IhrBEhNPIrU0vJ437+T5nPf0tq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JLHcS2gAAAAkBAAAPAAAAAAAAAAEAIAAAACIAAABkcnMvZG93bnJldi54bWxQSwEC&#10;FAAUAAAACACHTuJABZ+iU7kBAAB1AwAADgAAAAAAAAABACAAAAApAQAAZHJzL2Uyb0RvYy54bWxQ&#10;SwUGAAAAAAYABgBZAQAAVAUAAAAA&#10;">
              <v:fill on="f" focussize="0,0"/>
              <v:stroke on="f"/>
              <v:imagedata o:title=""/>
              <o:lock v:ext="edit" aspectratio="f"/>
              <v:textbox inset="0mm,0mm,0mm,0mm">
                <w:txbxContent>
                  <w:p w14:paraId="42B2323A"/>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62396">
    <w:pPr>
      <w:pStyle w:val="30"/>
      <w:rPr>
        <w:rStyle w:val="49"/>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7474C3">
                          <w:pPr>
                            <w:pStyle w:val="3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87474C3">
                    <w:pPr>
                      <w:pStyle w:val="30"/>
                    </w:pPr>
                    <w:r>
                      <w:fldChar w:fldCharType="begin"/>
                    </w:r>
                    <w:r>
                      <w:instrText xml:space="preserve"> PAGE  \* MERGEFORMAT </w:instrText>
                    </w:r>
                    <w:r>
                      <w:fldChar w:fldCharType="separate"/>
                    </w:r>
                    <w:r>
                      <w:t>46</w:t>
                    </w:r>
                    <w:r>
                      <w:fldChar w:fldCharType="end"/>
                    </w:r>
                  </w:p>
                </w:txbxContent>
              </v:textbox>
            </v:shape>
          </w:pict>
        </mc:Fallback>
      </mc:AlternateContent>
    </w:r>
  </w:p>
  <w:p w14:paraId="157870D5">
    <w:pPr>
      <w:pStyle w:val="30"/>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D5C9321"/>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14:paraId="4D5C9321"/>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E2992">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F8CB6E"/>
    <w:multiLevelType w:val="singleLevel"/>
    <w:tmpl w:val="1EF8CB6E"/>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00277DEA"/>
    <w:rsid w:val="000407AC"/>
    <w:rsid w:val="00040A78"/>
    <w:rsid w:val="00057816"/>
    <w:rsid w:val="000E13AD"/>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C11CB"/>
    <w:rsid w:val="003D00F9"/>
    <w:rsid w:val="003E18D3"/>
    <w:rsid w:val="003E616C"/>
    <w:rsid w:val="004108BC"/>
    <w:rsid w:val="00410ABB"/>
    <w:rsid w:val="00411EFB"/>
    <w:rsid w:val="00430081"/>
    <w:rsid w:val="0045352B"/>
    <w:rsid w:val="004806E1"/>
    <w:rsid w:val="004943F2"/>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11EEC"/>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1CC1A40"/>
    <w:rsid w:val="023C4E17"/>
    <w:rsid w:val="02860CE1"/>
    <w:rsid w:val="028D0613"/>
    <w:rsid w:val="02A06DF6"/>
    <w:rsid w:val="02AD40CA"/>
    <w:rsid w:val="02C71777"/>
    <w:rsid w:val="02DA63DE"/>
    <w:rsid w:val="03241F36"/>
    <w:rsid w:val="03311B51"/>
    <w:rsid w:val="035607B0"/>
    <w:rsid w:val="035A0B08"/>
    <w:rsid w:val="03BE185C"/>
    <w:rsid w:val="03DD3435"/>
    <w:rsid w:val="04813DBA"/>
    <w:rsid w:val="04880F3B"/>
    <w:rsid w:val="04BB1052"/>
    <w:rsid w:val="04EF66A6"/>
    <w:rsid w:val="050C3B6C"/>
    <w:rsid w:val="058F191A"/>
    <w:rsid w:val="06093262"/>
    <w:rsid w:val="0620235A"/>
    <w:rsid w:val="064047AA"/>
    <w:rsid w:val="07023E8A"/>
    <w:rsid w:val="073060B3"/>
    <w:rsid w:val="073F34F8"/>
    <w:rsid w:val="074D59C7"/>
    <w:rsid w:val="0768220B"/>
    <w:rsid w:val="07855569"/>
    <w:rsid w:val="07DD03A2"/>
    <w:rsid w:val="083216E2"/>
    <w:rsid w:val="08891FDF"/>
    <w:rsid w:val="08EE1782"/>
    <w:rsid w:val="090B57DF"/>
    <w:rsid w:val="094625ED"/>
    <w:rsid w:val="098C0FAE"/>
    <w:rsid w:val="0A1370D9"/>
    <w:rsid w:val="0A426CE3"/>
    <w:rsid w:val="0A783487"/>
    <w:rsid w:val="0A920A74"/>
    <w:rsid w:val="0B1A05CF"/>
    <w:rsid w:val="0B3B4932"/>
    <w:rsid w:val="0B8A5AE2"/>
    <w:rsid w:val="0B9F1F73"/>
    <w:rsid w:val="0C0D3381"/>
    <w:rsid w:val="0C30371E"/>
    <w:rsid w:val="0C47209B"/>
    <w:rsid w:val="0C56467C"/>
    <w:rsid w:val="0CDE4AF1"/>
    <w:rsid w:val="0CEC2F96"/>
    <w:rsid w:val="0D2F7233"/>
    <w:rsid w:val="0D352C95"/>
    <w:rsid w:val="0D4555DC"/>
    <w:rsid w:val="0DB0649C"/>
    <w:rsid w:val="0E2234E7"/>
    <w:rsid w:val="0E832759"/>
    <w:rsid w:val="0E910299"/>
    <w:rsid w:val="0EA842DB"/>
    <w:rsid w:val="0ECF7747"/>
    <w:rsid w:val="0F441364"/>
    <w:rsid w:val="0F9D46EF"/>
    <w:rsid w:val="0FA64E4C"/>
    <w:rsid w:val="112137C2"/>
    <w:rsid w:val="11D57582"/>
    <w:rsid w:val="124026B6"/>
    <w:rsid w:val="12C329EB"/>
    <w:rsid w:val="12DA0F1C"/>
    <w:rsid w:val="137A735A"/>
    <w:rsid w:val="13B24508"/>
    <w:rsid w:val="13B92B25"/>
    <w:rsid w:val="13E54BBD"/>
    <w:rsid w:val="146D5339"/>
    <w:rsid w:val="14CE6AB2"/>
    <w:rsid w:val="14D0357D"/>
    <w:rsid w:val="152F63E2"/>
    <w:rsid w:val="15616C12"/>
    <w:rsid w:val="158272E5"/>
    <w:rsid w:val="15864214"/>
    <w:rsid w:val="15D60886"/>
    <w:rsid w:val="15D71D2C"/>
    <w:rsid w:val="16873D30"/>
    <w:rsid w:val="16A220B2"/>
    <w:rsid w:val="16AB249D"/>
    <w:rsid w:val="16E538DC"/>
    <w:rsid w:val="16EA49EA"/>
    <w:rsid w:val="17141A67"/>
    <w:rsid w:val="17153410"/>
    <w:rsid w:val="17171557"/>
    <w:rsid w:val="176A4DBE"/>
    <w:rsid w:val="184B770B"/>
    <w:rsid w:val="18E65745"/>
    <w:rsid w:val="19197809"/>
    <w:rsid w:val="19475149"/>
    <w:rsid w:val="19EC52DD"/>
    <w:rsid w:val="1A1E40F3"/>
    <w:rsid w:val="1AF847D0"/>
    <w:rsid w:val="1B024CDC"/>
    <w:rsid w:val="1C112A19"/>
    <w:rsid w:val="1C136BB6"/>
    <w:rsid w:val="1C1B5646"/>
    <w:rsid w:val="1C4B5EA8"/>
    <w:rsid w:val="1C990D5F"/>
    <w:rsid w:val="1D854405"/>
    <w:rsid w:val="1DB42418"/>
    <w:rsid w:val="1E1554ED"/>
    <w:rsid w:val="1E66223E"/>
    <w:rsid w:val="1E9B39D7"/>
    <w:rsid w:val="1EE53BAE"/>
    <w:rsid w:val="1F5C123B"/>
    <w:rsid w:val="1F720A5F"/>
    <w:rsid w:val="1FA31BDA"/>
    <w:rsid w:val="1FA4448B"/>
    <w:rsid w:val="202001FC"/>
    <w:rsid w:val="2022793B"/>
    <w:rsid w:val="207B6E01"/>
    <w:rsid w:val="211B1C44"/>
    <w:rsid w:val="21905B3D"/>
    <w:rsid w:val="21A47E8B"/>
    <w:rsid w:val="21F200C1"/>
    <w:rsid w:val="22284619"/>
    <w:rsid w:val="224A075F"/>
    <w:rsid w:val="22E66E8E"/>
    <w:rsid w:val="22F46B11"/>
    <w:rsid w:val="23816BA4"/>
    <w:rsid w:val="23B802A0"/>
    <w:rsid w:val="25650EAD"/>
    <w:rsid w:val="259A75DB"/>
    <w:rsid w:val="25E4098B"/>
    <w:rsid w:val="26252182"/>
    <w:rsid w:val="265122FF"/>
    <w:rsid w:val="265E174C"/>
    <w:rsid w:val="2686038F"/>
    <w:rsid w:val="26EF5515"/>
    <w:rsid w:val="271C79A1"/>
    <w:rsid w:val="2725381D"/>
    <w:rsid w:val="274F505D"/>
    <w:rsid w:val="28844573"/>
    <w:rsid w:val="28C64B8B"/>
    <w:rsid w:val="28C72B2B"/>
    <w:rsid w:val="29C0782D"/>
    <w:rsid w:val="29D8382E"/>
    <w:rsid w:val="29E75E0C"/>
    <w:rsid w:val="29F23E8A"/>
    <w:rsid w:val="2A241E9E"/>
    <w:rsid w:val="2A566AD6"/>
    <w:rsid w:val="2B231E21"/>
    <w:rsid w:val="2B367DA6"/>
    <w:rsid w:val="2B45781E"/>
    <w:rsid w:val="2C6C3FFF"/>
    <w:rsid w:val="2C7D3C0D"/>
    <w:rsid w:val="2C874AAF"/>
    <w:rsid w:val="2C8E66A6"/>
    <w:rsid w:val="2CAF5168"/>
    <w:rsid w:val="2CBB47F9"/>
    <w:rsid w:val="2CF26DC6"/>
    <w:rsid w:val="2D4A1910"/>
    <w:rsid w:val="2DFF7667"/>
    <w:rsid w:val="2E267150"/>
    <w:rsid w:val="2E5874B6"/>
    <w:rsid w:val="2EFD1D1D"/>
    <w:rsid w:val="2F3029A9"/>
    <w:rsid w:val="2F3A186E"/>
    <w:rsid w:val="2F4A2072"/>
    <w:rsid w:val="2FA0175F"/>
    <w:rsid w:val="2FE563D7"/>
    <w:rsid w:val="3175714F"/>
    <w:rsid w:val="319951CC"/>
    <w:rsid w:val="31FB42D0"/>
    <w:rsid w:val="32852601"/>
    <w:rsid w:val="32D3700E"/>
    <w:rsid w:val="32F07192"/>
    <w:rsid w:val="332433C5"/>
    <w:rsid w:val="3376156C"/>
    <w:rsid w:val="33DB598F"/>
    <w:rsid w:val="33FB393B"/>
    <w:rsid w:val="348E387D"/>
    <w:rsid w:val="35A324DC"/>
    <w:rsid w:val="35A46FAE"/>
    <w:rsid w:val="37026723"/>
    <w:rsid w:val="37526B7E"/>
    <w:rsid w:val="385F78F9"/>
    <w:rsid w:val="38793253"/>
    <w:rsid w:val="398960D8"/>
    <w:rsid w:val="39E8421F"/>
    <w:rsid w:val="3A066436"/>
    <w:rsid w:val="3A2516BB"/>
    <w:rsid w:val="3B3C635C"/>
    <w:rsid w:val="3CCB04A6"/>
    <w:rsid w:val="3CD37326"/>
    <w:rsid w:val="3CE242F0"/>
    <w:rsid w:val="3DA16242"/>
    <w:rsid w:val="3E7850FA"/>
    <w:rsid w:val="3EED354E"/>
    <w:rsid w:val="3F1410DB"/>
    <w:rsid w:val="3F173AB4"/>
    <w:rsid w:val="3F1B5AF7"/>
    <w:rsid w:val="3F7A539C"/>
    <w:rsid w:val="3FB5783A"/>
    <w:rsid w:val="402406BD"/>
    <w:rsid w:val="408338D7"/>
    <w:rsid w:val="41510996"/>
    <w:rsid w:val="42147451"/>
    <w:rsid w:val="42664FBD"/>
    <w:rsid w:val="43727992"/>
    <w:rsid w:val="43881670"/>
    <w:rsid w:val="43E82525"/>
    <w:rsid w:val="4416656F"/>
    <w:rsid w:val="44592EA6"/>
    <w:rsid w:val="44A8055A"/>
    <w:rsid w:val="44B02520"/>
    <w:rsid w:val="44F7334E"/>
    <w:rsid w:val="44FA379B"/>
    <w:rsid w:val="45273CAF"/>
    <w:rsid w:val="459E52B5"/>
    <w:rsid w:val="45AF30FD"/>
    <w:rsid w:val="463460DC"/>
    <w:rsid w:val="46420BB9"/>
    <w:rsid w:val="465B3014"/>
    <w:rsid w:val="467B3F5F"/>
    <w:rsid w:val="472C45CF"/>
    <w:rsid w:val="472F5293"/>
    <w:rsid w:val="473A07C7"/>
    <w:rsid w:val="474E7DCE"/>
    <w:rsid w:val="47C31B76"/>
    <w:rsid w:val="47DB0FE0"/>
    <w:rsid w:val="47E77736"/>
    <w:rsid w:val="47EB386F"/>
    <w:rsid w:val="485A4022"/>
    <w:rsid w:val="48986B3F"/>
    <w:rsid w:val="48C93BB0"/>
    <w:rsid w:val="48CE1A9E"/>
    <w:rsid w:val="494476DB"/>
    <w:rsid w:val="49B66251"/>
    <w:rsid w:val="4A125037"/>
    <w:rsid w:val="4A185584"/>
    <w:rsid w:val="4AB455FC"/>
    <w:rsid w:val="4B4C6831"/>
    <w:rsid w:val="4B4D2429"/>
    <w:rsid w:val="4BA63BCF"/>
    <w:rsid w:val="4BB93099"/>
    <w:rsid w:val="4C4C39B0"/>
    <w:rsid w:val="4CA21C4A"/>
    <w:rsid w:val="4E5823B5"/>
    <w:rsid w:val="4E87606B"/>
    <w:rsid w:val="4ED1777D"/>
    <w:rsid w:val="4F443F90"/>
    <w:rsid w:val="4F627A2B"/>
    <w:rsid w:val="4F7D616C"/>
    <w:rsid w:val="4F8A1859"/>
    <w:rsid w:val="4FCD4721"/>
    <w:rsid w:val="4FE45773"/>
    <w:rsid w:val="50281B04"/>
    <w:rsid w:val="502D24E4"/>
    <w:rsid w:val="504773D5"/>
    <w:rsid w:val="50EC70D4"/>
    <w:rsid w:val="511E5BAD"/>
    <w:rsid w:val="513918A9"/>
    <w:rsid w:val="517F3DD4"/>
    <w:rsid w:val="51BC2AE8"/>
    <w:rsid w:val="51FB7786"/>
    <w:rsid w:val="52244348"/>
    <w:rsid w:val="52466141"/>
    <w:rsid w:val="52AA2A1E"/>
    <w:rsid w:val="52CE5689"/>
    <w:rsid w:val="530B071F"/>
    <w:rsid w:val="538843E3"/>
    <w:rsid w:val="53B33700"/>
    <w:rsid w:val="55376345"/>
    <w:rsid w:val="558A3D0F"/>
    <w:rsid w:val="559A68B9"/>
    <w:rsid w:val="55B10490"/>
    <w:rsid w:val="569E5C28"/>
    <w:rsid w:val="56B17EF3"/>
    <w:rsid w:val="57313D11"/>
    <w:rsid w:val="578D69F6"/>
    <w:rsid w:val="578E2BF1"/>
    <w:rsid w:val="58311B26"/>
    <w:rsid w:val="583B105E"/>
    <w:rsid w:val="58F55D5D"/>
    <w:rsid w:val="59254E33"/>
    <w:rsid w:val="59360753"/>
    <w:rsid w:val="597E4543"/>
    <w:rsid w:val="599A4762"/>
    <w:rsid w:val="59B94A33"/>
    <w:rsid w:val="59C42C57"/>
    <w:rsid w:val="5A613B97"/>
    <w:rsid w:val="5A6D513D"/>
    <w:rsid w:val="5AFB2C32"/>
    <w:rsid w:val="5B1A64ED"/>
    <w:rsid w:val="5B2F036B"/>
    <w:rsid w:val="5B583D18"/>
    <w:rsid w:val="5B5877E2"/>
    <w:rsid w:val="5BA9771F"/>
    <w:rsid w:val="5BAC7A1D"/>
    <w:rsid w:val="5BAE0EF6"/>
    <w:rsid w:val="5BE3458F"/>
    <w:rsid w:val="5DD0286D"/>
    <w:rsid w:val="5EEA0F2A"/>
    <w:rsid w:val="5F9D1CA2"/>
    <w:rsid w:val="5FD300DB"/>
    <w:rsid w:val="5FE25B93"/>
    <w:rsid w:val="603F3AE9"/>
    <w:rsid w:val="605A527E"/>
    <w:rsid w:val="608C59E7"/>
    <w:rsid w:val="61051B53"/>
    <w:rsid w:val="61095D5D"/>
    <w:rsid w:val="61284751"/>
    <w:rsid w:val="61425A64"/>
    <w:rsid w:val="61EB473F"/>
    <w:rsid w:val="62257FFA"/>
    <w:rsid w:val="629F458E"/>
    <w:rsid w:val="63637DFA"/>
    <w:rsid w:val="63C45248"/>
    <w:rsid w:val="63E47698"/>
    <w:rsid w:val="63EE6769"/>
    <w:rsid w:val="64F222D0"/>
    <w:rsid w:val="655541D3"/>
    <w:rsid w:val="65566374"/>
    <w:rsid w:val="65594766"/>
    <w:rsid w:val="65AE22F3"/>
    <w:rsid w:val="65C12033"/>
    <w:rsid w:val="66465782"/>
    <w:rsid w:val="6686712D"/>
    <w:rsid w:val="66AF6E4C"/>
    <w:rsid w:val="670A4733"/>
    <w:rsid w:val="6727057A"/>
    <w:rsid w:val="67DE5EA5"/>
    <w:rsid w:val="68DB72BC"/>
    <w:rsid w:val="68E615DD"/>
    <w:rsid w:val="6907286A"/>
    <w:rsid w:val="6908397B"/>
    <w:rsid w:val="692923F8"/>
    <w:rsid w:val="6A16299D"/>
    <w:rsid w:val="6ADC37BF"/>
    <w:rsid w:val="6B1637B6"/>
    <w:rsid w:val="6B354DBB"/>
    <w:rsid w:val="6B456EE8"/>
    <w:rsid w:val="6B705F22"/>
    <w:rsid w:val="6B737C7F"/>
    <w:rsid w:val="6CC00CAD"/>
    <w:rsid w:val="6D0B604A"/>
    <w:rsid w:val="6DAC05BE"/>
    <w:rsid w:val="6E2337BB"/>
    <w:rsid w:val="6E526A5F"/>
    <w:rsid w:val="6E531FEA"/>
    <w:rsid w:val="6E802F39"/>
    <w:rsid w:val="6F5F3A74"/>
    <w:rsid w:val="6F8373FF"/>
    <w:rsid w:val="6FDE7145"/>
    <w:rsid w:val="701268B7"/>
    <w:rsid w:val="7025059A"/>
    <w:rsid w:val="708446DD"/>
    <w:rsid w:val="713E6246"/>
    <w:rsid w:val="71494B90"/>
    <w:rsid w:val="71C6395B"/>
    <w:rsid w:val="71FF4E08"/>
    <w:rsid w:val="725809D6"/>
    <w:rsid w:val="7274040D"/>
    <w:rsid w:val="72EE22E1"/>
    <w:rsid w:val="73362BEB"/>
    <w:rsid w:val="73840989"/>
    <w:rsid w:val="73875405"/>
    <w:rsid w:val="73B74532"/>
    <w:rsid w:val="74425F26"/>
    <w:rsid w:val="74CC7CBB"/>
    <w:rsid w:val="75401980"/>
    <w:rsid w:val="75847F67"/>
    <w:rsid w:val="75F06371"/>
    <w:rsid w:val="766308F1"/>
    <w:rsid w:val="7682140E"/>
    <w:rsid w:val="76D62696"/>
    <w:rsid w:val="774E2667"/>
    <w:rsid w:val="77910BE3"/>
    <w:rsid w:val="78270463"/>
    <w:rsid w:val="783F0EE9"/>
    <w:rsid w:val="787B059F"/>
    <w:rsid w:val="78EA3B59"/>
    <w:rsid w:val="79492020"/>
    <w:rsid w:val="79A47B9E"/>
    <w:rsid w:val="7A356A48"/>
    <w:rsid w:val="7B2726C7"/>
    <w:rsid w:val="7B360113"/>
    <w:rsid w:val="7C016BE2"/>
    <w:rsid w:val="7C727ADF"/>
    <w:rsid w:val="7C8660BD"/>
    <w:rsid w:val="7C8D68FB"/>
    <w:rsid w:val="7C934347"/>
    <w:rsid w:val="7CA05978"/>
    <w:rsid w:val="7D2A03BA"/>
    <w:rsid w:val="7E255CFA"/>
    <w:rsid w:val="7E8A7362"/>
    <w:rsid w:val="7F09259F"/>
    <w:rsid w:val="7F2050E8"/>
    <w:rsid w:val="7F894C06"/>
    <w:rsid w:val="7FBC5227"/>
    <w:rsid w:val="7FEE047D"/>
    <w:rsid w:val="CF67815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1"/>
    <w:basedOn w:val="1"/>
    <w:next w:val="1"/>
    <w:link w:val="64"/>
    <w:qFormat/>
    <w:uiPriority w:val="99"/>
    <w:pPr>
      <w:keepNext/>
      <w:keepLines/>
      <w:spacing w:before="340" w:after="330" w:line="360" w:lineRule="auto"/>
      <w:jc w:val="center"/>
      <w:outlineLvl w:val="0"/>
    </w:pPr>
    <w:rPr>
      <w:rFonts w:eastAsia="仿宋"/>
      <w:b/>
      <w:bCs/>
      <w:kern w:val="44"/>
      <w:sz w:val="30"/>
      <w:szCs w:val="44"/>
    </w:rPr>
  </w:style>
  <w:style w:type="paragraph" w:styleId="7">
    <w:name w:val="heading 2"/>
    <w:basedOn w:val="1"/>
    <w:next w:val="1"/>
    <w:link w:val="65"/>
    <w:qFormat/>
    <w:uiPriority w:val="99"/>
    <w:pPr>
      <w:keepNext/>
      <w:keepLines/>
      <w:spacing w:before="260" w:after="260" w:line="416" w:lineRule="auto"/>
      <w:outlineLvl w:val="1"/>
    </w:pPr>
    <w:rPr>
      <w:rFonts w:ascii="Arial" w:hAnsi="Arial" w:eastAsia="黑体" w:cs="Arial"/>
      <w:b/>
      <w:bCs/>
      <w:sz w:val="32"/>
      <w:szCs w:val="32"/>
    </w:rPr>
  </w:style>
  <w:style w:type="paragraph" w:styleId="8">
    <w:name w:val="heading 3"/>
    <w:basedOn w:val="1"/>
    <w:next w:val="1"/>
    <w:link w:val="66"/>
    <w:qFormat/>
    <w:uiPriority w:val="99"/>
    <w:pPr>
      <w:keepNext/>
      <w:keepLines/>
      <w:spacing w:before="260" w:after="260" w:line="416" w:lineRule="auto"/>
      <w:outlineLvl w:val="2"/>
    </w:pPr>
    <w:rPr>
      <w:b/>
      <w:bCs/>
      <w:sz w:val="32"/>
      <w:szCs w:val="32"/>
    </w:rPr>
  </w:style>
  <w:style w:type="paragraph" w:styleId="9">
    <w:name w:val="heading 4"/>
    <w:basedOn w:val="1"/>
    <w:next w:val="1"/>
    <w:link w:val="67"/>
    <w:qFormat/>
    <w:uiPriority w:val="99"/>
    <w:pPr>
      <w:keepNext/>
      <w:keepLines/>
      <w:spacing w:before="280" w:after="290" w:line="372" w:lineRule="auto"/>
      <w:outlineLvl w:val="3"/>
    </w:pPr>
    <w:rPr>
      <w:rFonts w:ascii="Cambria" w:hAnsi="Cambria" w:cs="Cambria"/>
      <w:b/>
      <w:bCs/>
      <w:sz w:val="28"/>
      <w:szCs w:val="28"/>
    </w:rPr>
  </w:style>
  <w:style w:type="paragraph" w:styleId="10">
    <w:name w:val="heading 5"/>
    <w:basedOn w:val="1"/>
    <w:next w:val="1"/>
    <w:link w:val="68"/>
    <w:qFormat/>
    <w:uiPriority w:val="99"/>
    <w:pPr>
      <w:keepNext/>
      <w:keepLines/>
      <w:spacing w:before="280" w:after="290" w:line="372" w:lineRule="auto"/>
      <w:outlineLvl w:val="4"/>
    </w:pPr>
    <w:rPr>
      <w:rFonts w:ascii="Calibri" w:hAnsi="Calibri" w:cs="Calibri"/>
      <w:b/>
      <w:bCs/>
      <w:sz w:val="28"/>
      <w:szCs w:val="28"/>
    </w:rPr>
  </w:style>
  <w:style w:type="paragraph" w:styleId="11">
    <w:name w:val="heading 6"/>
    <w:basedOn w:val="1"/>
    <w:next w:val="1"/>
    <w:link w:val="69"/>
    <w:qFormat/>
    <w:uiPriority w:val="99"/>
    <w:pPr>
      <w:keepNext/>
      <w:keepLines/>
      <w:spacing w:before="240" w:after="64" w:line="317" w:lineRule="auto"/>
      <w:outlineLvl w:val="5"/>
    </w:pPr>
    <w:rPr>
      <w:rFonts w:ascii="Cambria" w:hAnsi="Cambria" w:cs="Cambria"/>
      <w:b/>
      <w:bCs/>
      <w:sz w:val="24"/>
      <w:szCs w:val="24"/>
    </w:rPr>
  </w:style>
  <w:style w:type="paragraph" w:styleId="12">
    <w:name w:val="heading 7"/>
    <w:basedOn w:val="1"/>
    <w:next w:val="1"/>
    <w:link w:val="70"/>
    <w:qFormat/>
    <w:uiPriority w:val="99"/>
    <w:pPr>
      <w:keepNext/>
      <w:keepLines/>
      <w:spacing w:before="240" w:after="64" w:line="317" w:lineRule="auto"/>
      <w:outlineLvl w:val="6"/>
    </w:pPr>
    <w:rPr>
      <w:rFonts w:ascii="Calibri" w:hAnsi="Calibri" w:cs="Calibri"/>
      <w:b/>
      <w:bCs/>
      <w:sz w:val="24"/>
      <w:szCs w:val="24"/>
    </w:rPr>
  </w:style>
  <w:style w:type="paragraph" w:styleId="13">
    <w:name w:val="heading 8"/>
    <w:basedOn w:val="1"/>
    <w:next w:val="1"/>
    <w:link w:val="71"/>
    <w:qFormat/>
    <w:uiPriority w:val="99"/>
    <w:pPr>
      <w:keepNext/>
      <w:keepLines/>
      <w:spacing w:before="240" w:after="64" w:line="317" w:lineRule="auto"/>
      <w:outlineLvl w:val="7"/>
    </w:pPr>
    <w:rPr>
      <w:rFonts w:ascii="Cambria" w:hAnsi="Cambria" w:cs="Cambria"/>
      <w:sz w:val="24"/>
      <w:szCs w:val="24"/>
    </w:rPr>
  </w:style>
  <w:style w:type="paragraph" w:styleId="14">
    <w:name w:val="heading 9"/>
    <w:basedOn w:val="1"/>
    <w:next w:val="1"/>
    <w:link w:val="72"/>
    <w:qFormat/>
    <w:uiPriority w:val="99"/>
    <w:pPr>
      <w:keepNext/>
      <w:keepLines/>
      <w:spacing w:before="240" w:after="64" w:line="317" w:lineRule="auto"/>
      <w:outlineLvl w:val="8"/>
    </w:pPr>
    <w:rPr>
      <w:rFonts w:ascii="Cambria" w:hAnsi="Cambria" w:cs="Cambria"/>
    </w:rPr>
  </w:style>
  <w:style w:type="character" w:default="1" w:styleId="47">
    <w:name w:val="Default Paragraph Font"/>
    <w:semiHidden/>
    <w:qFormat/>
    <w:uiPriority w:val="99"/>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90"/>
    <w:qFormat/>
    <w:uiPriority w:val="99"/>
    <w:pPr>
      <w:ind w:firstLine="420" w:firstLineChars="200"/>
    </w:pPr>
  </w:style>
  <w:style w:type="paragraph" w:styleId="3">
    <w:name w:val="Body Text Indent"/>
    <w:basedOn w:val="1"/>
    <w:next w:val="4"/>
    <w:link w:val="77"/>
    <w:qFormat/>
    <w:uiPriority w:val="99"/>
    <w:pPr>
      <w:spacing w:line="500" w:lineRule="exact"/>
      <w:ind w:firstLine="538"/>
    </w:pPr>
    <w:rPr>
      <w:sz w:val="28"/>
      <w:szCs w:val="28"/>
    </w:rPr>
  </w:style>
  <w:style w:type="paragraph" w:styleId="4">
    <w:name w:val="envelope return"/>
    <w:basedOn w:val="1"/>
    <w:next w:val="5"/>
    <w:qFormat/>
    <w:uiPriority w:val="99"/>
    <w:pPr>
      <w:snapToGrid w:val="0"/>
    </w:pPr>
    <w:rPr>
      <w:rFonts w:ascii="Arial" w:hAnsi="Arial"/>
    </w:rPr>
  </w:style>
  <w:style w:type="paragraph" w:styleId="5">
    <w:name w:val="toc 7"/>
    <w:basedOn w:val="1"/>
    <w:next w:val="1"/>
    <w:semiHidden/>
    <w:qFormat/>
    <w:uiPriority w:val="99"/>
    <w:pPr>
      <w:ind w:left="2520" w:leftChars="1200"/>
    </w:pPr>
    <w:rPr>
      <w:rFonts w:ascii="Calibri" w:hAnsi="Calibri" w:cs="Calibri"/>
    </w:rPr>
  </w:style>
  <w:style w:type="paragraph" w:styleId="15">
    <w:name w:val="Normal Indent"/>
    <w:basedOn w:val="1"/>
    <w:qFormat/>
    <w:uiPriority w:val="99"/>
    <w:pPr>
      <w:adjustRightInd w:val="0"/>
      <w:spacing w:line="360" w:lineRule="atLeast"/>
      <w:ind w:firstLine="482"/>
      <w:textAlignment w:val="baseline"/>
    </w:pPr>
    <w:rPr>
      <w:kern w:val="0"/>
      <w:sz w:val="24"/>
      <w:szCs w:val="24"/>
    </w:rPr>
  </w:style>
  <w:style w:type="paragraph" w:styleId="16">
    <w:name w:val="caption"/>
    <w:basedOn w:val="1"/>
    <w:next w:val="1"/>
    <w:qFormat/>
    <w:uiPriority w:val="99"/>
    <w:rPr>
      <w:rFonts w:ascii="Cambria" w:hAnsi="Cambria" w:eastAsia="黑体" w:cs="Cambria"/>
      <w:sz w:val="20"/>
      <w:szCs w:val="20"/>
    </w:rPr>
  </w:style>
  <w:style w:type="paragraph" w:styleId="17">
    <w:name w:val="Document Map"/>
    <w:basedOn w:val="1"/>
    <w:link w:val="73"/>
    <w:semiHidden/>
    <w:qFormat/>
    <w:uiPriority w:val="99"/>
    <w:pPr>
      <w:shd w:val="clear" w:color="auto" w:fill="000080"/>
    </w:pPr>
    <w:rPr>
      <w:kern w:val="0"/>
      <w:sz w:val="20"/>
      <w:szCs w:val="20"/>
      <w:shd w:val="clear" w:color="auto" w:fill="000080"/>
    </w:rPr>
  </w:style>
  <w:style w:type="paragraph" w:styleId="18">
    <w:name w:val="annotation text"/>
    <w:basedOn w:val="1"/>
    <w:link w:val="74"/>
    <w:semiHidden/>
    <w:qFormat/>
    <w:uiPriority w:val="99"/>
    <w:pPr>
      <w:jc w:val="left"/>
    </w:pPr>
  </w:style>
  <w:style w:type="paragraph" w:styleId="19">
    <w:name w:val="Body Text 3"/>
    <w:basedOn w:val="1"/>
    <w:link w:val="75"/>
    <w:qFormat/>
    <w:uiPriority w:val="99"/>
    <w:rPr>
      <w:rFonts w:ascii="宋体" w:cs="宋体"/>
      <w:sz w:val="24"/>
      <w:szCs w:val="24"/>
    </w:rPr>
  </w:style>
  <w:style w:type="paragraph" w:styleId="20">
    <w:name w:val="Body Text"/>
    <w:basedOn w:val="1"/>
    <w:link w:val="76"/>
    <w:qFormat/>
    <w:uiPriority w:val="99"/>
    <w:pPr>
      <w:jc w:val="center"/>
    </w:pPr>
    <w:rPr>
      <w:b/>
      <w:bCs/>
      <w:sz w:val="44"/>
      <w:szCs w:val="44"/>
    </w:rPr>
  </w:style>
  <w:style w:type="paragraph" w:styleId="21">
    <w:name w:val="Block Text"/>
    <w:basedOn w:val="1"/>
    <w:qFormat/>
    <w:uiPriority w:val="99"/>
    <w:pPr>
      <w:spacing w:line="400" w:lineRule="exact"/>
      <w:ind w:left="-359" w:leftChars="-171" w:right="31" w:rightChars="15" w:firstLine="980" w:firstLineChars="350"/>
    </w:pPr>
    <w:rPr>
      <w:rFonts w:ascii="宋体" w:hAnsi="宋体" w:cs="宋体"/>
      <w:sz w:val="28"/>
      <w:szCs w:val="28"/>
    </w:rPr>
  </w:style>
  <w:style w:type="paragraph" w:styleId="22">
    <w:name w:val="index 4"/>
    <w:basedOn w:val="1"/>
    <w:next w:val="1"/>
    <w:semiHidden/>
    <w:qFormat/>
    <w:uiPriority w:val="99"/>
    <w:pPr>
      <w:ind w:left="600" w:leftChars="600"/>
    </w:pPr>
  </w:style>
  <w:style w:type="paragraph" w:styleId="23">
    <w:name w:val="toc 5"/>
    <w:basedOn w:val="1"/>
    <w:next w:val="1"/>
    <w:semiHidden/>
    <w:qFormat/>
    <w:uiPriority w:val="99"/>
    <w:pPr>
      <w:tabs>
        <w:tab w:val="right" w:leader="dot" w:pos="8296"/>
      </w:tabs>
      <w:ind w:left="1050" w:leftChars="500"/>
    </w:pPr>
    <w:rPr>
      <w:rFonts w:ascii="Calibri" w:hAnsi="Calibri" w:cs="Calibri"/>
    </w:rPr>
  </w:style>
  <w:style w:type="paragraph" w:styleId="24">
    <w:name w:val="toc 3"/>
    <w:basedOn w:val="1"/>
    <w:next w:val="1"/>
    <w:semiHidden/>
    <w:qFormat/>
    <w:uiPriority w:val="99"/>
    <w:pPr>
      <w:ind w:left="840" w:leftChars="400"/>
    </w:pPr>
    <w:rPr>
      <w:rFonts w:ascii="Calibri" w:hAnsi="Calibri" w:cs="Calibri"/>
    </w:rPr>
  </w:style>
  <w:style w:type="paragraph" w:styleId="25">
    <w:name w:val="Plain Text"/>
    <w:basedOn w:val="1"/>
    <w:next w:val="1"/>
    <w:link w:val="78"/>
    <w:qFormat/>
    <w:uiPriority w:val="99"/>
    <w:rPr>
      <w:rFonts w:ascii="宋体" w:hAnsi="Courier New" w:cs="宋体"/>
    </w:rPr>
  </w:style>
  <w:style w:type="paragraph" w:styleId="26">
    <w:name w:val="toc 8"/>
    <w:basedOn w:val="1"/>
    <w:next w:val="1"/>
    <w:semiHidden/>
    <w:qFormat/>
    <w:uiPriority w:val="99"/>
    <w:pPr>
      <w:ind w:left="2940" w:leftChars="1400"/>
    </w:pPr>
    <w:rPr>
      <w:rFonts w:ascii="Calibri" w:hAnsi="Calibri" w:cs="Calibri"/>
    </w:rPr>
  </w:style>
  <w:style w:type="paragraph" w:styleId="27">
    <w:name w:val="Date"/>
    <w:basedOn w:val="1"/>
    <w:next w:val="1"/>
    <w:link w:val="79"/>
    <w:qFormat/>
    <w:uiPriority w:val="99"/>
    <w:rPr>
      <w:rFonts w:ascii="仿宋_GB2312" w:eastAsia="仿宋_GB2312" w:cs="仿宋_GB2312"/>
      <w:sz w:val="30"/>
      <w:szCs w:val="30"/>
    </w:rPr>
  </w:style>
  <w:style w:type="paragraph" w:styleId="28">
    <w:name w:val="Body Text Indent 2"/>
    <w:basedOn w:val="1"/>
    <w:next w:val="1"/>
    <w:link w:val="80"/>
    <w:qFormat/>
    <w:uiPriority w:val="99"/>
    <w:pPr>
      <w:spacing w:line="360" w:lineRule="exact"/>
      <w:ind w:firstLine="600" w:firstLineChars="250"/>
      <w:jc w:val="left"/>
    </w:pPr>
    <w:rPr>
      <w:sz w:val="24"/>
      <w:szCs w:val="24"/>
    </w:rPr>
  </w:style>
  <w:style w:type="paragraph" w:styleId="29">
    <w:name w:val="Balloon Text"/>
    <w:basedOn w:val="1"/>
    <w:link w:val="81"/>
    <w:semiHidden/>
    <w:qFormat/>
    <w:uiPriority w:val="99"/>
    <w:rPr>
      <w:sz w:val="18"/>
      <w:szCs w:val="18"/>
    </w:rPr>
  </w:style>
  <w:style w:type="paragraph" w:styleId="30">
    <w:name w:val="footer"/>
    <w:basedOn w:val="1"/>
    <w:link w:val="82"/>
    <w:qFormat/>
    <w:uiPriority w:val="99"/>
    <w:pPr>
      <w:tabs>
        <w:tab w:val="center" w:pos="4153"/>
        <w:tab w:val="right" w:pos="8306"/>
      </w:tabs>
      <w:snapToGrid w:val="0"/>
      <w:jc w:val="left"/>
    </w:pPr>
    <w:rPr>
      <w:sz w:val="18"/>
      <w:szCs w:val="18"/>
    </w:rPr>
  </w:style>
  <w:style w:type="paragraph" w:styleId="31">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semiHidden/>
    <w:qFormat/>
    <w:uiPriority w:val="99"/>
    <w:pPr>
      <w:tabs>
        <w:tab w:val="right" w:leader="dot" w:pos="8296"/>
      </w:tabs>
    </w:pPr>
    <w:rPr>
      <w:rFonts w:ascii="宋体" w:eastAsia="楷体_GB2312" w:cs="宋体"/>
      <w:b/>
      <w:bCs/>
      <w:kern w:val="0"/>
      <w:sz w:val="28"/>
      <w:szCs w:val="28"/>
    </w:rPr>
  </w:style>
  <w:style w:type="paragraph" w:styleId="33">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4">
    <w:name w:val="Subtitle"/>
    <w:basedOn w:val="1"/>
    <w:next w:val="1"/>
    <w:link w:val="84"/>
    <w:qFormat/>
    <w:uiPriority w:val="99"/>
    <w:pPr>
      <w:spacing w:before="240" w:after="60" w:line="312" w:lineRule="auto"/>
      <w:jc w:val="center"/>
      <w:outlineLvl w:val="1"/>
    </w:pPr>
    <w:rPr>
      <w:rFonts w:ascii="Cambria" w:hAnsi="Cambria" w:cs="Cambria"/>
      <w:b/>
      <w:bCs/>
      <w:kern w:val="28"/>
      <w:sz w:val="32"/>
      <w:szCs w:val="32"/>
    </w:rPr>
  </w:style>
  <w:style w:type="paragraph" w:styleId="35">
    <w:name w:val="footnote text"/>
    <w:basedOn w:val="1"/>
    <w:link w:val="85"/>
    <w:semiHidden/>
    <w:qFormat/>
    <w:uiPriority w:val="99"/>
    <w:rPr>
      <w:sz w:val="20"/>
      <w:szCs w:val="20"/>
    </w:rPr>
  </w:style>
  <w:style w:type="paragraph" w:styleId="36">
    <w:name w:val="toc 6"/>
    <w:basedOn w:val="1"/>
    <w:next w:val="1"/>
    <w:semiHidden/>
    <w:qFormat/>
    <w:uiPriority w:val="99"/>
    <w:pPr>
      <w:ind w:left="2100" w:leftChars="1000"/>
    </w:pPr>
    <w:rPr>
      <w:rFonts w:ascii="Calibri" w:hAnsi="Calibri" w:cs="Calibri"/>
    </w:rPr>
  </w:style>
  <w:style w:type="paragraph" w:styleId="37">
    <w:name w:val="Body Text Indent 3"/>
    <w:basedOn w:val="1"/>
    <w:link w:val="86"/>
    <w:qFormat/>
    <w:uiPriority w:val="99"/>
    <w:pPr>
      <w:spacing w:after="120"/>
      <w:ind w:left="420" w:leftChars="200"/>
    </w:pPr>
    <w:rPr>
      <w:sz w:val="16"/>
      <w:szCs w:val="16"/>
    </w:rPr>
  </w:style>
  <w:style w:type="paragraph" w:styleId="38">
    <w:name w:val="table of figures"/>
    <w:basedOn w:val="1"/>
    <w:next w:val="1"/>
    <w:semiHidden/>
    <w:qFormat/>
    <w:uiPriority w:val="99"/>
    <w:pPr>
      <w:ind w:left="200" w:leftChars="200" w:hanging="200" w:hangingChars="200"/>
    </w:pPr>
  </w:style>
  <w:style w:type="paragraph" w:styleId="39">
    <w:name w:val="toc 2"/>
    <w:basedOn w:val="1"/>
    <w:next w:val="1"/>
    <w:semiHidden/>
    <w:qFormat/>
    <w:uiPriority w:val="99"/>
    <w:pPr>
      <w:ind w:left="420" w:leftChars="200"/>
    </w:pPr>
    <w:rPr>
      <w:rFonts w:ascii="宋体" w:cs="宋体"/>
      <w:b/>
      <w:bCs/>
      <w:sz w:val="28"/>
      <w:szCs w:val="28"/>
    </w:rPr>
  </w:style>
  <w:style w:type="paragraph" w:styleId="40">
    <w:name w:val="toc 9"/>
    <w:basedOn w:val="1"/>
    <w:next w:val="1"/>
    <w:semiHidden/>
    <w:qFormat/>
    <w:uiPriority w:val="99"/>
    <w:pPr>
      <w:ind w:left="3360" w:leftChars="1600"/>
    </w:pPr>
    <w:rPr>
      <w:rFonts w:ascii="Calibri" w:hAnsi="Calibri" w:cs="Calibri"/>
    </w:rPr>
  </w:style>
  <w:style w:type="paragraph" w:styleId="41">
    <w:name w:val="Body Text 2"/>
    <w:basedOn w:val="1"/>
    <w:link w:val="87"/>
    <w:qFormat/>
    <w:uiPriority w:val="99"/>
    <w:pPr>
      <w:spacing w:line="440" w:lineRule="exact"/>
    </w:pPr>
    <w:rPr>
      <w:sz w:val="28"/>
      <w:szCs w:val="28"/>
    </w:rPr>
  </w:style>
  <w:style w:type="paragraph" w:styleId="42">
    <w:name w:val="Normal (Web)"/>
    <w:basedOn w:val="1"/>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3">
    <w:name w:val="Title"/>
    <w:basedOn w:val="1"/>
    <w:next w:val="1"/>
    <w:link w:val="88"/>
    <w:qFormat/>
    <w:uiPriority w:val="99"/>
    <w:pPr>
      <w:spacing w:before="240" w:after="60"/>
      <w:jc w:val="center"/>
      <w:outlineLvl w:val="0"/>
    </w:pPr>
    <w:rPr>
      <w:rFonts w:ascii="Cambria" w:hAnsi="Cambria" w:cs="Cambria"/>
      <w:b/>
      <w:bCs/>
      <w:sz w:val="32"/>
      <w:szCs w:val="32"/>
    </w:rPr>
  </w:style>
  <w:style w:type="paragraph" w:styleId="44">
    <w:name w:val="annotation subject"/>
    <w:basedOn w:val="18"/>
    <w:next w:val="18"/>
    <w:link w:val="89"/>
    <w:semiHidden/>
    <w:qFormat/>
    <w:uiPriority w:val="99"/>
    <w:rPr>
      <w:rFonts w:ascii="宋体" w:cs="宋体"/>
      <w:b/>
      <w:bCs/>
      <w:kern w:val="0"/>
      <w:sz w:val="28"/>
      <w:szCs w:val="28"/>
    </w:rPr>
  </w:style>
  <w:style w:type="table" w:styleId="46">
    <w:name w:val="Table Grid"/>
    <w:basedOn w:val="4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99"/>
    <w:rPr>
      <w:rFonts w:cs="Times New Roman"/>
      <w:b/>
      <w:bCs/>
    </w:rPr>
  </w:style>
  <w:style w:type="character" w:styleId="49">
    <w:name w:val="page number"/>
    <w:basedOn w:val="47"/>
    <w:qFormat/>
    <w:uiPriority w:val="99"/>
    <w:rPr>
      <w:rFonts w:cs="Times New Roman"/>
    </w:rPr>
  </w:style>
  <w:style w:type="character" w:styleId="50">
    <w:name w:val="FollowedHyperlink"/>
    <w:basedOn w:val="47"/>
    <w:qFormat/>
    <w:uiPriority w:val="99"/>
    <w:rPr>
      <w:rFonts w:cs="Times New Roman"/>
      <w:color w:val="333333"/>
      <w:u w:val="none"/>
    </w:rPr>
  </w:style>
  <w:style w:type="character" w:styleId="51">
    <w:name w:val="Emphasis"/>
    <w:basedOn w:val="47"/>
    <w:qFormat/>
    <w:uiPriority w:val="99"/>
    <w:rPr>
      <w:rFonts w:cs="Times New Roman"/>
      <w:color w:val="auto"/>
    </w:rPr>
  </w:style>
  <w:style w:type="character" w:styleId="52">
    <w:name w:val="HTML Definition"/>
    <w:basedOn w:val="47"/>
    <w:qFormat/>
    <w:uiPriority w:val="99"/>
    <w:rPr>
      <w:rFonts w:cs="Times New Roman"/>
    </w:rPr>
  </w:style>
  <w:style w:type="character" w:styleId="53">
    <w:name w:val="HTML Typewriter"/>
    <w:basedOn w:val="47"/>
    <w:qFormat/>
    <w:uiPriority w:val="99"/>
    <w:rPr>
      <w:rFonts w:ascii="monospace" w:hAnsi="monospace" w:cs="monospace"/>
      <w:sz w:val="20"/>
    </w:rPr>
  </w:style>
  <w:style w:type="character" w:styleId="54">
    <w:name w:val="HTML Acronym"/>
    <w:basedOn w:val="47"/>
    <w:qFormat/>
    <w:uiPriority w:val="99"/>
    <w:rPr>
      <w:rFonts w:cs="Times New Roman"/>
    </w:rPr>
  </w:style>
  <w:style w:type="character" w:styleId="55">
    <w:name w:val="HTML Variable"/>
    <w:basedOn w:val="47"/>
    <w:qFormat/>
    <w:uiPriority w:val="99"/>
    <w:rPr>
      <w:rFonts w:cs="Times New Roman"/>
    </w:rPr>
  </w:style>
  <w:style w:type="character" w:styleId="56">
    <w:name w:val="Hyperlink"/>
    <w:basedOn w:val="47"/>
    <w:qFormat/>
    <w:uiPriority w:val="99"/>
    <w:rPr>
      <w:rFonts w:cs="Times New Roman"/>
      <w:color w:val="333333"/>
      <w:u w:val="none"/>
    </w:rPr>
  </w:style>
  <w:style w:type="character" w:styleId="57">
    <w:name w:val="HTML Code"/>
    <w:basedOn w:val="47"/>
    <w:qFormat/>
    <w:uiPriority w:val="99"/>
    <w:rPr>
      <w:rFonts w:ascii="monospace" w:hAnsi="monospace" w:cs="monospace"/>
      <w:sz w:val="20"/>
    </w:rPr>
  </w:style>
  <w:style w:type="character" w:styleId="58">
    <w:name w:val="annotation reference"/>
    <w:basedOn w:val="47"/>
    <w:semiHidden/>
    <w:qFormat/>
    <w:uiPriority w:val="99"/>
    <w:rPr>
      <w:rFonts w:cs="Times New Roman"/>
      <w:sz w:val="21"/>
      <w:szCs w:val="21"/>
    </w:rPr>
  </w:style>
  <w:style w:type="character" w:styleId="59">
    <w:name w:val="HTML Cite"/>
    <w:basedOn w:val="47"/>
    <w:qFormat/>
    <w:uiPriority w:val="99"/>
    <w:rPr>
      <w:rFonts w:cs="Times New Roman"/>
    </w:rPr>
  </w:style>
  <w:style w:type="character" w:styleId="60">
    <w:name w:val="footnote reference"/>
    <w:basedOn w:val="47"/>
    <w:semiHidden/>
    <w:qFormat/>
    <w:uiPriority w:val="99"/>
    <w:rPr>
      <w:rFonts w:cs="Times New Roman"/>
      <w:vertAlign w:val="superscript"/>
    </w:rPr>
  </w:style>
  <w:style w:type="character" w:styleId="61">
    <w:name w:val="HTML Keyboard"/>
    <w:basedOn w:val="47"/>
    <w:qFormat/>
    <w:uiPriority w:val="99"/>
    <w:rPr>
      <w:rFonts w:ascii="monospace" w:hAnsi="monospace" w:cs="monospace"/>
      <w:sz w:val="20"/>
    </w:rPr>
  </w:style>
  <w:style w:type="character" w:styleId="62">
    <w:name w:val="HTML Sample"/>
    <w:basedOn w:val="47"/>
    <w:qFormat/>
    <w:uiPriority w:val="99"/>
    <w:rPr>
      <w:rFonts w:ascii="monospace" w:hAnsi="monospace" w:cs="monospace"/>
    </w:rPr>
  </w:style>
  <w:style w:type="paragraph" w:customStyle="1" w:styleId="6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64">
    <w:name w:val="Heading 1 Char"/>
    <w:basedOn w:val="47"/>
    <w:link w:val="6"/>
    <w:qFormat/>
    <w:locked/>
    <w:uiPriority w:val="99"/>
    <w:rPr>
      <w:rFonts w:ascii="Times New Roman" w:hAnsi="Times New Roman" w:eastAsia="仿宋" w:cs="Times New Roman"/>
      <w:b/>
      <w:bCs/>
      <w:kern w:val="44"/>
      <w:sz w:val="44"/>
      <w:szCs w:val="44"/>
      <w:lang w:val="en-US" w:eastAsia="zh-CN"/>
    </w:rPr>
  </w:style>
  <w:style w:type="character" w:customStyle="1" w:styleId="65">
    <w:name w:val="Heading 2 Char"/>
    <w:basedOn w:val="47"/>
    <w:link w:val="7"/>
    <w:qFormat/>
    <w:locked/>
    <w:uiPriority w:val="99"/>
    <w:rPr>
      <w:rFonts w:ascii="Arial" w:hAnsi="Arial" w:eastAsia="黑体" w:cs="Arial"/>
      <w:b/>
      <w:bCs/>
      <w:kern w:val="2"/>
      <w:sz w:val="32"/>
      <w:szCs w:val="32"/>
      <w:lang w:val="en-US" w:eastAsia="zh-CN"/>
    </w:rPr>
  </w:style>
  <w:style w:type="character" w:customStyle="1" w:styleId="66">
    <w:name w:val="Heading 3 Char"/>
    <w:basedOn w:val="47"/>
    <w:link w:val="8"/>
    <w:qFormat/>
    <w:locked/>
    <w:uiPriority w:val="99"/>
    <w:rPr>
      <w:rFonts w:eastAsia="宋体" w:cs="Times New Roman"/>
      <w:b/>
      <w:bCs/>
      <w:kern w:val="2"/>
      <w:sz w:val="32"/>
      <w:szCs w:val="32"/>
      <w:lang w:val="en-US" w:eastAsia="zh-CN"/>
    </w:rPr>
  </w:style>
  <w:style w:type="character" w:customStyle="1" w:styleId="67">
    <w:name w:val="Heading 4 Char"/>
    <w:basedOn w:val="47"/>
    <w:link w:val="9"/>
    <w:qFormat/>
    <w:locked/>
    <w:uiPriority w:val="99"/>
    <w:rPr>
      <w:rFonts w:ascii="Cambria" w:hAnsi="Cambria" w:eastAsia="宋体" w:cs="Cambria"/>
      <w:b/>
      <w:bCs/>
      <w:kern w:val="2"/>
      <w:sz w:val="28"/>
      <w:szCs w:val="28"/>
      <w:lang w:val="en-US" w:eastAsia="zh-CN"/>
    </w:rPr>
  </w:style>
  <w:style w:type="character" w:customStyle="1" w:styleId="68">
    <w:name w:val="Heading 5 Char"/>
    <w:basedOn w:val="47"/>
    <w:link w:val="10"/>
    <w:qFormat/>
    <w:locked/>
    <w:uiPriority w:val="99"/>
    <w:rPr>
      <w:rFonts w:ascii="Calibri" w:hAnsi="Calibri" w:eastAsia="宋体" w:cs="Calibri"/>
      <w:b/>
      <w:bCs/>
      <w:kern w:val="2"/>
      <w:sz w:val="28"/>
      <w:szCs w:val="28"/>
      <w:lang w:val="en-US" w:eastAsia="zh-CN"/>
    </w:rPr>
  </w:style>
  <w:style w:type="character" w:customStyle="1" w:styleId="69">
    <w:name w:val="Heading 6 Char"/>
    <w:basedOn w:val="47"/>
    <w:link w:val="11"/>
    <w:qFormat/>
    <w:locked/>
    <w:uiPriority w:val="99"/>
    <w:rPr>
      <w:rFonts w:ascii="Cambria" w:hAnsi="Cambria" w:eastAsia="宋体" w:cs="Cambria"/>
      <w:b/>
      <w:bCs/>
      <w:kern w:val="2"/>
      <w:sz w:val="24"/>
      <w:szCs w:val="24"/>
      <w:lang w:val="en-US" w:eastAsia="zh-CN"/>
    </w:rPr>
  </w:style>
  <w:style w:type="character" w:customStyle="1" w:styleId="70">
    <w:name w:val="Heading 7 Char"/>
    <w:basedOn w:val="47"/>
    <w:link w:val="12"/>
    <w:qFormat/>
    <w:locked/>
    <w:uiPriority w:val="99"/>
    <w:rPr>
      <w:rFonts w:ascii="Calibri" w:hAnsi="Calibri" w:eastAsia="宋体" w:cs="Calibri"/>
      <w:b/>
      <w:bCs/>
      <w:kern w:val="2"/>
      <w:sz w:val="24"/>
      <w:szCs w:val="24"/>
      <w:lang w:val="en-US" w:eastAsia="zh-CN"/>
    </w:rPr>
  </w:style>
  <w:style w:type="character" w:customStyle="1" w:styleId="71">
    <w:name w:val="Heading 8 Char"/>
    <w:basedOn w:val="47"/>
    <w:link w:val="13"/>
    <w:qFormat/>
    <w:locked/>
    <w:uiPriority w:val="99"/>
    <w:rPr>
      <w:rFonts w:ascii="Cambria" w:hAnsi="Cambria" w:eastAsia="宋体" w:cs="Cambria"/>
      <w:kern w:val="2"/>
      <w:sz w:val="24"/>
      <w:szCs w:val="24"/>
      <w:lang w:val="en-US" w:eastAsia="zh-CN"/>
    </w:rPr>
  </w:style>
  <w:style w:type="character" w:customStyle="1" w:styleId="72">
    <w:name w:val="Heading 9 Char"/>
    <w:basedOn w:val="47"/>
    <w:link w:val="14"/>
    <w:qFormat/>
    <w:locked/>
    <w:uiPriority w:val="99"/>
    <w:rPr>
      <w:rFonts w:ascii="Cambria" w:hAnsi="Cambria" w:eastAsia="宋体" w:cs="Cambria"/>
      <w:kern w:val="2"/>
      <w:sz w:val="21"/>
      <w:szCs w:val="21"/>
      <w:lang w:val="en-US" w:eastAsia="zh-CN"/>
    </w:rPr>
  </w:style>
  <w:style w:type="character" w:customStyle="1" w:styleId="73">
    <w:name w:val="Document Map Char"/>
    <w:basedOn w:val="47"/>
    <w:link w:val="17"/>
    <w:qFormat/>
    <w:locked/>
    <w:uiPriority w:val="99"/>
    <w:rPr>
      <w:rFonts w:cs="Times New Roman"/>
      <w:sz w:val="24"/>
      <w:szCs w:val="24"/>
      <w:shd w:val="clear" w:color="auto" w:fill="000080"/>
    </w:rPr>
  </w:style>
  <w:style w:type="character" w:customStyle="1" w:styleId="74">
    <w:name w:val="Comment Text Char"/>
    <w:basedOn w:val="47"/>
    <w:link w:val="18"/>
    <w:qFormat/>
    <w:locked/>
    <w:uiPriority w:val="99"/>
    <w:rPr>
      <w:rFonts w:cs="Times New Roman"/>
      <w:kern w:val="2"/>
      <w:sz w:val="22"/>
      <w:szCs w:val="22"/>
    </w:rPr>
  </w:style>
  <w:style w:type="character" w:customStyle="1" w:styleId="75">
    <w:name w:val="Body Text 3 Char"/>
    <w:basedOn w:val="47"/>
    <w:link w:val="19"/>
    <w:semiHidden/>
    <w:qFormat/>
    <w:locked/>
    <w:uiPriority w:val="99"/>
    <w:rPr>
      <w:rFonts w:cs="Times New Roman"/>
      <w:sz w:val="16"/>
      <w:szCs w:val="16"/>
    </w:rPr>
  </w:style>
  <w:style w:type="character" w:customStyle="1" w:styleId="76">
    <w:name w:val="Body Text Char"/>
    <w:basedOn w:val="47"/>
    <w:link w:val="20"/>
    <w:qFormat/>
    <w:locked/>
    <w:uiPriority w:val="99"/>
    <w:rPr>
      <w:rFonts w:eastAsia="宋体" w:cs="Times New Roman"/>
      <w:b/>
      <w:bCs/>
      <w:kern w:val="2"/>
      <w:sz w:val="44"/>
      <w:szCs w:val="44"/>
      <w:lang w:val="en-US" w:eastAsia="zh-CN"/>
    </w:rPr>
  </w:style>
  <w:style w:type="character" w:customStyle="1" w:styleId="77">
    <w:name w:val="Body Text Indent Char"/>
    <w:basedOn w:val="47"/>
    <w:link w:val="3"/>
    <w:semiHidden/>
    <w:qFormat/>
    <w:locked/>
    <w:uiPriority w:val="99"/>
    <w:rPr>
      <w:rFonts w:cs="Times New Roman"/>
      <w:sz w:val="21"/>
      <w:szCs w:val="21"/>
    </w:rPr>
  </w:style>
  <w:style w:type="character" w:customStyle="1" w:styleId="78">
    <w:name w:val="Plain Text Char"/>
    <w:basedOn w:val="47"/>
    <w:link w:val="25"/>
    <w:semiHidden/>
    <w:qFormat/>
    <w:locked/>
    <w:uiPriority w:val="99"/>
    <w:rPr>
      <w:rFonts w:ascii="宋体" w:hAnsi="Courier New" w:cs="Courier New"/>
      <w:sz w:val="21"/>
      <w:szCs w:val="21"/>
    </w:rPr>
  </w:style>
  <w:style w:type="character" w:customStyle="1" w:styleId="79">
    <w:name w:val="Date Char"/>
    <w:basedOn w:val="47"/>
    <w:link w:val="27"/>
    <w:qFormat/>
    <w:locked/>
    <w:uiPriority w:val="99"/>
    <w:rPr>
      <w:rFonts w:ascii="仿宋_GB2312" w:eastAsia="仿宋_GB2312" w:cs="仿宋_GB2312"/>
      <w:kern w:val="2"/>
      <w:sz w:val="30"/>
      <w:szCs w:val="30"/>
      <w:lang w:val="en-US" w:eastAsia="zh-CN"/>
    </w:rPr>
  </w:style>
  <w:style w:type="character" w:customStyle="1" w:styleId="80">
    <w:name w:val="Body Text Indent 2 Char"/>
    <w:basedOn w:val="47"/>
    <w:link w:val="28"/>
    <w:semiHidden/>
    <w:qFormat/>
    <w:locked/>
    <w:uiPriority w:val="99"/>
    <w:rPr>
      <w:rFonts w:cs="Times New Roman"/>
      <w:sz w:val="21"/>
      <w:szCs w:val="21"/>
    </w:rPr>
  </w:style>
  <w:style w:type="character" w:customStyle="1" w:styleId="81">
    <w:name w:val="Balloon Text Char"/>
    <w:basedOn w:val="47"/>
    <w:link w:val="29"/>
    <w:semiHidden/>
    <w:qFormat/>
    <w:locked/>
    <w:uiPriority w:val="99"/>
    <w:rPr>
      <w:rFonts w:cs="Times New Roman"/>
      <w:sz w:val="2"/>
    </w:rPr>
  </w:style>
  <w:style w:type="character" w:customStyle="1" w:styleId="82">
    <w:name w:val="Footer Char"/>
    <w:basedOn w:val="47"/>
    <w:link w:val="30"/>
    <w:qFormat/>
    <w:locked/>
    <w:uiPriority w:val="99"/>
    <w:rPr>
      <w:rFonts w:eastAsia="宋体" w:cs="Times New Roman"/>
      <w:kern w:val="2"/>
      <w:sz w:val="18"/>
      <w:szCs w:val="18"/>
      <w:lang w:val="en-US" w:eastAsia="zh-CN"/>
    </w:rPr>
  </w:style>
  <w:style w:type="character" w:customStyle="1" w:styleId="83">
    <w:name w:val="Header Char"/>
    <w:basedOn w:val="47"/>
    <w:link w:val="31"/>
    <w:qFormat/>
    <w:locked/>
    <w:uiPriority w:val="99"/>
    <w:rPr>
      <w:rFonts w:eastAsia="宋体" w:cs="Times New Roman"/>
      <w:kern w:val="2"/>
      <w:sz w:val="18"/>
      <w:szCs w:val="18"/>
      <w:lang w:val="en-US" w:eastAsia="zh-CN"/>
    </w:rPr>
  </w:style>
  <w:style w:type="character" w:customStyle="1" w:styleId="84">
    <w:name w:val="Subtitle Char"/>
    <w:basedOn w:val="47"/>
    <w:link w:val="34"/>
    <w:qFormat/>
    <w:locked/>
    <w:uiPriority w:val="99"/>
    <w:rPr>
      <w:rFonts w:ascii="Cambria" w:hAnsi="Cambria" w:cs="Cambria"/>
      <w:b/>
      <w:bCs/>
      <w:kern w:val="28"/>
      <w:sz w:val="32"/>
      <w:szCs w:val="32"/>
    </w:rPr>
  </w:style>
  <w:style w:type="character" w:customStyle="1" w:styleId="85">
    <w:name w:val="Footnote Text Char"/>
    <w:basedOn w:val="47"/>
    <w:link w:val="35"/>
    <w:semiHidden/>
    <w:qFormat/>
    <w:locked/>
    <w:uiPriority w:val="99"/>
    <w:rPr>
      <w:rFonts w:cs="Times New Roman"/>
      <w:sz w:val="18"/>
      <w:szCs w:val="18"/>
    </w:rPr>
  </w:style>
  <w:style w:type="character" w:customStyle="1" w:styleId="86">
    <w:name w:val="Body Text Indent 3 Char"/>
    <w:basedOn w:val="47"/>
    <w:link w:val="37"/>
    <w:semiHidden/>
    <w:qFormat/>
    <w:locked/>
    <w:uiPriority w:val="99"/>
    <w:rPr>
      <w:rFonts w:cs="Times New Roman"/>
      <w:sz w:val="16"/>
      <w:szCs w:val="16"/>
    </w:rPr>
  </w:style>
  <w:style w:type="character" w:customStyle="1" w:styleId="87">
    <w:name w:val="Body Text 2 Char"/>
    <w:basedOn w:val="47"/>
    <w:link w:val="41"/>
    <w:semiHidden/>
    <w:qFormat/>
    <w:locked/>
    <w:uiPriority w:val="99"/>
    <w:rPr>
      <w:rFonts w:cs="Times New Roman"/>
      <w:sz w:val="21"/>
      <w:szCs w:val="21"/>
    </w:rPr>
  </w:style>
  <w:style w:type="character" w:customStyle="1" w:styleId="88">
    <w:name w:val="Title Char"/>
    <w:basedOn w:val="47"/>
    <w:link w:val="43"/>
    <w:qFormat/>
    <w:locked/>
    <w:uiPriority w:val="99"/>
    <w:rPr>
      <w:rFonts w:ascii="Cambria" w:hAnsi="Cambria" w:cs="Cambria"/>
      <w:b/>
      <w:bCs/>
      <w:kern w:val="2"/>
      <w:sz w:val="32"/>
      <w:szCs w:val="32"/>
    </w:rPr>
  </w:style>
  <w:style w:type="character" w:customStyle="1" w:styleId="89">
    <w:name w:val="Comment Subject Char"/>
    <w:basedOn w:val="74"/>
    <w:link w:val="44"/>
    <w:qFormat/>
    <w:locked/>
    <w:uiPriority w:val="99"/>
    <w:rPr>
      <w:rFonts w:ascii="宋体" w:cs="宋体"/>
      <w:b/>
      <w:bCs/>
      <w:sz w:val="28"/>
      <w:szCs w:val="28"/>
    </w:rPr>
  </w:style>
  <w:style w:type="character" w:customStyle="1" w:styleId="90">
    <w:name w:val="Body Text First Indent 2 Char"/>
    <w:basedOn w:val="77"/>
    <w:link w:val="2"/>
    <w:semiHidden/>
    <w:qFormat/>
    <w:locked/>
    <w:uiPriority w:val="99"/>
  </w:style>
  <w:style w:type="character" w:customStyle="1" w:styleId="91">
    <w:name w:val="批注文字 Char Char"/>
    <w:qFormat/>
    <w:uiPriority w:val="99"/>
    <w:rPr>
      <w:rFonts w:ascii="宋体" w:hAnsi="Times New Roman" w:eastAsia="宋体"/>
      <w:sz w:val="20"/>
    </w:rPr>
  </w:style>
  <w:style w:type="character" w:customStyle="1" w:styleId="92">
    <w:name w:val="标题 1 Char Char"/>
    <w:qFormat/>
    <w:locked/>
    <w:uiPriority w:val="99"/>
    <w:rPr>
      <w:rFonts w:eastAsia="宋体"/>
      <w:b/>
      <w:kern w:val="44"/>
      <w:sz w:val="44"/>
      <w:lang w:val="en-US" w:eastAsia="zh-CN"/>
    </w:rPr>
  </w:style>
  <w:style w:type="character" w:customStyle="1" w:styleId="93">
    <w:name w:val="Char Char"/>
    <w:qFormat/>
    <w:uiPriority w:val="99"/>
    <w:rPr>
      <w:rFonts w:ascii="Arial" w:hAnsi="Arial" w:eastAsia="黑体"/>
      <w:b/>
      <w:kern w:val="2"/>
      <w:sz w:val="32"/>
      <w:lang w:val="en-US" w:eastAsia="zh-CN"/>
    </w:rPr>
  </w:style>
  <w:style w:type="character" w:customStyle="1" w:styleId="94">
    <w:name w:val="明显参考1"/>
    <w:qFormat/>
    <w:uiPriority w:val="99"/>
    <w:rPr>
      <w:b/>
      <w:smallCaps/>
      <w:color w:val="auto"/>
      <w:spacing w:val="5"/>
      <w:u w:val="single"/>
    </w:rPr>
  </w:style>
  <w:style w:type="character" w:customStyle="1" w:styleId="95">
    <w:name w:val="明显强调1"/>
    <w:qFormat/>
    <w:uiPriority w:val="99"/>
    <w:rPr>
      <w:b/>
      <w:i/>
      <w:color w:val="4F81BD"/>
    </w:rPr>
  </w:style>
  <w:style w:type="character" w:customStyle="1" w:styleId="96">
    <w:name w:val="文档结构图 Char1"/>
    <w:qFormat/>
    <w:uiPriority w:val="99"/>
    <w:rPr>
      <w:rFonts w:ascii="宋体"/>
      <w:kern w:val="2"/>
      <w:sz w:val="18"/>
    </w:rPr>
  </w:style>
  <w:style w:type="character" w:customStyle="1" w:styleId="97">
    <w:name w:val="日期 Char"/>
    <w:qFormat/>
    <w:uiPriority w:val="99"/>
    <w:rPr>
      <w:rFonts w:ascii="仿宋_GB2312" w:eastAsia="仿宋_GB2312"/>
      <w:kern w:val="2"/>
      <w:sz w:val="30"/>
      <w:lang w:val="en-US" w:eastAsia="zh-CN"/>
    </w:rPr>
  </w:style>
  <w:style w:type="character" w:customStyle="1" w:styleId="98">
    <w:name w:val="textcontents"/>
    <w:qFormat/>
    <w:uiPriority w:val="99"/>
  </w:style>
  <w:style w:type="character" w:customStyle="1" w:styleId="99">
    <w:name w:val="引用 Char"/>
    <w:link w:val="100"/>
    <w:qFormat/>
    <w:locked/>
    <w:uiPriority w:val="99"/>
    <w:rPr>
      <w:i/>
      <w:color w:val="000000"/>
      <w:kern w:val="2"/>
      <w:sz w:val="22"/>
    </w:rPr>
  </w:style>
  <w:style w:type="paragraph" w:customStyle="1" w:styleId="100">
    <w:name w:val="引用1"/>
    <w:basedOn w:val="1"/>
    <w:next w:val="1"/>
    <w:link w:val="99"/>
    <w:qFormat/>
    <w:uiPriority w:val="99"/>
    <w:rPr>
      <w:i/>
      <w:color w:val="000000"/>
      <w:sz w:val="22"/>
      <w:szCs w:val="20"/>
    </w:rPr>
  </w:style>
  <w:style w:type="character" w:customStyle="1" w:styleId="101">
    <w:name w:val="日期 Char1"/>
    <w:qFormat/>
    <w:uiPriority w:val="99"/>
    <w:rPr>
      <w:kern w:val="2"/>
      <w:sz w:val="22"/>
    </w:rPr>
  </w:style>
  <w:style w:type="character" w:customStyle="1" w:styleId="102">
    <w:name w:val="不明显参考1"/>
    <w:qFormat/>
    <w:uiPriority w:val="99"/>
    <w:rPr>
      <w:smallCaps/>
      <w:color w:val="auto"/>
      <w:u w:val="single"/>
    </w:rPr>
  </w:style>
  <w:style w:type="character" w:customStyle="1" w:styleId="103">
    <w:name w:val="批注框文本 Char1"/>
    <w:qFormat/>
    <w:uiPriority w:val="99"/>
    <w:rPr>
      <w:kern w:val="2"/>
      <w:sz w:val="18"/>
    </w:rPr>
  </w:style>
  <w:style w:type="character" w:customStyle="1" w:styleId="104">
    <w:name w:val="不明显强调1"/>
    <w:qFormat/>
    <w:uiPriority w:val="99"/>
    <w:rPr>
      <w:i/>
      <w:color w:val="808080"/>
    </w:rPr>
  </w:style>
  <w:style w:type="character" w:customStyle="1" w:styleId="105">
    <w:name w:val="标题4 Char Char"/>
    <w:link w:val="106"/>
    <w:qFormat/>
    <w:locked/>
    <w:uiPriority w:val="99"/>
    <w:rPr>
      <w:rFonts w:ascii="Arial" w:hAnsi="Arial"/>
      <w:b/>
      <w:sz w:val="32"/>
    </w:rPr>
  </w:style>
  <w:style w:type="paragraph" w:customStyle="1" w:styleId="106">
    <w:name w:val="标题4"/>
    <w:basedOn w:val="7"/>
    <w:next w:val="22"/>
    <w:link w:val="105"/>
    <w:qFormat/>
    <w:uiPriority w:val="99"/>
    <w:pPr>
      <w:spacing w:line="413" w:lineRule="auto"/>
    </w:pPr>
    <w:rPr>
      <w:rFonts w:eastAsia="宋体" w:cs="Times New Roman"/>
      <w:bCs w:val="0"/>
      <w:kern w:val="0"/>
      <w:szCs w:val="20"/>
    </w:rPr>
  </w:style>
  <w:style w:type="character" w:customStyle="1" w:styleId="107">
    <w:name w:val="书籍标题1"/>
    <w:qFormat/>
    <w:uiPriority w:val="99"/>
    <w:rPr>
      <w:b/>
      <w:smallCaps/>
      <w:spacing w:val="5"/>
    </w:rPr>
  </w:style>
  <w:style w:type="character" w:customStyle="1" w:styleId="108">
    <w:name w:val="bigfont"/>
    <w:basedOn w:val="47"/>
    <w:qFormat/>
    <w:uiPriority w:val="99"/>
    <w:rPr>
      <w:rFonts w:cs="Times New Roman"/>
    </w:rPr>
  </w:style>
  <w:style w:type="character" w:customStyle="1" w:styleId="109">
    <w:name w:val="news_title1"/>
    <w:qFormat/>
    <w:uiPriority w:val="99"/>
    <w:rPr>
      <w:rFonts w:ascii="宋体" w:hAnsi="宋体" w:eastAsia="宋体"/>
      <w:b/>
      <w:color w:val="000000"/>
      <w:sz w:val="36"/>
      <w:u w:val="none"/>
    </w:rPr>
  </w:style>
  <w:style w:type="character" w:customStyle="1" w:styleId="110">
    <w:name w:val="标题5 Char Char"/>
    <w:link w:val="111"/>
    <w:qFormat/>
    <w:locked/>
    <w:uiPriority w:val="99"/>
    <w:rPr>
      <w:rFonts w:ascii="Arial" w:hAnsi="Arial"/>
      <w:b/>
      <w:sz w:val="32"/>
    </w:rPr>
  </w:style>
  <w:style w:type="paragraph" w:customStyle="1" w:styleId="111">
    <w:name w:val="标题5"/>
    <w:basedOn w:val="8"/>
    <w:link w:val="110"/>
    <w:qFormat/>
    <w:uiPriority w:val="99"/>
    <w:pPr>
      <w:spacing w:line="413" w:lineRule="auto"/>
    </w:pPr>
    <w:rPr>
      <w:rFonts w:ascii="Arial" w:hAnsi="Arial"/>
      <w:bCs w:val="0"/>
      <w:kern w:val="0"/>
      <w:szCs w:val="20"/>
    </w:rPr>
  </w:style>
  <w:style w:type="character" w:customStyle="1" w:styleId="112">
    <w:name w:val="font161"/>
    <w:qFormat/>
    <w:uiPriority w:val="99"/>
    <w:rPr>
      <w:b/>
      <w:sz w:val="32"/>
    </w:rPr>
  </w:style>
  <w:style w:type="character" w:customStyle="1" w:styleId="113">
    <w:name w:val="标题 2 Char Char"/>
    <w:qFormat/>
    <w:locked/>
    <w:uiPriority w:val="99"/>
    <w:rPr>
      <w:rFonts w:ascii="Arial" w:hAnsi="Arial" w:eastAsia="黑体"/>
      <w:b/>
      <w:kern w:val="2"/>
      <w:sz w:val="32"/>
      <w:lang w:val="en-US" w:eastAsia="zh-CN"/>
    </w:rPr>
  </w:style>
  <w:style w:type="character" w:customStyle="1" w:styleId="114">
    <w:name w:val="Char Char1"/>
    <w:qFormat/>
    <w:uiPriority w:val="99"/>
    <w:rPr>
      <w:rFonts w:ascii="宋体" w:hAnsi="Times New Roman"/>
      <w:sz w:val="28"/>
    </w:rPr>
  </w:style>
  <w:style w:type="character" w:customStyle="1" w:styleId="115">
    <w:name w:val="明显引用 Char"/>
    <w:link w:val="116"/>
    <w:qFormat/>
    <w:locked/>
    <w:uiPriority w:val="99"/>
    <w:rPr>
      <w:b/>
      <w:i/>
      <w:color w:val="4F81BD"/>
      <w:kern w:val="2"/>
      <w:sz w:val="22"/>
    </w:rPr>
  </w:style>
  <w:style w:type="paragraph" w:customStyle="1" w:styleId="116">
    <w:name w:val="明显引用1"/>
    <w:basedOn w:val="1"/>
    <w:next w:val="1"/>
    <w:link w:val="115"/>
    <w:qFormat/>
    <w:uiPriority w:val="99"/>
    <w:pPr>
      <w:pBdr>
        <w:bottom w:val="single" w:color="4F81BD" w:sz="4" w:space="4"/>
      </w:pBdr>
      <w:spacing w:before="200" w:after="280"/>
      <w:ind w:left="936" w:right="936"/>
    </w:pPr>
    <w:rPr>
      <w:b/>
      <w:i/>
      <w:color w:val="4F81BD"/>
      <w:sz w:val="22"/>
      <w:szCs w:val="20"/>
    </w:rPr>
  </w:style>
  <w:style w:type="character" w:customStyle="1" w:styleId="117">
    <w:name w:val="批注主题 Char1"/>
    <w:qFormat/>
    <w:uiPriority w:val="99"/>
    <w:rPr>
      <w:b/>
      <w:kern w:val="2"/>
      <w:sz w:val="22"/>
    </w:rPr>
  </w:style>
  <w:style w:type="character" w:customStyle="1" w:styleId="118">
    <w:name w:val="正文文本 Char1"/>
    <w:qFormat/>
    <w:uiPriority w:val="99"/>
    <w:rPr>
      <w:kern w:val="2"/>
      <w:sz w:val="22"/>
    </w:rPr>
  </w:style>
  <w:style w:type="paragraph" w:customStyle="1" w:styleId="119">
    <w:name w:val="默认段落字体 Para Char Char Char Char"/>
    <w:basedOn w:val="1"/>
    <w:qFormat/>
    <w:uiPriority w:val="99"/>
  </w:style>
  <w:style w:type="paragraph" w:customStyle="1" w:styleId="120">
    <w:name w:val="Char Char Char Char Char Char Char Char Char Char Char Char Char"/>
    <w:basedOn w:val="1"/>
    <w:qFormat/>
    <w:uiPriority w:val="99"/>
  </w:style>
  <w:style w:type="paragraph" w:customStyle="1" w:styleId="121">
    <w:name w:val="样式 标题 3 + (中文) 黑体 小四 非加粗 段前: 7.8 磅 段后: 0 磅 行距: 固定值 20 磅"/>
    <w:basedOn w:val="8"/>
    <w:qFormat/>
    <w:uiPriority w:val="99"/>
    <w:pPr>
      <w:spacing w:before="0" w:after="0" w:line="400" w:lineRule="exact"/>
    </w:pPr>
    <w:rPr>
      <w:rFonts w:eastAsia="黑体"/>
      <w:b w:val="0"/>
      <w:bCs w:val="0"/>
      <w:sz w:val="24"/>
      <w:szCs w:val="24"/>
    </w:rPr>
  </w:style>
  <w:style w:type="paragraph" w:customStyle="1" w:styleId="122">
    <w:name w:val="表格文字"/>
    <w:basedOn w:val="1"/>
    <w:qFormat/>
    <w:uiPriority w:val="99"/>
    <w:pPr>
      <w:adjustRightInd w:val="0"/>
      <w:spacing w:line="420" w:lineRule="atLeast"/>
      <w:jc w:val="left"/>
      <w:textAlignment w:val="baseline"/>
    </w:pPr>
    <w:rPr>
      <w:kern w:val="0"/>
    </w:rPr>
  </w:style>
  <w:style w:type="paragraph" w:customStyle="1" w:styleId="123">
    <w:name w:val="修订1"/>
    <w:qFormat/>
    <w:uiPriority w:val="99"/>
    <w:rPr>
      <w:rFonts w:ascii="Times New Roman" w:hAnsi="Times New Roman" w:eastAsia="宋体" w:cs="Times New Roman"/>
      <w:kern w:val="2"/>
      <w:sz w:val="21"/>
      <w:szCs w:val="21"/>
      <w:lang w:val="en-US" w:eastAsia="zh-CN" w:bidi="ar-SA"/>
    </w:rPr>
  </w:style>
  <w:style w:type="paragraph" w:customStyle="1" w:styleId="124">
    <w:name w:val="Char"/>
    <w:basedOn w:val="1"/>
    <w:next w:val="1"/>
    <w:qFormat/>
    <w:uiPriority w:val="99"/>
    <w:pPr>
      <w:widowControl/>
      <w:spacing w:line="360" w:lineRule="auto"/>
      <w:jc w:val="left"/>
    </w:pPr>
    <w:rPr>
      <w:kern w:val="0"/>
      <w:lang w:eastAsia="en-US"/>
    </w:rPr>
  </w:style>
  <w:style w:type="paragraph" w:customStyle="1" w:styleId="125">
    <w:name w:val="样式2"/>
    <w:basedOn w:val="8"/>
    <w:qFormat/>
    <w:uiPriority w:val="99"/>
    <w:pPr>
      <w:spacing w:line="413" w:lineRule="auto"/>
    </w:pPr>
  </w:style>
  <w:style w:type="paragraph" w:customStyle="1" w:styleId="126">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7">
    <w:name w:val="表格"/>
    <w:basedOn w:val="1"/>
    <w:qFormat/>
    <w:uiPriority w:val="99"/>
    <w:pPr>
      <w:jc w:val="center"/>
      <w:textAlignment w:val="center"/>
    </w:pPr>
    <w:rPr>
      <w:rFonts w:ascii="华文细黑" w:hAnsi="华文细黑" w:cs="华文细黑"/>
      <w:kern w:val="0"/>
    </w:rPr>
  </w:style>
  <w:style w:type="paragraph" w:customStyle="1" w:styleId="128">
    <w:name w:val="Blockquote"/>
    <w:basedOn w:val="1"/>
    <w:qFormat/>
    <w:uiPriority w:val="99"/>
    <w:pPr>
      <w:autoSpaceDE w:val="0"/>
      <w:autoSpaceDN w:val="0"/>
      <w:adjustRightInd w:val="0"/>
      <w:spacing w:before="100" w:after="100"/>
      <w:ind w:left="360" w:right="360"/>
      <w:jc w:val="left"/>
    </w:pPr>
    <w:rPr>
      <w:kern w:val="0"/>
      <w:sz w:val="24"/>
      <w:szCs w:val="24"/>
    </w:rPr>
  </w:style>
  <w:style w:type="paragraph" w:customStyle="1" w:styleId="129">
    <w:name w:val="1"/>
    <w:basedOn w:val="1"/>
    <w:next w:val="1"/>
    <w:qFormat/>
    <w:uiPriority w:val="99"/>
  </w:style>
  <w:style w:type="paragraph" w:customStyle="1" w:styleId="130">
    <w:name w:val="样式1"/>
    <w:basedOn w:val="8"/>
    <w:qFormat/>
    <w:uiPriority w:val="99"/>
    <w:pPr>
      <w:spacing w:line="413" w:lineRule="auto"/>
    </w:pPr>
  </w:style>
  <w:style w:type="paragraph" w:customStyle="1" w:styleId="131">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2">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33">
    <w:name w:val="样式4"/>
    <w:basedOn w:val="8"/>
    <w:qFormat/>
    <w:uiPriority w:val="99"/>
    <w:pPr>
      <w:spacing w:line="413" w:lineRule="auto"/>
    </w:pPr>
  </w:style>
  <w:style w:type="paragraph" w:customStyle="1" w:styleId="134">
    <w:name w:val="TOC 标题1"/>
    <w:basedOn w:val="6"/>
    <w:next w:val="1"/>
    <w:qFormat/>
    <w:uiPriority w:val="99"/>
    <w:pPr>
      <w:spacing w:line="576" w:lineRule="auto"/>
      <w:outlineLvl w:val="9"/>
    </w:pPr>
    <w:rPr>
      <w:rFonts w:ascii="Calibri" w:hAnsi="Calibri" w:cs="Calibri"/>
    </w:rPr>
  </w:style>
  <w:style w:type="paragraph" w:customStyle="1" w:styleId="135">
    <w:name w:val="样式 标题 1 + 黑体 三号 非加粗 居中 段前: 6 磅 段后: 6 磅 行距: 固定值 20 磅"/>
    <w:basedOn w:val="6"/>
    <w:qFormat/>
    <w:uiPriority w:val="99"/>
    <w:pPr>
      <w:spacing w:before="120" w:after="120" w:line="400" w:lineRule="exact"/>
    </w:pPr>
    <w:rPr>
      <w:rFonts w:ascii="黑体" w:hAnsi="黑体" w:eastAsia="黑体" w:cs="黑体"/>
      <w:b w:val="0"/>
      <w:bCs w:val="0"/>
      <w:sz w:val="32"/>
      <w:szCs w:val="32"/>
    </w:rPr>
  </w:style>
  <w:style w:type="paragraph" w:customStyle="1" w:styleId="136">
    <w:name w:val="样式 标题 2 + Times New Roman 四号 非加粗 段前: 5 磅 段后: 0 磅 行距: 固定值 20..."/>
    <w:basedOn w:val="7"/>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7">
    <w:name w:val="Char Char Char Char Char Char Char Char Char Char Char Char Char1"/>
    <w:basedOn w:val="17"/>
    <w:qFormat/>
    <w:uiPriority w:val="99"/>
    <w:rPr>
      <w:rFonts w:ascii="Tahoma" w:hAnsi="Tahoma" w:cs="Tahoma"/>
      <w:sz w:val="24"/>
      <w:szCs w:val="24"/>
      <w:shd w:val="clear" w:color="auto" w:fill="auto"/>
    </w:rPr>
  </w:style>
  <w:style w:type="paragraph" w:customStyle="1" w:styleId="138">
    <w:name w:val="列出段落1"/>
    <w:basedOn w:val="1"/>
    <w:qFormat/>
    <w:uiPriority w:val="99"/>
    <w:pPr>
      <w:ind w:firstLine="420" w:firstLineChars="200"/>
    </w:pPr>
    <w:rPr>
      <w:rFonts w:ascii="Calibri" w:hAnsi="Calibri" w:cs="Calibri"/>
    </w:rPr>
  </w:style>
  <w:style w:type="paragraph" w:customStyle="1" w:styleId="139">
    <w:name w:val="Char1"/>
    <w:basedOn w:val="1"/>
    <w:qFormat/>
    <w:uiPriority w:val="99"/>
    <w:rPr>
      <w:rFonts w:ascii="Tahoma" w:hAnsi="Tahoma" w:cs="Tahoma"/>
      <w:sz w:val="24"/>
      <w:szCs w:val="24"/>
    </w:rPr>
  </w:style>
  <w:style w:type="paragraph" w:customStyle="1" w:styleId="14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41">
    <w:name w:val="样式3"/>
    <w:basedOn w:val="8"/>
    <w:qFormat/>
    <w:uiPriority w:val="99"/>
    <w:pPr>
      <w:spacing w:line="413" w:lineRule="auto"/>
    </w:pPr>
  </w:style>
  <w:style w:type="paragraph" w:customStyle="1" w:styleId="142">
    <w:name w:val="正文1"/>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43">
    <w:name w:val="列出段落2"/>
    <w:basedOn w:val="1"/>
    <w:qFormat/>
    <w:uiPriority w:val="99"/>
    <w:pPr>
      <w:ind w:firstLine="200" w:firstLineChars="200"/>
    </w:pPr>
  </w:style>
  <w:style w:type="paragraph" w:customStyle="1" w:styleId="144">
    <w:name w:val="p0"/>
    <w:basedOn w:val="1"/>
    <w:qFormat/>
    <w:uiPriority w:val="99"/>
    <w:pPr>
      <w:widowControl/>
    </w:pPr>
    <w:rPr>
      <w:kern w:val="0"/>
    </w:rPr>
  </w:style>
  <w:style w:type="paragraph" w:customStyle="1" w:styleId="145">
    <w:name w:val="节标题"/>
    <w:basedOn w:val="1"/>
    <w:next w:val="1"/>
    <w:qFormat/>
    <w:uiPriority w:val="99"/>
    <w:pPr>
      <w:widowControl/>
      <w:spacing w:line="289" w:lineRule="atLeast"/>
      <w:jc w:val="center"/>
      <w:textAlignment w:val="baseline"/>
    </w:pPr>
    <w:rPr>
      <w:color w:val="000000"/>
      <w:kern w:val="0"/>
      <w:sz w:val="28"/>
      <w:szCs w:val="20"/>
    </w:rPr>
  </w:style>
  <w:style w:type="paragraph" w:customStyle="1" w:styleId="146">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147">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48">
    <w:name w:val="WPSOffice手动目录 3"/>
    <w:qFormat/>
    <w:uiPriority w:val="99"/>
    <w:pPr>
      <w:ind w:left="400" w:leftChars="400"/>
    </w:pPr>
    <w:rPr>
      <w:rFonts w:ascii="Times New Roman" w:hAnsi="Times New Roman" w:eastAsia="宋体" w:cs="Times New Roman"/>
      <w:kern w:val="0"/>
      <w:sz w:val="20"/>
      <w:szCs w:val="20"/>
      <w:lang w:val="en-US" w:eastAsia="zh-CN" w:bidi="ar-SA"/>
    </w:rPr>
  </w:style>
  <w:style w:type="character" w:customStyle="1" w:styleId="149">
    <w:name w:val="font12"/>
    <w:basedOn w:val="47"/>
    <w:qFormat/>
    <w:uiPriority w:val="0"/>
    <w:rPr>
      <w:rFonts w:hint="eastAsia" w:ascii="仿宋" w:hAnsi="仿宋" w:eastAsia="仿宋" w:cs="仿宋"/>
      <w:b/>
      <w:color w:val="000000"/>
      <w:sz w:val="32"/>
      <w:szCs w:val="32"/>
      <w:u w:val="none"/>
    </w:rPr>
  </w:style>
  <w:style w:type="paragraph" w:customStyle="1" w:styleId="150">
    <w:name w:val="Char1 Char Char Char"/>
    <w:basedOn w:val="1"/>
    <w:qFormat/>
    <w:uiPriority w:val="0"/>
    <w:pPr>
      <w:widowControl/>
      <w:spacing w:after="160" w:line="240" w:lineRule="exact"/>
      <w:jc w:val="left"/>
    </w:pPr>
    <w:rPr>
      <w:rFonts w:ascii="Verdana" w:hAnsi="Verdana"/>
      <w:kern w:val="0"/>
      <w:sz w:val="30"/>
      <w:szCs w:val="30"/>
      <w:lang w:eastAsia="en-US"/>
    </w:rPr>
  </w:style>
  <w:style w:type="character" w:customStyle="1" w:styleId="151">
    <w:name w:val="font101"/>
    <w:basedOn w:val="47"/>
    <w:qFormat/>
    <w:uiPriority w:val="0"/>
    <w:rPr>
      <w:rFonts w:hint="default" w:ascii="Times New Roman" w:hAnsi="Times New Roman" w:cs="Times New Roman"/>
      <w:color w:val="000000"/>
      <w:sz w:val="24"/>
      <w:szCs w:val="24"/>
      <w:u w:val="none"/>
    </w:rPr>
  </w:style>
  <w:style w:type="character" w:customStyle="1" w:styleId="152">
    <w:name w:val="font111"/>
    <w:basedOn w:val="47"/>
    <w:qFormat/>
    <w:uiPriority w:val="0"/>
    <w:rPr>
      <w:rFonts w:ascii="仿宋_GB2312" w:eastAsia="仿宋_GB2312" w:cs="仿宋_GB2312"/>
      <w:color w:val="000000"/>
      <w:sz w:val="24"/>
      <w:szCs w:val="24"/>
      <w:u w:val="none"/>
    </w:rPr>
  </w:style>
  <w:style w:type="character" w:customStyle="1" w:styleId="153">
    <w:name w:val="font91"/>
    <w:basedOn w:val="47"/>
    <w:qFormat/>
    <w:uiPriority w:val="0"/>
    <w:rPr>
      <w:rFonts w:hint="eastAsia" w:ascii="仿宋" w:hAnsi="仿宋" w:eastAsia="仿宋" w:cs="仿宋"/>
      <w:color w:val="000000"/>
      <w:sz w:val="24"/>
      <w:szCs w:val="24"/>
      <w:u w:val="single"/>
    </w:rPr>
  </w:style>
  <w:style w:type="character" w:customStyle="1" w:styleId="154">
    <w:name w:val="font81"/>
    <w:basedOn w:val="47"/>
    <w:qFormat/>
    <w:uiPriority w:val="0"/>
    <w:rPr>
      <w:rFonts w:hint="eastAsia" w:ascii="仿宋" w:hAnsi="仿宋" w:eastAsia="仿宋" w:cs="仿宋"/>
      <w:color w:val="000000"/>
      <w:sz w:val="24"/>
      <w:szCs w:val="24"/>
      <w:u w:val="none"/>
    </w:rPr>
  </w:style>
  <w:style w:type="character" w:customStyle="1" w:styleId="155">
    <w:name w:val="font61"/>
    <w:basedOn w:val="47"/>
    <w:qFormat/>
    <w:uiPriority w:val="0"/>
    <w:rPr>
      <w:rFonts w:hint="eastAsia" w:ascii="仿宋" w:hAnsi="仿宋" w:eastAsia="仿宋" w:cs="仿宋"/>
      <w:b/>
      <w:color w:val="000000"/>
      <w:sz w:val="32"/>
      <w:szCs w:val="32"/>
      <w:u w:val="none"/>
    </w:rPr>
  </w:style>
  <w:style w:type="character" w:customStyle="1" w:styleId="156">
    <w:name w:val="font21"/>
    <w:basedOn w:val="47"/>
    <w:qFormat/>
    <w:uiPriority w:val="0"/>
    <w:rPr>
      <w:rFonts w:hint="eastAsia" w:ascii="仿宋" w:hAnsi="仿宋" w:eastAsia="仿宋" w:cs="仿宋"/>
      <w:color w:val="000000"/>
      <w:sz w:val="24"/>
      <w:szCs w:val="24"/>
      <w:u w:val="none"/>
    </w:rPr>
  </w:style>
  <w:style w:type="paragraph" w:customStyle="1" w:styleId="157">
    <w:name w:val="纯文本1"/>
    <w:basedOn w:val="1"/>
    <w:qFormat/>
    <w:uiPriority w:val="0"/>
    <w:rPr>
      <w:rFonts w:ascii="宋体"/>
      <w:color w:val="000000"/>
    </w:rPr>
  </w:style>
  <w:style w:type="character" w:customStyle="1" w:styleId="158">
    <w:name w:val="status"/>
    <w:basedOn w:val="47"/>
    <w:qFormat/>
    <w:uiPriority w:val="0"/>
    <w:rPr>
      <w:color w:val="0776DD"/>
    </w:rPr>
  </w:style>
  <w:style w:type="character" w:customStyle="1" w:styleId="159">
    <w:name w:val="time"/>
    <w:basedOn w:val="47"/>
    <w:qFormat/>
    <w:uiPriority w:val="0"/>
  </w:style>
  <w:style w:type="paragraph" w:customStyle="1" w:styleId="160">
    <w:name w:val="Table Paragraph"/>
    <w:basedOn w:val="1"/>
    <w:qFormat/>
    <w:uiPriority w:val="1"/>
    <w:rPr>
      <w:rFonts w:ascii="宋体" w:hAnsi="宋体" w:eastAsia="宋体" w:cs="宋体"/>
      <w:lang w:val="zh-CN" w:eastAsia="zh-CN" w:bidi="zh-CN"/>
    </w:rPr>
  </w:style>
  <w:style w:type="character" w:customStyle="1" w:styleId="161">
    <w:name w:val="15"/>
    <w:basedOn w:val="47"/>
    <w:qFormat/>
    <w:uiPriority w:val="0"/>
    <w:rPr>
      <w:rFonts w:hint="default" w:ascii="Times New Roman" w:hAnsi="Times New Roman" w:cs="Times New Roman"/>
    </w:rPr>
  </w:style>
  <w:style w:type="character" w:customStyle="1" w:styleId="162">
    <w:name w:val="10"/>
    <w:basedOn w:val="4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53</Pages>
  <Words>11306</Words>
  <Characters>12615</Characters>
  <Lines>1</Lines>
  <Paragraphs>1</Paragraphs>
  <TotalTime>5</TotalTime>
  <ScaleCrop>false</ScaleCrop>
  <LinksUpToDate>false</LinksUpToDate>
  <CharactersWithSpaces>12756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2017-05-18T16:09:00Z</dcterms:created>
  <dc:creator>微软用户</dc:creator>
  <cp:lastModifiedBy>NTKO</cp:lastModifiedBy>
  <cp:lastPrinted>2025-04-11T07:13:00Z</cp:lastPrinted>
  <dcterms:modified xsi:type="dcterms:W3CDTF">2026-02-27T03:13:16Z</dcterms:modified>
  <dc:title>创业园小区9#楼工程施工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17C6EA639D8A499E924CDBCDB5CEADA1_13</vt:lpwstr>
  </property>
  <property fmtid="{D5CDD505-2E9C-101B-9397-08002B2CF9AE}" pid="4" name="KSOTemplateDocerSaveRecord">
    <vt:lpwstr>eyJoZGlkIjoiMDk2MmQyNTdjMmYyM2I4Njk3YjVkOTliYjhhNDZiYTEiLCJ1c2VySWQiOiI0MDkyMjI1MTkifQ==</vt:lpwstr>
  </property>
</Properties>
</file>