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p>
    <w:p w14:paraId="6B503F7B">
      <w:pPr>
        <w:spacing w:line="720" w:lineRule="auto"/>
        <w:jc w:val="center"/>
        <w:rPr>
          <w:rFonts w:hint="eastAsia" w:ascii="宋体" w:hAnsi="宋体" w:eastAsia="宋体" w:cs="宋体"/>
          <w:b/>
          <w:bCs/>
          <w:color w:val="auto"/>
          <w:spacing w:val="-10"/>
          <w:sz w:val="44"/>
          <w:szCs w:val="44"/>
          <w:highlight w:val="none"/>
          <w:lang w:val="en-US" w:eastAsia="zh-CN"/>
        </w:rPr>
      </w:pPr>
      <w:r>
        <w:rPr>
          <w:rFonts w:hint="eastAsia" w:ascii="宋体" w:hAnsi="宋体" w:cs="宋体"/>
          <w:b/>
          <w:bCs/>
          <w:color w:val="auto"/>
          <w:spacing w:val="-10"/>
          <w:sz w:val="44"/>
          <w:szCs w:val="44"/>
          <w:highlight w:val="none"/>
          <w:lang w:val="en-US" w:eastAsia="zh-CN"/>
        </w:rPr>
        <w:t>滁州市北大街示范区B区工程结构安全性检测服务</w:t>
      </w:r>
    </w:p>
    <w:p w14:paraId="5854E797">
      <w:pPr>
        <w:spacing w:line="400" w:lineRule="atLeast"/>
        <w:jc w:val="center"/>
        <w:rPr>
          <w:rFonts w:hint="eastAsia" w:ascii="宋体" w:hAnsi="宋体" w:eastAsia="宋体" w:cs="宋体"/>
          <w:b/>
          <w:bCs/>
          <w:color w:val="auto"/>
          <w:sz w:val="98"/>
          <w:szCs w:val="98"/>
          <w:highlight w:val="none"/>
        </w:rPr>
      </w:pPr>
    </w:p>
    <w:p w14:paraId="559D772C">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6228E25F">
      <w:pPr>
        <w:spacing w:line="480" w:lineRule="exact"/>
        <w:jc w:val="center"/>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color w:val="auto"/>
          <w:sz w:val="32"/>
          <w:highlight w:val="none"/>
          <w:u w:val="none"/>
          <w:lang w:val="en-US" w:eastAsia="zh-CN"/>
        </w:rPr>
        <w:t>项目编号：HXJY1110001041320001</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5AF03563">
      <w:pPr>
        <w:pStyle w:val="63"/>
        <w:rPr>
          <w:rFonts w:hint="eastAsia" w:ascii="宋体" w:hAnsi="宋体" w:eastAsia="宋体" w:cs="宋体"/>
          <w:b/>
          <w:bCs/>
          <w:color w:val="auto"/>
          <w:sz w:val="32"/>
          <w:szCs w:val="32"/>
          <w:highlight w:val="none"/>
        </w:rPr>
      </w:pPr>
    </w:p>
    <w:p w14:paraId="1072CF9A">
      <w:pPr>
        <w:pStyle w:val="63"/>
        <w:rPr>
          <w:rFonts w:hint="eastAsia" w:ascii="宋体" w:hAnsi="宋体" w:eastAsia="宋体" w:cs="宋体"/>
          <w:b/>
          <w:bCs/>
          <w:color w:val="auto"/>
          <w:sz w:val="32"/>
          <w:szCs w:val="32"/>
          <w:highlight w:val="none"/>
        </w:rPr>
      </w:pPr>
    </w:p>
    <w:p w14:paraId="7CC27A58">
      <w:pPr>
        <w:pStyle w:val="63"/>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44D60B52">
      <w:pPr>
        <w:wordWrap w:val="0"/>
        <w:spacing w:line="800" w:lineRule="exact"/>
        <w:ind w:right="480"/>
        <w:jc w:val="center"/>
        <w:rPr>
          <w:rFonts w:hint="eastAsia" w:ascii="宋体" w:hAnsi="宋体" w:eastAsia="宋体" w:cs="宋体"/>
          <w:color w:val="auto"/>
          <w:sz w:val="32"/>
          <w:highlight w:val="none"/>
        </w:rPr>
      </w:pPr>
      <w:r>
        <w:rPr>
          <w:rFonts w:hint="eastAsia" w:ascii="宋体" w:hAnsi="宋体" w:cs="宋体"/>
          <w:color w:val="auto"/>
          <w:sz w:val="32"/>
          <w:highlight w:val="none"/>
          <w:lang w:val="en-US" w:eastAsia="zh-CN"/>
        </w:rPr>
        <w:t xml:space="preserve">   </w:t>
      </w: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w:t>
      </w:r>
      <w:r>
        <w:rPr>
          <w:rFonts w:hint="eastAsia" w:ascii="宋体" w:cs="宋体"/>
          <w:color w:val="auto"/>
          <w:sz w:val="32"/>
          <w:highlight w:val="none"/>
          <w:u w:val="single"/>
          <w:lang w:val="en-US" w:eastAsia="zh-CN"/>
        </w:rPr>
        <w:t xml:space="preserve">滁州市重点工程建设管理处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6435FF63">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eastAsia="宋体" w:cs="宋体"/>
          <w:color w:val="auto"/>
          <w:sz w:val="32"/>
          <w:highlight w:val="none"/>
        </w:rPr>
        <w:t>年</w:t>
      </w:r>
      <w:r>
        <w:rPr>
          <w:rFonts w:hint="eastAsia" w:ascii="宋体" w:hAnsi="宋体" w:cs="宋体"/>
          <w:color w:val="auto"/>
          <w:sz w:val="32"/>
          <w:highlight w:val="none"/>
          <w:u w:val="single"/>
          <w:lang w:val="en-US" w:eastAsia="zh-CN"/>
        </w:rPr>
        <w:t xml:space="preserve"> 8 </w:t>
      </w:r>
      <w:r>
        <w:rPr>
          <w:rFonts w:hint="eastAsia" w:ascii="宋体" w:hAnsi="宋体" w:eastAsia="宋体" w:cs="宋体"/>
          <w:color w:val="auto"/>
          <w:sz w:val="32"/>
          <w:highlight w:val="none"/>
        </w:rPr>
        <w:t>月</w:t>
      </w:r>
    </w:p>
    <w:p w14:paraId="0DD946A4">
      <w:pPr>
        <w:spacing w:line="800" w:lineRule="exact"/>
        <w:jc w:val="center"/>
        <w:rPr>
          <w:rFonts w:hint="eastAsia" w:ascii="宋体" w:hAnsi="宋体" w:eastAsia="宋体" w:cs="宋体"/>
          <w:color w:val="auto"/>
          <w:sz w:val="32"/>
          <w:highlight w:val="none"/>
        </w:rPr>
      </w:pPr>
    </w:p>
    <w:p w14:paraId="5EF40496">
      <w:pPr>
        <w:rPr>
          <w:rFonts w:hint="eastAsia" w:ascii="宋体" w:hAnsi="宋体" w:eastAsia="宋体" w:cs="宋体"/>
          <w:b/>
          <w:bCs/>
          <w:color w:val="auto"/>
          <w:sz w:val="48"/>
          <w:szCs w:val="48"/>
          <w:highlight w:val="none"/>
        </w:rPr>
      </w:pPr>
    </w:p>
    <w:p w14:paraId="35F77A08">
      <w:pPr>
        <w:spacing w:line="800" w:lineRule="exact"/>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5F0FFD1A">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_Toc16309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A、</w:t>
      </w:r>
      <w:r>
        <w:rPr>
          <w:rFonts w:hint="eastAsia" w:hAnsi="宋体" w:eastAsia="宋体" w:cs="宋体"/>
          <w:color w:val="auto"/>
          <w:highlight w:val="none"/>
          <w:lang w:val="en-US" w:eastAsia="zh-CN"/>
        </w:rPr>
        <w:t>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4CD5E4E4">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_Toc2525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w:t>
      </w:r>
      <w:r>
        <w:rPr>
          <w:rFonts w:hint="eastAsia" w:hAnsi="宋体" w:eastAsia="宋体" w:cs="宋体"/>
          <w:color w:val="auto"/>
          <w:highlight w:val="none"/>
          <w:lang w:val="en-US" w:eastAsia="zh-CN"/>
        </w:rPr>
        <w:t>人</w:t>
      </w:r>
      <w:r>
        <w:rPr>
          <w:rFonts w:hint="eastAsia" w:ascii="宋体" w:hAnsi="宋体" w:eastAsia="宋体" w:cs="宋体"/>
          <w:color w:val="auto"/>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37667979">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_Toc13234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rFonts w:hint="eastAsia" w:ascii="宋体" w:hAnsi="宋体" w:eastAsia="宋体" w:cs="宋体"/>
          <w:color w:val="auto"/>
          <w:highlight w:val="none"/>
        </w:rPr>
        <w:tab/>
      </w:r>
      <w:r>
        <w:rPr>
          <w:rFonts w:hint="eastAsia" w:hAnsi="宋体" w:eastAsia="宋体" w:cs="宋体"/>
          <w:color w:val="auto"/>
          <w:highlight w:val="none"/>
          <w:lang w:val="en-US" w:eastAsia="zh-CN"/>
        </w:rPr>
        <w:t>1</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9</w:t>
      </w:r>
    </w:p>
    <w:p w14:paraId="65E06610">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_Toc3848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rFonts w:hint="eastAsia" w:ascii="宋体" w:hAnsi="宋体" w:eastAsia="宋体" w:cs="宋体"/>
          <w:color w:val="auto"/>
          <w:highlight w:val="none"/>
        </w:rPr>
        <w:tab/>
      </w:r>
      <w:r>
        <w:rPr>
          <w:rFonts w:hint="eastAsia" w:hAnsi="宋体" w:eastAsia="宋体" w:cs="宋体"/>
          <w:color w:val="auto"/>
          <w:highlight w:val="none"/>
          <w:lang w:val="en-US" w:eastAsia="zh-CN"/>
        </w:rPr>
        <w:t>2</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4</w:t>
      </w:r>
    </w:p>
    <w:p w14:paraId="02A250ED">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_Toc30675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rFonts w:hint="eastAsia" w:ascii="宋体" w:hAnsi="宋体" w:eastAsia="宋体" w:cs="宋体"/>
          <w:color w:val="auto"/>
          <w:highlight w:val="none"/>
        </w:rPr>
        <w:tab/>
      </w:r>
      <w:r>
        <w:rPr>
          <w:rFonts w:hint="eastAsia" w:hAnsi="宋体" w:eastAsia="宋体" w:cs="宋体"/>
          <w:color w:val="auto"/>
          <w:highlight w:val="none"/>
          <w:lang w:val="en-US" w:eastAsia="zh-CN"/>
        </w:rPr>
        <w:t>2</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8</w:t>
      </w:r>
    </w:p>
    <w:p w14:paraId="703F52F3">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_Toc31498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rFonts w:hint="eastAsia" w:ascii="宋体" w:hAnsi="宋体" w:eastAsia="宋体" w:cs="宋体"/>
          <w:color w:val="auto"/>
          <w:highlight w:val="none"/>
        </w:rPr>
        <w:tab/>
      </w:r>
      <w:r>
        <w:rPr>
          <w:rFonts w:hint="eastAsia" w:hAnsi="宋体" w:eastAsia="宋体" w:cs="宋体"/>
          <w:color w:val="auto"/>
          <w:highlight w:val="none"/>
          <w:lang w:val="en-US" w:eastAsia="zh-CN"/>
        </w:rPr>
        <w:t>3</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2</w:t>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7DC563D7">
      <w:pPr>
        <w:rPr>
          <w:rFonts w:hint="eastAsia" w:ascii="宋体" w:hAnsi="宋体" w:eastAsia="宋体" w:cs="宋体"/>
          <w:color w:val="auto"/>
          <w:highlight w:val="none"/>
        </w:rPr>
        <w:sectPr>
          <w:footerReference r:id="rId5" w:type="first"/>
          <w:headerReference r:id="rId3" w:type="default"/>
          <w:footerReference r:id="rId4"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6153588B">
      <w:pPr>
        <w:pStyle w:val="6"/>
        <w:keepNext/>
        <w:keepLines/>
        <w:pageBreakBefore w:val="0"/>
        <w:widowControl w:val="0"/>
        <w:numPr>
          <w:ilvl w:val="0"/>
          <w:numId w:val="1"/>
        </w:numPr>
        <w:kinsoku/>
        <w:wordWrap/>
        <w:overflowPunct/>
        <w:topLinePunct w:val="0"/>
        <w:autoSpaceDE/>
        <w:autoSpaceDN/>
        <w:bidi w:val="0"/>
        <w:adjustRightInd/>
        <w:snapToGrid/>
        <w:spacing w:before="160" w:beforeLines="50" w:after="160" w:afterLines="50" w:line="500" w:lineRule="exact"/>
        <w:textAlignment w:val="auto"/>
        <w:rPr>
          <w:rFonts w:hint="eastAsia" w:ascii="华文中宋" w:hAnsi="华文中宋" w:eastAsia="华文中宋" w:cs="Times New Roman"/>
          <w:color w:val="auto"/>
          <w:sz w:val="32"/>
          <w:szCs w:val="48"/>
          <w:highlight w:val="none"/>
          <w:lang w:eastAsia="zh-CN"/>
        </w:rPr>
      </w:pPr>
      <w:bookmarkStart w:id="0" w:name="_Toc16309"/>
      <w:r>
        <w:rPr>
          <w:rFonts w:hint="eastAsia" w:ascii="宋体" w:hAnsi="宋体" w:eastAsia="宋体" w:cs="宋体"/>
          <w:color w:val="auto"/>
          <w:sz w:val="32"/>
          <w:szCs w:val="48"/>
          <w:highlight w:val="none"/>
          <w:lang w:val="en-US" w:eastAsia="zh-CN"/>
        </w:rPr>
        <w:t>招标公告</w:t>
      </w:r>
      <w:r>
        <w:rPr>
          <w:rFonts w:hint="eastAsia" w:ascii="华文中宋" w:hAnsi="华文中宋" w:eastAsia="华文中宋" w:cs="Times New Roman"/>
          <w:color w:val="auto"/>
          <w:sz w:val="32"/>
          <w:szCs w:val="48"/>
          <w:highlight w:val="none"/>
          <w:lang w:eastAsia="zh-CN"/>
        </w:rPr>
        <w:t>（</w:t>
      </w:r>
      <w:r>
        <w:rPr>
          <w:rFonts w:hint="eastAsia" w:ascii="华文中宋" w:hAnsi="华文中宋" w:eastAsia="华文中宋" w:cs="Times New Roman"/>
          <w:color w:val="auto"/>
          <w:sz w:val="32"/>
          <w:szCs w:val="48"/>
          <w:highlight w:val="none"/>
          <w:lang w:val="en-US" w:eastAsia="zh-CN"/>
        </w:rPr>
        <w:t>不见面开标</w:t>
      </w:r>
      <w:r>
        <w:rPr>
          <w:rFonts w:hint="eastAsia" w:ascii="华文中宋" w:hAnsi="华文中宋" w:eastAsia="华文中宋" w:cs="Times New Roman"/>
          <w:color w:val="auto"/>
          <w:sz w:val="32"/>
          <w:szCs w:val="48"/>
          <w:highlight w:val="none"/>
          <w:lang w:eastAsia="zh-CN"/>
        </w:rPr>
        <w:t>）</w:t>
      </w:r>
    </w:p>
    <w:p w14:paraId="0105351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1" w:name="_Toc35393790"/>
      <w:bookmarkStart w:id="2" w:name="_Toc23993"/>
      <w:bookmarkStart w:id="3" w:name="_Toc31215"/>
      <w:bookmarkStart w:id="4" w:name="_Toc35393621"/>
      <w:bookmarkStart w:id="5" w:name="_Toc28359002"/>
      <w:bookmarkStart w:id="6" w:name="_Toc28359079"/>
      <w:bookmarkStart w:id="7" w:name="_Toc11704"/>
      <w:bookmarkStart w:id="8" w:name="_Hlk24379207"/>
      <w:r>
        <w:rPr>
          <w:rFonts w:hint="eastAsia" w:ascii="黑体" w:hAnsi="黑体" w:eastAsia="黑体" w:cs="黑体"/>
          <w:b w:val="0"/>
          <w:color w:val="auto"/>
          <w:sz w:val="28"/>
          <w:szCs w:val="28"/>
          <w:highlight w:val="none"/>
        </w:rPr>
        <w:t>一、项目基本情况</w:t>
      </w:r>
      <w:bookmarkEnd w:id="1"/>
      <w:bookmarkEnd w:id="2"/>
      <w:bookmarkEnd w:id="3"/>
      <w:bookmarkEnd w:id="4"/>
      <w:bookmarkEnd w:id="5"/>
      <w:bookmarkEnd w:id="6"/>
      <w:bookmarkEnd w:id="7"/>
    </w:p>
    <w:bookmarkEnd w:id="8"/>
    <w:p w14:paraId="660E96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ascii="微软雅黑" w:hAnsi="微软雅黑" w:eastAsia="微软雅黑" w:cs="微软雅黑"/>
          <w:i w:val="0"/>
          <w:iCs w:val="0"/>
          <w:caps w:val="0"/>
          <w:color w:val="auto"/>
          <w:spacing w:val="0"/>
          <w:sz w:val="21"/>
          <w:szCs w:val="21"/>
          <w:highlight w:val="none"/>
        </w:rPr>
      </w:pPr>
      <w:bookmarkStart w:id="9" w:name="_Toc28004"/>
      <w:bookmarkStart w:id="10" w:name="_Toc35393791"/>
      <w:bookmarkStart w:id="11" w:name="_Toc28359003"/>
      <w:bookmarkStart w:id="12" w:name="_Toc4879"/>
      <w:bookmarkStart w:id="13" w:name="_Toc28359080"/>
      <w:bookmarkStart w:id="14" w:name="_Toc35393622"/>
      <w:r>
        <w:rPr>
          <w:rFonts w:ascii="仿宋" w:hAnsi="仿宋" w:eastAsia="仿宋" w:cs="仿宋"/>
          <w:i w:val="0"/>
          <w:iCs w:val="0"/>
          <w:caps w:val="0"/>
          <w:color w:val="auto"/>
          <w:spacing w:val="0"/>
          <w:kern w:val="0"/>
          <w:sz w:val="28"/>
          <w:szCs w:val="28"/>
          <w:highlight w:val="none"/>
          <w:shd w:val="clear" w:fill="FFFFFF"/>
          <w:lang w:val="en-US" w:eastAsia="zh-CN" w:bidi="ar"/>
        </w:rPr>
        <w:t>项目编号：</w:t>
      </w:r>
      <w:r>
        <w:rPr>
          <w:rFonts w:hint="default" w:ascii="仿宋" w:hAnsi="仿宋" w:eastAsia="仿宋" w:cs="仿宋"/>
          <w:i w:val="0"/>
          <w:iCs w:val="0"/>
          <w:caps w:val="0"/>
          <w:color w:val="auto"/>
          <w:spacing w:val="0"/>
          <w:kern w:val="0"/>
          <w:sz w:val="28"/>
          <w:szCs w:val="28"/>
          <w:highlight w:val="none"/>
          <w:shd w:val="clear" w:fill="FFFFFF"/>
          <w:lang w:val="en-US" w:eastAsia="zh-CN" w:bidi="ar"/>
        </w:rPr>
        <w:t>HXJY1110001041320001001</w:t>
      </w:r>
      <w:r>
        <w:rPr>
          <w:rFonts w:hint="eastAsia" w:ascii="仿宋" w:hAnsi="仿宋" w:eastAsia="仿宋" w:cs="仿宋"/>
          <w:i w:val="0"/>
          <w:iCs w:val="0"/>
          <w:caps w:val="0"/>
          <w:color w:val="auto"/>
          <w:spacing w:val="0"/>
          <w:kern w:val="0"/>
          <w:sz w:val="28"/>
          <w:szCs w:val="28"/>
          <w:highlight w:val="none"/>
          <w:shd w:val="clear" w:fill="FFFFFF"/>
          <w:lang w:val="en-US" w:eastAsia="zh-CN" w:bidi="ar"/>
        </w:rPr>
        <w:t xml:space="preserve"> </w:t>
      </w:r>
    </w:p>
    <w:p w14:paraId="1E27E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项目名称：滁州市北大街示范区B区工程结构安全性检测服务</w:t>
      </w:r>
    </w:p>
    <w:p w14:paraId="1991B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预算金额：84000.00元</w:t>
      </w:r>
    </w:p>
    <w:p w14:paraId="53CA8B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最高限价：84000.00元</w:t>
      </w:r>
    </w:p>
    <w:p w14:paraId="45CFA0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采购需求：结构安全性检测服务</w:t>
      </w:r>
    </w:p>
    <w:p w14:paraId="1042D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标段（包别）划分：1个标段。</w:t>
      </w:r>
    </w:p>
    <w:p w14:paraId="20F12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15" w:name="_Toc30013"/>
      <w:r>
        <w:rPr>
          <w:rFonts w:hint="eastAsia" w:ascii="黑体" w:hAnsi="黑体" w:eastAsia="黑体" w:cs="黑体"/>
          <w:b w:val="0"/>
          <w:color w:val="auto"/>
          <w:sz w:val="28"/>
          <w:szCs w:val="28"/>
          <w:highlight w:val="none"/>
        </w:rPr>
        <w:t>二、申请人的资格要求：</w:t>
      </w:r>
      <w:bookmarkEnd w:id="9"/>
      <w:bookmarkEnd w:id="10"/>
      <w:bookmarkEnd w:id="11"/>
      <w:bookmarkEnd w:id="12"/>
      <w:bookmarkEnd w:id="13"/>
      <w:bookmarkEnd w:id="14"/>
      <w:bookmarkEnd w:id="15"/>
    </w:p>
    <w:p w14:paraId="4E383B0B">
      <w:pPr>
        <w:pageBreakBefore w:val="0"/>
        <w:kinsoku/>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投标人具有建设工程质量检测机构资质证书（资质类别为综合资质或同时具有主体结构及装饰装修和地基基础的专项资质）</w:t>
      </w:r>
    </w:p>
    <w:p w14:paraId="5E10A993">
      <w:pPr>
        <w:pageBreakBefore w:val="0"/>
        <w:kinsoku/>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别说明：（1）因国家政策调整，依据住房和城乡建设部办公厅关于做好建设工程质量检测机构新旧资质标准过渡工作的通知（建办质函〔2023〕100号），按照原标准取得建设工程质量检测机构资质的检测机构应在2024年7月31日前按新标准申请重新核定。逾期未办理重新核定的检测机构，原资质证书作废。</w:t>
      </w:r>
    </w:p>
    <w:p w14:paraId="6EC510F1">
      <w:pPr>
        <w:pageBreakBefore w:val="0"/>
        <w:kinsoku/>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lang w:val="en-US" w:eastAsia="zh-CN"/>
        </w:rPr>
        <w:sectPr>
          <w:footerReference r:id="rId6" w:type="default"/>
          <w:pgSz w:w="11906" w:h="16838"/>
          <w:pgMar w:top="935" w:right="1106" w:bottom="936" w:left="1259" w:header="680" w:footer="680" w:gutter="0"/>
          <w:pgNumType w:fmt="numberInDash" w:start="1"/>
          <w:cols w:space="0" w:num="1"/>
          <w:docGrid w:type="lines" w:linePitch="318" w:charSpace="0"/>
        </w:sectPr>
      </w:pPr>
      <w:r>
        <w:rPr>
          <w:rFonts w:hint="eastAsia" w:ascii="仿宋" w:hAnsi="仿宋" w:eastAsia="仿宋" w:cs="仿宋"/>
          <w:color w:val="auto"/>
          <w:sz w:val="28"/>
          <w:szCs w:val="28"/>
          <w:highlight w:val="none"/>
          <w:lang w:val="en-US" w:eastAsia="zh-CN"/>
        </w:rPr>
        <w:t>（2）因部分地方部门尚未完成新证全部核定工作，结合实际情况，在此期间，投标人可持有原证书（检测范围包括主体结构工程现场检测和地基基础工程检测）投标，提供原证书的同时还需提供地方部门出具正在办理新证的证明材料（或地方部门出具针对新旧证书过渡的具体文件），以证明其具备相应资</w:t>
      </w:r>
    </w:p>
    <w:p w14:paraId="6DBE0E7D">
      <w:pPr>
        <w:pageBreakBefore w:val="0"/>
        <w:kinsoku/>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质条件。</w:t>
      </w:r>
    </w:p>
    <w:p w14:paraId="28AB2016">
      <w:pPr>
        <w:pageBreakBefore w:val="0"/>
        <w:kinsoku/>
        <w:overflowPunct/>
        <w:topLinePunct w:val="0"/>
        <w:autoSpaceDE/>
        <w:autoSpaceDN/>
        <w:bidi w:val="0"/>
        <w:spacing w:line="360" w:lineRule="auto"/>
        <w:ind w:firstLine="560" w:firstLineChars="200"/>
        <w:rPr>
          <w:rFonts w:hint="default" w:ascii="仿宋" w:hAnsi="仿宋" w:eastAsia="仿宋" w:cs="仿宋"/>
          <w:color w:val="auto"/>
          <w:sz w:val="28"/>
          <w:szCs w:val="28"/>
          <w:highlight w:val="none"/>
          <w:lang w:val="en-US" w:eastAsia="zh-CN"/>
        </w:rPr>
      </w:pPr>
      <w:bookmarkStart w:id="16" w:name="_Toc28359004"/>
      <w:bookmarkStart w:id="17" w:name="_Toc28359081"/>
      <w:r>
        <w:rPr>
          <w:rFonts w:hint="eastAsia" w:ascii="仿宋" w:hAnsi="仿宋" w:eastAsia="仿宋" w:cs="仿宋"/>
          <w:color w:val="auto"/>
          <w:sz w:val="28"/>
          <w:szCs w:val="28"/>
          <w:highlight w:val="none"/>
          <w:lang w:val="en-US" w:eastAsia="zh-CN"/>
        </w:rPr>
        <w:t>2.</w:t>
      </w:r>
      <w:r>
        <w:rPr>
          <w:rFonts w:hint="eastAsia" w:ascii="仿宋" w:hAnsi="仿宋" w:eastAsia="仿宋" w:cs="仿宋_GB2312"/>
          <w:color w:val="auto"/>
          <w:spacing w:val="-6"/>
          <w:sz w:val="32"/>
          <w:szCs w:val="32"/>
          <w:highlight w:val="none"/>
          <w:lang w:val="en-US" w:eastAsia="zh-CN"/>
        </w:rPr>
        <w:t>投标人具有市场监督管理部门颁发的检验检测机构资质认定证书(CMA)；</w:t>
      </w:r>
    </w:p>
    <w:p w14:paraId="4197FC81">
      <w:pPr>
        <w:pageBreakBefore w:val="0"/>
        <w:kinsoku/>
        <w:wordWrap/>
        <w:overflowPunct/>
        <w:topLinePunct w:val="0"/>
        <w:autoSpaceDE/>
        <w:autoSpaceDN/>
        <w:bidi w:val="0"/>
        <w:snapToGrid/>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3.投标人拟派项目负责人具有中级及以上职称证书。</w:t>
      </w:r>
    </w:p>
    <w:p w14:paraId="2AEC28B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eastAsia="zh-CN"/>
        </w:rPr>
      </w:pPr>
      <w:bookmarkStart w:id="18" w:name="_Toc35393623"/>
      <w:bookmarkStart w:id="19" w:name="_Toc35393792"/>
      <w:bookmarkStart w:id="20" w:name="_Toc2689"/>
      <w:bookmarkStart w:id="21" w:name="_Toc28172"/>
      <w:bookmarkStart w:id="22" w:name="_Toc7189"/>
      <w:r>
        <w:rPr>
          <w:rFonts w:hint="eastAsia" w:ascii="黑体" w:hAnsi="黑体" w:eastAsia="黑体" w:cs="黑体"/>
          <w:b w:val="0"/>
          <w:color w:val="auto"/>
          <w:sz w:val="28"/>
          <w:szCs w:val="28"/>
          <w:highlight w:val="none"/>
        </w:rPr>
        <w:t>三、获取</w:t>
      </w:r>
      <w:bookmarkEnd w:id="16"/>
      <w:bookmarkEnd w:id="17"/>
      <w:bookmarkEnd w:id="18"/>
      <w:bookmarkEnd w:id="19"/>
      <w:bookmarkEnd w:id="20"/>
      <w:bookmarkEnd w:id="21"/>
      <w:bookmarkEnd w:id="22"/>
      <w:r>
        <w:rPr>
          <w:rFonts w:hint="eastAsia" w:ascii="黑体" w:hAnsi="黑体" w:eastAsia="黑体" w:cs="黑体"/>
          <w:b w:val="0"/>
          <w:color w:val="auto"/>
          <w:sz w:val="28"/>
          <w:szCs w:val="28"/>
          <w:highlight w:val="none"/>
          <w:lang w:eastAsia="zh-CN"/>
        </w:rPr>
        <w:t>招标文件</w:t>
      </w:r>
    </w:p>
    <w:p w14:paraId="42BFF7A7">
      <w:pPr>
        <w:pageBreakBefore w:val="0"/>
        <w:kinsoku/>
        <w:overflowPunct/>
        <w:topLinePunct w:val="0"/>
        <w:autoSpaceDE/>
        <w:autoSpaceDN/>
        <w:bidi w:val="0"/>
        <w:spacing w:line="24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1.招标文件获取方式：</w:t>
      </w:r>
    </w:p>
    <w:p w14:paraId="7B7E7722">
      <w:pPr>
        <w:pageBreakBefore w:val="0"/>
        <w:kinsoku/>
        <w:overflowPunct/>
        <w:topLinePunct w:val="0"/>
        <w:autoSpaceDE/>
        <w:autoSpaceDN/>
        <w:bidi w:val="0"/>
        <w:spacing w:line="240" w:lineRule="auto"/>
        <w:ind w:firstLine="54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时间：</w:t>
      </w:r>
      <w:r>
        <w:rPr>
          <w:rFonts w:hint="eastAsia" w:ascii="仿宋" w:hAnsi="仿宋" w:eastAsia="仿宋" w:cs="仿宋"/>
          <w:i w:val="0"/>
          <w:iCs w:val="0"/>
          <w:caps w:val="0"/>
          <w:color w:val="auto"/>
          <w:spacing w:val="0"/>
          <w:sz w:val="28"/>
          <w:szCs w:val="28"/>
          <w:highlight w:val="none"/>
          <w:u w:val="none"/>
          <w:shd w:val="clear" w:fill="FFFFFF"/>
          <w:lang w:val="en-US" w:eastAsia="zh-CN"/>
        </w:rPr>
        <w:t>2025</w:t>
      </w:r>
      <w:r>
        <w:rPr>
          <w:rFonts w:hint="eastAsia" w:ascii="仿宋" w:hAnsi="仿宋" w:eastAsia="仿宋" w:cs="仿宋"/>
          <w:i w:val="0"/>
          <w:iCs w:val="0"/>
          <w:caps w:val="0"/>
          <w:color w:val="auto"/>
          <w:spacing w:val="0"/>
          <w:sz w:val="28"/>
          <w:szCs w:val="28"/>
          <w:highlight w:val="none"/>
          <w:u w:val="none"/>
          <w:shd w:val="clear" w:fill="FFFFFF"/>
        </w:rPr>
        <w:t>年</w:t>
      </w:r>
      <w:r>
        <w:rPr>
          <w:rFonts w:hint="eastAsia" w:ascii="仿宋" w:hAnsi="仿宋" w:eastAsia="仿宋" w:cs="仿宋"/>
          <w:i w:val="0"/>
          <w:iCs w:val="0"/>
          <w:caps w:val="0"/>
          <w:color w:val="auto"/>
          <w:spacing w:val="0"/>
          <w:sz w:val="28"/>
          <w:szCs w:val="28"/>
          <w:highlight w:val="none"/>
          <w:u w:val="none"/>
          <w:shd w:val="clear" w:fill="FFFFFF"/>
          <w:lang w:val="en-US" w:eastAsia="zh-CN"/>
        </w:rPr>
        <w:t>8月14</w:t>
      </w:r>
      <w:r>
        <w:rPr>
          <w:rFonts w:hint="eastAsia" w:ascii="仿宋" w:hAnsi="仿宋" w:eastAsia="仿宋" w:cs="仿宋"/>
          <w:i w:val="0"/>
          <w:iCs w:val="0"/>
          <w:caps w:val="0"/>
          <w:color w:val="auto"/>
          <w:spacing w:val="0"/>
          <w:sz w:val="28"/>
          <w:szCs w:val="28"/>
          <w:highlight w:val="none"/>
          <w:u w:val="none"/>
          <w:shd w:val="clear" w:fill="FFFFFF"/>
        </w:rPr>
        <w:t>日至</w:t>
      </w:r>
      <w:r>
        <w:rPr>
          <w:rFonts w:hint="eastAsia" w:ascii="仿宋" w:hAnsi="仿宋" w:eastAsia="仿宋" w:cs="仿宋"/>
          <w:i w:val="0"/>
          <w:iCs w:val="0"/>
          <w:caps w:val="0"/>
          <w:color w:val="auto"/>
          <w:spacing w:val="0"/>
          <w:sz w:val="28"/>
          <w:szCs w:val="28"/>
          <w:highlight w:val="none"/>
          <w:u w:val="none"/>
          <w:shd w:val="clear" w:fill="FFFFFF"/>
          <w:lang w:val="en-US" w:eastAsia="zh-CN"/>
        </w:rPr>
        <w:t>2025</w:t>
      </w:r>
      <w:r>
        <w:rPr>
          <w:rFonts w:hint="eastAsia" w:ascii="仿宋" w:hAnsi="仿宋" w:eastAsia="仿宋" w:cs="仿宋"/>
          <w:i w:val="0"/>
          <w:iCs w:val="0"/>
          <w:caps w:val="0"/>
          <w:color w:val="auto"/>
          <w:spacing w:val="0"/>
          <w:sz w:val="28"/>
          <w:szCs w:val="28"/>
          <w:highlight w:val="none"/>
          <w:u w:val="none"/>
          <w:shd w:val="clear" w:fill="FFFFFF"/>
        </w:rPr>
        <w:t>年</w:t>
      </w:r>
      <w:r>
        <w:rPr>
          <w:rFonts w:hint="eastAsia" w:ascii="仿宋" w:hAnsi="仿宋" w:eastAsia="仿宋" w:cs="仿宋"/>
          <w:i w:val="0"/>
          <w:iCs w:val="0"/>
          <w:caps w:val="0"/>
          <w:color w:val="auto"/>
          <w:spacing w:val="0"/>
          <w:sz w:val="28"/>
          <w:szCs w:val="28"/>
          <w:highlight w:val="none"/>
          <w:u w:val="none"/>
          <w:shd w:val="clear" w:fill="FFFFFF"/>
          <w:lang w:val="en-US" w:eastAsia="zh-CN"/>
        </w:rPr>
        <w:t>8月20</w:t>
      </w:r>
      <w:r>
        <w:rPr>
          <w:rFonts w:hint="eastAsia" w:ascii="仿宋" w:hAnsi="仿宋" w:eastAsia="仿宋" w:cs="仿宋"/>
          <w:i w:val="0"/>
          <w:iCs w:val="0"/>
          <w:caps w:val="0"/>
          <w:color w:val="auto"/>
          <w:spacing w:val="0"/>
          <w:sz w:val="28"/>
          <w:szCs w:val="28"/>
          <w:highlight w:val="none"/>
          <w:u w:val="none"/>
          <w:shd w:val="clear" w:fill="FFFFFF"/>
        </w:rPr>
        <w:t>日</w:t>
      </w:r>
      <w:r>
        <w:rPr>
          <w:rFonts w:hint="eastAsia" w:ascii="仿宋" w:hAnsi="仿宋" w:eastAsia="仿宋" w:cs="仿宋"/>
          <w:i w:val="0"/>
          <w:iCs w:val="0"/>
          <w:caps w:val="0"/>
          <w:color w:val="auto"/>
          <w:spacing w:val="0"/>
          <w:sz w:val="28"/>
          <w:szCs w:val="28"/>
          <w:highlight w:val="none"/>
          <w:u w:val="none"/>
          <w:shd w:val="clear" w:fill="FFFFFF"/>
          <w:lang w:val="en-US" w:eastAsia="zh-CN"/>
        </w:rPr>
        <w:t>9时00分</w:t>
      </w:r>
      <w:r>
        <w:rPr>
          <w:rFonts w:hint="eastAsia" w:ascii="仿宋" w:hAnsi="仿宋" w:eastAsia="仿宋" w:cs="仿宋"/>
          <w:i w:val="0"/>
          <w:iCs w:val="0"/>
          <w:caps w:val="0"/>
          <w:color w:val="auto"/>
          <w:spacing w:val="0"/>
          <w:sz w:val="28"/>
          <w:szCs w:val="28"/>
          <w:highlight w:val="none"/>
          <w:shd w:val="clear" w:fill="FFFFFF"/>
          <w:lang w:val="en-US" w:eastAsia="zh-CN"/>
        </w:rPr>
        <w:t>。</w:t>
      </w:r>
    </w:p>
    <w:p w14:paraId="074FEE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7"/>
        <w:jc w:val="left"/>
        <w:textAlignment w:val="auto"/>
        <w:rPr>
          <w:rFonts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kern w:val="0"/>
          <w:sz w:val="28"/>
          <w:szCs w:val="28"/>
          <w:highlight w:val="none"/>
          <w:shd w:val="clear" w:fill="FFFFFF"/>
          <w:lang w:val="en-US" w:eastAsia="zh-CN" w:bidi="ar"/>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请于公告发布之日起从滁州市城投工程咨询管理有限公司官网（https://www.czctgczx.com/）下载。投标人自行承担因未按要求获取招标文件导致无法上传电子投标文件的风险。</w:t>
      </w:r>
    </w:p>
    <w:p w14:paraId="205D54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3BBAF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（2）投标人登录新点电子交易平台【滁州专区】获取招标文件及其它资料（含澄清和补充说明等）。如在招标文件获取过程中遇到系统问题，请拨打技术支持服务热线 4009280095或者网站首页在线客服。</w:t>
      </w:r>
    </w:p>
    <w:p w14:paraId="27A9C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2.招标文件及相关资料售价：人民币0元/套（含清单控制价、图纸及澄清答疑文件）</w:t>
      </w:r>
      <w:r>
        <w:rPr>
          <w:rFonts w:hint="eastAsia" w:ascii="仿宋" w:hAnsi="仿宋" w:eastAsia="仿宋" w:cs="仿宋"/>
          <w:i w:val="0"/>
          <w:iCs w:val="0"/>
          <w:caps w:val="0"/>
          <w:color w:val="auto"/>
          <w:spacing w:val="0"/>
          <w:kern w:val="0"/>
          <w:sz w:val="28"/>
          <w:szCs w:val="28"/>
          <w:highlight w:val="none"/>
          <w:shd w:val="clear" w:fill="FFFFFF"/>
          <w:lang w:val="en-US" w:eastAsia="zh-CN" w:bidi="ar"/>
        </w:rPr>
        <w:t>。</w:t>
      </w:r>
    </w:p>
    <w:p w14:paraId="09247A6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23" w:name="_Toc28359082"/>
      <w:bookmarkStart w:id="24" w:name="_Toc28359005"/>
      <w:bookmarkStart w:id="25" w:name="_Toc23486"/>
      <w:bookmarkStart w:id="26" w:name="_Toc19139"/>
      <w:bookmarkStart w:id="27" w:name="_Toc35393624"/>
      <w:bookmarkStart w:id="28" w:name="_Toc35393793"/>
      <w:bookmarkStart w:id="29" w:name="_Toc6135"/>
      <w:r>
        <w:rPr>
          <w:rFonts w:hint="eastAsia" w:ascii="黑体" w:hAnsi="黑体" w:eastAsia="黑体" w:cs="黑体"/>
          <w:b w:val="0"/>
          <w:color w:val="auto"/>
          <w:sz w:val="28"/>
          <w:szCs w:val="28"/>
          <w:highlight w:val="none"/>
        </w:rPr>
        <w:t>四、提交投标文件</w:t>
      </w:r>
      <w:bookmarkEnd w:id="23"/>
      <w:bookmarkEnd w:id="24"/>
      <w:r>
        <w:rPr>
          <w:rFonts w:hint="eastAsia" w:ascii="黑体" w:hAnsi="黑体" w:eastAsia="黑体" w:cs="黑体"/>
          <w:b w:val="0"/>
          <w:color w:val="auto"/>
          <w:sz w:val="28"/>
          <w:szCs w:val="28"/>
          <w:highlight w:val="none"/>
        </w:rPr>
        <w:t>截止时间、开标时间和地点</w:t>
      </w:r>
      <w:bookmarkEnd w:id="25"/>
      <w:bookmarkEnd w:id="26"/>
      <w:bookmarkEnd w:id="27"/>
      <w:bookmarkEnd w:id="28"/>
      <w:bookmarkEnd w:id="29"/>
    </w:p>
    <w:p w14:paraId="78DDBB26">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bookmarkStart w:id="30" w:name="_Toc35393625"/>
      <w:bookmarkStart w:id="31" w:name="_Toc35393794"/>
      <w:bookmarkStart w:id="32" w:name="_Toc28359007"/>
      <w:bookmarkStart w:id="33" w:name="_Toc19623"/>
      <w:bookmarkStart w:id="34" w:name="_Toc5602"/>
      <w:bookmarkStart w:id="35" w:name="_Toc28359084"/>
      <w:bookmarkStart w:id="36" w:name="_Toc1913"/>
      <w:r>
        <w:rPr>
          <w:rFonts w:hint="eastAsia" w:ascii="仿宋" w:hAnsi="仿宋" w:eastAsia="仿宋" w:cs="仿宋"/>
          <w:b w:val="0"/>
          <w:bCs w:val="0"/>
          <w:color w:val="auto"/>
          <w:sz w:val="28"/>
          <w:szCs w:val="28"/>
          <w:highlight w:val="none"/>
          <w:lang w:val="en-US" w:eastAsia="zh-CN"/>
        </w:rPr>
        <w:t>1.投标文件递交的截止时间为</w:t>
      </w:r>
      <w:r>
        <w:rPr>
          <w:rFonts w:hint="eastAsia" w:ascii="仿宋" w:hAnsi="仿宋" w:eastAsia="仿宋" w:cs="仿宋"/>
          <w:b w:val="0"/>
          <w:bCs w:val="0"/>
          <w:color w:val="auto"/>
          <w:sz w:val="28"/>
          <w:szCs w:val="28"/>
          <w:highlight w:val="none"/>
          <w:u w:val="single"/>
          <w:lang w:val="en-US" w:eastAsia="zh-CN"/>
        </w:rPr>
        <w:t>2025</w:t>
      </w:r>
      <w:r>
        <w:rPr>
          <w:rFonts w:hint="eastAsia" w:ascii="仿宋" w:hAnsi="仿宋" w:eastAsia="仿宋" w:cs="仿宋"/>
          <w:b w:val="0"/>
          <w:bCs w:val="0"/>
          <w:color w:val="auto"/>
          <w:sz w:val="28"/>
          <w:szCs w:val="28"/>
          <w:highlight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8</w:t>
      </w:r>
      <w:r>
        <w:rPr>
          <w:rFonts w:hint="eastAsia" w:ascii="仿宋" w:hAnsi="仿宋" w:eastAsia="仿宋" w:cs="仿宋"/>
          <w:b w:val="0"/>
          <w:bCs w:val="0"/>
          <w:color w:val="auto"/>
          <w:sz w:val="28"/>
          <w:szCs w:val="28"/>
          <w:highlight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20 </w:t>
      </w:r>
      <w:r>
        <w:rPr>
          <w:rFonts w:hint="eastAsia" w:ascii="仿宋" w:hAnsi="仿宋" w:eastAsia="仿宋" w:cs="仿宋"/>
          <w:b w:val="0"/>
          <w:bCs w:val="0"/>
          <w:color w:val="auto"/>
          <w:sz w:val="28"/>
          <w:szCs w:val="28"/>
          <w:highlight w:val="none"/>
          <w:lang w:val="en-US" w:eastAsia="zh-CN"/>
        </w:rPr>
        <w:t>日</w:t>
      </w:r>
      <w:r>
        <w:rPr>
          <w:rFonts w:hint="eastAsia" w:ascii="仿宋" w:hAnsi="仿宋" w:eastAsia="仿宋" w:cs="仿宋"/>
          <w:b w:val="0"/>
          <w:bCs w:val="0"/>
          <w:color w:val="auto"/>
          <w:sz w:val="28"/>
          <w:szCs w:val="28"/>
          <w:highlight w:val="none"/>
          <w:u w:val="single"/>
          <w:lang w:val="en-US" w:eastAsia="zh-CN"/>
        </w:rPr>
        <w:t>9</w:t>
      </w:r>
      <w:r>
        <w:rPr>
          <w:rFonts w:hint="eastAsia" w:ascii="仿宋" w:hAnsi="仿宋" w:eastAsia="仿宋" w:cs="仿宋"/>
          <w:b w:val="0"/>
          <w:bCs w:val="0"/>
          <w:color w:val="auto"/>
          <w:sz w:val="28"/>
          <w:szCs w:val="28"/>
          <w:highlight w:val="none"/>
          <w:lang w:val="en-US" w:eastAsia="zh-CN"/>
        </w:rPr>
        <w:t>时</w:t>
      </w:r>
      <w:r>
        <w:rPr>
          <w:rFonts w:hint="eastAsia" w:ascii="仿宋" w:hAnsi="仿宋" w:eastAsia="仿宋" w:cs="仿宋"/>
          <w:b w:val="0"/>
          <w:bCs w:val="0"/>
          <w:color w:val="auto"/>
          <w:sz w:val="28"/>
          <w:szCs w:val="28"/>
          <w:highlight w:val="none"/>
          <w:u w:val="single"/>
          <w:lang w:val="en-US" w:eastAsia="zh-CN"/>
        </w:rPr>
        <w:t xml:space="preserve"> 00</w:t>
      </w:r>
      <w:r>
        <w:rPr>
          <w:rFonts w:hint="eastAsia" w:ascii="仿宋" w:hAnsi="仿宋" w:eastAsia="仿宋" w:cs="仿宋"/>
          <w:b w:val="0"/>
          <w:bCs w:val="0"/>
          <w:color w:val="auto"/>
          <w:sz w:val="28"/>
          <w:szCs w:val="28"/>
          <w:highlight w:val="none"/>
          <w:lang w:val="en-US" w:eastAsia="zh-CN"/>
        </w:rPr>
        <w:t>分；</w:t>
      </w:r>
    </w:p>
    <w:p w14:paraId="5E165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网上开标，投标人登录滁州市城投工程咨询有限公司不见面开标系统参与网上开标（网址：http://js.etrading.cn/EpointBidOpening/bidopeninghallaction/hall/login）。</w:t>
      </w:r>
    </w:p>
    <w:p w14:paraId="11B42555">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0" w:lineRule="atLeast"/>
        <w:ind w:left="0" w:right="0" w:firstLine="460"/>
        <w:jc w:val="both"/>
        <w:rPr>
          <w:rFonts w:hint="default"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3.投标人应在投标截止时间之前，登录新点电子交易平台【滁州专区】上传投标文件。</w:t>
      </w:r>
    </w:p>
    <w:p w14:paraId="68E70389">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460"/>
        <w:jc w:val="both"/>
        <w:rPr>
          <w:rFonts w:hint="default"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4.投标人逾期上传投标文件的，电子系统不予受理</w:t>
      </w:r>
      <w:r>
        <w:rPr>
          <w:rFonts w:hint="eastAsia" w:ascii="仿宋" w:hAnsi="仿宋" w:eastAsia="仿宋" w:cs="仿宋"/>
          <w:i w:val="0"/>
          <w:iCs w:val="0"/>
          <w:caps w:val="0"/>
          <w:color w:val="auto"/>
          <w:spacing w:val="0"/>
          <w:kern w:val="0"/>
          <w:sz w:val="28"/>
          <w:szCs w:val="28"/>
          <w:highlight w:val="none"/>
          <w:shd w:val="clear" w:fill="FFFFFF"/>
          <w:lang w:val="en-US" w:eastAsia="zh-CN" w:bidi="ar"/>
        </w:rPr>
        <w:t>。</w:t>
      </w:r>
    </w:p>
    <w:p w14:paraId="39276E8D">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default"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rPr>
        <w:t>五、公告</w:t>
      </w:r>
      <w:bookmarkEnd w:id="30"/>
      <w:bookmarkEnd w:id="31"/>
      <w:bookmarkEnd w:id="32"/>
      <w:bookmarkEnd w:id="33"/>
      <w:bookmarkEnd w:id="34"/>
      <w:bookmarkEnd w:id="35"/>
      <w:bookmarkEnd w:id="36"/>
      <w:r>
        <w:rPr>
          <w:rFonts w:hint="eastAsia" w:ascii="黑体" w:hAnsi="黑体" w:eastAsia="黑体" w:cs="黑体"/>
          <w:b w:val="0"/>
          <w:color w:val="auto"/>
          <w:sz w:val="28"/>
          <w:szCs w:val="28"/>
          <w:highlight w:val="none"/>
          <w:lang w:val="en-US" w:eastAsia="zh-CN"/>
        </w:rPr>
        <w:t>发布期限及媒体</w:t>
      </w:r>
    </w:p>
    <w:p w14:paraId="70ADAEF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自本公告发布之日起至投标截止时间止。</w:t>
      </w:r>
    </w:p>
    <w:p w14:paraId="55C898E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本次招标公告同时在中国招标公共服务平台（http://www.cebpubservice.com/）、安徽省招标投标信息网（www.ahtba.org.cn）、滁州市城投工程咨询管理有限公司（https://www.czctgczx.com/）、滁州市重点工程建设管理处（http://zdc.chuzhou.gov.cn/）上发布。</w:t>
      </w:r>
    </w:p>
    <w:p w14:paraId="25B232D4">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六、投标保证金金额及缴纳账户</w:t>
      </w:r>
    </w:p>
    <w:p w14:paraId="1B54B949">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是否要求投标人提交投标保证金：不要求。</w:t>
      </w:r>
    </w:p>
    <w:p w14:paraId="0369C8D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lang w:val="en-US" w:eastAsia="zh-CN"/>
        </w:rPr>
        <w:t>七</w:t>
      </w:r>
      <w:r>
        <w:rPr>
          <w:rFonts w:hint="eastAsia" w:ascii="黑体" w:hAnsi="黑体" w:eastAsia="黑体" w:cs="黑体"/>
          <w:b w:val="0"/>
          <w:color w:val="auto"/>
          <w:sz w:val="28"/>
          <w:szCs w:val="28"/>
          <w:highlight w:val="none"/>
        </w:rPr>
        <w:t>、对本次招标提出询问，请按以下方式联系</w:t>
      </w:r>
    </w:p>
    <w:p w14:paraId="63CC939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008F993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滁州市重点工程建设管理处</w:t>
      </w:r>
    </w:p>
    <w:p w14:paraId="2676EEB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滁州市琅琊西路建设大厦4楼</w:t>
      </w:r>
    </w:p>
    <w:p w14:paraId="4A947B09">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w:t>
      </w:r>
      <w:bookmarkStart w:id="37" w:name="_Toc28359086"/>
      <w:bookmarkStart w:id="38" w:name="_Toc28359009"/>
      <w:r>
        <w:rPr>
          <w:rFonts w:hint="eastAsia" w:ascii="仿宋" w:hAnsi="仿宋" w:eastAsia="仿宋" w:cs="仿宋"/>
          <w:color w:val="auto"/>
          <w:sz w:val="28"/>
          <w:szCs w:val="28"/>
          <w:highlight w:val="none"/>
          <w:lang w:val="en-US" w:eastAsia="zh-CN"/>
        </w:rPr>
        <w:t xml:space="preserve">张学茜 0550-2599820  </w:t>
      </w:r>
    </w:p>
    <w:p w14:paraId="03EF201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37"/>
      <w:bookmarkEnd w:id="38"/>
    </w:p>
    <w:p w14:paraId="172B815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none"/>
          <w:lang w:val="en-US" w:eastAsia="zh-CN"/>
        </w:rPr>
      </w:pPr>
      <w:bookmarkStart w:id="39" w:name="_Toc28359010"/>
      <w:bookmarkStart w:id="40" w:name="_Toc28359087"/>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none"/>
          <w:lang w:val="en-US" w:eastAsia="zh-CN"/>
        </w:rPr>
        <w:t>滁州市城投工程咨询管理有限公司</w:t>
      </w:r>
    </w:p>
    <w:p w14:paraId="5BA4DE3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滁州市龙蟠大道109号房产商务大厦6楼620</w:t>
      </w:r>
    </w:p>
    <w:p w14:paraId="1CBB9E2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杨韦0550-3519590/18005501210</w:t>
      </w:r>
    </w:p>
    <w:p w14:paraId="0C6F920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bookmarkEnd w:id="39"/>
      <w:bookmarkEnd w:id="40"/>
      <w:r>
        <w:rPr>
          <w:rFonts w:hint="eastAsia" w:ascii="仿宋" w:hAnsi="仿宋" w:eastAsia="仿宋" w:cs="仿宋"/>
          <w:color w:val="auto"/>
          <w:sz w:val="28"/>
          <w:szCs w:val="28"/>
          <w:highlight w:val="none"/>
          <w:lang w:val="en-US" w:eastAsia="zh-CN"/>
        </w:rPr>
        <w:t>监督部门：/</w:t>
      </w:r>
    </w:p>
    <w:p w14:paraId="03C87A4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p>
    <w:p w14:paraId="2B50E2F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w:t>
      </w:r>
    </w:p>
    <w:p w14:paraId="70CCC2F2">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default"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w:t>
      </w:r>
      <w:r>
        <w:rPr>
          <w:rFonts w:hint="eastAsia" w:ascii="黑体" w:hAnsi="黑体" w:eastAsia="黑体" w:cs="黑体"/>
          <w:b w:val="0"/>
          <w:color w:val="auto"/>
          <w:sz w:val="28"/>
          <w:szCs w:val="28"/>
          <w:highlight w:val="none"/>
        </w:rPr>
        <w:t>、</w:t>
      </w:r>
      <w:r>
        <w:rPr>
          <w:rFonts w:hint="eastAsia" w:ascii="黑体" w:hAnsi="黑体" w:eastAsia="黑体" w:cs="黑体"/>
          <w:b w:val="0"/>
          <w:color w:val="auto"/>
          <w:sz w:val="28"/>
          <w:szCs w:val="28"/>
          <w:highlight w:val="none"/>
          <w:lang w:val="en-US" w:eastAsia="zh-CN"/>
        </w:rPr>
        <w:t>重要提醒</w:t>
      </w:r>
    </w:p>
    <w:p w14:paraId="0668F3B1">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7A7007A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133A6AC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3.投标人登录新点电子交易平台【滁州专区】获取招标文件及其它资料（含澄清和补充说明等）。如在招标文件获取过程中遇到系统问题，请拨打技术支持服务热线4009280095或者网站首页在线客服。</w:t>
      </w:r>
    </w:p>
    <w:p w14:paraId="7D2A9F0E">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4.本项目采用不见面开标，投标人登录滁州市城投工程咨询有限公司不见面开标系统参与网上开标（网址：http://js.etrading.cn/EpointBidOpening/bidopeninghallaction/hall/login）。</w:t>
      </w:r>
    </w:p>
    <w:p w14:paraId="54D51535">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5.投标人应在投标截止时间之前，登录新点电子交易平台【滁州专区】上传投标文件。投标人逾期上传投标文件的，电子系统不予受理。</w:t>
      </w:r>
    </w:p>
    <w:p w14:paraId="10D18610">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6.投标人的联系人电话(手机)、电子邮箱等通讯方式在开标过程中必须保持畅通，否则因上述原因造成的后果，责任自负。</w:t>
      </w:r>
    </w:p>
    <w:p w14:paraId="62483E0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16147551">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5ECB63B7">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p>
    <w:p w14:paraId="70EF442F">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p>
    <w:p w14:paraId="0F0D63E0">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p>
    <w:p w14:paraId="0477B4B4">
      <w:pPr>
        <w:pStyle w:val="2"/>
        <w:rPr>
          <w:rFonts w:hint="eastAsia"/>
          <w:color w:val="auto"/>
          <w:highlight w:val="none"/>
          <w:lang w:val="en-US" w:eastAsia="zh-CN"/>
        </w:rPr>
      </w:pPr>
    </w:p>
    <w:p w14:paraId="0B7C01C1">
      <w:pPr>
        <w:pStyle w:val="6"/>
        <w:keepNext/>
        <w:keepLines/>
        <w:pageBreakBefore/>
        <w:widowControl w:val="0"/>
        <w:kinsoku/>
        <w:wordWrap/>
        <w:overflowPunct/>
        <w:topLinePunct w:val="0"/>
        <w:autoSpaceDE/>
        <w:autoSpaceDN/>
        <w:bidi w:val="0"/>
        <w:adjustRightInd/>
        <w:snapToGrid/>
        <w:spacing w:before="160" w:beforeLines="50" w:after="160" w:afterLines="50" w:line="520" w:lineRule="exact"/>
        <w:textAlignment w:val="auto"/>
        <w:rPr>
          <w:rFonts w:hint="eastAsia" w:ascii="宋体" w:hAnsi="宋体" w:eastAsia="宋体" w:cs="宋体"/>
          <w:color w:val="auto"/>
          <w:sz w:val="32"/>
          <w:szCs w:val="48"/>
          <w:highlight w:val="none"/>
          <w:lang w:eastAsia="zh-CN"/>
        </w:rPr>
      </w:pPr>
      <w:bookmarkStart w:id="41" w:name="_Toc2525"/>
      <w:r>
        <w:rPr>
          <w:rFonts w:hint="eastAsia" w:ascii="宋体" w:hAnsi="宋体" w:eastAsia="宋体" w:cs="宋体"/>
          <w:color w:val="auto"/>
          <w:sz w:val="32"/>
          <w:szCs w:val="48"/>
          <w:highlight w:val="none"/>
        </w:rPr>
        <w:t>第</w:t>
      </w:r>
      <w:r>
        <w:rPr>
          <w:rFonts w:hint="eastAsia" w:ascii="宋体" w:hAnsi="宋体" w:eastAsia="宋体" w:cs="宋体"/>
          <w:color w:val="auto"/>
          <w:sz w:val="32"/>
          <w:szCs w:val="48"/>
          <w:highlight w:val="none"/>
          <w:lang w:val="en-US" w:eastAsia="zh-CN"/>
        </w:rPr>
        <w:t>一</w:t>
      </w:r>
      <w:r>
        <w:rPr>
          <w:rFonts w:hint="eastAsia" w:ascii="宋体" w:hAnsi="宋体" w:eastAsia="宋体" w:cs="宋体"/>
          <w:color w:val="auto"/>
          <w:sz w:val="32"/>
          <w:szCs w:val="48"/>
          <w:highlight w:val="none"/>
        </w:rPr>
        <w:t>章</w:t>
      </w:r>
      <w:r>
        <w:rPr>
          <w:rFonts w:hint="eastAsia" w:ascii="宋体" w:hAnsi="宋体" w:eastAsia="宋体" w:cs="宋体"/>
          <w:color w:val="auto"/>
          <w:sz w:val="32"/>
          <w:szCs w:val="48"/>
          <w:highlight w:val="none"/>
          <w:lang w:val="en-US" w:eastAsia="zh-CN"/>
        </w:rPr>
        <w:t xml:space="preserve"> </w:t>
      </w:r>
      <w:bookmarkEnd w:id="41"/>
      <w:r>
        <w:rPr>
          <w:rFonts w:hint="eastAsia" w:ascii="宋体" w:hAnsi="宋体" w:eastAsia="宋体" w:cs="宋体"/>
          <w:color w:val="auto"/>
          <w:sz w:val="32"/>
          <w:szCs w:val="48"/>
          <w:highlight w:val="none"/>
          <w:lang w:eastAsia="zh-CN"/>
        </w:rPr>
        <w:t>投标人须知</w:t>
      </w:r>
    </w:p>
    <w:p w14:paraId="11A55803">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0"/>
    </w:p>
    <w:tbl>
      <w:tblPr>
        <w:tblStyle w:val="45"/>
        <w:tblW w:w="10350" w:type="dxa"/>
        <w:tblInd w:w="-473" w:type="dxa"/>
        <w:tblLayout w:type="fixed"/>
        <w:tblCellMar>
          <w:top w:w="0" w:type="dxa"/>
          <w:left w:w="0" w:type="dxa"/>
          <w:bottom w:w="0" w:type="dxa"/>
          <w:right w:w="0" w:type="dxa"/>
        </w:tblCellMar>
      </w:tblPr>
      <w:tblGrid>
        <w:gridCol w:w="795"/>
        <w:gridCol w:w="1905"/>
        <w:gridCol w:w="7650"/>
      </w:tblGrid>
      <w:tr w14:paraId="78EF493F">
        <w:tblPrEx>
          <w:tblCellMar>
            <w:top w:w="0" w:type="dxa"/>
            <w:left w:w="0" w:type="dxa"/>
            <w:bottom w:w="0" w:type="dxa"/>
            <w:right w:w="0" w:type="dxa"/>
          </w:tblCellMar>
        </w:tblPrEx>
        <w:trPr>
          <w:trHeight w:val="474" w:hRule="atLeast"/>
        </w:trPr>
        <w:tc>
          <w:tcPr>
            <w:tcW w:w="795"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905"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c>
          <w:tcPr>
            <w:tcW w:w="7650"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说明与要求</w:t>
            </w:r>
          </w:p>
        </w:tc>
      </w:tr>
      <w:tr w14:paraId="726904A0">
        <w:tblPrEx>
          <w:tblCellMar>
            <w:top w:w="0" w:type="dxa"/>
            <w:left w:w="0" w:type="dxa"/>
            <w:bottom w:w="0" w:type="dxa"/>
            <w:right w:w="0" w:type="dxa"/>
          </w:tblCellMar>
        </w:tblPrEx>
        <w:trPr>
          <w:trHeight w:val="986" w:hRule="atLeast"/>
        </w:trPr>
        <w:tc>
          <w:tcPr>
            <w:tcW w:w="795"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05"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650"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lang w:val="en-US" w:eastAsia="zh-CN"/>
              </w:rPr>
              <w:t>滁州市北大街示范区B区工程结构安全性检测服务</w:t>
            </w:r>
          </w:p>
          <w:p w14:paraId="3D870AD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70D97D96">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建设规模：约84000.00元。</w:t>
            </w:r>
          </w:p>
        </w:tc>
      </w:tr>
      <w:tr w14:paraId="4047B0BA">
        <w:tblPrEx>
          <w:tblCellMar>
            <w:top w:w="0" w:type="dxa"/>
            <w:left w:w="0" w:type="dxa"/>
            <w:bottom w:w="0" w:type="dxa"/>
            <w:right w:w="0" w:type="dxa"/>
          </w:tblCellMar>
        </w:tblPrEx>
        <w:trPr>
          <w:trHeight w:val="255" w:hRule="atLeast"/>
        </w:trPr>
        <w:tc>
          <w:tcPr>
            <w:tcW w:w="795"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05"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650" w:type="dxa"/>
            <w:tcBorders>
              <w:top w:val="single" w:color="auto" w:sz="8" w:space="0"/>
              <w:left w:val="single" w:color="auto" w:sz="4" w:space="0"/>
              <w:bottom w:val="single" w:color="auto" w:sz="8" w:space="0"/>
              <w:right w:val="single" w:color="auto" w:sz="8" w:space="0"/>
            </w:tcBorders>
            <w:vAlign w:val="center"/>
          </w:tcPr>
          <w:p w14:paraId="4163F61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检测鉴定内</w:t>
            </w:r>
            <w:r>
              <w:rPr>
                <w:rFonts w:hint="eastAsia" w:ascii="宋体" w:hAnsi="宋体" w:eastAsia="宋体" w:cs="宋体"/>
                <w:color w:val="auto"/>
                <w:kern w:val="0"/>
                <w:sz w:val="21"/>
                <w:szCs w:val="21"/>
                <w:highlight w:val="none"/>
              </w:rPr>
              <w:t>容包含不限于：外观质量检查，场地及地基基础稳定性评估，结构构件、房屋整体稳定性及变形观测等。结合现有房屋档案资料和调查情况，分析房屋在平时使用下的受力状态，并根据相关规范标准对房屋进行结构安全性鉴定，旨在掌握该建筑物当前的安全状态，为后续的改造和使用提供科学依据。</w:t>
            </w:r>
          </w:p>
          <w:p w14:paraId="023A96E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检测鉴定依据</w:t>
            </w:r>
          </w:p>
          <w:p w14:paraId="3BD94DC7">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《民用建筑可靠性鉴定标准》（GB 50292-2015）；</w:t>
            </w:r>
          </w:p>
          <w:p w14:paraId="240A1987">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《建筑结构检测技术标准》（GB/T 50344-2019）；</w:t>
            </w:r>
          </w:p>
          <w:p w14:paraId="06F396DE">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《混凝土结构工程施工质量验收规范》（GB 50204-2015）；</w:t>
            </w:r>
          </w:p>
          <w:p w14:paraId="759F9C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《混凝土结构现场检测技术标准》（GB/T 50784-2013）；</w:t>
            </w:r>
          </w:p>
          <w:p w14:paraId="6DE1DDCD">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《回弹法检测混凝土抗压强度技术规程》（JGJ/T 23-2011）；</w:t>
            </w:r>
          </w:p>
          <w:p w14:paraId="0DC4E9B9">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《混凝土中钢筋检测技术标准》（JGJ/T 152-2019）；</w:t>
            </w:r>
          </w:p>
          <w:p w14:paraId="631924D9">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现行国家有关建筑和结构设计和施工质量验收规范。</w:t>
            </w:r>
          </w:p>
        </w:tc>
      </w:tr>
      <w:tr w14:paraId="597FACB0">
        <w:tblPrEx>
          <w:tblCellMar>
            <w:top w:w="0" w:type="dxa"/>
            <w:left w:w="0" w:type="dxa"/>
            <w:bottom w:w="0" w:type="dxa"/>
            <w:right w:w="0" w:type="dxa"/>
          </w:tblCellMar>
        </w:tblPrEx>
        <w:trPr>
          <w:trHeight w:val="315" w:hRule="atLeast"/>
        </w:trPr>
        <w:tc>
          <w:tcPr>
            <w:tcW w:w="795"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05"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650" w:type="dxa"/>
            <w:tcBorders>
              <w:top w:val="single" w:color="auto" w:sz="8" w:space="0"/>
              <w:left w:val="single" w:color="auto" w:sz="4" w:space="0"/>
              <w:bottom w:val="single" w:color="auto" w:sz="8" w:space="0"/>
              <w:right w:val="single" w:color="auto" w:sz="8" w:space="0"/>
            </w:tcBorders>
            <w:vAlign w:val="center"/>
          </w:tcPr>
          <w:p w14:paraId="152A5F0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w:t>
            </w:r>
            <w:r>
              <w:rPr>
                <w:rFonts w:hint="eastAsia" w:ascii="宋体" w:hAnsi="宋体" w:cs="宋体"/>
                <w:color w:val="auto"/>
                <w:sz w:val="21"/>
                <w:szCs w:val="21"/>
                <w:highlight w:val="none"/>
                <w:lang w:val="en-US" w:eastAsia="zh-CN"/>
              </w:rPr>
              <w:t>中标通知书发放</w:t>
            </w:r>
            <w:r>
              <w:rPr>
                <w:rFonts w:hint="eastAsia" w:ascii="宋体" w:hAnsi="宋体" w:eastAsia="宋体" w:cs="宋体"/>
                <w:color w:val="auto"/>
                <w:sz w:val="21"/>
                <w:szCs w:val="21"/>
                <w:highlight w:val="none"/>
                <w:lang w:val="en-US" w:eastAsia="zh-CN"/>
              </w:rPr>
              <w:t>之日起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个日</w:t>
            </w:r>
            <w:r>
              <w:rPr>
                <w:rFonts w:hint="eastAsia" w:ascii="宋体" w:hAnsi="宋体" w:eastAsia="宋体" w:cs="宋体"/>
                <w:color w:val="auto"/>
                <w:sz w:val="21"/>
                <w:szCs w:val="21"/>
                <w:highlight w:val="none"/>
                <w:lang w:val="en-US" w:eastAsia="zh-CN"/>
              </w:rPr>
              <w:t>历日内完成检测并提供成果文件。</w:t>
            </w:r>
          </w:p>
        </w:tc>
      </w:tr>
      <w:tr w14:paraId="24784F21">
        <w:tblPrEx>
          <w:tblCellMar>
            <w:top w:w="0" w:type="dxa"/>
            <w:left w:w="0" w:type="dxa"/>
            <w:bottom w:w="0" w:type="dxa"/>
            <w:right w:w="0" w:type="dxa"/>
          </w:tblCellMar>
        </w:tblPrEx>
        <w:trPr>
          <w:trHeight w:val="425" w:hRule="atLeast"/>
        </w:trPr>
        <w:tc>
          <w:tcPr>
            <w:tcW w:w="795"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05"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650" w:type="dxa"/>
            <w:tcBorders>
              <w:top w:val="single" w:color="auto" w:sz="8" w:space="0"/>
              <w:left w:val="single" w:color="auto" w:sz="4" w:space="0"/>
              <w:bottom w:val="single" w:color="auto" w:sz="8" w:space="0"/>
              <w:right w:val="single" w:color="auto" w:sz="8" w:space="0"/>
            </w:tcBorders>
            <w:vAlign w:val="center"/>
          </w:tcPr>
          <w:p w14:paraId="6CE31C69">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符合现行国家或行业</w:t>
            </w:r>
            <w:r>
              <w:rPr>
                <w:rFonts w:hint="eastAsia" w:ascii="宋体" w:hAnsi="宋体" w:eastAsia="宋体" w:cs="宋体"/>
                <w:color w:val="auto"/>
                <w:kern w:val="0"/>
                <w:sz w:val="21"/>
                <w:szCs w:val="21"/>
                <w:highlight w:val="none"/>
                <w:lang w:val="en-US" w:eastAsia="zh-CN"/>
              </w:rPr>
              <w:t>或地方</w:t>
            </w:r>
            <w:r>
              <w:rPr>
                <w:rFonts w:hint="eastAsia" w:ascii="宋体" w:hAnsi="宋体" w:eastAsia="宋体" w:cs="宋体"/>
                <w:color w:val="auto"/>
                <w:kern w:val="0"/>
                <w:sz w:val="21"/>
                <w:szCs w:val="21"/>
                <w:highlight w:val="none"/>
              </w:rPr>
              <w:t>有关规定、标准、规范的要求</w:t>
            </w:r>
            <w:r>
              <w:rPr>
                <w:rFonts w:hint="eastAsia" w:ascii="宋体" w:hAnsi="宋体" w:eastAsia="宋体" w:cs="宋体"/>
                <w:color w:val="auto"/>
                <w:kern w:val="0"/>
                <w:sz w:val="21"/>
                <w:szCs w:val="21"/>
                <w:highlight w:val="none"/>
                <w:lang w:eastAsia="zh-CN"/>
              </w:rPr>
              <w:t>；</w:t>
            </w:r>
          </w:p>
          <w:p w14:paraId="6CAD31DC">
            <w:pPr>
              <w:keepNext w:val="0"/>
              <w:keepLines w:val="0"/>
              <w:pageBreakBefore w:val="0"/>
              <w:kinsoku/>
              <w:wordWrap/>
              <w:overflowPunct/>
              <w:topLinePunct w:val="0"/>
              <w:autoSpaceDE/>
              <w:autoSpaceDN/>
              <w:bidi w:val="0"/>
              <w:adjustRightInd/>
              <w:snapToGrid/>
              <w:spacing w:line="520" w:lineRule="exact"/>
              <w:textAlignment w:val="auto"/>
              <w:rPr>
                <w:rFonts w:hint="default"/>
                <w:color w:val="auto"/>
                <w:lang w:val="en-US" w:eastAsia="zh-CN"/>
              </w:rPr>
            </w:pPr>
            <w:r>
              <w:rPr>
                <w:rFonts w:hint="eastAsia" w:ascii="宋体" w:hAnsi="宋体" w:eastAsia="宋体" w:cs="宋体"/>
                <w:color w:val="auto"/>
                <w:kern w:val="0"/>
                <w:sz w:val="21"/>
                <w:szCs w:val="21"/>
                <w:highlight w:val="none"/>
                <w:lang w:val="en-US" w:eastAsia="zh-CN"/>
              </w:rPr>
              <w:t>2.成果文件须满足</w:t>
            </w:r>
            <w:bookmarkStart w:id="83" w:name="_GoBack"/>
            <w:r>
              <w:rPr>
                <w:rFonts w:hint="eastAsia" w:ascii="宋体" w:hAnsi="宋体" w:eastAsia="宋体" w:cs="宋体"/>
                <w:color w:val="auto"/>
                <w:kern w:val="0"/>
                <w:sz w:val="21"/>
                <w:szCs w:val="21"/>
                <w:highlight w:val="none"/>
                <w:lang w:val="en-US" w:eastAsia="zh-CN"/>
              </w:rPr>
              <w:t>地方</w:t>
            </w:r>
            <w:r>
              <w:rPr>
                <w:rFonts w:hint="eastAsia" w:ascii="宋体" w:hAnsi="宋体" w:cs="宋体"/>
                <w:color w:val="auto"/>
                <w:kern w:val="0"/>
                <w:sz w:val="21"/>
                <w:szCs w:val="21"/>
                <w:highlight w:val="none"/>
                <w:lang w:val="en-US" w:eastAsia="zh-CN"/>
              </w:rPr>
              <w:t>行政</w:t>
            </w:r>
            <w:r>
              <w:rPr>
                <w:rFonts w:hint="eastAsia" w:ascii="宋体" w:hAnsi="宋体" w:eastAsia="宋体" w:cs="宋体"/>
                <w:color w:val="auto"/>
                <w:kern w:val="0"/>
                <w:sz w:val="21"/>
                <w:szCs w:val="21"/>
                <w:highlight w:val="none"/>
                <w:lang w:val="en-US" w:eastAsia="zh-CN"/>
              </w:rPr>
              <w:t>主管部</w:t>
            </w:r>
            <w:bookmarkEnd w:id="83"/>
            <w:r>
              <w:rPr>
                <w:rFonts w:hint="eastAsia" w:ascii="宋体" w:hAnsi="宋体" w:eastAsia="宋体" w:cs="宋体"/>
                <w:color w:val="auto"/>
                <w:kern w:val="0"/>
                <w:sz w:val="21"/>
                <w:szCs w:val="21"/>
                <w:highlight w:val="none"/>
                <w:lang w:val="en-US" w:eastAsia="zh-CN"/>
              </w:rPr>
              <w:t>门相关要求（如有）。</w:t>
            </w:r>
          </w:p>
        </w:tc>
      </w:tr>
      <w:tr w14:paraId="21D1049F">
        <w:tblPrEx>
          <w:tblCellMar>
            <w:top w:w="0" w:type="dxa"/>
            <w:left w:w="0" w:type="dxa"/>
            <w:bottom w:w="0" w:type="dxa"/>
            <w:right w:w="0" w:type="dxa"/>
          </w:tblCellMar>
        </w:tblPrEx>
        <w:trPr>
          <w:trHeight w:val="286" w:hRule="atLeast"/>
        </w:trPr>
        <w:tc>
          <w:tcPr>
            <w:tcW w:w="795"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905"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52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52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650"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详见招标公告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656" w:hRule="atLeast"/>
        </w:trPr>
        <w:tc>
          <w:tcPr>
            <w:tcW w:w="795"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905"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650"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795"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905"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招标方式</w:t>
            </w:r>
          </w:p>
        </w:tc>
        <w:tc>
          <w:tcPr>
            <w:tcW w:w="7650"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spacing w:line="5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rPr>
              <w:t xml:space="preserve">公开招标(本项目采用网上电子招投标) </w:t>
            </w:r>
          </w:p>
        </w:tc>
      </w:tr>
      <w:tr w14:paraId="0DEE0E5F">
        <w:tblPrEx>
          <w:tblCellMar>
            <w:top w:w="0" w:type="dxa"/>
            <w:left w:w="0" w:type="dxa"/>
            <w:bottom w:w="0" w:type="dxa"/>
            <w:right w:w="0" w:type="dxa"/>
          </w:tblCellMar>
        </w:tblPrEx>
        <w:trPr>
          <w:trHeight w:val="462" w:hRule="atLeast"/>
        </w:trPr>
        <w:tc>
          <w:tcPr>
            <w:tcW w:w="795"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905"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650" w:type="dxa"/>
            <w:tcBorders>
              <w:top w:val="single" w:color="auto" w:sz="8" w:space="0"/>
              <w:left w:val="single" w:color="auto" w:sz="4" w:space="0"/>
              <w:bottom w:val="single" w:color="auto" w:sz="8" w:space="0"/>
              <w:right w:val="single" w:color="auto" w:sz="8" w:space="0"/>
            </w:tcBorders>
            <w:vAlign w:val="center"/>
          </w:tcPr>
          <w:p w14:paraId="2B8A85FB">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本项目的</w:t>
            </w:r>
            <w:r>
              <w:rPr>
                <w:rFonts w:hint="eastAsia" w:ascii="宋体" w:hAnsi="宋体" w:eastAsia="宋体" w:cs="宋体"/>
                <w:b/>
                <w:bCs/>
                <w:color w:val="auto"/>
                <w:sz w:val="21"/>
                <w:szCs w:val="21"/>
                <w:highlight w:val="none"/>
                <w:lang w:val="en-US" w:eastAsia="zh-CN"/>
              </w:rPr>
              <w:t>最高限价</w:t>
            </w:r>
            <w:r>
              <w:rPr>
                <w:rFonts w:hint="eastAsia" w:ascii="宋体" w:hAnsi="宋体" w:eastAsia="宋体" w:cs="宋体"/>
                <w:b/>
                <w:bCs/>
                <w:color w:val="auto"/>
                <w:sz w:val="21"/>
                <w:szCs w:val="21"/>
                <w:highlight w:val="none"/>
              </w:rPr>
              <w:t>为</w:t>
            </w:r>
            <w:r>
              <w:rPr>
                <w:rFonts w:hint="eastAsia" w:ascii="宋体" w:hAnsi="宋体" w:eastAsia="宋体" w:cs="宋体"/>
                <w:b/>
                <w:bCs/>
                <w:color w:val="auto"/>
                <w:sz w:val="21"/>
                <w:szCs w:val="21"/>
                <w:highlight w:val="none"/>
                <w:lang w:val="en-US" w:eastAsia="zh-CN"/>
              </w:rPr>
              <w:t>84000.00元，投标报价</w:t>
            </w:r>
            <w:r>
              <w:rPr>
                <w:rFonts w:hint="eastAsia" w:ascii="宋体" w:hAnsi="宋体" w:eastAsia="宋体" w:cs="宋体"/>
                <w:b/>
                <w:bCs/>
                <w:color w:val="auto"/>
                <w:sz w:val="21"/>
                <w:szCs w:val="21"/>
                <w:highlight w:val="none"/>
              </w:rPr>
              <w:t>不得高于最高限价，否则按无效标处理。</w:t>
            </w:r>
          </w:p>
          <w:p w14:paraId="3F53467E">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5704048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无论任何原因导致的项目期限延长，均不再增加</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eastAsia="zh-CN"/>
              </w:rPr>
              <w:t>。</w:t>
            </w:r>
          </w:p>
          <w:p w14:paraId="688F02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tc>
      </w:tr>
      <w:tr w14:paraId="689F356F">
        <w:tblPrEx>
          <w:tblCellMar>
            <w:top w:w="0" w:type="dxa"/>
            <w:left w:w="0" w:type="dxa"/>
            <w:bottom w:w="0" w:type="dxa"/>
            <w:right w:w="0" w:type="dxa"/>
          </w:tblCellMar>
        </w:tblPrEx>
        <w:trPr>
          <w:trHeight w:val="462" w:hRule="atLeast"/>
        </w:trPr>
        <w:tc>
          <w:tcPr>
            <w:tcW w:w="795"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905" w:type="dxa"/>
            <w:tcBorders>
              <w:top w:val="single" w:color="auto" w:sz="8" w:space="0"/>
              <w:left w:val="single" w:color="auto" w:sz="4" w:space="0"/>
              <w:bottom w:val="single" w:color="auto" w:sz="8" w:space="0"/>
              <w:right w:val="single" w:color="auto" w:sz="4" w:space="0"/>
            </w:tcBorders>
            <w:vAlign w:val="center"/>
          </w:tcPr>
          <w:p w14:paraId="0CDB768E">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156BE6F6">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650"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8</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16</w:t>
            </w:r>
            <w:r>
              <w:rPr>
                <w:rFonts w:hint="eastAsia" w:ascii="宋体" w:hAnsi="宋体" w:eastAsia="宋体" w:cs="宋体"/>
                <w:color w:val="auto"/>
                <w:spacing w:val="-4"/>
                <w:kern w:val="0"/>
                <w:sz w:val="21"/>
                <w:szCs w:val="21"/>
                <w:highlight w:val="none"/>
              </w:rPr>
              <w:fldChar w:fldCharType="begin"/>
            </w:r>
            <w:r>
              <w:rPr>
                <w:rFonts w:hint="eastAsia" w:ascii="宋体" w:hAnsi="宋体" w:eastAsia="宋体" w:cs="宋体"/>
                <w:color w:val="auto"/>
                <w:spacing w:val="-4"/>
                <w:kern w:val="0"/>
                <w:sz w:val="21"/>
                <w:szCs w:val="21"/>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color w:val="auto"/>
                <w:spacing w:val="-4"/>
                <w:kern w:val="0"/>
                <w:sz w:val="21"/>
                <w:szCs w:val="21"/>
                <w:highlight w:val="none"/>
              </w:rPr>
              <w:fldChar w:fldCharType="separate"/>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时前</w:t>
            </w:r>
            <w:r>
              <w:rPr>
                <w:rFonts w:hint="eastAsia" w:ascii="宋体" w:hAnsi="宋体" w:eastAsia="宋体" w:cs="宋体"/>
                <w:color w:val="auto"/>
                <w:kern w:val="0"/>
                <w:sz w:val="21"/>
                <w:szCs w:val="21"/>
                <w:highlight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rPr>
              <w:t>，招标人将在202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8</w:t>
            </w:r>
            <w:r>
              <w:rPr>
                <w:rFonts w:hint="eastAsia" w:ascii="宋体" w:hAnsi="宋体" w:eastAsia="宋体" w:cs="宋体"/>
                <w:color w:val="auto"/>
                <w:spacing w:val="-4"/>
                <w:kern w:val="0"/>
                <w:sz w:val="21"/>
                <w:szCs w:val="21"/>
                <w:highlight w:val="none"/>
              </w:rPr>
              <w:t>月</w:t>
            </w:r>
            <w:r>
              <w:rPr>
                <w:rFonts w:hint="eastAsia" w:ascii="宋体" w:hAnsi="宋体" w:eastAsia="宋体" w:cs="宋体"/>
                <w:color w:val="auto"/>
                <w:spacing w:val="-4"/>
                <w:kern w:val="0"/>
                <w:sz w:val="21"/>
                <w:szCs w:val="21"/>
                <w:highlight w:val="none"/>
              </w:rPr>
              <w:fldChar w:fldCharType="end"/>
            </w:r>
            <w:r>
              <w:rPr>
                <w:rFonts w:hint="eastAsia" w:ascii="宋体" w:hAnsi="宋体" w:cs="宋体"/>
                <w:color w:val="auto"/>
                <w:spacing w:val="-4"/>
                <w:kern w:val="0"/>
                <w:sz w:val="21"/>
                <w:szCs w:val="21"/>
                <w:highlight w:val="none"/>
                <w:lang w:val="en-US" w:eastAsia="zh-CN"/>
              </w:rPr>
              <w:t>18</w:t>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795"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905"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w:t>
            </w:r>
          </w:p>
        </w:tc>
        <w:tc>
          <w:tcPr>
            <w:tcW w:w="7650"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795"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905"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递交</w:t>
            </w:r>
          </w:p>
        </w:tc>
        <w:tc>
          <w:tcPr>
            <w:tcW w:w="7650"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val="0"/>
              <w:snapToGrid w:val="0"/>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加密电子投标文件投标人应在投标截止时间前通过新点电子交易平台后在【滁州专区】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https://www.etrading.cn/BREpointSSO/login/oauth2login?regioncode=DQ_ChuZhou</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交易系统递交电子投标文件。</w:t>
            </w:r>
          </w:p>
          <w:p w14:paraId="6AD718D2">
            <w:pPr>
              <w:keepNext w:val="0"/>
              <w:keepLines w:val="0"/>
              <w:pageBreakBefore w:val="0"/>
              <w:widowControl/>
              <w:kinsoku/>
              <w:overflowPunct/>
              <w:topLinePunct w:val="0"/>
              <w:autoSpaceDE/>
              <w:autoSpaceDN/>
              <w:bidi w:val="0"/>
              <w:spacing w:line="52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795"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905"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650" w:type="dxa"/>
            <w:tcBorders>
              <w:top w:val="single" w:color="auto" w:sz="8" w:space="0"/>
              <w:left w:val="single" w:color="auto" w:sz="4" w:space="0"/>
              <w:bottom w:val="single" w:color="auto" w:sz="8" w:space="0"/>
              <w:right w:val="single" w:color="auto" w:sz="8" w:space="0"/>
            </w:tcBorders>
            <w:vAlign w:val="center"/>
          </w:tcPr>
          <w:p w14:paraId="4FCD2EB5">
            <w:pPr>
              <w:pStyle w:val="2"/>
              <w:keepNext w:val="0"/>
              <w:keepLines w:val="0"/>
              <w:pageBreakBefore w:val="0"/>
              <w:kinsoku/>
              <w:overflowPunct/>
              <w:topLinePunct w:val="0"/>
              <w:autoSpaceDE/>
              <w:autoSpaceDN/>
              <w:bidi w:val="0"/>
              <w:spacing w:line="520" w:lineRule="exact"/>
              <w:ind w:left="0" w:leftChars="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单位签章的，投标人应加盖投标人单位电子印章或直接上传加盖投标人单位印章原件彩色扫描件。要求个人签章的，加盖相应人员印章（或电子印章）或相应人员签字均可。</w:t>
            </w:r>
          </w:p>
          <w:p w14:paraId="66A35DAC">
            <w:pPr>
              <w:keepNext w:val="0"/>
              <w:keepLines w:val="0"/>
              <w:pageBreakBefore w:val="0"/>
              <w:widowControl/>
              <w:kinsoku/>
              <w:overflowPunct/>
              <w:topLinePunct w:val="0"/>
              <w:autoSpaceDE/>
              <w:autoSpaceDN/>
              <w:bidi w:val="0"/>
              <w:spacing w:line="520" w:lineRule="exact"/>
              <w:ind w:firstLine="89" w:firstLineChars="42"/>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573" w:hRule="atLeast"/>
        </w:trPr>
        <w:tc>
          <w:tcPr>
            <w:tcW w:w="795"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w:t>
            </w:r>
          </w:p>
        </w:tc>
        <w:tc>
          <w:tcPr>
            <w:tcW w:w="1905"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投标文件提交截止时间</w:t>
            </w:r>
          </w:p>
        </w:tc>
        <w:tc>
          <w:tcPr>
            <w:tcW w:w="7650"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时</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p w14:paraId="6FF010F2">
            <w:pPr>
              <w:keepNext w:val="0"/>
              <w:keepLines w:val="0"/>
              <w:pageBreakBefore w:val="0"/>
              <w:kinsoku/>
              <w:overflowPunct/>
              <w:topLinePunct w:val="0"/>
              <w:autoSpaceDE/>
              <w:autoSpaceDN/>
              <w:bidi w:val="0"/>
              <w:spacing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2D17B673">
            <w:pPr>
              <w:keepNext w:val="0"/>
              <w:keepLines w:val="0"/>
              <w:pageBreakBefore w:val="0"/>
              <w:kinsoku/>
              <w:wordWrap w:val="0"/>
              <w:overflowPunct/>
              <w:topLinePunct w:val="0"/>
              <w:autoSpaceDE/>
              <w:autoSpaceDN/>
              <w:bidi w:val="0"/>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1.解密程序开始后</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分钟内（以本项目网上招投标系统解密倒计时为准）。</w:t>
            </w:r>
          </w:p>
        </w:tc>
      </w:tr>
      <w:tr w14:paraId="39CAD765">
        <w:tblPrEx>
          <w:tblCellMar>
            <w:top w:w="0" w:type="dxa"/>
            <w:left w:w="0" w:type="dxa"/>
            <w:bottom w:w="0" w:type="dxa"/>
            <w:right w:w="0" w:type="dxa"/>
          </w:tblCellMar>
        </w:tblPrEx>
        <w:trPr>
          <w:trHeight w:val="688" w:hRule="atLeast"/>
        </w:trPr>
        <w:tc>
          <w:tcPr>
            <w:tcW w:w="795"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905"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650"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66A8CA8">
        <w:tblPrEx>
          <w:tblCellMar>
            <w:top w:w="0" w:type="dxa"/>
            <w:left w:w="0" w:type="dxa"/>
            <w:bottom w:w="0" w:type="dxa"/>
            <w:right w:w="0" w:type="dxa"/>
          </w:tblCellMar>
        </w:tblPrEx>
        <w:trPr>
          <w:trHeight w:val="544" w:hRule="atLeast"/>
        </w:trPr>
        <w:tc>
          <w:tcPr>
            <w:tcW w:w="795"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15</w:t>
            </w:r>
          </w:p>
        </w:tc>
        <w:tc>
          <w:tcPr>
            <w:tcW w:w="1905"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开标时间及地点</w:t>
            </w:r>
          </w:p>
        </w:tc>
        <w:tc>
          <w:tcPr>
            <w:tcW w:w="7650"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overflowPunct/>
              <w:topLinePunct w:val="0"/>
              <w:autoSpaceDE/>
              <w:autoSpaceDN/>
              <w:bidi w:val="0"/>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076992A3">
        <w:tblPrEx>
          <w:tblCellMar>
            <w:top w:w="0" w:type="dxa"/>
            <w:left w:w="0" w:type="dxa"/>
            <w:bottom w:w="0" w:type="dxa"/>
            <w:right w:w="0" w:type="dxa"/>
          </w:tblCellMar>
        </w:tblPrEx>
        <w:trPr>
          <w:trHeight w:val="445" w:hRule="atLeast"/>
        </w:trPr>
        <w:tc>
          <w:tcPr>
            <w:tcW w:w="795"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16</w:t>
            </w:r>
          </w:p>
        </w:tc>
        <w:tc>
          <w:tcPr>
            <w:tcW w:w="1905"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开标程序</w:t>
            </w:r>
          </w:p>
        </w:tc>
        <w:tc>
          <w:tcPr>
            <w:tcW w:w="7650"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795"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17</w:t>
            </w:r>
          </w:p>
        </w:tc>
        <w:tc>
          <w:tcPr>
            <w:tcW w:w="1905"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650" w:type="dxa"/>
            <w:tcBorders>
              <w:top w:val="single" w:color="auto" w:sz="8" w:space="0"/>
              <w:left w:val="single" w:color="auto" w:sz="4" w:space="0"/>
              <w:bottom w:val="single" w:color="auto" w:sz="8" w:space="0"/>
              <w:right w:val="single" w:color="auto" w:sz="8" w:space="0"/>
            </w:tcBorders>
            <w:vAlign w:val="top"/>
          </w:tcPr>
          <w:p w14:paraId="60684E11">
            <w:pPr>
              <w:pStyle w:val="157"/>
              <w:keepNext w:val="0"/>
              <w:keepLines w:val="0"/>
              <w:pageBreakBefore w:val="0"/>
              <w:kinsoku/>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ascii="宋体"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157"/>
              <w:keepNext w:val="0"/>
              <w:keepLines w:val="0"/>
              <w:pageBreakBefore w:val="0"/>
              <w:kinsoku/>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786" w:hRule="atLeast"/>
        </w:trPr>
        <w:tc>
          <w:tcPr>
            <w:tcW w:w="795"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18</w:t>
            </w:r>
          </w:p>
        </w:tc>
        <w:tc>
          <w:tcPr>
            <w:tcW w:w="1905"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7650"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评标委员会推荐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名中标候选人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并标明排序</w:t>
            </w:r>
            <w:r>
              <w:rPr>
                <w:rFonts w:hint="eastAsia" w:ascii="宋体" w:hAnsi="宋体" w:eastAsia="宋体" w:cs="宋体"/>
                <w:color w:val="auto"/>
                <w:sz w:val="21"/>
                <w:szCs w:val="21"/>
                <w:highlight w:val="none"/>
              </w:rPr>
              <w:t>。</w:t>
            </w:r>
          </w:p>
        </w:tc>
      </w:tr>
      <w:tr w14:paraId="191E86E8">
        <w:tblPrEx>
          <w:tblCellMar>
            <w:top w:w="0" w:type="dxa"/>
            <w:left w:w="0" w:type="dxa"/>
            <w:bottom w:w="0" w:type="dxa"/>
            <w:right w:w="0" w:type="dxa"/>
          </w:tblCellMar>
        </w:tblPrEx>
        <w:trPr>
          <w:trHeight w:val="786" w:hRule="atLeast"/>
        </w:trPr>
        <w:tc>
          <w:tcPr>
            <w:tcW w:w="795"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19</w:t>
            </w:r>
          </w:p>
        </w:tc>
        <w:tc>
          <w:tcPr>
            <w:tcW w:w="1905"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p>
        </w:tc>
        <w:tc>
          <w:tcPr>
            <w:tcW w:w="7650"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滁州市重点工程建设管理处（http://zdc.chuzhou.gov.cn/）</w:t>
            </w:r>
            <w:r>
              <w:rPr>
                <w:rFonts w:hint="eastAsia" w:ascii="宋体" w:hAnsi="宋体" w:eastAsia="宋体" w:cs="宋体"/>
                <w:color w:val="auto"/>
                <w:spacing w:val="-4"/>
                <w:sz w:val="21"/>
                <w:szCs w:val="21"/>
                <w:highlight w:val="none"/>
              </w:rPr>
              <w:t>等网站</w:t>
            </w:r>
          </w:p>
        </w:tc>
      </w:tr>
      <w:tr w14:paraId="6EA640C0">
        <w:tblPrEx>
          <w:tblCellMar>
            <w:top w:w="0" w:type="dxa"/>
            <w:left w:w="0" w:type="dxa"/>
            <w:bottom w:w="0" w:type="dxa"/>
            <w:right w:w="0" w:type="dxa"/>
          </w:tblCellMar>
        </w:tblPrEx>
        <w:trPr>
          <w:trHeight w:val="478" w:hRule="atLeast"/>
        </w:trPr>
        <w:tc>
          <w:tcPr>
            <w:tcW w:w="795"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w:t>
            </w:r>
          </w:p>
        </w:tc>
        <w:tc>
          <w:tcPr>
            <w:tcW w:w="1905"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650"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spacing w:line="5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是否收取履约担保：□收取，</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不收取</w:t>
            </w:r>
          </w:p>
        </w:tc>
      </w:tr>
      <w:tr w14:paraId="53B9F13B">
        <w:tblPrEx>
          <w:tblCellMar>
            <w:top w:w="0" w:type="dxa"/>
            <w:left w:w="0" w:type="dxa"/>
            <w:bottom w:w="0" w:type="dxa"/>
            <w:right w:w="0" w:type="dxa"/>
          </w:tblCellMar>
        </w:tblPrEx>
        <w:trPr>
          <w:trHeight w:val="478" w:hRule="atLeast"/>
        </w:trPr>
        <w:tc>
          <w:tcPr>
            <w:tcW w:w="10350" w:type="dxa"/>
            <w:gridSpan w:val="3"/>
            <w:tcBorders>
              <w:top w:val="single" w:color="auto" w:sz="8" w:space="0"/>
              <w:left w:val="single" w:color="auto" w:sz="8" w:space="0"/>
              <w:bottom w:val="single" w:color="auto" w:sz="8" w:space="0"/>
              <w:right w:val="single" w:color="auto" w:sz="8" w:space="0"/>
            </w:tcBorders>
            <w:vAlign w:val="center"/>
          </w:tcPr>
          <w:p w14:paraId="0FD01F5C">
            <w:pPr>
              <w:keepNext w:val="0"/>
              <w:keepLines w:val="0"/>
              <w:pageBreakBefore w:val="0"/>
              <w:widowControl/>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14:paraId="54EFCC42">
        <w:tblPrEx>
          <w:tblCellMar>
            <w:top w:w="0" w:type="dxa"/>
            <w:left w:w="0" w:type="dxa"/>
            <w:bottom w:w="0" w:type="dxa"/>
            <w:right w:w="0" w:type="dxa"/>
          </w:tblCellMar>
        </w:tblPrEx>
        <w:trPr>
          <w:trHeight w:val="478" w:hRule="atLeast"/>
        </w:trPr>
        <w:tc>
          <w:tcPr>
            <w:tcW w:w="2700" w:type="dxa"/>
            <w:gridSpan w:val="2"/>
            <w:tcBorders>
              <w:top w:val="single" w:color="auto" w:sz="8" w:space="0"/>
              <w:left w:val="single" w:color="auto" w:sz="8" w:space="0"/>
              <w:bottom w:val="single" w:color="auto" w:sz="8" w:space="0"/>
              <w:right w:val="single" w:color="auto" w:sz="4" w:space="0"/>
            </w:tcBorders>
            <w:vAlign w:val="center"/>
          </w:tcPr>
          <w:p w14:paraId="5A46107E">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7650" w:type="dxa"/>
            <w:tcBorders>
              <w:top w:val="single" w:color="auto" w:sz="8" w:space="0"/>
              <w:left w:val="single" w:color="auto" w:sz="4" w:space="0"/>
              <w:bottom w:val="single" w:color="auto" w:sz="8" w:space="0"/>
              <w:right w:val="single" w:color="auto" w:sz="8" w:space="0"/>
            </w:tcBorders>
            <w:vAlign w:val="center"/>
          </w:tcPr>
          <w:p w14:paraId="042E25F9">
            <w:pPr>
              <w:keepNext w:val="0"/>
              <w:keepLines w:val="0"/>
              <w:pageBreakBefore w:val="0"/>
              <w:kinsoku/>
              <w:overflowPunct/>
              <w:topLinePunct w:val="0"/>
              <w:autoSpaceDE/>
              <w:autoSpaceDN/>
              <w:bidi w:val="0"/>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234C8D6C">
        <w:tblPrEx>
          <w:tblCellMar>
            <w:top w:w="0" w:type="dxa"/>
            <w:left w:w="0" w:type="dxa"/>
            <w:bottom w:w="0" w:type="dxa"/>
            <w:right w:w="0" w:type="dxa"/>
          </w:tblCellMar>
        </w:tblPrEx>
        <w:trPr>
          <w:trHeight w:val="167" w:hRule="atLeast"/>
        </w:trPr>
        <w:tc>
          <w:tcPr>
            <w:tcW w:w="2700"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650" w:type="dxa"/>
            <w:tcBorders>
              <w:top w:val="single" w:color="auto" w:sz="8" w:space="0"/>
              <w:left w:val="single" w:color="auto" w:sz="4" w:space="0"/>
              <w:bottom w:val="single" w:color="auto" w:sz="8" w:space="0"/>
              <w:right w:val="single" w:color="auto" w:sz="8" w:space="0"/>
            </w:tcBorders>
            <w:vAlign w:val="center"/>
          </w:tcPr>
          <w:p w14:paraId="589A0E2D">
            <w:pPr>
              <w:pStyle w:val="2"/>
              <w:keepNext w:val="0"/>
              <w:keepLines w:val="0"/>
              <w:pageBreakBefore w:val="0"/>
              <w:kinsoku/>
              <w:overflowPunct/>
              <w:topLinePunct w:val="0"/>
              <w:autoSpaceDE/>
              <w:autoSpaceDN/>
              <w:bidi w:val="0"/>
              <w:spacing w:line="520" w:lineRule="exact"/>
              <w:ind w:left="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本项目工程款结算仅支付给中标单位，不支持支付给授权的分公司、子公司等分支机构。（请款所提供的发票名称须与中标单位名称保持一致）。</w:t>
            </w:r>
          </w:p>
        </w:tc>
      </w:tr>
      <w:tr w14:paraId="6E099D79">
        <w:tblPrEx>
          <w:tblCellMar>
            <w:top w:w="0" w:type="dxa"/>
            <w:left w:w="0" w:type="dxa"/>
            <w:bottom w:w="0" w:type="dxa"/>
            <w:right w:w="0" w:type="dxa"/>
          </w:tblCellMar>
        </w:tblPrEx>
        <w:trPr>
          <w:trHeight w:val="167" w:hRule="atLeast"/>
        </w:trPr>
        <w:tc>
          <w:tcPr>
            <w:tcW w:w="2700"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650"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提供所有正式报告文本及相应电子档后一次性付清合同价款。</w:t>
            </w:r>
          </w:p>
        </w:tc>
      </w:tr>
      <w:tr w14:paraId="25B900FF">
        <w:tblPrEx>
          <w:tblCellMar>
            <w:top w:w="0" w:type="dxa"/>
            <w:left w:w="0" w:type="dxa"/>
            <w:bottom w:w="0" w:type="dxa"/>
            <w:right w:w="0" w:type="dxa"/>
          </w:tblCellMar>
        </w:tblPrEx>
        <w:trPr>
          <w:trHeight w:val="167" w:hRule="atLeast"/>
        </w:trPr>
        <w:tc>
          <w:tcPr>
            <w:tcW w:w="2700"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招标代理费及专家评审费</w:t>
            </w:r>
          </w:p>
        </w:tc>
        <w:tc>
          <w:tcPr>
            <w:tcW w:w="7650"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本项目招标代理服务费用1500元，专家评审费另计（</w:t>
            </w:r>
            <w:r>
              <w:rPr>
                <w:rFonts w:hint="eastAsia" w:ascii="宋体" w:hAnsi="宋体" w:cs="宋体"/>
                <w:color w:val="auto"/>
                <w:kern w:val="0"/>
                <w:sz w:val="21"/>
                <w:szCs w:val="21"/>
                <w:highlight w:val="none"/>
                <w:lang w:val="en-US" w:eastAsia="zh-CN"/>
              </w:rPr>
              <w:t>约1240元，</w:t>
            </w:r>
            <w:r>
              <w:rPr>
                <w:rFonts w:hint="eastAsia" w:ascii="宋体" w:hAnsi="宋体" w:eastAsia="宋体" w:cs="宋体"/>
                <w:color w:val="auto"/>
                <w:kern w:val="0"/>
                <w:sz w:val="21"/>
                <w:szCs w:val="21"/>
                <w:highlight w:val="none"/>
                <w:lang w:val="en-US" w:eastAsia="zh-CN"/>
              </w:rPr>
              <w:t>最终以实际发生为准），中标单位在领取中标通知书前一次性支付给代理公司</w:t>
            </w:r>
            <w:r>
              <w:rPr>
                <w:rFonts w:hint="eastAsia" w:ascii="宋体" w:hAnsi="宋体" w:eastAsia="宋体" w:cs="宋体"/>
                <w:b/>
                <w:bCs/>
                <w:color w:val="auto"/>
                <w:kern w:val="0"/>
                <w:sz w:val="21"/>
                <w:szCs w:val="21"/>
                <w:highlight w:val="none"/>
                <w:lang w:val="en-US" w:eastAsia="zh-CN"/>
              </w:rPr>
              <w:t>。</w:t>
            </w:r>
          </w:p>
        </w:tc>
      </w:tr>
      <w:tr w14:paraId="6C5E33CA">
        <w:tblPrEx>
          <w:tblCellMar>
            <w:top w:w="0" w:type="dxa"/>
            <w:left w:w="0" w:type="dxa"/>
            <w:bottom w:w="0" w:type="dxa"/>
            <w:right w:w="0" w:type="dxa"/>
          </w:tblCellMar>
        </w:tblPrEx>
        <w:trPr>
          <w:trHeight w:val="167" w:hRule="atLeast"/>
        </w:trPr>
        <w:tc>
          <w:tcPr>
            <w:tcW w:w="2700"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spacing w:line="52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评标过程中的澄清、说明或补正</w:t>
            </w:r>
          </w:p>
        </w:tc>
        <w:tc>
          <w:tcPr>
            <w:tcW w:w="7650"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评标委员会通过</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系统将需要澄清、说明或补正的内容以询标函的形式发送给投标人，投标人应安排专人登录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因投标人未登录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3B8B1417">
        <w:tblPrEx>
          <w:tblCellMar>
            <w:top w:w="0" w:type="dxa"/>
            <w:left w:w="0" w:type="dxa"/>
            <w:bottom w:w="0" w:type="dxa"/>
            <w:right w:w="0" w:type="dxa"/>
          </w:tblCellMar>
        </w:tblPrEx>
        <w:trPr>
          <w:trHeight w:val="167" w:hRule="atLeast"/>
        </w:trPr>
        <w:tc>
          <w:tcPr>
            <w:tcW w:w="2700" w:type="dxa"/>
            <w:gridSpan w:val="2"/>
            <w:tcBorders>
              <w:top w:val="single" w:color="auto" w:sz="8" w:space="0"/>
              <w:left w:val="single" w:color="auto" w:sz="8" w:space="0"/>
              <w:bottom w:val="single" w:color="auto" w:sz="8" w:space="0"/>
              <w:right w:val="single" w:color="auto" w:sz="4" w:space="0"/>
            </w:tcBorders>
            <w:vAlign w:val="center"/>
          </w:tcPr>
          <w:p w14:paraId="70E05655">
            <w:pPr>
              <w:keepNext w:val="0"/>
              <w:keepLines w:val="0"/>
              <w:pageBreakBefore w:val="0"/>
              <w:kinsoku/>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sz w:val="21"/>
                <w:szCs w:val="21"/>
                <w:highlight w:val="none"/>
              </w:rPr>
            </w:pPr>
            <w:bookmarkStart w:id="42" w:name="_Toc13663"/>
            <w:bookmarkStart w:id="43" w:name="_Toc515"/>
            <w:r>
              <w:rPr>
                <w:rFonts w:hint="eastAsia" w:ascii="宋体" w:hAnsi="宋体" w:eastAsia="宋体" w:cs="宋体"/>
                <w:b/>
                <w:bCs/>
                <w:color w:val="auto"/>
                <w:sz w:val="21"/>
                <w:szCs w:val="21"/>
                <w:highlight w:val="none"/>
                <w:lang w:val="en-US" w:eastAsia="zh-CN"/>
              </w:rPr>
              <w:t>投标软件下载</w:t>
            </w:r>
          </w:p>
        </w:tc>
        <w:tc>
          <w:tcPr>
            <w:tcW w:w="7650" w:type="dxa"/>
            <w:tcBorders>
              <w:top w:val="single" w:color="auto" w:sz="8" w:space="0"/>
              <w:left w:val="single" w:color="auto" w:sz="4" w:space="0"/>
              <w:bottom w:val="single" w:color="auto" w:sz="8" w:space="0"/>
              <w:right w:val="single" w:color="auto" w:sz="8" w:space="0"/>
            </w:tcBorders>
            <w:vAlign w:val="center"/>
          </w:tcPr>
          <w:p w14:paraId="2405B67F">
            <w:pPr>
              <w:keepNext w:val="0"/>
              <w:keepLines w:val="0"/>
              <w:pageBreakBefore w:val="0"/>
              <w:kinsoku/>
              <w:overflowPunct/>
              <w:topLinePunct w:val="0"/>
              <w:autoSpaceDE/>
              <w:autoSpaceDN/>
              <w:bidi w:val="0"/>
              <w:adjustRightInd w:val="0"/>
              <w:snapToGrid w:val="0"/>
              <w:spacing w:line="5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投标软件制作工具下载：</w:t>
            </w:r>
          </w:p>
          <w:p w14:paraId="205991CC">
            <w:pPr>
              <w:keepNext w:val="0"/>
              <w:keepLines w:val="0"/>
              <w:pageBreakBefore w:val="0"/>
              <w:kinsoku/>
              <w:overflowPunct/>
              <w:topLinePunct w:val="0"/>
              <w:autoSpaceDE/>
              <w:autoSpaceDN/>
              <w:bidi w:val="0"/>
              <w:adjustRightInd w:val="0"/>
              <w:snapToGrid w:val="0"/>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https://download.bqpoint.com/download/downloaddetail.html?SourceFrom=Ztb&amp;ZtbSoftXiaQuCode=0128&amp;ZtbSoftType=tballinclusive</w:t>
            </w:r>
          </w:p>
        </w:tc>
      </w:tr>
    </w:tbl>
    <w:p w14:paraId="7204D75A">
      <w:pPr>
        <w:spacing w:line="400" w:lineRule="exact"/>
        <w:jc w:val="center"/>
        <w:outlineLvl w:val="1"/>
        <w:rPr>
          <w:rFonts w:hint="eastAsia" w:ascii="宋体" w:hAnsi="宋体" w:eastAsia="宋体" w:cs="宋体"/>
          <w:b/>
          <w:bCs/>
          <w:color w:val="auto"/>
          <w:sz w:val="28"/>
          <w:highlight w:val="none"/>
        </w:rPr>
      </w:pPr>
    </w:p>
    <w:p w14:paraId="6AC620C2">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p>
    <w:p w14:paraId="7C15ACA5">
      <w:pPr>
        <w:keepNext w:val="0"/>
        <w:keepLines w:val="0"/>
        <w:pageBreakBefore w:val="0"/>
        <w:widowControl w:val="0"/>
        <w:kinsoku/>
        <w:wordWrap/>
        <w:overflowPunct/>
        <w:topLinePunct w:val="0"/>
        <w:autoSpaceDE/>
        <w:autoSpaceDN/>
        <w:bidi w:val="0"/>
        <w:adjustRightInd/>
        <w:snapToGrid/>
        <w:spacing w:before="313" w:beforeLines="100" w:line="400" w:lineRule="exact"/>
        <w:jc w:val="both"/>
        <w:textAlignment w:val="auto"/>
        <w:outlineLvl w:val="1"/>
        <w:rPr>
          <w:rFonts w:hint="eastAsia" w:ascii="宋体" w:hAnsi="宋体" w:eastAsia="宋体" w:cs="宋体"/>
          <w:b/>
          <w:bCs/>
          <w:color w:val="auto"/>
          <w:sz w:val="28"/>
          <w:highlight w:val="none"/>
        </w:rPr>
      </w:pPr>
    </w:p>
    <w:p w14:paraId="5115A68F">
      <w:pPr>
        <w:rPr>
          <w:rFonts w:hint="eastAsia"/>
          <w:color w:val="auto"/>
          <w:highlight w:val="none"/>
        </w:rPr>
      </w:pPr>
      <w:r>
        <w:rPr>
          <w:rFonts w:hint="eastAsia"/>
          <w:color w:val="auto"/>
          <w:highlight w:val="none"/>
        </w:rPr>
        <w:br w:type="page"/>
      </w:r>
    </w:p>
    <w:p w14:paraId="6094F76D">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2"/>
      <w:bookmarkEnd w:id="43"/>
    </w:p>
    <w:p w14:paraId="5FB33392">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滁州市北大街示范区B区工程结构安全性检测服务</w:t>
      </w:r>
    </w:p>
    <w:p w14:paraId="26F9FD99">
      <w:pPr>
        <w:keepNext w:val="0"/>
        <w:keepLines w:val="0"/>
        <w:pageBreakBefore w:val="0"/>
        <w:widowControl w:val="0"/>
        <w:kinsoku/>
        <w:wordWrap/>
        <w:overflowPunct/>
        <w:topLinePunct w:val="0"/>
        <w:autoSpaceDE/>
        <w:autoSpaceDN/>
        <w:bidi w:val="0"/>
        <w:adjustRightInd/>
        <w:snapToGrid/>
        <w:spacing w:line="50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cs="宋体"/>
          <w:color w:val="auto"/>
          <w:sz w:val="21"/>
          <w:szCs w:val="21"/>
          <w:highlight w:val="none"/>
          <w:u w:val="none"/>
          <w:lang w:eastAsia="zh-CN"/>
        </w:rPr>
        <w:t>滁州市重点工程建设管理处</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eastAsia="宋体" w:cs="宋体"/>
          <w:color w:val="auto"/>
          <w:sz w:val="21"/>
          <w:szCs w:val="21"/>
          <w:highlight w:val="none"/>
          <w:u w:val="none"/>
          <w:lang w:val="en-US" w:eastAsia="zh-CN"/>
        </w:rPr>
        <w:t>服务费约</w:t>
      </w:r>
      <w:r>
        <w:rPr>
          <w:rFonts w:hint="eastAsia" w:ascii="宋体" w:hAnsi="宋体" w:cs="宋体"/>
          <w:color w:val="auto"/>
          <w:sz w:val="21"/>
          <w:szCs w:val="21"/>
          <w:highlight w:val="none"/>
          <w:u w:val="none"/>
          <w:lang w:val="en-US" w:eastAsia="zh-CN"/>
        </w:rPr>
        <w:t>84000.00</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kern w:val="0"/>
          <w:sz w:val="21"/>
          <w:szCs w:val="21"/>
          <w:highlight w:val="none"/>
          <w:u w:val="none"/>
          <w:lang w:val="en-US" w:eastAsia="zh-CN"/>
        </w:rPr>
        <w:t>。</w:t>
      </w:r>
    </w:p>
    <w:p w14:paraId="67586197">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服务需求</w:t>
      </w:r>
    </w:p>
    <w:p w14:paraId="67DEE0C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0FE54FE">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7F96507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固定总价</w:t>
      </w:r>
      <w:r>
        <w:rPr>
          <w:rFonts w:hint="eastAsia" w:ascii="宋体" w:hAnsi="宋体" w:eastAsia="宋体" w:cs="宋体"/>
          <w:color w:val="auto"/>
          <w:sz w:val="21"/>
          <w:szCs w:val="21"/>
          <w:highlight w:val="none"/>
        </w:rPr>
        <w:t>。</w:t>
      </w:r>
    </w:p>
    <w:p w14:paraId="06FDAF9B">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2E0A7D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0BCBF344">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4592EB5D">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796160D6">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1DAD49D1">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788E0003">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04B3D66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6562C86">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2EB90A2C">
      <w:pPr>
        <w:keepNext w:val="0"/>
        <w:keepLines w:val="0"/>
        <w:pageBreakBefore w:val="0"/>
        <w:widowControl w:val="0"/>
        <w:kinsoku/>
        <w:wordWrap/>
        <w:overflowPunct/>
        <w:topLinePunct w:val="0"/>
        <w:autoSpaceDE/>
        <w:autoSpaceDN/>
        <w:bidi w:val="0"/>
        <w:adjustRightInd/>
        <w:snapToGrid/>
        <w:spacing w:line="50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个标段  </w:t>
      </w:r>
    </w:p>
    <w:p w14:paraId="084D1B0F">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585C68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4E82FFBC">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A62DB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lang w:val="en-US" w:eastAsia="zh-CN"/>
        </w:rPr>
        <w:t>固定</w:t>
      </w:r>
      <w:r>
        <w:rPr>
          <w:rFonts w:hint="eastAsia" w:ascii="宋体" w:hAnsi="宋体" w:cs="宋体"/>
          <w:color w:val="auto"/>
          <w:sz w:val="21"/>
          <w:szCs w:val="21"/>
          <w:highlight w:val="none"/>
          <w:u w:val="single"/>
          <w:lang w:val="en-US" w:eastAsia="zh-CN"/>
        </w:rPr>
        <w:t>总价</w:t>
      </w:r>
      <w:r>
        <w:rPr>
          <w:rFonts w:hint="eastAsia" w:ascii="宋体" w:hAnsi="宋体" w:eastAsia="宋体" w:cs="宋体"/>
          <w:color w:val="auto"/>
          <w:sz w:val="21"/>
          <w:szCs w:val="21"/>
          <w:highlight w:val="none"/>
        </w:rPr>
        <w:t>。</w:t>
      </w:r>
    </w:p>
    <w:p w14:paraId="08A7EAA4">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最低评标价法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章评标办法）。</w:t>
      </w:r>
    </w:p>
    <w:p w14:paraId="2DD47ABF">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rPr>
      </w:pPr>
      <w:bookmarkStart w:id="44" w:name="_Toc17301"/>
      <w:bookmarkStart w:id="45" w:name="_Toc29988"/>
      <w:r>
        <w:rPr>
          <w:rFonts w:hint="eastAsia" w:ascii="宋体" w:hAnsi="宋体" w:eastAsia="宋体" w:cs="宋体"/>
          <w:b/>
          <w:bCs/>
          <w:color w:val="auto"/>
          <w:sz w:val="28"/>
          <w:highlight w:val="none"/>
        </w:rPr>
        <w:t>二、招标文件</w:t>
      </w:r>
      <w:bookmarkEnd w:id="44"/>
      <w:bookmarkEnd w:id="45"/>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textAlignment w:val="auto"/>
        <w:rPr>
          <w:rFonts w:hint="default" w:eastAsia="宋体"/>
          <w:color w:val="auto"/>
          <w:highlight w:val="none"/>
          <w:lang w:val="en-US" w:eastAsia="zh-CN"/>
        </w:rPr>
      </w:pPr>
      <w:r>
        <w:rPr>
          <w:rFonts w:hint="eastAsia" w:ascii="宋体" w:hAnsi="宋体" w:eastAsia="宋体" w:cs="宋体"/>
          <w:b/>
          <w:bCs/>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发布，但不指明澄清问题的来源。如果澄清内容影响投标文件编制的，将相应延长投标截止时间。</w:t>
      </w:r>
    </w:p>
    <w:p w14:paraId="182D12DA">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rPr>
        <w:t>本项目的</w:t>
      </w:r>
      <w:r>
        <w:rPr>
          <w:rFonts w:hint="eastAsia" w:ascii="宋体" w:hAnsi="宋体" w:eastAsia="宋体" w:cs="宋体"/>
          <w:b/>
          <w:bCs/>
          <w:color w:val="auto"/>
          <w:sz w:val="21"/>
          <w:szCs w:val="21"/>
          <w:highlight w:val="none"/>
          <w:lang w:val="en-US" w:eastAsia="zh-CN"/>
        </w:rPr>
        <w:t>最高限价</w:t>
      </w:r>
      <w:r>
        <w:rPr>
          <w:rFonts w:hint="eastAsia" w:ascii="宋体" w:hAnsi="宋体" w:cs="宋体"/>
          <w:b/>
          <w:bCs/>
          <w:color w:val="auto"/>
          <w:sz w:val="21"/>
          <w:szCs w:val="21"/>
          <w:highlight w:val="none"/>
          <w:lang w:val="en-US" w:eastAsia="zh-CN"/>
        </w:rPr>
        <w:t>为</w:t>
      </w:r>
      <w:r>
        <w:rPr>
          <w:rFonts w:hint="eastAsia" w:ascii="宋体" w:hAnsi="宋体" w:eastAsia="宋体" w:cs="宋体"/>
          <w:b/>
          <w:bCs/>
          <w:color w:val="auto"/>
          <w:sz w:val="21"/>
          <w:szCs w:val="21"/>
          <w:highlight w:val="none"/>
          <w:lang w:val="en-US" w:eastAsia="zh-CN"/>
        </w:rPr>
        <w:t>84000.00元，投标报价</w:t>
      </w:r>
      <w:r>
        <w:rPr>
          <w:rFonts w:hint="eastAsia" w:ascii="宋体" w:hAnsi="宋体" w:eastAsia="宋体" w:cs="宋体"/>
          <w:b/>
          <w:bCs/>
          <w:color w:val="auto"/>
          <w:sz w:val="21"/>
          <w:szCs w:val="21"/>
          <w:highlight w:val="none"/>
        </w:rPr>
        <w:t>不得高于最高限价，否则按无效标处理。</w:t>
      </w:r>
    </w:p>
    <w:p w14:paraId="344A8BB9">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rPr>
      </w:pPr>
      <w:bookmarkStart w:id="46" w:name="_Toc24852"/>
      <w:bookmarkStart w:id="47" w:name="_Toc6831"/>
      <w:r>
        <w:rPr>
          <w:rFonts w:hint="eastAsia" w:ascii="宋体" w:hAnsi="宋体" w:eastAsia="宋体" w:cs="宋体"/>
          <w:b/>
          <w:bCs/>
          <w:color w:val="auto"/>
          <w:sz w:val="28"/>
          <w:highlight w:val="none"/>
        </w:rPr>
        <w:t>三、投标文件的编制</w:t>
      </w:r>
      <w:bookmarkEnd w:id="46"/>
      <w:bookmarkEnd w:id="47"/>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57A651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2342D3F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BD1EDFA">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3）企业资质；</w:t>
      </w:r>
    </w:p>
    <w:p w14:paraId="6520942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w:t>
      </w:r>
      <w:r>
        <w:rPr>
          <w:rFonts w:hint="eastAsia" w:ascii="宋体" w:hAnsi="宋体" w:cs="宋体"/>
          <w:color w:val="auto"/>
          <w:sz w:val="21"/>
          <w:szCs w:val="21"/>
          <w:highlight w:val="none"/>
          <w:lang w:val="en-US" w:eastAsia="zh-CN"/>
        </w:rPr>
        <w:t>有效身份证及职称证书</w:t>
      </w:r>
      <w:r>
        <w:rPr>
          <w:rFonts w:hint="eastAsia" w:ascii="宋体" w:hAnsi="宋体" w:eastAsia="宋体" w:cs="宋体"/>
          <w:color w:val="auto"/>
          <w:sz w:val="21"/>
          <w:szCs w:val="21"/>
          <w:highlight w:val="none"/>
          <w:lang w:val="en-US" w:eastAsia="zh-CN"/>
        </w:rPr>
        <w:t xml:space="preserve">； </w:t>
      </w:r>
    </w:p>
    <w:p w14:paraId="79634D2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和</w:t>
      </w:r>
      <w:r>
        <w:rPr>
          <w:rFonts w:hint="eastAsia" w:ascii="宋体" w:hAnsi="宋体" w:eastAsia="宋体" w:cs="宋体"/>
          <w:color w:val="auto"/>
          <w:sz w:val="21"/>
          <w:szCs w:val="21"/>
          <w:highlight w:val="none"/>
        </w:rPr>
        <w:t>项目负责人</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p>
    <w:p w14:paraId="70AD6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承诺书：投标人对所提供的上述材料作出承诺，若投标人存在弄虚作假，提供虚假资料的，若中标，则取消中标资格。（承诺书格式自拟并注明开标日期，加盖投标单位公章）</w:t>
      </w:r>
    </w:p>
    <w:p w14:paraId="1D000F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3DC867D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）投标人认为需要提供的其他材料。</w:t>
      </w:r>
    </w:p>
    <w:p w14:paraId="6CFB64B6">
      <w:pPr>
        <w:keepNext w:val="0"/>
        <w:keepLines w:val="0"/>
        <w:pageBreakBefore w:val="0"/>
        <w:widowControl w:val="0"/>
        <w:numPr>
          <w:ilvl w:val="0"/>
          <w:numId w:val="0"/>
        </w:numPr>
        <w:kinsoku/>
        <w:overflowPunct/>
        <w:topLinePunct w:val="0"/>
        <w:autoSpaceDE/>
        <w:autoSpaceDN/>
        <w:bidi w:val="0"/>
        <w:spacing w:line="500" w:lineRule="exact"/>
        <w:jc w:val="both"/>
        <w:textAlignment w:val="auto"/>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keepNext w:val="0"/>
        <w:keepLines w:val="0"/>
        <w:pageBreakBefore w:val="0"/>
        <w:widowControl w:val="0"/>
        <w:kinsoku/>
        <w:overflowPunct/>
        <w:topLinePunct w:val="0"/>
        <w:autoSpaceDE/>
        <w:autoSpaceDN/>
        <w:bidi w:val="0"/>
        <w:spacing w:line="500" w:lineRule="exact"/>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keepNext w:val="0"/>
        <w:keepLines w:val="0"/>
        <w:pageBreakBefore w:val="0"/>
        <w:widowControl w:val="0"/>
        <w:kinsoku/>
        <w:overflowPunct/>
        <w:topLinePunct w:val="0"/>
        <w:autoSpaceDE/>
        <w:autoSpaceDN/>
        <w:bidi w:val="0"/>
        <w:spacing w:line="500" w:lineRule="exact"/>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keepNext w:val="0"/>
        <w:keepLines w:val="0"/>
        <w:pageBreakBefore w:val="0"/>
        <w:widowControl w:val="0"/>
        <w:kinsoku/>
        <w:overflowPunct/>
        <w:topLinePunct w:val="0"/>
        <w:autoSpaceDE/>
        <w:autoSpaceDN/>
        <w:bidi w:val="0"/>
        <w:spacing w:line="500" w:lineRule="exact"/>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276CFE5B">
      <w:pPr>
        <w:keepNext w:val="0"/>
        <w:keepLines w:val="0"/>
        <w:pageBreakBefore w:val="0"/>
        <w:widowControl w:val="0"/>
        <w:kinsoku/>
        <w:overflowPunct/>
        <w:topLinePunct w:val="0"/>
        <w:autoSpaceDE/>
        <w:autoSpaceDN/>
        <w:bidi w:val="0"/>
        <w:spacing w:line="50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42834304">
      <w:pPr>
        <w:keepNext w:val="0"/>
        <w:keepLines w:val="0"/>
        <w:pageBreakBefore w:val="0"/>
        <w:widowControl w:val="0"/>
        <w:kinsoku/>
        <w:overflowPunct/>
        <w:topLinePunct w:val="0"/>
        <w:autoSpaceDE/>
        <w:autoSpaceDN/>
        <w:bidi w:val="0"/>
        <w:spacing w:line="50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keepNext w:val="0"/>
        <w:keepLines w:val="0"/>
        <w:pageBreakBefore w:val="0"/>
        <w:widowControl w:val="0"/>
        <w:kinsoku/>
        <w:overflowPunct/>
        <w:topLinePunct w:val="0"/>
        <w:autoSpaceDE/>
        <w:autoSpaceDN/>
        <w:bidi w:val="0"/>
        <w:spacing w:line="50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keepNext w:val="0"/>
        <w:keepLines w:val="0"/>
        <w:pageBreakBefore w:val="0"/>
        <w:widowControl w:val="0"/>
        <w:kinsoku/>
        <w:overflowPunct/>
        <w:topLinePunct w:val="0"/>
        <w:autoSpaceDE/>
        <w:autoSpaceDN/>
        <w:bidi w:val="0"/>
        <w:spacing w:line="500" w:lineRule="exact"/>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64DCFAF7">
      <w:pPr>
        <w:keepNext w:val="0"/>
        <w:keepLines w:val="0"/>
        <w:pageBreakBefore w:val="0"/>
        <w:widowControl w:val="0"/>
        <w:kinsoku/>
        <w:overflowPunct/>
        <w:topLinePunct w:val="0"/>
        <w:autoSpaceDE/>
        <w:autoSpaceDN/>
        <w:bidi w:val="0"/>
        <w:spacing w:line="50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6D4B70A1">
      <w:pPr>
        <w:keepNext w:val="0"/>
        <w:keepLines w:val="0"/>
        <w:pageBreakBefore w:val="0"/>
        <w:widowControl w:val="0"/>
        <w:kinsoku/>
        <w:overflowPunct/>
        <w:topLinePunct w:val="0"/>
        <w:autoSpaceDE/>
        <w:autoSpaceDN/>
        <w:bidi w:val="0"/>
        <w:spacing w:line="50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12304D1D">
      <w:pPr>
        <w:keepNext w:val="0"/>
        <w:keepLines w:val="0"/>
        <w:pageBreakBefore w:val="0"/>
        <w:widowControl w:val="0"/>
        <w:kinsoku/>
        <w:overflowPunct/>
        <w:topLinePunct w:val="0"/>
        <w:autoSpaceDE/>
        <w:autoSpaceDN/>
        <w:bidi w:val="0"/>
        <w:spacing w:line="50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62D31D9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keepNext w:val="0"/>
        <w:keepLines w:val="0"/>
        <w:pageBreakBefore w:val="0"/>
        <w:widowControl w:val="0"/>
        <w:kinsoku/>
        <w:overflowPunct/>
        <w:topLinePunct w:val="0"/>
        <w:autoSpaceDE/>
        <w:autoSpaceDN/>
        <w:bidi w:val="0"/>
        <w:spacing w:line="500" w:lineRule="exact"/>
        <w:textAlignment w:val="auto"/>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p>
    <w:p w14:paraId="52D2929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BE993A2">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color w:val="auto"/>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0A229A7F">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rPr>
      </w:pPr>
      <w:bookmarkStart w:id="48" w:name="_Toc13407"/>
      <w:bookmarkStart w:id="49" w:name="_Toc27519"/>
      <w:r>
        <w:rPr>
          <w:rFonts w:hint="eastAsia" w:ascii="宋体" w:hAnsi="宋体" w:eastAsia="宋体" w:cs="宋体"/>
          <w:b/>
          <w:bCs/>
          <w:color w:val="auto"/>
          <w:sz w:val="28"/>
          <w:highlight w:val="none"/>
        </w:rPr>
        <w:t>四、投标文件的递交</w:t>
      </w:r>
      <w:bookmarkEnd w:id="48"/>
      <w:bookmarkEnd w:id="49"/>
    </w:p>
    <w:p w14:paraId="3545408C">
      <w:pPr>
        <w:keepNext w:val="0"/>
        <w:keepLines w:val="0"/>
        <w:pageBreakBefore w:val="0"/>
        <w:widowControl w:val="0"/>
        <w:numPr>
          <w:ilvl w:val="0"/>
          <w:numId w:val="0"/>
        </w:numPr>
        <w:kinsoku/>
        <w:overflowPunct/>
        <w:topLinePunct w:val="0"/>
        <w:autoSpaceDE/>
        <w:autoSpaceDN/>
        <w:bidi w:val="0"/>
        <w:spacing w:line="500" w:lineRule="exact"/>
        <w:jc w:val="both"/>
        <w:textAlignment w:val="auto"/>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keepNext w:val="0"/>
        <w:keepLines w:val="0"/>
        <w:pageBreakBefore w:val="0"/>
        <w:widowControl w:val="0"/>
        <w:kinsoku/>
        <w:overflowPunct/>
        <w:topLinePunct w:val="0"/>
        <w:autoSpaceDE/>
        <w:autoSpaceDN/>
        <w:bidi w:val="0"/>
        <w:spacing w:line="500" w:lineRule="exact"/>
        <w:jc w:val="left"/>
        <w:textAlignment w:val="auto"/>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keepNext w:val="0"/>
        <w:keepLines w:val="0"/>
        <w:pageBreakBefore w:val="0"/>
        <w:widowControl w:val="0"/>
        <w:kinsoku/>
        <w:overflowPunct/>
        <w:topLinePunct w:val="0"/>
        <w:autoSpaceDE/>
        <w:autoSpaceDN/>
        <w:bidi w:val="0"/>
        <w:spacing w:line="500" w:lineRule="exact"/>
        <w:jc w:val="left"/>
        <w:textAlignment w:val="auto"/>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w:t>
      </w:r>
      <w:r>
        <w:rPr>
          <w:rFonts w:hint="eastAsia" w:ascii="宋体" w:hAnsi="宋体"/>
          <w:b/>
          <w:color w:val="auto"/>
          <w:szCs w:val="21"/>
          <w:highlight w:val="none"/>
        </w:rPr>
        <w:t>递</w:t>
      </w:r>
      <w:r>
        <w:rPr>
          <w:rFonts w:hint="eastAsia" w:ascii="宋体" w:hAnsi="宋体"/>
          <w:b/>
          <w:bCs/>
          <w:color w:val="auto"/>
          <w:szCs w:val="21"/>
          <w:highlight w:val="none"/>
        </w:rPr>
        <w:t>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keepNext w:val="0"/>
        <w:keepLines w:val="0"/>
        <w:pageBreakBefore w:val="0"/>
        <w:widowControl w:val="0"/>
        <w:kinsoku/>
        <w:overflowPunct/>
        <w:topLinePunct w:val="0"/>
        <w:autoSpaceDE/>
        <w:autoSpaceDN/>
        <w:bidi w:val="0"/>
        <w:spacing w:line="500" w:lineRule="exact"/>
        <w:textAlignment w:val="auto"/>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500E7D0">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rPr>
      </w:pPr>
      <w:bookmarkStart w:id="50" w:name="_Toc24005"/>
      <w:bookmarkStart w:id="51" w:name="_Toc18173"/>
      <w:r>
        <w:rPr>
          <w:rFonts w:hint="eastAsia" w:ascii="宋体" w:hAnsi="宋体" w:eastAsia="宋体" w:cs="宋体"/>
          <w:b/>
          <w:bCs/>
          <w:color w:val="auto"/>
          <w:sz w:val="28"/>
          <w:highlight w:val="none"/>
        </w:rPr>
        <w:t>五、开标、评标和定标</w:t>
      </w:r>
      <w:bookmarkEnd w:id="50"/>
      <w:bookmarkEnd w:id="51"/>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keepNext w:val="0"/>
        <w:keepLines w:val="0"/>
        <w:pageBreakBefore w:val="0"/>
        <w:widowControl w:val="0"/>
        <w:kinsoku/>
        <w:wordWrap w:val="0"/>
        <w:overflowPunct/>
        <w:topLinePunct w:val="0"/>
        <w:autoSpaceDE/>
        <w:autoSpaceDN/>
        <w:bidi w:val="0"/>
        <w:spacing w:line="500" w:lineRule="exact"/>
        <w:ind w:right="-155" w:rightChars="-74" w:firstLine="210" w:firstLineChars="100"/>
        <w:jc w:val="left"/>
        <w:textAlignment w:val="auto"/>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keepNext w:val="0"/>
        <w:keepLines w:val="0"/>
        <w:pageBreakBefore w:val="0"/>
        <w:widowControl w:val="0"/>
        <w:kinsoku/>
        <w:wordWrap w:val="0"/>
        <w:overflowPunct/>
        <w:topLinePunct w:val="0"/>
        <w:autoSpaceDE/>
        <w:autoSpaceDN/>
        <w:bidi w:val="0"/>
        <w:spacing w:line="50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keepNext w:val="0"/>
        <w:keepLines w:val="0"/>
        <w:pageBreakBefore w:val="0"/>
        <w:widowControl w:val="0"/>
        <w:kinsoku/>
        <w:wordWrap w:val="0"/>
        <w:overflowPunct/>
        <w:topLinePunct w:val="0"/>
        <w:autoSpaceDE/>
        <w:autoSpaceDN/>
        <w:bidi w:val="0"/>
        <w:spacing w:line="50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keepNext w:val="0"/>
        <w:keepLines w:val="0"/>
        <w:pageBreakBefore w:val="0"/>
        <w:widowControl w:val="0"/>
        <w:kinsoku/>
        <w:wordWrap w:val="0"/>
        <w:overflowPunct/>
        <w:topLinePunct w:val="0"/>
        <w:autoSpaceDE/>
        <w:autoSpaceDN/>
        <w:bidi w:val="0"/>
        <w:spacing w:line="50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keepNext w:val="0"/>
        <w:keepLines w:val="0"/>
        <w:pageBreakBefore w:val="0"/>
        <w:widowControl w:val="0"/>
        <w:kinsoku/>
        <w:wordWrap w:val="0"/>
        <w:overflowPunct/>
        <w:topLinePunct w:val="0"/>
        <w:autoSpaceDE/>
        <w:autoSpaceDN/>
        <w:bidi w:val="0"/>
        <w:spacing w:line="50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keepNext w:val="0"/>
        <w:keepLines w:val="0"/>
        <w:pageBreakBefore w:val="0"/>
        <w:widowControl w:val="0"/>
        <w:kinsoku/>
        <w:wordWrap w:val="0"/>
        <w:overflowPunct/>
        <w:topLinePunct w:val="0"/>
        <w:autoSpaceDE/>
        <w:autoSpaceDN/>
        <w:bidi w:val="0"/>
        <w:spacing w:line="50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 xml:space="preserve">（5）开标结束。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742AB9AD">
      <w:pPr>
        <w:pStyle w:val="2"/>
        <w:keepNext w:val="0"/>
        <w:keepLines w:val="0"/>
        <w:pageBreakBefore w:val="0"/>
        <w:widowControl w:val="0"/>
        <w:kinsoku/>
        <w:overflowPunct/>
        <w:topLinePunct w:val="0"/>
        <w:autoSpaceDE/>
        <w:autoSpaceDN/>
        <w:bidi w:val="0"/>
        <w:spacing w:line="500" w:lineRule="exact"/>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keepNext w:val="0"/>
        <w:keepLines w:val="0"/>
        <w:pageBreakBefore w:val="0"/>
        <w:widowControl w:val="0"/>
        <w:kinsoku/>
        <w:overflowPunct/>
        <w:topLinePunct w:val="0"/>
        <w:autoSpaceDE/>
        <w:autoSpaceDN/>
        <w:bidi w:val="0"/>
        <w:spacing w:line="500" w:lineRule="exact"/>
        <w:jc w:val="left"/>
        <w:textAlignment w:val="auto"/>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keepNext w:val="0"/>
        <w:keepLines w:val="0"/>
        <w:pageBreakBefore w:val="0"/>
        <w:widowControl w:val="0"/>
        <w:kinsoku/>
        <w:overflowPunct/>
        <w:topLinePunct w:val="0"/>
        <w:autoSpaceDE/>
        <w:autoSpaceDN/>
        <w:bidi w:val="0"/>
        <w:spacing w:line="500" w:lineRule="exact"/>
        <w:ind w:firstLine="205" w:firstLineChars="98"/>
        <w:jc w:val="left"/>
        <w:textAlignment w:val="auto"/>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keepNext w:val="0"/>
        <w:keepLines w:val="0"/>
        <w:pageBreakBefore w:val="0"/>
        <w:widowControl w:val="0"/>
        <w:kinsoku/>
        <w:overflowPunct/>
        <w:topLinePunct w:val="0"/>
        <w:autoSpaceDE/>
        <w:autoSpaceDN/>
        <w:bidi w:val="0"/>
        <w:spacing w:line="500" w:lineRule="exact"/>
        <w:jc w:val="left"/>
        <w:textAlignment w:val="auto"/>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4E4A2B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2A215D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196EDB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keepNext w:val="0"/>
        <w:keepLines w:val="0"/>
        <w:pageBreakBefore w:val="0"/>
        <w:widowControl w:val="0"/>
        <w:kinsoku/>
        <w:overflowPunct/>
        <w:topLinePunct w:val="0"/>
        <w:autoSpaceDE/>
        <w:autoSpaceDN/>
        <w:bidi w:val="0"/>
        <w:spacing w:line="500" w:lineRule="exact"/>
        <w:ind w:firstLine="205" w:firstLineChars="98"/>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keepNext w:val="0"/>
        <w:keepLines w:val="0"/>
        <w:pageBreakBefore w:val="0"/>
        <w:widowControl w:val="0"/>
        <w:kinsoku/>
        <w:overflowPunct/>
        <w:topLinePunct w:val="0"/>
        <w:autoSpaceDE/>
        <w:autoSpaceDN/>
        <w:bidi w:val="0"/>
        <w:spacing w:line="500" w:lineRule="exact"/>
        <w:ind w:firstLine="422"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7CBC244B">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312012EC">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7A869D92">
      <w:pPr>
        <w:pStyle w:val="18"/>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5604CD8A">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240A53A8">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keepNext w:val="0"/>
        <w:keepLines w:val="0"/>
        <w:pageBreakBefore w:val="0"/>
        <w:widowControl w:val="0"/>
        <w:kinsoku/>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keepNext w:val="0"/>
        <w:keepLines w:val="0"/>
        <w:pageBreakBefore w:val="0"/>
        <w:widowControl w:val="0"/>
        <w:kinsoku/>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keepNext w:val="0"/>
        <w:keepLines w:val="0"/>
        <w:pageBreakBefore w:val="0"/>
        <w:widowControl w:val="0"/>
        <w:kinsoku/>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keepNext w:val="0"/>
        <w:keepLines w:val="0"/>
        <w:pageBreakBefore w:val="0"/>
        <w:widowControl w:val="0"/>
        <w:kinsoku/>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keepNext w:val="0"/>
        <w:keepLines w:val="0"/>
        <w:pageBreakBefore w:val="0"/>
        <w:widowControl w:val="0"/>
        <w:kinsoku/>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keepNext w:val="0"/>
        <w:keepLines w:val="0"/>
        <w:pageBreakBefore w:val="0"/>
        <w:widowControl w:val="0"/>
        <w:kinsoku/>
        <w:overflowPunct/>
        <w:topLinePunct w:val="0"/>
        <w:autoSpaceDE/>
        <w:autoSpaceDN/>
        <w:bidi w:val="0"/>
        <w:spacing w:line="500" w:lineRule="exact"/>
        <w:ind w:firstLine="625" w:firstLineChars="298"/>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rPr>
      </w:pPr>
      <w:bookmarkStart w:id="52" w:name="_Toc21491"/>
      <w:bookmarkStart w:id="53" w:name="_Toc22926"/>
      <w:r>
        <w:rPr>
          <w:rFonts w:hint="eastAsia" w:ascii="宋体" w:hAnsi="宋体" w:eastAsia="宋体" w:cs="宋体"/>
          <w:b/>
          <w:bCs/>
          <w:color w:val="auto"/>
          <w:sz w:val="28"/>
          <w:highlight w:val="none"/>
        </w:rPr>
        <w:t>六、合同的授予</w:t>
      </w:r>
      <w:bookmarkEnd w:id="52"/>
      <w:bookmarkEnd w:id="53"/>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4" w:name="_Toc3222"/>
      <w:bookmarkStart w:id="55" w:name="_Toc31589_WPSOffice_Level1"/>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keepNext w:val="0"/>
        <w:keepLines w:val="0"/>
        <w:pageBreakBefore w:val="0"/>
        <w:widowControl w:val="0"/>
        <w:kinsoku/>
        <w:overflowPunct/>
        <w:topLinePunct w:val="0"/>
        <w:autoSpaceDE/>
        <w:autoSpaceDN/>
        <w:bidi w:val="0"/>
        <w:adjustRightInd w:val="0"/>
        <w:snapToGrid w:val="0"/>
        <w:spacing w:line="500" w:lineRule="exact"/>
        <w:textAlignment w:val="auto"/>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rPr>
      </w:pPr>
      <w:bookmarkStart w:id="56"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6"/>
    </w:p>
    <w:p w14:paraId="1CD4C1C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（二）质疑项目的名称、编号；</w:t>
      </w:r>
    </w:p>
    <w:p w14:paraId="2B5293B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（四）事实依据；</w:t>
      </w:r>
    </w:p>
    <w:p w14:paraId="0F584D0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（五）必要的法律依据；</w:t>
      </w:r>
    </w:p>
    <w:p w14:paraId="615070B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（六）提出质疑的日期。</w:t>
      </w:r>
    </w:p>
    <w:p w14:paraId="07F11C0E">
      <w:pPr>
        <w:keepNext w:val="0"/>
        <w:keepLines w:val="0"/>
        <w:pageBreakBefore w:val="0"/>
        <w:widowControl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2DFD0EC6">
      <w:pPr>
        <w:pStyle w:val="6"/>
        <w:spacing w:before="0" w:after="0"/>
        <w:rPr>
          <w:rFonts w:hint="eastAsia" w:ascii="宋体" w:hAnsi="宋体" w:eastAsia="宋体" w:cs="宋体"/>
          <w:color w:val="auto"/>
          <w:highlight w:val="none"/>
          <w:lang w:val="en-US" w:eastAsia="zh-CN"/>
        </w:rPr>
      </w:pPr>
    </w:p>
    <w:p w14:paraId="32EDDA19">
      <w:pPr>
        <w:pStyle w:val="6"/>
        <w:keepNext/>
        <w:keepLines/>
        <w:pageBreakBefore/>
        <w:widowControl w:val="0"/>
        <w:kinsoku/>
        <w:wordWrap/>
        <w:overflowPunct/>
        <w:topLinePunct w:val="0"/>
        <w:autoSpaceDE/>
        <w:autoSpaceDN/>
        <w:bidi w:val="0"/>
        <w:adjustRightInd/>
        <w:snapToGrid/>
        <w:spacing w:before="160" w:beforeLines="50" w:after="160" w:afterLines="50" w:line="520" w:lineRule="exact"/>
        <w:textAlignment w:val="auto"/>
        <w:rPr>
          <w:rFonts w:hint="eastAsia" w:ascii="宋体" w:hAnsi="宋体" w:eastAsia="宋体" w:cs="宋体"/>
          <w:color w:val="auto"/>
          <w:sz w:val="32"/>
          <w:szCs w:val="48"/>
          <w:highlight w:val="none"/>
          <w:lang w:val="en-US" w:eastAsia="zh-CN"/>
        </w:rPr>
      </w:pPr>
      <w:bookmarkStart w:id="57" w:name="_Toc13234"/>
      <w:r>
        <w:rPr>
          <w:rFonts w:hint="eastAsia" w:ascii="宋体" w:hAnsi="宋体" w:eastAsia="宋体" w:cs="宋体"/>
          <w:color w:val="auto"/>
          <w:sz w:val="32"/>
          <w:szCs w:val="48"/>
          <w:highlight w:val="none"/>
          <w:lang w:val="en-US" w:eastAsia="zh-CN"/>
        </w:rPr>
        <w:t>第二章 评标办法</w:t>
      </w:r>
      <w:bookmarkEnd w:id="57"/>
    </w:p>
    <w:p w14:paraId="65C859F8">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lang w:val="en-US" w:eastAsia="zh-CN"/>
        </w:rPr>
      </w:pPr>
      <w:bookmarkStart w:id="58" w:name="_Toc58430317"/>
      <w:bookmarkStart w:id="59" w:name="_Toc20697"/>
      <w:bookmarkStart w:id="60" w:name="_Toc449028877"/>
      <w:bookmarkStart w:id="61" w:name="_Toc362983801"/>
      <w:bookmarkStart w:id="62" w:name="_Toc58430318"/>
      <w:bookmarkStart w:id="63" w:name="_Toc362983802"/>
      <w:bookmarkStart w:id="64" w:name="_Toc449028878"/>
      <w:bookmarkStart w:id="65" w:name="_Toc267320058"/>
      <w:r>
        <w:rPr>
          <w:rFonts w:hint="eastAsia" w:ascii="宋体" w:hAnsi="宋体" w:eastAsia="宋体" w:cs="宋体"/>
          <w:b/>
          <w:bCs/>
          <w:color w:val="auto"/>
          <w:sz w:val="28"/>
          <w:highlight w:val="none"/>
          <w:lang w:val="en-US" w:eastAsia="zh-CN"/>
        </w:rPr>
        <w:t>一、总则</w:t>
      </w:r>
      <w:bookmarkEnd w:id="58"/>
      <w:bookmarkEnd w:id="59"/>
      <w:bookmarkEnd w:id="60"/>
      <w:bookmarkEnd w:id="61"/>
    </w:p>
    <w:p w14:paraId="28817488">
      <w:pPr>
        <w:keepNext w:val="0"/>
        <w:keepLines w:val="0"/>
        <w:pageBreakBefore w:val="0"/>
        <w:widowControl w:val="0"/>
        <w:kinsoku/>
        <w:wordWrap/>
        <w:overflowPunct/>
        <w:topLinePunct w:val="0"/>
        <w:autoSpaceDE/>
        <w:autoSpaceDN/>
        <w:bidi w:val="0"/>
        <w:adjustRightInd/>
        <w:spacing w:line="500" w:lineRule="exact"/>
        <w:ind w:firstLine="316" w:firstLineChars="15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1.本次评标采用最低评标价法</w:t>
      </w:r>
    </w:p>
    <w:p w14:paraId="7BF4715F">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1.1最低评标价法，是指投标文件满足招标文件全部实质性要求且投标报价由低到高的供应商为中标候选人的评标方法。</w:t>
      </w:r>
    </w:p>
    <w:p w14:paraId="6F9E58C9">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1.2最低评标价法一般适用于标准定制商品及通用服务项目的项目评审。</w:t>
      </w:r>
    </w:p>
    <w:p w14:paraId="24F12328">
      <w:pPr>
        <w:keepNext w:val="0"/>
        <w:keepLines w:val="0"/>
        <w:pageBreakBefore w:val="0"/>
        <w:widowControl w:val="0"/>
        <w:kinsoku/>
        <w:wordWrap/>
        <w:overflowPunct/>
        <w:topLinePunct w:val="0"/>
        <w:autoSpaceDE/>
        <w:autoSpaceDN/>
        <w:bidi w:val="0"/>
        <w:adjustRightInd/>
        <w:spacing w:line="5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2．评标程序</w:t>
      </w:r>
    </w:p>
    <w:p w14:paraId="2F9AEFB2">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2.1投标文件的初审</w:t>
      </w:r>
    </w:p>
    <w:p w14:paraId="05652594">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2.1.1资格性检查。依据法律法规和招标文件的规定，对投标文件中的资格证明等进行审查，以确定投标人是否具备投标资格。 </w:t>
      </w:r>
    </w:p>
    <w:p w14:paraId="797CDC69">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2.1.2符合性检查。依据招标文件的规定，从投标文件的有效性、完整性和对招标文件的响应程度进行审查，以确定投标人是否对招标文件的实质性要求作出响应。</w:t>
      </w:r>
    </w:p>
    <w:p w14:paraId="491C42A9">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2.2投标文件的澄清</w:t>
      </w:r>
    </w:p>
    <w:p w14:paraId="04A035EF">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2.2.1本项目采用远程开标，具体操作方法详见服务指南&gt;交易须知&gt;开标大厅远程解密、质疑(异议)及回复以及评标过程中询标流程操作手册。 </w:t>
      </w:r>
    </w:p>
    <w:p w14:paraId="70726F80">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2.3比较与评价</w:t>
      </w:r>
    </w:p>
    <w:p w14:paraId="7B408187">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3.1按招标文件中规定的评标方法和标准，对资格性检查和符合性检查合格的投标文件进行商务报价评审，综合比较与评价。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2.4推荐中标候选人名单</w:t>
      </w:r>
    </w:p>
    <w:p w14:paraId="6C3CFB83">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2.4.1中标候选人数量应当根据采购需要确定，但必须按顺序排列中标候选人。</w:t>
      </w:r>
    </w:p>
    <w:p w14:paraId="40D5556B">
      <w:pPr>
        <w:keepNext w:val="0"/>
        <w:keepLines w:val="0"/>
        <w:pageBreakBefore w:val="0"/>
        <w:widowControl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2.5在投标文件的审查、澄清、评价和比较以及授予合同过程中，投标人对招标单位和评标委员会成员施加影响的任何行为，都将导致取消其中标资格。</w:t>
      </w:r>
    </w:p>
    <w:p w14:paraId="04DC35F2">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二、投标文件初审</w:t>
      </w:r>
      <w:bookmarkEnd w:id="62"/>
      <w:bookmarkEnd w:id="63"/>
      <w:bookmarkEnd w:id="64"/>
    </w:p>
    <w:p w14:paraId="6A5094A8">
      <w:pPr>
        <w:keepNext w:val="0"/>
        <w:keepLines w:val="0"/>
        <w:pageBreakBefore w:val="0"/>
        <w:widowControl w:val="0"/>
        <w:kinsoku/>
        <w:wordWrap/>
        <w:overflowPunct/>
        <w:topLinePunct w:val="0"/>
        <w:autoSpaceDE/>
        <w:autoSpaceDN/>
        <w:bidi w:val="0"/>
        <w:adjustRightInd/>
        <w:spacing w:line="500" w:lineRule="exact"/>
        <w:ind w:firstLine="310" w:firstLineChars="147"/>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3.资格性审查:</w:t>
      </w:r>
    </w:p>
    <w:p w14:paraId="0EDB9D8E">
      <w:pPr>
        <w:keepNext w:val="0"/>
        <w:keepLines w:val="0"/>
        <w:pageBreakBefore w:val="0"/>
        <w:widowControl w:val="0"/>
        <w:kinsoku/>
        <w:wordWrap/>
        <w:overflowPunct/>
        <w:topLinePunct w:val="0"/>
        <w:autoSpaceDE/>
        <w:autoSpaceDN/>
        <w:bidi w:val="0"/>
        <w:adjustRightInd/>
        <w:spacing w:line="500" w:lineRule="exact"/>
        <w:ind w:firstLine="308" w:firstLineChars="147"/>
        <w:jc w:val="left"/>
        <w:textAlignment w:val="auto"/>
        <w:rPr>
          <w:rFonts w:hint="eastAsia" w:ascii="宋体" w:hAnsi="宋体" w:eastAsia="宋体" w:cs="宋体"/>
          <w:color w:val="auto"/>
          <w:szCs w:val="21"/>
        </w:rPr>
      </w:pPr>
      <w:r>
        <w:rPr>
          <w:rFonts w:hint="eastAsia" w:ascii="宋体" w:hAnsi="宋体" w:eastAsia="宋体" w:cs="宋体"/>
          <w:color w:val="auto"/>
          <w:szCs w:val="21"/>
        </w:rPr>
        <w:t>3.1评审细则</w:t>
      </w:r>
    </w:p>
    <w:tbl>
      <w:tblPr>
        <w:tblStyle w:val="45"/>
        <w:tblW w:w="10515"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5"/>
        <w:gridCol w:w="5558"/>
        <w:gridCol w:w="2512"/>
      </w:tblGrid>
      <w:tr w14:paraId="2792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noWrap w:val="0"/>
            <w:vAlign w:val="center"/>
          </w:tcPr>
          <w:p w14:paraId="3266C8DB">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7283" w:type="dxa"/>
            <w:gridSpan w:val="2"/>
            <w:noWrap w:val="0"/>
            <w:vAlign w:val="center"/>
          </w:tcPr>
          <w:p w14:paraId="2BAC903E">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评审因素</w:t>
            </w:r>
          </w:p>
        </w:tc>
        <w:tc>
          <w:tcPr>
            <w:tcW w:w="2512" w:type="dxa"/>
            <w:noWrap w:val="0"/>
            <w:vAlign w:val="center"/>
          </w:tcPr>
          <w:p w14:paraId="573296DD">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评审标准</w:t>
            </w:r>
          </w:p>
        </w:tc>
      </w:tr>
      <w:tr w14:paraId="0B59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0" w:type="dxa"/>
            <w:noWrap w:val="0"/>
            <w:vAlign w:val="center"/>
          </w:tcPr>
          <w:p w14:paraId="39270784">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725" w:type="dxa"/>
            <w:noWrap w:val="0"/>
            <w:vAlign w:val="center"/>
          </w:tcPr>
          <w:p w14:paraId="652C2535">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重要要求</w:t>
            </w:r>
          </w:p>
        </w:tc>
        <w:tc>
          <w:tcPr>
            <w:tcW w:w="5558" w:type="dxa"/>
            <w:noWrap w:val="0"/>
            <w:vAlign w:val="center"/>
          </w:tcPr>
          <w:p w14:paraId="4DF8523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Cs w:val="21"/>
              </w:rPr>
            </w:pPr>
            <w:r>
              <w:rPr>
                <w:rFonts w:hint="eastAsia" w:ascii="宋体" w:hAnsi="宋体" w:eastAsia="宋体" w:cs="宋体"/>
                <w:color w:val="auto"/>
                <w:szCs w:val="21"/>
              </w:rPr>
              <w:t>（1）法定代表人身份证明和本人有效身份证(或法定代表人授权委托书和委托代理人有效身份证)</w:t>
            </w:r>
          </w:p>
        </w:tc>
        <w:tc>
          <w:tcPr>
            <w:tcW w:w="2512" w:type="dxa"/>
            <w:noWrap w:val="0"/>
            <w:vAlign w:val="center"/>
          </w:tcPr>
          <w:p w14:paraId="4BF9308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检验电子标书</w:t>
            </w:r>
          </w:p>
        </w:tc>
      </w:tr>
      <w:tr w14:paraId="247A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20" w:type="dxa"/>
            <w:vMerge w:val="restart"/>
            <w:noWrap w:val="0"/>
            <w:vAlign w:val="center"/>
          </w:tcPr>
          <w:p w14:paraId="0F041C6D">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725" w:type="dxa"/>
            <w:vMerge w:val="restart"/>
            <w:noWrap w:val="0"/>
            <w:vAlign w:val="center"/>
          </w:tcPr>
          <w:p w14:paraId="298512F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Cs w:val="21"/>
              </w:rPr>
            </w:pPr>
            <w:r>
              <w:rPr>
                <w:rFonts w:hint="eastAsia" w:ascii="宋体" w:hAnsi="宋体" w:eastAsia="宋体" w:cs="宋体"/>
                <w:color w:val="auto"/>
                <w:szCs w:val="21"/>
              </w:rPr>
              <w:t>投标人应符合的基本资格条件</w:t>
            </w:r>
          </w:p>
        </w:tc>
        <w:tc>
          <w:tcPr>
            <w:tcW w:w="5558" w:type="dxa"/>
            <w:noWrap w:val="0"/>
            <w:vAlign w:val="center"/>
          </w:tcPr>
          <w:p w14:paraId="5CD550C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具有建设工程质量检测机构资质证书（资质类别为综合资质或同时具有主体结构及装饰装修和</w:t>
            </w:r>
            <w:r>
              <w:rPr>
                <w:rFonts w:hint="eastAsia" w:ascii="宋体" w:hAnsi="宋体" w:eastAsia="宋体" w:cs="宋体"/>
                <w:color w:val="auto"/>
                <w:szCs w:val="21"/>
                <w:lang w:val="en-US" w:eastAsia="en-US"/>
              </w:rPr>
              <w:t>地基基础</w:t>
            </w:r>
            <w:r>
              <w:rPr>
                <w:rFonts w:hint="eastAsia" w:ascii="宋体" w:hAnsi="宋体" w:eastAsia="宋体" w:cs="宋体"/>
                <w:color w:val="auto"/>
                <w:szCs w:val="21"/>
                <w:lang w:val="en-US" w:eastAsia="zh-CN"/>
              </w:rPr>
              <w:t>的专项资质）</w:t>
            </w:r>
          </w:p>
        </w:tc>
        <w:tc>
          <w:tcPr>
            <w:tcW w:w="2512" w:type="dxa"/>
            <w:noWrap w:val="0"/>
            <w:vAlign w:val="center"/>
          </w:tcPr>
          <w:p w14:paraId="0241F267">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szCs w:val="21"/>
              </w:rPr>
              <w:t>投标人有效的</w:t>
            </w:r>
            <w:r>
              <w:rPr>
                <w:rFonts w:hint="eastAsia" w:ascii="宋体" w:hAnsi="宋体" w:eastAsia="宋体" w:cs="宋体"/>
                <w:color w:val="auto"/>
                <w:szCs w:val="21"/>
                <w:lang w:val="en-US" w:eastAsia="zh-CN"/>
              </w:rPr>
              <w:t>资质证书</w:t>
            </w:r>
          </w:p>
        </w:tc>
      </w:tr>
      <w:tr w14:paraId="5849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0" w:type="dxa"/>
            <w:vMerge w:val="continue"/>
            <w:noWrap w:val="0"/>
            <w:vAlign w:val="center"/>
          </w:tcPr>
          <w:p w14:paraId="6B3A45F3">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Cs w:val="21"/>
              </w:rPr>
            </w:pPr>
          </w:p>
        </w:tc>
        <w:tc>
          <w:tcPr>
            <w:tcW w:w="1725" w:type="dxa"/>
            <w:vMerge w:val="continue"/>
            <w:noWrap w:val="0"/>
            <w:vAlign w:val="center"/>
          </w:tcPr>
          <w:p w14:paraId="576C4FD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Cs w:val="21"/>
              </w:rPr>
            </w:pPr>
          </w:p>
        </w:tc>
        <w:tc>
          <w:tcPr>
            <w:tcW w:w="5558" w:type="dxa"/>
            <w:noWrap w:val="0"/>
            <w:vAlign w:val="center"/>
          </w:tcPr>
          <w:p w14:paraId="61CA9E8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(3)具有市场监督管理部门颁发的检验检测机构资质认定证书(CMA)</w:t>
            </w:r>
          </w:p>
        </w:tc>
        <w:tc>
          <w:tcPr>
            <w:tcW w:w="2512" w:type="dxa"/>
            <w:noWrap w:val="0"/>
            <w:vAlign w:val="center"/>
          </w:tcPr>
          <w:p w14:paraId="7D9E8DD0">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投标人有效的</w:t>
            </w:r>
            <w:r>
              <w:rPr>
                <w:rFonts w:hint="eastAsia" w:ascii="宋体" w:hAnsi="宋体" w:eastAsia="宋体" w:cs="宋体"/>
                <w:color w:val="auto"/>
                <w:szCs w:val="21"/>
                <w:lang w:val="en-US" w:eastAsia="zh-CN"/>
              </w:rPr>
              <w:t>资质证书</w:t>
            </w:r>
          </w:p>
        </w:tc>
      </w:tr>
      <w:tr w14:paraId="5F07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0" w:type="dxa"/>
            <w:vMerge w:val="continue"/>
            <w:noWrap w:val="0"/>
            <w:vAlign w:val="center"/>
          </w:tcPr>
          <w:p w14:paraId="225A1297">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Cs w:val="21"/>
              </w:rPr>
            </w:pPr>
          </w:p>
        </w:tc>
        <w:tc>
          <w:tcPr>
            <w:tcW w:w="1725" w:type="dxa"/>
            <w:vMerge w:val="continue"/>
            <w:noWrap w:val="0"/>
            <w:vAlign w:val="center"/>
          </w:tcPr>
          <w:p w14:paraId="76E6E56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Cs w:val="21"/>
              </w:rPr>
            </w:pPr>
          </w:p>
        </w:tc>
        <w:tc>
          <w:tcPr>
            <w:tcW w:w="5558" w:type="dxa"/>
            <w:noWrap w:val="0"/>
            <w:vAlign w:val="center"/>
          </w:tcPr>
          <w:p w14:paraId="443557E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拟派项目负责人具有中级及以上职称证书</w:t>
            </w:r>
          </w:p>
        </w:tc>
        <w:tc>
          <w:tcPr>
            <w:tcW w:w="2512" w:type="dxa"/>
            <w:noWrap w:val="0"/>
            <w:vAlign w:val="center"/>
          </w:tcPr>
          <w:p w14:paraId="5539FFBC">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b/>
                <w:color w:val="auto"/>
                <w:szCs w:val="21"/>
                <w:lang w:val="en-US" w:eastAsia="zh-CN"/>
              </w:rPr>
            </w:pPr>
            <w:r>
              <w:rPr>
                <w:rFonts w:hint="eastAsia" w:ascii="宋体" w:hAnsi="宋体" w:eastAsia="宋体" w:cs="宋体"/>
                <w:color w:val="auto"/>
                <w:szCs w:val="21"/>
                <w:lang w:val="en-US" w:eastAsia="zh-CN"/>
              </w:rPr>
              <w:t>有效身份证及职称证书</w:t>
            </w:r>
          </w:p>
        </w:tc>
      </w:tr>
    </w:tbl>
    <w:p w14:paraId="1370F03C">
      <w:pPr>
        <w:keepNext w:val="0"/>
        <w:keepLines w:val="0"/>
        <w:pageBreakBefore w:val="0"/>
        <w:widowControl w:val="0"/>
        <w:kinsoku/>
        <w:wordWrap/>
        <w:overflowPunct/>
        <w:topLinePunct w:val="0"/>
        <w:autoSpaceDE/>
        <w:autoSpaceDN/>
        <w:bidi w:val="0"/>
        <w:adjustRightInd/>
        <w:spacing w:line="500" w:lineRule="exact"/>
        <w:ind w:right="-164" w:rightChars="-78" w:firstLine="508" w:firstLineChars="241"/>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3.</w:t>
      </w:r>
      <w:r>
        <w:rPr>
          <w:rFonts w:hint="eastAsia" w:ascii="宋体" w:hAnsi="宋体" w:eastAsia="宋体" w:cs="宋体"/>
          <w:b/>
          <w:color w:val="auto"/>
          <w:szCs w:val="21"/>
          <w:lang w:val="en-US" w:eastAsia="zh-CN"/>
        </w:rPr>
        <w:t>2</w:t>
      </w:r>
      <w:r>
        <w:rPr>
          <w:rFonts w:hint="eastAsia" w:ascii="宋体" w:hAnsi="宋体" w:eastAsia="宋体" w:cs="宋体"/>
          <w:b/>
          <w:color w:val="auto"/>
          <w:szCs w:val="21"/>
        </w:rPr>
        <w:t>如评标专家在检验电子投标文件过程中，如果由于投标人自身原因导致评标专家无法查看并检验电子投标文件中相关资料的，否决其投标。即使投标人将原件携带至现场的，同样按否决投标处理。</w:t>
      </w:r>
    </w:p>
    <w:p w14:paraId="11E2273B">
      <w:pPr>
        <w:keepNext w:val="0"/>
        <w:keepLines w:val="0"/>
        <w:pageBreakBefore w:val="0"/>
        <w:widowControl w:val="0"/>
        <w:kinsoku/>
        <w:wordWrap/>
        <w:overflowPunct/>
        <w:topLinePunct w:val="0"/>
        <w:autoSpaceDE/>
        <w:autoSpaceDN/>
        <w:bidi w:val="0"/>
        <w:adjustRightInd/>
        <w:spacing w:line="500" w:lineRule="exact"/>
        <w:ind w:firstLine="310" w:firstLineChars="147"/>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4.符合性审查</w:t>
      </w:r>
    </w:p>
    <w:p w14:paraId="1508702E">
      <w:pPr>
        <w:keepNext w:val="0"/>
        <w:keepLines w:val="0"/>
        <w:pageBreakBefore w:val="0"/>
        <w:widowControl w:val="0"/>
        <w:kinsoku/>
        <w:wordWrap/>
        <w:overflowPunct/>
        <w:topLinePunct w:val="0"/>
        <w:autoSpaceDE/>
        <w:autoSpaceDN/>
        <w:bidi w:val="0"/>
        <w:adjustRightInd/>
        <w:spacing w:line="500" w:lineRule="exact"/>
        <w:ind w:firstLine="315" w:firstLine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4.1评审细则</w:t>
      </w:r>
    </w:p>
    <w:tbl>
      <w:tblPr>
        <w:tblStyle w:val="45"/>
        <w:tblW w:w="967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18"/>
        <w:gridCol w:w="2931"/>
        <w:gridCol w:w="4691"/>
      </w:tblGrid>
      <w:tr w14:paraId="4FA8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5" w:type="dxa"/>
            <w:noWrap w:val="0"/>
            <w:vAlign w:val="center"/>
          </w:tcPr>
          <w:p w14:paraId="2D7963BE">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4249" w:type="dxa"/>
            <w:gridSpan w:val="2"/>
            <w:noWrap w:val="0"/>
            <w:vAlign w:val="center"/>
          </w:tcPr>
          <w:p w14:paraId="3B5CD8CC">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审查因素</w:t>
            </w:r>
          </w:p>
        </w:tc>
        <w:tc>
          <w:tcPr>
            <w:tcW w:w="4691" w:type="dxa"/>
            <w:noWrap w:val="0"/>
            <w:vAlign w:val="center"/>
          </w:tcPr>
          <w:p w14:paraId="763317E4">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审查内容</w:t>
            </w:r>
          </w:p>
        </w:tc>
      </w:tr>
      <w:tr w14:paraId="389E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5" w:type="dxa"/>
            <w:vMerge w:val="restart"/>
            <w:noWrap w:val="0"/>
            <w:vAlign w:val="center"/>
          </w:tcPr>
          <w:p w14:paraId="6E78986B">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318" w:type="dxa"/>
            <w:vMerge w:val="restart"/>
            <w:noWrap w:val="0"/>
            <w:vAlign w:val="center"/>
          </w:tcPr>
          <w:p w14:paraId="5BE32B39">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投标文件的有效性</w:t>
            </w:r>
          </w:p>
        </w:tc>
        <w:tc>
          <w:tcPr>
            <w:tcW w:w="2931" w:type="dxa"/>
            <w:noWrap w:val="0"/>
            <w:vAlign w:val="center"/>
          </w:tcPr>
          <w:p w14:paraId="55E6813F">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（1）投标文件签署</w:t>
            </w:r>
          </w:p>
        </w:tc>
        <w:tc>
          <w:tcPr>
            <w:tcW w:w="4691" w:type="dxa"/>
            <w:noWrap w:val="0"/>
            <w:vAlign w:val="center"/>
          </w:tcPr>
          <w:p w14:paraId="46627E29">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lang w:val="zh-CN"/>
              </w:rPr>
              <w:t>签字、盖章符合要求。</w:t>
            </w:r>
          </w:p>
        </w:tc>
      </w:tr>
      <w:tr w14:paraId="6D68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35" w:type="dxa"/>
            <w:vMerge w:val="continue"/>
            <w:noWrap w:val="0"/>
            <w:vAlign w:val="center"/>
          </w:tcPr>
          <w:p w14:paraId="71DE28A1">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1318" w:type="dxa"/>
            <w:vMerge w:val="continue"/>
            <w:noWrap w:val="0"/>
            <w:vAlign w:val="center"/>
          </w:tcPr>
          <w:p w14:paraId="4CCA4B0D">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2931" w:type="dxa"/>
            <w:noWrap w:val="0"/>
            <w:vAlign w:val="center"/>
          </w:tcPr>
          <w:p w14:paraId="697B8F2F">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（2）投标方案</w:t>
            </w:r>
          </w:p>
        </w:tc>
        <w:tc>
          <w:tcPr>
            <w:tcW w:w="4691" w:type="dxa"/>
            <w:noWrap w:val="0"/>
            <w:vAlign w:val="center"/>
          </w:tcPr>
          <w:p w14:paraId="5DE12A3A">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lang w:val="zh-CN"/>
              </w:rPr>
              <w:t>每个分包只能有一个方案投标。</w:t>
            </w:r>
          </w:p>
        </w:tc>
      </w:tr>
      <w:tr w14:paraId="65EC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5" w:type="dxa"/>
            <w:vMerge w:val="continue"/>
            <w:noWrap w:val="0"/>
            <w:vAlign w:val="center"/>
          </w:tcPr>
          <w:p w14:paraId="2FBF463D">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1318" w:type="dxa"/>
            <w:vMerge w:val="continue"/>
            <w:noWrap w:val="0"/>
            <w:vAlign w:val="center"/>
          </w:tcPr>
          <w:p w14:paraId="47C69270">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2931" w:type="dxa"/>
            <w:noWrap w:val="0"/>
            <w:vAlign w:val="center"/>
          </w:tcPr>
          <w:p w14:paraId="25FB77F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rPr>
              <w:t>（3）报价唯一</w:t>
            </w:r>
          </w:p>
        </w:tc>
        <w:tc>
          <w:tcPr>
            <w:tcW w:w="4691" w:type="dxa"/>
            <w:noWrap w:val="0"/>
            <w:vAlign w:val="center"/>
          </w:tcPr>
          <w:p w14:paraId="2C0FC514">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lang w:val="zh-CN"/>
              </w:rPr>
              <w:t>只能在限价范围内报价，</w:t>
            </w:r>
            <w:r>
              <w:rPr>
                <w:rFonts w:hint="eastAsia" w:ascii="宋体" w:hAnsi="宋体" w:eastAsia="宋体" w:cs="宋体"/>
                <w:color w:val="auto"/>
                <w:szCs w:val="21"/>
              </w:rPr>
              <w:t>只能有一个有效报价，不得提交选择性报价。</w:t>
            </w:r>
          </w:p>
        </w:tc>
      </w:tr>
      <w:tr w14:paraId="4816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35" w:type="dxa"/>
            <w:vMerge w:val="continue"/>
            <w:noWrap w:val="0"/>
            <w:vAlign w:val="center"/>
          </w:tcPr>
          <w:p w14:paraId="466A39D7">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1318" w:type="dxa"/>
            <w:vMerge w:val="continue"/>
            <w:noWrap w:val="0"/>
            <w:vAlign w:val="center"/>
          </w:tcPr>
          <w:p w14:paraId="3CC37F23">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2931" w:type="dxa"/>
            <w:noWrap w:val="0"/>
            <w:vAlign w:val="center"/>
          </w:tcPr>
          <w:p w14:paraId="6F87BB9C">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(4) 投标文件的有效期</w:t>
            </w:r>
          </w:p>
        </w:tc>
        <w:tc>
          <w:tcPr>
            <w:tcW w:w="4691" w:type="dxa"/>
            <w:noWrap w:val="0"/>
            <w:vAlign w:val="center"/>
          </w:tcPr>
          <w:p w14:paraId="45475A83">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完全响应。</w:t>
            </w:r>
          </w:p>
        </w:tc>
      </w:tr>
      <w:tr w14:paraId="4D49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35" w:type="dxa"/>
            <w:vMerge w:val="restart"/>
            <w:noWrap w:val="0"/>
            <w:vAlign w:val="center"/>
          </w:tcPr>
          <w:p w14:paraId="58A6F4B6">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318" w:type="dxa"/>
            <w:vMerge w:val="restart"/>
            <w:noWrap w:val="0"/>
            <w:vAlign w:val="center"/>
          </w:tcPr>
          <w:p w14:paraId="1DC99E50">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投标文件的完整性</w:t>
            </w:r>
          </w:p>
        </w:tc>
        <w:tc>
          <w:tcPr>
            <w:tcW w:w="2931" w:type="dxa"/>
            <w:noWrap w:val="0"/>
            <w:vAlign w:val="center"/>
          </w:tcPr>
          <w:p w14:paraId="4AAAD323">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lang w:val="zh-CN"/>
              </w:rPr>
              <w:t>（5）投标文件份数</w:t>
            </w:r>
          </w:p>
        </w:tc>
        <w:tc>
          <w:tcPr>
            <w:tcW w:w="4691" w:type="dxa"/>
            <w:noWrap w:val="0"/>
            <w:vAlign w:val="center"/>
          </w:tcPr>
          <w:p w14:paraId="6AF2EED7">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网上递交的电子投标文件：一份； </w:t>
            </w:r>
          </w:p>
        </w:tc>
      </w:tr>
      <w:tr w14:paraId="6241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35" w:type="dxa"/>
            <w:vMerge w:val="continue"/>
            <w:noWrap w:val="0"/>
            <w:vAlign w:val="center"/>
          </w:tcPr>
          <w:p w14:paraId="5BC61AC3">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1318" w:type="dxa"/>
            <w:vMerge w:val="continue"/>
            <w:noWrap w:val="0"/>
            <w:vAlign w:val="center"/>
          </w:tcPr>
          <w:p w14:paraId="133F7C19">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2931" w:type="dxa"/>
            <w:noWrap w:val="0"/>
            <w:vAlign w:val="center"/>
          </w:tcPr>
          <w:p w14:paraId="7FA9D27D">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（6）投标文件形式内容</w:t>
            </w:r>
          </w:p>
        </w:tc>
        <w:tc>
          <w:tcPr>
            <w:tcW w:w="4691" w:type="dxa"/>
            <w:noWrap w:val="0"/>
            <w:vAlign w:val="center"/>
          </w:tcPr>
          <w:p w14:paraId="026308F7">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投标文件内容清晰、齐全无遗漏。</w:t>
            </w:r>
          </w:p>
        </w:tc>
      </w:tr>
      <w:tr w14:paraId="1C65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35" w:type="dxa"/>
            <w:vMerge w:val="restart"/>
            <w:noWrap w:val="0"/>
            <w:vAlign w:val="center"/>
          </w:tcPr>
          <w:p w14:paraId="370275BB">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1318" w:type="dxa"/>
            <w:vMerge w:val="restart"/>
            <w:noWrap w:val="0"/>
            <w:vAlign w:val="center"/>
          </w:tcPr>
          <w:p w14:paraId="4DFE369F">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投标文件的响应程度</w:t>
            </w:r>
          </w:p>
        </w:tc>
        <w:tc>
          <w:tcPr>
            <w:tcW w:w="2931" w:type="dxa"/>
            <w:noWrap w:val="0"/>
            <w:vAlign w:val="center"/>
          </w:tcPr>
          <w:p w14:paraId="00A29A42">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（7）技术参数响应程度</w:t>
            </w:r>
          </w:p>
        </w:tc>
        <w:tc>
          <w:tcPr>
            <w:tcW w:w="4691" w:type="dxa"/>
            <w:noWrap w:val="0"/>
            <w:vAlign w:val="center"/>
          </w:tcPr>
          <w:p w14:paraId="52964832">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r>
              <w:rPr>
                <w:rFonts w:hint="eastAsia" w:ascii="宋体" w:hAnsi="宋体" w:eastAsia="宋体" w:cs="宋体"/>
                <w:color w:val="auto"/>
                <w:sz w:val="21"/>
                <w:szCs w:val="21"/>
                <w:highlight w:val="none"/>
                <w:lang w:val="en-US" w:eastAsia="zh-CN"/>
              </w:rPr>
              <w:t>完全响应或优于招标文件要求。</w:t>
            </w:r>
          </w:p>
        </w:tc>
      </w:tr>
      <w:tr w14:paraId="1320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5" w:type="dxa"/>
            <w:vMerge w:val="continue"/>
            <w:noWrap w:val="0"/>
            <w:vAlign w:val="center"/>
          </w:tcPr>
          <w:p w14:paraId="70C1CE8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1318" w:type="dxa"/>
            <w:vMerge w:val="continue"/>
            <w:noWrap w:val="0"/>
            <w:vAlign w:val="center"/>
          </w:tcPr>
          <w:p w14:paraId="3FE3AF40">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rPr>
            </w:pPr>
          </w:p>
        </w:tc>
        <w:tc>
          <w:tcPr>
            <w:tcW w:w="2931" w:type="dxa"/>
            <w:noWrap w:val="0"/>
            <w:vAlign w:val="center"/>
          </w:tcPr>
          <w:p w14:paraId="75C5BB7A">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（8）商务条款响应程度（包括不限于业绩、</w:t>
            </w:r>
            <w:r>
              <w:rPr>
                <w:rFonts w:hint="eastAsia" w:ascii="宋体" w:hAnsi="宋体" w:eastAsia="宋体" w:cs="宋体"/>
                <w:color w:val="auto"/>
                <w:szCs w:val="21"/>
              </w:rPr>
              <w:t>供货</w:t>
            </w:r>
            <w:r>
              <w:rPr>
                <w:rFonts w:hint="eastAsia" w:ascii="宋体" w:hAnsi="宋体" w:eastAsia="宋体" w:cs="宋体"/>
                <w:color w:val="auto"/>
                <w:szCs w:val="21"/>
                <w:lang w:val="zh-CN"/>
              </w:rPr>
              <w:t>期、售后服务、技术培训等）</w:t>
            </w:r>
          </w:p>
        </w:tc>
        <w:tc>
          <w:tcPr>
            <w:tcW w:w="4691" w:type="dxa"/>
            <w:noWrap w:val="0"/>
            <w:vAlign w:val="center"/>
          </w:tcPr>
          <w:p w14:paraId="40C3767B">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响应</w:t>
            </w:r>
            <w:r>
              <w:rPr>
                <w:rFonts w:hint="eastAsia" w:ascii="宋体" w:hAnsi="宋体" w:eastAsia="宋体" w:cs="宋体"/>
                <w:color w:val="auto"/>
                <w:sz w:val="21"/>
                <w:szCs w:val="21"/>
                <w:highlight w:val="none"/>
                <w:lang w:val="en-US" w:eastAsia="zh-CN"/>
              </w:rPr>
              <w:t>或优于</w:t>
            </w:r>
            <w:r>
              <w:rPr>
                <w:rFonts w:hint="eastAsia" w:ascii="宋体" w:hAnsi="宋体" w:eastAsia="宋体" w:cs="宋体"/>
                <w:color w:val="auto"/>
                <w:szCs w:val="21"/>
                <w:lang w:val="zh-CN"/>
              </w:rPr>
              <w:t>招标文件要求。</w:t>
            </w:r>
          </w:p>
        </w:tc>
      </w:tr>
    </w:tbl>
    <w:p w14:paraId="4DAD1C3D">
      <w:pPr>
        <w:keepNext w:val="0"/>
        <w:keepLines w:val="0"/>
        <w:pageBreakBefore w:val="0"/>
        <w:widowControl w:val="0"/>
        <w:kinsoku/>
        <w:wordWrap/>
        <w:overflowPunct/>
        <w:topLinePunct w:val="0"/>
        <w:autoSpaceDE/>
        <w:autoSpaceDN/>
        <w:bidi w:val="0"/>
        <w:adjustRightInd/>
        <w:spacing w:line="500" w:lineRule="exact"/>
        <w:ind w:right="36" w:rightChars="17" w:firstLine="506" w:firstLineChars="241"/>
        <w:jc w:val="left"/>
        <w:textAlignment w:val="auto"/>
        <w:rPr>
          <w:rFonts w:hint="eastAsia" w:ascii="宋体" w:hAnsi="宋体" w:eastAsia="宋体" w:cs="宋体"/>
          <w:color w:val="auto"/>
          <w:szCs w:val="21"/>
        </w:rPr>
      </w:pPr>
      <w:r>
        <w:rPr>
          <w:rFonts w:hint="eastAsia" w:ascii="宋体" w:hAnsi="宋体" w:eastAsia="宋体" w:cs="宋体"/>
          <w:color w:val="auto"/>
          <w:szCs w:val="21"/>
        </w:rPr>
        <w:t>4.2资格审查及评</w:t>
      </w:r>
      <w:r>
        <w:rPr>
          <w:rFonts w:hint="eastAsia" w:ascii="宋体" w:hAnsi="宋体" w:eastAsia="宋体" w:cs="宋体"/>
          <w:color w:val="auto"/>
          <w:szCs w:val="21"/>
          <w:lang w:val="en-US" w:eastAsia="zh-CN"/>
        </w:rPr>
        <w:t>审</w:t>
      </w:r>
      <w:r>
        <w:rPr>
          <w:rFonts w:hint="eastAsia" w:ascii="宋体" w:hAnsi="宋体" w:eastAsia="宋体" w:cs="宋体"/>
          <w:color w:val="auto"/>
          <w:szCs w:val="21"/>
        </w:rPr>
        <w:t>细则中涉及的有关证明材料及相关证书，电子投标文件中须按招标文件要求上传扫描件，以供审查。</w:t>
      </w:r>
    </w:p>
    <w:p w14:paraId="108679DA">
      <w:pPr>
        <w:keepNext w:val="0"/>
        <w:keepLines w:val="0"/>
        <w:pageBreakBefore w:val="0"/>
        <w:widowControl w:val="0"/>
        <w:kinsoku/>
        <w:wordWrap/>
        <w:overflowPunct/>
        <w:topLinePunct w:val="0"/>
        <w:autoSpaceDE/>
        <w:autoSpaceDN/>
        <w:bidi w:val="0"/>
        <w:adjustRightInd/>
        <w:spacing w:line="500" w:lineRule="exact"/>
        <w:ind w:right="36" w:rightChars="17" w:firstLine="506" w:firstLineChars="241"/>
        <w:jc w:val="left"/>
        <w:textAlignment w:val="auto"/>
        <w:rPr>
          <w:rFonts w:hint="eastAsia" w:ascii="宋体" w:hAnsi="宋体" w:eastAsia="宋体" w:cs="宋体"/>
          <w:color w:val="auto"/>
          <w:szCs w:val="21"/>
        </w:rPr>
      </w:pPr>
      <w:r>
        <w:rPr>
          <w:rFonts w:hint="eastAsia" w:ascii="宋体" w:hAnsi="宋体" w:eastAsia="宋体" w:cs="宋体"/>
          <w:color w:val="auto"/>
          <w:szCs w:val="21"/>
        </w:rPr>
        <w:t>4.3评标委员会判定投标文件的响应性只根据投标文件本身的内容，而不寻求外部的证据，但投标有不真实不正确的内容时除外。</w:t>
      </w:r>
    </w:p>
    <w:p w14:paraId="21CA809D">
      <w:pPr>
        <w:keepNext w:val="0"/>
        <w:keepLines w:val="0"/>
        <w:pageBreakBefore w:val="0"/>
        <w:widowControl w:val="0"/>
        <w:kinsoku/>
        <w:wordWrap/>
        <w:overflowPunct/>
        <w:topLinePunct w:val="0"/>
        <w:autoSpaceDE/>
        <w:autoSpaceDN/>
        <w:bidi w:val="0"/>
        <w:adjustRightInd/>
        <w:spacing w:line="500" w:lineRule="exact"/>
        <w:ind w:right="36" w:rightChars="17" w:firstLine="506" w:firstLineChars="241"/>
        <w:jc w:val="left"/>
        <w:textAlignment w:val="auto"/>
        <w:rPr>
          <w:rFonts w:hint="eastAsia" w:ascii="宋体" w:hAnsi="宋体" w:eastAsia="宋体" w:cs="宋体"/>
          <w:color w:val="auto"/>
          <w:szCs w:val="21"/>
        </w:rPr>
      </w:pPr>
      <w:r>
        <w:rPr>
          <w:rFonts w:hint="eastAsia" w:ascii="宋体" w:hAnsi="宋体" w:eastAsia="宋体" w:cs="宋体"/>
          <w:color w:val="auto"/>
          <w:szCs w:val="21"/>
        </w:rPr>
        <w:t>4.4如果投标文件实质上没有响应招标文件的要求，评标委员会将予以拒绝，投标人不得通过修正或撤销不符合要求的偏离或保留，而使其投标成为实质上响应的投标。</w:t>
      </w:r>
    </w:p>
    <w:p w14:paraId="5C7B8074">
      <w:pPr>
        <w:keepNext w:val="0"/>
        <w:keepLines w:val="0"/>
        <w:pageBreakBefore w:val="0"/>
        <w:widowControl w:val="0"/>
        <w:kinsoku/>
        <w:wordWrap/>
        <w:overflowPunct/>
        <w:topLinePunct w:val="0"/>
        <w:autoSpaceDE/>
        <w:autoSpaceDN/>
        <w:bidi w:val="0"/>
        <w:adjustRightInd/>
        <w:spacing w:line="500" w:lineRule="exact"/>
        <w:ind w:right="36" w:rightChars="17" w:firstLine="525" w:firstLineChars="250"/>
        <w:jc w:val="left"/>
        <w:textAlignment w:val="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5</w:t>
      </w:r>
      <w:r>
        <w:rPr>
          <w:rFonts w:hint="eastAsia" w:ascii="宋体" w:hAnsi="宋体" w:eastAsia="宋体" w:cs="宋体"/>
          <w:color w:val="auto"/>
          <w:szCs w:val="21"/>
        </w:rPr>
        <w:t>只有通过初审的投标人才能进入下一步程序。</w:t>
      </w:r>
    </w:p>
    <w:p w14:paraId="740A26FC">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lang w:val="en-US" w:eastAsia="zh-CN"/>
        </w:rPr>
      </w:pPr>
      <w:bookmarkStart w:id="66" w:name="_Toc362983803"/>
      <w:bookmarkStart w:id="67" w:name="_Toc14002"/>
      <w:bookmarkStart w:id="68" w:name="_Toc449028879"/>
      <w:bookmarkStart w:id="69" w:name="_Toc58430319"/>
      <w:r>
        <w:rPr>
          <w:rFonts w:hint="eastAsia" w:ascii="宋体" w:hAnsi="宋体" w:eastAsia="宋体" w:cs="宋体"/>
          <w:b/>
          <w:bCs/>
          <w:color w:val="auto"/>
          <w:sz w:val="28"/>
          <w:highlight w:val="none"/>
          <w:lang w:val="en-US" w:eastAsia="zh-CN"/>
        </w:rPr>
        <w:t>三、投标文件的澄清和补正</w:t>
      </w:r>
      <w:bookmarkEnd w:id="66"/>
      <w:bookmarkEnd w:id="67"/>
      <w:bookmarkEnd w:id="68"/>
      <w:bookmarkEnd w:id="69"/>
    </w:p>
    <w:p w14:paraId="50AE03D7">
      <w:pPr>
        <w:keepNext w:val="0"/>
        <w:keepLines w:val="0"/>
        <w:pageBreakBefore w:val="0"/>
        <w:widowControl w:val="0"/>
        <w:kinsoku/>
        <w:wordWrap/>
        <w:overflowPunct/>
        <w:topLinePunct w:val="0"/>
        <w:autoSpaceDE/>
        <w:autoSpaceDN/>
        <w:bidi w:val="0"/>
        <w:adjustRightInd/>
        <w:spacing w:line="500" w:lineRule="exact"/>
        <w:ind w:right="36" w:rightChars="17"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eastAsia="宋体" w:cs="宋体"/>
          <w:b/>
          <w:bCs/>
          <w:color w:val="auto"/>
          <w:szCs w:val="21"/>
          <w:lang w:bidi="ar"/>
        </w:rPr>
        <w:t>如因投标人未参加开标导致开评标过程中无法澄清、说明或补正的，视同投标人放弃该权利。</w:t>
      </w:r>
    </w:p>
    <w:p w14:paraId="540214DC">
      <w:pPr>
        <w:keepNext w:val="0"/>
        <w:keepLines w:val="0"/>
        <w:pageBreakBefore w:val="0"/>
        <w:widowControl w:val="0"/>
        <w:kinsoku/>
        <w:wordWrap/>
        <w:overflowPunct/>
        <w:topLinePunct w:val="0"/>
        <w:autoSpaceDE/>
        <w:autoSpaceDN/>
        <w:bidi w:val="0"/>
        <w:adjustRightInd/>
        <w:spacing w:line="500" w:lineRule="exact"/>
        <w:ind w:right="36" w:rightChars="17" w:firstLine="525" w:firstLineChars="250"/>
        <w:jc w:val="left"/>
        <w:textAlignment w:val="auto"/>
        <w:rPr>
          <w:rFonts w:hint="eastAsia" w:ascii="宋体" w:hAnsi="宋体" w:eastAsia="宋体" w:cs="宋体"/>
          <w:color w:val="auto"/>
          <w:szCs w:val="21"/>
        </w:rPr>
      </w:pPr>
      <w:r>
        <w:rPr>
          <w:rFonts w:hint="eastAsia" w:ascii="宋体" w:hAnsi="宋体" w:eastAsia="宋体" w:cs="宋体"/>
          <w:color w:val="auto"/>
          <w:szCs w:val="21"/>
        </w:rPr>
        <w:t>5.2本项目采用远程开标，投标人的澄清、说明或者补正应当在系统进行，但不得超出投标书的范围或者改变投标书的实质性内容。具体操作方法详见服务指南&gt;交易须知&gt;开标大厅远程解密、质疑(异议)及回复以及评标过程中询标流程操作手册。</w:t>
      </w:r>
    </w:p>
    <w:p w14:paraId="628A9033">
      <w:pPr>
        <w:keepNext w:val="0"/>
        <w:keepLines w:val="0"/>
        <w:pageBreakBefore w:val="0"/>
        <w:widowControl w:val="0"/>
        <w:kinsoku/>
        <w:wordWrap/>
        <w:overflowPunct/>
        <w:topLinePunct w:val="0"/>
        <w:autoSpaceDE/>
        <w:autoSpaceDN/>
        <w:bidi w:val="0"/>
        <w:adjustRightInd/>
        <w:spacing w:line="500" w:lineRule="exact"/>
        <w:ind w:right="36" w:rightChars="17" w:firstLine="525" w:firstLineChars="250"/>
        <w:jc w:val="left"/>
        <w:textAlignment w:val="auto"/>
        <w:rPr>
          <w:rFonts w:hint="eastAsia" w:ascii="宋体" w:hAnsi="宋体" w:eastAsia="宋体" w:cs="宋体"/>
          <w:color w:val="auto"/>
          <w:szCs w:val="21"/>
        </w:rPr>
      </w:pPr>
      <w:r>
        <w:rPr>
          <w:rFonts w:hint="eastAsia" w:ascii="宋体" w:hAnsi="宋体" w:eastAsia="宋体" w:cs="宋体"/>
          <w:color w:val="auto"/>
          <w:szCs w:val="21"/>
        </w:rPr>
        <w:t>5.3评委会修正错误的原则：</w:t>
      </w:r>
    </w:p>
    <w:p w14:paraId="467495C8">
      <w:pPr>
        <w:keepNext w:val="0"/>
        <w:keepLines w:val="0"/>
        <w:pageBreakBefore w:val="0"/>
        <w:widowControl w:val="0"/>
        <w:kinsoku/>
        <w:wordWrap/>
        <w:overflowPunct/>
        <w:topLinePunct w:val="0"/>
        <w:autoSpaceDE/>
        <w:autoSpaceDN/>
        <w:bidi w:val="0"/>
        <w:adjustRightInd/>
        <w:spacing w:line="500" w:lineRule="exact"/>
        <w:ind w:right="36" w:rightChars="17" w:firstLine="525" w:firstLineChars="250"/>
        <w:jc w:val="left"/>
        <w:textAlignment w:val="auto"/>
        <w:rPr>
          <w:rFonts w:hint="eastAsia" w:ascii="宋体" w:hAnsi="宋体" w:eastAsia="宋体" w:cs="宋体"/>
          <w:color w:val="auto"/>
          <w:szCs w:val="21"/>
        </w:rPr>
      </w:pPr>
      <w:r>
        <w:rPr>
          <w:rFonts w:hint="eastAsia" w:ascii="宋体" w:hAnsi="宋体" w:eastAsia="宋体" w:cs="宋体"/>
          <w:color w:val="auto"/>
          <w:szCs w:val="21"/>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5ECD50AB">
      <w:pPr>
        <w:keepNext w:val="0"/>
        <w:keepLines w:val="0"/>
        <w:pageBreakBefore w:val="0"/>
        <w:widowControl w:val="0"/>
        <w:kinsoku/>
        <w:wordWrap/>
        <w:overflowPunct/>
        <w:topLinePunct w:val="0"/>
        <w:autoSpaceDE/>
        <w:autoSpaceDN/>
        <w:bidi w:val="0"/>
        <w:adjustRightInd/>
        <w:spacing w:line="500" w:lineRule="exact"/>
        <w:ind w:right="36" w:rightChars="17" w:firstLine="525" w:firstLineChars="250"/>
        <w:jc w:val="left"/>
        <w:textAlignment w:val="auto"/>
        <w:rPr>
          <w:rFonts w:hint="eastAsia" w:ascii="宋体" w:hAnsi="宋体" w:eastAsia="宋体" w:cs="宋体"/>
          <w:color w:val="auto"/>
          <w:szCs w:val="21"/>
        </w:rPr>
      </w:pPr>
      <w:r>
        <w:rPr>
          <w:rFonts w:hint="eastAsia" w:ascii="宋体" w:hAnsi="宋体" w:eastAsia="宋体" w:cs="宋体"/>
          <w:color w:val="auto"/>
          <w:szCs w:val="21"/>
        </w:rPr>
        <w:t>5.3.2如果单价与数量的乘积和总价不一致，以单价为准，修正总价及开标一览表；当单价小数点有明显的错位时，评委会将以总价为准，并修正其单价；投标的数量与招标的数量不一致时，以招标数量为准。</w:t>
      </w:r>
    </w:p>
    <w:p w14:paraId="41E99326">
      <w:pPr>
        <w:keepNext w:val="0"/>
        <w:keepLines w:val="0"/>
        <w:pageBreakBefore w:val="0"/>
        <w:widowControl w:val="0"/>
        <w:kinsoku/>
        <w:wordWrap/>
        <w:overflowPunct/>
        <w:topLinePunct w:val="0"/>
        <w:autoSpaceDE/>
        <w:autoSpaceDN/>
        <w:bidi w:val="0"/>
        <w:adjustRightInd/>
        <w:spacing w:line="500" w:lineRule="exact"/>
        <w:ind w:right="36" w:rightChars="17" w:firstLine="403" w:firstLineChars="192"/>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65"/>
    <w:p w14:paraId="7AC5A23C">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lang w:val="en-US" w:eastAsia="zh-CN"/>
        </w:rPr>
      </w:pPr>
      <w:bookmarkStart w:id="70" w:name="_Toc3630"/>
      <w:bookmarkStart w:id="71" w:name="_Toc58430320"/>
      <w:bookmarkStart w:id="72" w:name="_Toc449028880"/>
      <w:bookmarkStart w:id="73" w:name="_Hlk101517174"/>
      <w:r>
        <w:rPr>
          <w:rFonts w:hint="eastAsia" w:ascii="宋体" w:hAnsi="宋体" w:eastAsia="宋体" w:cs="宋体"/>
          <w:b/>
          <w:bCs/>
          <w:color w:val="auto"/>
          <w:sz w:val="28"/>
          <w:highlight w:val="none"/>
          <w:lang w:val="en-US" w:eastAsia="zh-CN"/>
        </w:rPr>
        <w:t>四、比较与评价</w:t>
      </w:r>
      <w:bookmarkEnd w:id="70"/>
      <w:bookmarkEnd w:id="71"/>
      <w:bookmarkEnd w:id="72"/>
    </w:p>
    <w:bookmarkEnd w:id="73"/>
    <w:p w14:paraId="4DBC0059">
      <w:pPr>
        <w:keepNext w:val="0"/>
        <w:keepLines w:val="0"/>
        <w:pageBreakBefore w:val="0"/>
        <w:widowControl w:val="0"/>
        <w:kinsoku/>
        <w:wordWrap/>
        <w:overflowPunct/>
        <w:topLinePunct w:val="0"/>
        <w:autoSpaceDE/>
        <w:autoSpaceDN/>
        <w:bidi w:val="0"/>
        <w:adjustRightInd/>
        <w:spacing w:line="500" w:lineRule="exact"/>
        <w:ind w:right="36" w:rightChars="17" w:firstLine="417" w:firstLineChars="198"/>
        <w:jc w:val="left"/>
        <w:textAlignment w:val="auto"/>
        <w:rPr>
          <w:rFonts w:hint="eastAsia" w:ascii="宋体" w:hAnsi="宋体" w:eastAsia="宋体" w:cs="宋体"/>
          <w:b/>
          <w:color w:val="auto"/>
          <w:szCs w:val="21"/>
          <w:highlight w:val="none"/>
        </w:rPr>
      </w:pPr>
      <w:bookmarkStart w:id="74" w:name="_Toc58430321"/>
      <w:bookmarkStart w:id="75" w:name="_Toc23311"/>
      <w:bookmarkStart w:id="76" w:name="_Toc449028881"/>
      <w:bookmarkStart w:id="77" w:name="_Toc362983805"/>
      <w:r>
        <w:rPr>
          <w:rFonts w:hint="eastAsia" w:ascii="宋体" w:hAnsi="宋体" w:eastAsia="宋体" w:cs="宋体"/>
          <w:b/>
          <w:color w:val="auto"/>
          <w:szCs w:val="21"/>
          <w:highlight w:val="none"/>
        </w:rPr>
        <w:t xml:space="preserve"> 6.详细评审即按招标文件中规定的评标方法和标准，评标委员会将对通过初审的投标文件，进行</w:t>
      </w:r>
      <w:r>
        <w:rPr>
          <w:rFonts w:hint="eastAsia" w:ascii="宋体" w:hAnsi="宋体" w:eastAsia="宋体" w:cs="宋体"/>
          <w:b/>
          <w:color w:val="auto"/>
          <w:szCs w:val="21"/>
          <w:highlight w:val="none"/>
          <w:lang w:val="en-US" w:eastAsia="zh-CN"/>
        </w:rPr>
        <w:t>综合评审</w:t>
      </w:r>
      <w:r>
        <w:rPr>
          <w:rFonts w:hint="eastAsia" w:ascii="宋体" w:hAnsi="宋体" w:eastAsia="宋体" w:cs="宋体"/>
          <w:b/>
          <w:color w:val="auto"/>
          <w:szCs w:val="21"/>
          <w:highlight w:val="none"/>
        </w:rPr>
        <w:t>。</w:t>
      </w:r>
    </w:p>
    <w:p w14:paraId="0CD74CAC">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商务</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评审</w:t>
      </w:r>
    </w:p>
    <w:p w14:paraId="701B8DFA">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按照最低评标价法的原则确定中标候选人，推荐有效投标报价最低的为第一中标候选人，次低的为第二中标候选人，依次类推，推荐</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名中标候选人，并标明排序，但投标报价低于其成本的除外。投标报价最低的有效投标人有两名或两名以上相同时，由招标人抽签确定第一中标候选人。</w:t>
      </w:r>
    </w:p>
    <w:p w14:paraId="1E2E6D96">
      <w:pPr>
        <w:keepNext w:val="0"/>
        <w:keepLines w:val="0"/>
        <w:pageBreakBefore w:val="0"/>
        <w:widowControl w:val="0"/>
        <w:kinsoku/>
        <w:wordWrap/>
        <w:overflowPunct/>
        <w:topLinePunct w:val="0"/>
        <w:autoSpaceDE/>
        <w:autoSpaceDN/>
        <w:bidi w:val="0"/>
        <w:adjustRightInd/>
        <w:snapToGrid/>
        <w:spacing w:before="96" w:beforeLines="30" w:after="96" w:afterLines="30" w:line="500" w:lineRule="exact"/>
        <w:jc w:val="center"/>
        <w:textAlignment w:val="auto"/>
        <w:outlineLvl w:val="1"/>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五、推荐中标候选人</w:t>
      </w:r>
      <w:bookmarkEnd w:id="74"/>
      <w:bookmarkEnd w:id="75"/>
      <w:bookmarkEnd w:id="76"/>
      <w:bookmarkEnd w:id="77"/>
    </w:p>
    <w:p w14:paraId="5A435147">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7.评标委员会根据第二章投标人须知及前附表的规定数量推荐中标候选人，并标明排序。 </w:t>
      </w:r>
    </w:p>
    <w:p w14:paraId="0F26FBEB">
      <w:pPr>
        <w:keepNext w:val="0"/>
        <w:keepLines w:val="0"/>
        <w:pageBreakBefore w:val="0"/>
        <w:widowControl w:val="0"/>
        <w:kinsoku/>
        <w:wordWrap/>
        <w:overflowPunct/>
        <w:topLinePunct w:val="0"/>
        <w:autoSpaceDE/>
        <w:autoSpaceDN/>
        <w:bidi w:val="0"/>
        <w:adjustRightInd/>
        <w:snapToGrid w:val="0"/>
        <w:spacing w:line="500" w:lineRule="exact"/>
        <w:ind w:right="-420" w:righ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7.1如出现报价相同情况，则由</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现场抽签确定中标候选人排名顺序。</w:t>
      </w:r>
    </w:p>
    <w:p w14:paraId="264DBAFD">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b/>
          <w:color w:val="auto"/>
          <w:szCs w:val="21"/>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推荐排名第一的中标候选人为中标人</w:t>
      </w:r>
    </w:p>
    <w:p w14:paraId="5284F88B">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2" w:firstLineChars="20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8.无效投标条款</w:t>
      </w:r>
    </w:p>
    <w:p w14:paraId="60FED381">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8.1投标文件有下列情形之一的,其投标文件拒收:</w:t>
      </w:r>
    </w:p>
    <w:p w14:paraId="07816FDE">
      <w:pPr>
        <w:keepNext w:val="0"/>
        <w:keepLines w:val="0"/>
        <w:pageBreakBefore w:val="0"/>
        <w:widowControl w:val="0"/>
        <w:kinsoku/>
        <w:wordWrap/>
        <w:overflowPunct/>
        <w:topLinePunct w:val="0"/>
        <w:autoSpaceDE/>
        <w:autoSpaceDN/>
        <w:bidi w:val="0"/>
        <w:adjustRightInd/>
        <w:spacing w:line="500" w:lineRule="exact"/>
        <w:ind w:right="-212" w:rightChars="-101" w:firstLine="420" w:firstLineChars="20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(1)未在开标截止时间前通过网上招标投标系统递交有效电子投标文件的，开标系统不予接收，投标将被拒绝。</w:t>
      </w:r>
    </w:p>
    <w:p w14:paraId="4AE9B8AD">
      <w:pPr>
        <w:keepNext w:val="0"/>
        <w:keepLines w:val="0"/>
        <w:pageBreakBefore w:val="0"/>
        <w:widowControl w:val="0"/>
        <w:kinsoku/>
        <w:wordWrap/>
        <w:overflowPunct/>
        <w:topLinePunct w:val="0"/>
        <w:autoSpaceDE/>
        <w:autoSpaceDN/>
        <w:bidi w:val="0"/>
        <w:adjustRightInd/>
        <w:spacing w:line="500" w:lineRule="exact"/>
        <w:ind w:right="-212" w:rightChars="-101" w:firstLine="420" w:firstLineChars="20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投标企业接到远程解密指令后，须在规定时间内解密。因投标人自身原因导致投标文件在规定时间内未能解密、解密失败或解密超时，投标文件无效；解密时间：从本项目网上招投标系统解密倒计时开始，至完成投标文件解密时间，不得超过</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分钟，否则投标文件将被拒绝。</w:t>
      </w:r>
    </w:p>
    <w:p w14:paraId="04E1D3AE">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8.2投标人有下列情形之一的,资格审查后其投标作无效投标处理：</w:t>
      </w:r>
    </w:p>
    <w:p w14:paraId="325DE7DA">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(1)投标人为本项目提供招标代理服务的；</w:t>
      </w:r>
    </w:p>
    <w:p w14:paraId="37C52EFC">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(2)投标人与在本项目代理机构存在相互任职或工作的；</w:t>
      </w:r>
    </w:p>
    <w:p w14:paraId="4E31D072">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(3)评标专家无法查看并检验电子投标文件中相关资料的；</w:t>
      </w:r>
    </w:p>
    <w:p w14:paraId="32D9883B">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(4)联合体投标未提交联合体协议的；</w:t>
      </w:r>
    </w:p>
    <w:p w14:paraId="05DBD396">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(5)被暂停营业的；</w:t>
      </w:r>
    </w:p>
    <w:p w14:paraId="175982C9">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(6)被暂停或取消投标资格的；</w:t>
      </w:r>
    </w:p>
    <w:p w14:paraId="252E4D5F">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(7)财产被接管或冻结的；</w:t>
      </w:r>
    </w:p>
    <w:p w14:paraId="55EB62E6">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(8)投标人单位负责人为同一人或者存在控股、管理关系的不同单位的；</w:t>
      </w:r>
    </w:p>
    <w:p w14:paraId="1864EBB3">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(9)保证金不按第二章“投标人须知”及其前附表要求提交投标保证金的；</w:t>
      </w:r>
    </w:p>
    <w:p w14:paraId="2F2D210F">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)投标人基本资格条件和特定资格条件中有一项及以上不符合要求的；</w:t>
      </w:r>
    </w:p>
    <w:p w14:paraId="22A26A56">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r>
        <w:rPr>
          <w:rFonts w:hint="eastAsia" w:ascii="宋体" w:hAnsi="宋体" w:eastAsia="宋体" w:cs="宋体"/>
          <w:color w:val="auto"/>
          <w:szCs w:val="21"/>
        </w:rPr>
        <w:t>)其它情形，经评标委员会委提出按无效投标处理的；</w:t>
      </w:r>
    </w:p>
    <w:p w14:paraId="2A837CE8">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r>
        <w:rPr>
          <w:rFonts w:hint="eastAsia" w:ascii="宋体" w:hAnsi="宋体" w:eastAsia="宋体" w:cs="宋体"/>
          <w:color w:val="auto"/>
          <w:szCs w:val="21"/>
        </w:rPr>
        <w:t>)投标人单方面出现其他投标人材料的；</w:t>
      </w:r>
    </w:p>
    <w:p w14:paraId="4423A4D9">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r>
        <w:rPr>
          <w:rFonts w:hint="eastAsia" w:ascii="宋体" w:hAnsi="宋体" w:eastAsia="宋体" w:cs="宋体"/>
          <w:color w:val="auto"/>
          <w:szCs w:val="21"/>
        </w:rPr>
        <w:t>)招标文件规定的其它无效投标情形。</w:t>
      </w:r>
    </w:p>
    <w:p w14:paraId="3C9DC93D">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8.3 投标人有下列情形之一的,符合性审查后其投标按无效投标处理：</w:t>
      </w:r>
    </w:p>
    <w:p w14:paraId="0D63650E">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(1)投标文件签字、盖章不全，经评标委员会一致认定对开评标内容有实质性影响的；</w:t>
      </w:r>
    </w:p>
    <w:p w14:paraId="06DB7347">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(2)未按规定的格式填写导致实质性内容不全以及实质上不响应，或者关键字迹模糊、无法辨认的；</w:t>
      </w:r>
    </w:p>
    <w:p w14:paraId="7859597B">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(3)同一投标人提交两个以上不同的投标文件或者投标报价，但招标文件规定提交备选方案的除外；</w:t>
      </w:r>
    </w:p>
    <w:p w14:paraId="1E3BD767">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(4)投标文件没有对招标文件的实质性要求和条件作出响应;</w:t>
      </w:r>
    </w:p>
    <w:p w14:paraId="786862D1">
      <w:pPr>
        <w:keepNext w:val="0"/>
        <w:keepLines w:val="0"/>
        <w:pageBreakBefore w:val="0"/>
        <w:widowControl w:val="0"/>
        <w:kinsoku/>
        <w:wordWrap/>
        <w:overflowPunct/>
        <w:topLinePunct w:val="0"/>
        <w:autoSpaceDE/>
        <w:autoSpaceDN/>
        <w:bidi w:val="0"/>
        <w:adjustRightInd/>
        <w:spacing w:line="500" w:lineRule="exact"/>
        <w:ind w:right="-212" w:rightChars="-101" w:firstLine="420" w:firstLineChars="200"/>
        <w:jc w:val="left"/>
        <w:textAlignment w:val="auto"/>
        <w:rPr>
          <w:rFonts w:hint="eastAsia" w:ascii="宋体" w:hAnsi="宋体" w:eastAsia="宋体" w:cs="宋体"/>
          <w:b/>
          <w:bCs/>
          <w:color w:val="auto"/>
          <w:szCs w:val="21"/>
        </w:rPr>
      </w:pPr>
      <w:r>
        <w:rPr>
          <w:rFonts w:hint="eastAsia" w:ascii="宋体" w:hAnsi="宋体" w:eastAsia="宋体" w:cs="宋体"/>
          <w:color w:val="auto"/>
          <w:szCs w:val="21"/>
        </w:rPr>
        <w:t>(5)投标报价超出规定的投标限价或公布的采购预算；</w:t>
      </w:r>
    </w:p>
    <w:p w14:paraId="7E874594">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(6)不按评标委员会要求澄清、说明或补正的，或者评标委员会根据招标文件的规定对招标文件的计算错误进行修正后，投标人不接受修正的投标报价的。</w:t>
      </w:r>
    </w:p>
    <w:p w14:paraId="5CEB2D27">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（7）其它情形，经评标委员会委提出按无效投标处理的；</w:t>
      </w:r>
    </w:p>
    <w:p w14:paraId="390E3919">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（8）投标文件含有招标人不能接受的附加条件的;</w:t>
      </w:r>
    </w:p>
    <w:p w14:paraId="27CA36F6">
      <w:pPr>
        <w:keepNext w:val="0"/>
        <w:keepLines w:val="0"/>
        <w:pageBreakBefore w:val="0"/>
        <w:widowControl w:val="0"/>
        <w:tabs>
          <w:tab w:val="left" w:pos="1123"/>
        </w:tabs>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（9）招标文件规定的其它无效投标情形。</w:t>
      </w:r>
    </w:p>
    <w:p w14:paraId="6E21A8C0">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8.4 投标人有下列情形之一的, 详细评审后其投标按无效投标处理：</w:t>
      </w:r>
    </w:p>
    <w:p w14:paraId="470402AB">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(1)投标产品不符合必须强制执行的国家标准的；</w:t>
      </w:r>
    </w:p>
    <w:p w14:paraId="3F3542AF">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(2)投标人有串通投标、弄虚作假、行贿等违法行为；</w:t>
      </w:r>
    </w:p>
    <w:p w14:paraId="12770D0B">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(3)投标文件含有违反国家法律、法规的内容，或附有招标人不能接受的条件的；</w:t>
      </w:r>
    </w:p>
    <w:p w14:paraId="57B56F9F">
      <w:pPr>
        <w:keepNext w:val="0"/>
        <w:keepLines w:val="0"/>
        <w:pageBreakBefore w:val="0"/>
        <w:widowControl w:val="0"/>
        <w:kinsoku/>
        <w:wordWrap/>
        <w:overflowPunct/>
        <w:topLinePunct w:val="0"/>
        <w:autoSpaceDE/>
        <w:autoSpaceDN/>
        <w:bidi w:val="0"/>
        <w:adjustRightInd/>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（4）报价明显低于其他投标人，且不能证明报价合理性的投标无效；</w:t>
      </w:r>
    </w:p>
    <w:p w14:paraId="3DF7AB26">
      <w:pPr>
        <w:keepNext w:val="0"/>
        <w:keepLines w:val="0"/>
        <w:pageBreakBefore w:val="0"/>
        <w:widowControl w:val="0"/>
        <w:kinsoku/>
        <w:wordWrap/>
        <w:overflowPunct/>
        <w:topLinePunct w:val="0"/>
        <w:autoSpaceDE/>
        <w:autoSpaceDN/>
        <w:bidi w:val="0"/>
        <w:adjustRightInd/>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（5）拒不确认评标委员会评审修正的投标无效；</w:t>
      </w:r>
    </w:p>
    <w:p w14:paraId="19AF92E0">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（6）其它情形，经评标委员会委提出按无效投标处理的；</w:t>
      </w:r>
    </w:p>
    <w:p w14:paraId="27BB4895">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（8）招标文件规定的其它无效投标情形。</w:t>
      </w:r>
    </w:p>
    <w:p w14:paraId="14A310C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160" w:beforeLines="50" w:after="160" w:afterLines="50" w:line="520" w:lineRule="exact"/>
        <w:textAlignment w:val="auto"/>
        <w:rPr>
          <w:rFonts w:hint="eastAsia" w:ascii="宋体" w:hAnsi="宋体" w:eastAsia="宋体" w:cs="宋体"/>
          <w:color w:val="auto"/>
          <w:sz w:val="32"/>
          <w:szCs w:val="48"/>
          <w:highlight w:val="none"/>
          <w:lang w:val="en-US" w:eastAsia="zh-CN"/>
        </w:rPr>
      </w:pPr>
      <w:bookmarkStart w:id="78" w:name="_Toc3848"/>
      <w:r>
        <w:rPr>
          <w:rFonts w:hint="eastAsia" w:ascii="宋体" w:hAnsi="宋体" w:eastAsia="宋体" w:cs="宋体"/>
          <w:color w:val="auto"/>
          <w:sz w:val="32"/>
          <w:szCs w:val="48"/>
          <w:highlight w:val="none"/>
          <w:lang w:val="en-US" w:eastAsia="zh-CN"/>
        </w:rPr>
        <w:t>第三章 合同条款</w:t>
      </w:r>
      <w:bookmarkEnd w:id="54"/>
      <w:bookmarkEnd w:id="55"/>
      <w:bookmarkEnd w:id="78"/>
    </w:p>
    <w:p w14:paraId="209DF1AC">
      <w:pPr>
        <w:rPr>
          <w:rFonts w:hint="eastAsia" w:ascii="宋体" w:hAnsi="宋体" w:eastAsia="宋体" w:cs="宋体"/>
          <w:color w:val="auto"/>
          <w:highlight w:val="none"/>
        </w:rPr>
      </w:pPr>
    </w:p>
    <w:p w14:paraId="3B0C8C0D">
      <w:pPr>
        <w:adjustRightInd w:val="0"/>
        <w:snapToGrid w:val="0"/>
        <w:spacing w:line="360" w:lineRule="auto"/>
        <w:ind w:firstLine="4900" w:firstLineChars="1750"/>
        <w:jc w:val="left"/>
        <w:rPr>
          <w:rFonts w:hAnsi="宋体"/>
          <w:color w:val="auto"/>
          <w:sz w:val="28"/>
          <w:szCs w:val="28"/>
          <w:highlight w:val="none"/>
        </w:rPr>
      </w:pPr>
      <w:bookmarkStart w:id="79" w:name="_Toc331685783"/>
      <w:bookmarkStart w:id="80" w:name="_Toc30675"/>
    </w:p>
    <w:p w14:paraId="7C046A20">
      <w:pPr>
        <w:adjustRightInd w:val="0"/>
        <w:snapToGrid w:val="0"/>
        <w:spacing w:line="360" w:lineRule="auto"/>
        <w:jc w:val="left"/>
        <w:rPr>
          <w:color w:val="auto"/>
          <w:sz w:val="28"/>
          <w:szCs w:val="28"/>
          <w:highlight w:val="none"/>
          <w:u w:val="single"/>
        </w:rPr>
      </w:pPr>
      <w:r>
        <w:rPr>
          <w:rFonts w:hAnsi="宋体"/>
          <w:color w:val="auto"/>
          <w:sz w:val="28"/>
          <w:szCs w:val="28"/>
          <w:highlight w:val="none"/>
        </w:rPr>
        <w:t>合同编号：</w:t>
      </w:r>
    </w:p>
    <w:p w14:paraId="166A53D6">
      <w:pPr>
        <w:adjustRightInd w:val="0"/>
        <w:snapToGrid w:val="0"/>
        <w:spacing w:line="360" w:lineRule="auto"/>
        <w:rPr>
          <w:color w:val="auto"/>
          <w:szCs w:val="24"/>
          <w:highlight w:val="none"/>
        </w:rPr>
      </w:pPr>
    </w:p>
    <w:p w14:paraId="4E584CC8">
      <w:pPr>
        <w:adjustRightInd w:val="0"/>
        <w:snapToGrid w:val="0"/>
        <w:spacing w:line="360" w:lineRule="auto"/>
        <w:rPr>
          <w:color w:val="auto"/>
          <w:szCs w:val="24"/>
          <w:highlight w:val="none"/>
        </w:rPr>
      </w:pPr>
    </w:p>
    <w:p w14:paraId="6D47A3CB">
      <w:pPr>
        <w:adjustRightInd w:val="0"/>
        <w:snapToGrid w:val="0"/>
        <w:spacing w:line="360" w:lineRule="auto"/>
        <w:rPr>
          <w:color w:val="auto"/>
          <w:szCs w:val="24"/>
          <w:highlight w:val="none"/>
        </w:rPr>
      </w:pPr>
    </w:p>
    <w:p w14:paraId="5A1FD704">
      <w:pPr>
        <w:adjustRightInd w:val="0"/>
        <w:snapToGrid w:val="0"/>
        <w:spacing w:line="360" w:lineRule="auto"/>
        <w:rPr>
          <w:color w:val="auto"/>
          <w:szCs w:val="24"/>
          <w:highlight w:val="none"/>
        </w:rPr>
      </w:pPr>
    </w:p>
    <w:p w14:paraId="7F7D495E">
      <w:pPr>
        <w:adjustRightInd w:val="0"/>
        <w:snapToGrid w:val="0"/>
        <w:spacing w:line="360" w:lineRule="auto"/>
        <w:rPr>
          <w:b/>
          <w:bCs/>
          <w:color w:val="auto"/>
          <w:sz w:val="32"/>
          <w:szCs w:val="32"/>
          <w:highlight w:val="none"/>
        </w:rPr>
      </w:pPr>
    </w:p>
    <w:p w14:paraId="4E199373">
      <w:pPr>
        <w:adjustRightInd w:val="0"/>
        <w:snapToGrid w:val="0"/>
        <w:spacing w:line="360" w:lineRule="auto"/>
        <w:jc w:val="center"/>
        <w:rPr>
          <w:b/>
          <w:bCs/>
          <w:color w:val="auto"/>
          <w:sz w:val="44"/>
          <w:szCs w:val="44"/>
          <w:highlight w:val="none"/>
        </w:rPr>
      </w:pPr>
      <w:r>
        <w:rPr>
          <w:rFonts w:hint="eastAsia"/>
          <w:b/>
          <w:bCs/>
          <w:color w:val="auto"/>
          <w:sz w:val="44"/>
          <w:szCs w:val="44"/>
          <w:highlight w:val="none"/>
          <w:lang w:val="en-US" w:eastAsia="zh-CN"/>
        </w:rPr>
        <w:t>结构安全性检测</w:t>
      </w:r>
      <w:r>
        <w:rPr>
          <w:rFonts w:hint="eastAsia"/>
          <w:b/>
          <w:bCs/>
          <w:color w:val="auto"/>
          <w:sz w:val="44"/>
          <w:szCs w:val="44"/>
          <w:highlight w:val="none"/>
        </w:rPr>
        <w:t>项目协议书</w:t>
      </w:r>
    </w:p>
    <w:p w14:paraId="7CBB9AA8">
      <w:pPr>
        <w:adjustRightInd w:val="0"/>
        <w:snapToGrid w:val="0"/>
        <w:spacing w:line="360" w:lineRule="auto"/>
        <w:rPr>
          <w:color w:val="auto"/>
          <w:szCs w:val="24"/>
          <w:highlight w:val="none"/>
        </w:rPr>
      </w:pPr>
    </w:p>
    <w:p w14:paraId="05F09515">
      <w:pPr>
        <w:adjustRightInd w:val="0"/>
        <w:snapToGrid w:val="0"/>
        <w:spacing w:line="360" w:lineRule="auto"/>
        <w:rPr>
          <w:color w:val="auto"/>
          <w:szCs w:val="24"/>
          <w:highlight w:val="none"/>
        </w:rPr>
      </w:pPr>
    </w:p>
    <w:p w14:paraId="08C6C37E">
      <w:pPr>
        <w:adjustRightInd w:val="0"/>
        <w:snapToGrid w:val="0"/>
        <w:spacing w:line="360" w:lineRule="auto"/>
        <w:rPr>
          <w:color w:val="auto"/>
          <w:szCs w:val="24"/>
          <w:highlight w:val="none"/>
        </w:rPr>
      </w:pPr>
    </w:p>
    <w:p w14:paraId="42D6D18D">
      <w:pPr>
        <w:adjustRightInd w:val="0"/>
        <w:snapToGrid w:val="0"/>
        <w:spacing w:line="360" w:lineRule="auto"/>
        <w:rPr>
          <w:color w:val="auto"/>
          <w:szCs w:val="24"/>
          <w:highlight w:val="none"/>
        </w:rPr>
      </w:pPr>
    </w:p>
    <w:p w14:paraId="26A52509">
      <w:pPr>
        <w:adjustRightInd w:val="0"/>
        <w:snapToGrid w:val="0"/>
        <w:spacing w:line="360" w:lineRule="auto"/>
        <w:rPr>
          <w:color w:val="auto"/>
          <w:szCs w:val="24"/>
          <w:highlight w:val="none"/>
        </w:rPr>
      </w:pPr>
    </w:p>
    <w:p w14:paraId="2EB36D17">
      <w:pPr>
        <w:adjustRightInd w:val="0"/>
        <w:snapToGrid w:val="0"/>
        <w:spacing w:line="360" w:lineRule="auto"/>
        <w:rPr>
          <w:color w:val="auto"/>
          <w:szCs w:val="24"/>
          <w:highlight w:val="none"/>
        </w:rPr>
      </w:pPr>
    </w:p>
    <w:p w14:paraId="41BB5274">
      <w:pPr>
        <w:adjustRightInd w:val="0"/>
        <w:snapToGrid w:val="0"/>
        <w:spacing w:line="360" w:lineRule="auto"/>
        <w:rPr>
          <w:color w:val="auto"/>
          <w:szCs w:val="24"/>
          <w:highlight w:val="none"/>
        </w:rPr>
      </w:pPr>
    </w:p>
    <w:p w14:paraId="58AA1CEF">
      <w:pPr>
        <w:adjustRightInd w:val="0"/>
        <w:snapToGrid w:val="0"/>
        <w:spacing w:line="360" w:lineRule="auto"/>
        <w:rPr>
          <w:color w:val="auto"/>
          <w:szCs w:val="24"/>
          <w:highlight w:val="none"/>
        </w:rPr>
      </w:pPr>
    </w:p>
    <w:p w14:paraId="15026B34">
      <w:pPr>
        <w:keepNext w:val="0"/>
        <w:keepLines w:val="0"/>
        <w:pageBreakBefore w:val="0"/>
        <w:widowControl w:val="0"/>
        <w:kinsoku/>
        <w:wordWrap/>
        <w:overflowPunct/>
        <w:topLinePunct w:val="0"/>
        <w:autoSpaceDE/>
        <w:autoSpaceDN/>
        <w:bidi w:val="0"/>
        <w:adjustRightInd/>
        <w:snapToGrid/>
        <w:spacing w:line="720" w:lineRule="exact"/>
        <w:ind w:left="1438" w:leftChars="456" w:hanging="480" w:hangingChars="200"/>
        <w:jc w:val="left"/>
        <w:textAlignment w:val="auto"/>
        <w:rPr>
          <w:rFonts w:hint="eastAsia" w:ascii="宋体" w:hAnsi="宋体" w:eastAsia="宋体" w:cs="宋体"/>
          <w:b/>
          <w:color w:val="auto"/>
          <w:sz w:val="24"/>
          <w:szCs w:val="24"/>
          <w:highlight w:val="none"/>
          <w:u w:val="single"/>
          <w:lang w:val="en-US"/>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4FB5E28">
      <w:pPr>
        <w:keepNext w:val="0"/>
        <w:keepLines w:val="0"/>
        <w:pageBreakBefore w:val="0"/>
        <w:widowControl w:val="0"/>
        <w:kinsoku/>
        <w:wordWrap/>
        <w:overflowPunct/>
        <w:topLinePunct w:val="0"/>
        <w:autoSpaceDE/>
        <w:autoSpaceDN/>
        <w:bidi w:val="0"/>
        <w:adjustRightInd/>
        <w:snapToGrid/>
        <w:spacing w:line="720" w:lineRule="exact"/>
        <w:ind w:left="1438" w:leftChars="456" w:hanging="480" w:hanging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委托人/单位：</w:t>
      </w:r>
      <w:r>
        <w:rPr>
          <w:rFonts w:hint="eastAsia" w:ascii="宋体" w:hAnsi="宋体" w:eastAsia="宋体" w:cs="宋体"/>
          <w:color w:val="auto"/>
          <w:sz w:val="24"/>
          <w:szCs w:val="24"/>
          <w:highlight w:val="none"/>
          <w:u w:val="single"/>
          <w:lang w:val="en-US" w:eastAsia="zh-CN"/>
        </w:rPr>
        <w:t xml:space="preserve"> </w:t>
      </w:r>
    </w:p>
    <w:p w14:paraId="22B5C207">
      <w:pPr>
        <w:keepNext w:val="0"/>
        <w:keepLines w:val="0"/>
        <w:pageBreakBefore w:val="0"/>
        <w:widowControl w:val="0"/>
        <w:kinsoku/>
        <w:wordWrap/>
        <w:overflowPunct/>
        <w:topLinePunct w:val="0"/>
        <w:autoSpaceDE/>
        <w:autoSpaceDN/>
        <w:bidi w:val="0"/>
        <w:adjustRightInd/>
        <w:snapToGrid/>
        <w:spacing w:line="720" w:lineRule="exact"/>
        <w:ind w:firstLine="960" w:firstLineChars="4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检测鉴定单位：</w:t>
      </w:r>
      <w:r>
        <w:rPr>
          <w:rFonts w:hint="eastAsia" w:ascii="宋体" w:hAnsi="宋体" w:eastAsia="宋体" w:cs="宋体"/>
          <w:color w:val="auto"/>
          <w:sz w:val="24"/>
          <w:szCs w:val="24"/>
          <w:highlight w:val="none"/>
          <w:u w:val="single"/>
          <w:lang w:val="en-US" w:eastAsia="zh-CN"/>
        </w:rPr>
        <w:t xml:space="preserve">                       </w:t>
      </w:r>
    </w:p>
    <w:p w14:paraId="18234366">
      <w:pPr>
        <w:keepNext w:val="0"/>
        <w:keepLines w:val="0"/>
        <w:pageBreakBefore w:val="0"/>
        <w:widowControl w:val="0"/>
        <w:kinsoku/>
        <w:wordWrap/>
        <w:overflowPunct/>
        <w:topLinePunct w:val="0"/>
        <w:autoSpaceDE/>
        <w:autoSpaceDN/>
        <w:bidi w:val="0"/>
        <w:adjustRightInd/>
        <w:snapToGrid/>
        <w:spacing w:line="720" w:lineRule="exact"/>
        <w:ind w:firstLine="960" w:firstLineChars="400"/>
        <w:jc w:val="left"/>
        <w:textAlignment w:val="auto"/>
        <w:rPr>
          <w:rFonts w:hint="eastAsia" w:ascii="宋体" w:hAnsi="宋体" w:eastAsia="宋体" w:cs="宋体"/>
          <w:color w:val="auto"/>
          <w:sz w:val="18"/>
          <w:szCs w:val="21"/>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2025年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月   </w:t>
      </w:r>
    </w:p>
    <w:p w14:paraId="69218429">
      <w:pPr>
        <w:keepNext w:val="0"/>
        <w:keepLines w:val="0"/>
        <w:pageBreakBefore w:val="0"/>
        <w:widowControl w:val="0"/>
        <w:kinsoku/>
        <w:wordWrap/>
        <w:overflowPunct/>
        <w:topLinePunct w:val="0"/>
        <w:autoSpaceDE/>
        <w:autoSpaceDN/>
        <w:bidi w:val="0"/>
        <w:adjustRightInd w:val="0"/>
        <w:snapToGrid w:val="0"/>
        <w:spacing w:line="500" w:lineRule="exact"/>
        <w:ind w:firstLine="525" w:firstLineChars="250"/>
        <w:textAlignment w:val="auto"/>
        <w:rPr>
          <w:rFonts w:hint="eastAsia" w:ascii="宋体" w:hAnsi="宋体" w:eastAsia="宋体" w:cs="宋体"/>
          <w:color w:val="auto"/>
          <w:sz w:val="21"/>
          <w:szCs w:val="21"/>
          <w:highlight w:val="none"/>
          <w:u w:val="single"/>
          <w:lang w:eastAsia="zh-CN"/>
        </w:rPr>
      </w:pPr>
      <w:r>
        <w:rPr>
          <w:color w:val="auto"/>
          <w:szCs w:val="24"/>
          <w:highlight w:val="none"/>
        </w:rPr>
        <w:br w:type="page"/>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委托单位（以下简称甲方）</w:t>
      </w:r>
      <w:r>
        <w:rPr>
          <w:rFonts w:hint="eastAsia" w:ascii="宋体" w:hAnsi="宋体" w:eastAsia="宋体" w:cs="宋体"/>
          <w:color w:val="auto"/>
          <w:sz w:val="21"/>
          <w:szCs w:val="21"/>
          <w:highlight w:val="none"/>
          <w:lang w:eastAsia="zh-CN"/>
        </w:rPr>
        <w:t>：</w:t>
      </w:r>
    </w:p>
    <w:p w14:paraId="590C30CD">
      <w:pPr>
        <w:keepNext w:val="0"/>
        <w:keepLines w:val="0"/>
        <w:pageBreakBefore w:val="0"/>
        <w:widowControl w:val="0"/>
        <w:kinsoku/>
        <w:wordWrap/>
        <w:overflowPunct/>
        <w:topLinePunct w:val="0"/>
        <w:autoSpaceDE/>
        <w:autoSpaceDN/>
        <w:bidi w:val="0"/>
        <w:adjustRightInd w:val="0"/>
        <w:snapToGrid w:val="0"/>
        <w:spacing w:line="500" w:lineRule="exact"/>
        <w:ind w:firstLine="57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检测鉴定单位（以下简称乙方）</w:t>
      </w:r>
      <w:r>
        <w:rPr>
          <w:rFonts w:hint="eastAsia" w:ascii="宋体" w:hAnsi="宋体" w:eastAsia="宋体" w:cs="宋体"/>
          <w:color w:val="auto"/>
          <w:sz w:val="21"/>
          <w:szCs w:val="21"/>
          <w:highlight w:val="none"/>
          <w:lang w:eastAsia="zh-CN"/>
        </w:rPr>
        <w:t>：</w:t>
      </w:r>
    </w:p>
    <w:p w14:paraId="67F24252">
      <w:pPr>
        <w:keepNext w:val="0"/>
        <w:keepLines w:val="0"/>
        <w:pageBreakBefore w:val="0"/>
        <w:widowControl w:val="0"/>
        <w:kinsoku/>
        <w:wordWrap/>
        <w:overflowPunct/>
        <w:topLinePunct w:val="0"/>
        <w:autoSpaceDE/>
        <w:autoSpaceDN/>
        <w:bidi w:val="0"/>
        <w:adjustRightInd w:val="0"/>
        <w:snapToGrid w:val="0"/>
        <w:spacing w:line="500" w:lineRule="exact"/>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依照《中华人民共和国民法典》、国家及有关建设工程检测、鉴定管理的法律法规、部门规章、规范性文件，遵循平等、自愿、公平和诚实信用原则，双方就本工程检测鉴定事项协商一致，签订本合同。</w:t>
      </w:r>
    </w:p>
    <w:p w14:paraId="5E28F329">
      <w:pPr>
        <w:keepNext w:val="0"/>
        <w:keepLines w:val="0"/>
        <w:pageBreakBefore w:val="0"/>
        <w:widowControl w:val="0"/>
        <w:numPr>
          <w:ilvl w:val="0"/>
          <w:numId w:val="2"/>
        </w:numPr>
        <w:kinsoku/>
        <w:wordWrap/>
        <w:overflowPunct/>
        <w:topLinePunct w:val="0"/>
        <w:autoSpaceDE/>
        <w:autoSpaceDN/>
        <w:bidi w:val="0"/>
        <w:adjustRightInd w:val="0"/>
        <w:snapToGrid w:val="0"/>
        <w:spacing w:before="96" w:beforeLines="30" w:after="96" w:afterLines="30" w:line="500" w:lineRule="exact"/>
        <w:ind w:left="129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工程概况</w:t>
      </w:r>
    </w:p>
    <w:p w14:paraId="37763FDD">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p w14:paraId="1062884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工程地址：</w:t>
      </w:r>
    </w:p>
    <w:p w14:paraId="1BE3CD16">
      <w:pPr>
        <w:keepNext w:val="0"/>
        <w:keepLines w:val="0"/>
        <w:pageBreakBefore w:val="0"/>
        <w:widowControl w:val="0"/>
        <w:kinsoku/>
        <w:wordWrap/>
        <w:overflowPunct/>
        <w:topLinePunct w:val="0"/>
        <w:autoSpaceDE/>
        <w:autoSpaceDN/>
        <w:bidi w:val="0"/>
        <w:adjustRightInd w:val="0"/>
        <w:snapToGrid w:val="0"/>
        <w:spacing w:line="500" w:lineRule="exact"/>
        <w:ind w:left="1680" w:leftChars="200" w:hanging="1260" w:hangingChars="6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工程概况：</w:t>
      </w:r>
    </w:p>
    <w:p w14:paraId="2B46A00A">
      <w:pPr>
        <w:keepNext w:val="0"/>
        <w:keepLines w:val="0"/>
        <w:pageBreakBefore w:val="0"/>
        <w:widowControl w:val="0"/>
        <w:kinsoku/>
        <w:wordWrap/>
        <w:overflowPunct/>
        <w:topLinePunct w:val="0"/>
        <w:autoSpaceDE/>
        <w:autoSpaceDN/>
        <w:bidi w:val="0"/>
        <w:adjustRightInd w:val="0"/>
        <w:snapToGrid w:val="0"/>
        <w:spacing w:line="500" w:lineRule="exact"/>
        <w:ind w:left="1470" w:leftChars="200" w:hanging="1050" w:hangingChars="5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鉴定原因：</w:t>
      </w:r>
    </w:p>
    <w:p w14:paraId="7D4875E1">
      <w:pPr>
        <w:keepNext w:val="0"/>
        <w:keepLines w:val="0"/>
        <w:pageBreakBefore w:val="0"/>
        <w:widowControl w:val="0"/>
        <w:numPr>
          <w:ilvl w:val="0"/>
          <w:numId w:val="2"/>
        </w:numPr>
        <w:kinsoku/>
        <w:wordWrap/>
        <w:overflowPunct/>
        <w:topLinePunct w:val="0"/>
        <w:autoSpaceDE/>
        <w:autoSpaceDN/>
        <w:bidi w:val="0"/>
        <w:adjustRightInd w:val="0"/>
        <w:snapToGrid w:val="0"/>
        <w:spacing w:before="96" w:beforeLines="30" w:after="96" w:afterLines="30" w:line="500" w:lineRule="exact"/>
        <w:ind w:left="129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检测鉴定项目、方法及数量</w:t>
      </w:r>
    </w:p>
    <w:p w14:paraId="7E85EE64">
      <w:pPr>
        <w:keepNext w:val="0"/>
        <w:keepLines w:val="0"/>
        <w:pageBreakBefore w:val="0"/>
        <w:widowControl w:val="0"/>
        <w:kinsoku/>
        <w:wordWrap/>
        <w:overflowPunct/>
        <w:topLinePunct w:val="0"/>
        <w:autoSpaceDE/>
        <w:autoSpaceDN/>
        <w:bidi w:val="0"/>
        <w:adjustRightInd w:val="0"/>
        <w:snapToGrid w:val="0"/>
        <w:spacing w:line="500" w:lineRule="exact"/>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根据现行国家标准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安徽省地方标准</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的要求，对既有建筑进行</w:t>
      </w:r>
      <w:r>
        <w:rPr>
          <w:rFonts w:hint="eastAsia" w:ascii="宋体" w:hAnsi="宋体" w:eastAsia="宋体" w:cs="宋体"/>
          <w:color w:val="auto"/>
          <w:sz w:val="21"/>
          <w:szCs w:val="21"/>
          <w:highlight w:val="none"/>
          <w:lang w:val="en-US" w:eastAsia="zh-CN"/>
        </w:rPr>
        <w:t>结构</w:t>
      </w:r>
      <w:r>
        <w:rPr>
          <w:rFonts w:hint="eastAsia" w:ascii="宋体" w:hAnsi="宋体" w:eastAsia="宋体" w:cs="宋体"/>
          <w:color w:val="auto"/>
          <w:sz w:val="21"/>
          <w:szCs w:val="21"/>
          <w:highlight w:val="none"/>
        </w:rPr>
        <w:t>安全性鉴定。根据甲方意见，本次工程甲方仅委托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进行结构安全性鉴定。本项目检测鉴定项目、方法、数量按照</w:t>
      </w:r>
      <w:r>
        <w:rPr>
          <w:rFonts w:hint="eastAsia" w:ascii="宋体" w:hAnsi="宋体" w:eastAsia="宋体" w:cs="宋体"/>
          <w:color w:val="auto"/>
          <w:sz w:val="21"/>
          <w:szCs w:val="21"/>
          <w:highlight w:val="none"/>
          <w:u w:val="single"/>
        </w:rPr>
        <w:t>国家标准</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安徽省地方标准</w:t>
      </w:r>
      <w:r>
        <w:rPr>
          <w:rFonts w:hint="eastAsia" w:ascii="宋体" w:hAnsi="宋体" w:eastAsia="宋体" w:cs="宋体"/>
          <w:color w:val="auto"/>
          <w:sz w:val="21"/>
          <w:szCs w:val="21"/>
          <w:highlight w:val="none"/>
        </w:rPr>
        <w:t>等相关规范执行。</w:t>
      </w:r>
    </w:p>
    <w:p w14:paraId="62315E27">
      <w:pPr>
        <w:keepNext w:val="0"/>
        <w:keepLines w:val="0"/>
        <w:pageBreakBefore w:val="0"/>
        <w:widowControl w:val="0"/>
        <w:numPr>
          <w:ilvl w:val="0"/>
          <w:numId w:val="2"/>
        </w:numPr>
        <w:kinsoku/>
        <w:wordWrap/>
        <w:overflowPunct/>
        <w:topLinePunct w:val="0"/>
        <w:autoSpaceDE/>
        <w:autoSpaceDN/>
        <w:bidi w:val="0"/>
        <w:adjustRightInd w:val="0"/>
        <w:snapToGrid w:val="0"/>
        <w:spacing w:before="96" w:beforeLines="30" w:after="96" w:afterLines="30" w:line="500" w:lineRule="exact"/>
        <w:ind w:left="129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乙方向甲方提交报告的时限</w:t>
      </w:r>
    </w:p>
    <w:tbl>
      <w:tblPr>
        <w:tblStyle w:val="45"/>
        <w:tblW w:w="8956" w:type="dxa"/>
        <w:tblInd w:w="34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86"/>
        <w:gridCol w:w="1619"/>
        <w:gridCol w:w="2692"/>
        <w:gridCol w:w="2108"/>
      </w:tblGrid>
      <w:tr w14:paraId="1F9B5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1" w:type="dxa"/>
            <w:vAlign w:val="center"/>
          </w:tcPr>
          <w:p w14:paraId="17C0F1D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86" w:type="dxa"/>
            <w:vAlign w:val="center"/>
          </w:tcPr>
          <w:p w14:paraId="29F397B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报告名称</w:t>
            </w:r>
          </w:p>
        </w:tc>
        <w:tc>
          <w:tcPr>
            <w:tcW w:w="1619" w:type="dxa"/>
            <w:vAlign w:val="center"/>
          </w:tcPr>
          <w:p w14:paraId="549E730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份数</w:t>
            </w:r>
          </w:p>
        </w:tc>
        <w:tc>
          <w:tcPr>
            <w:tcW w:w="2692" w:type="dxa"/>
            <w:vAlign w:val="center"/>
          </w:tcPr>
          <w:p w14:paraId="6E69437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提交时间</w:t>
            </w:r>
          </w:p>
        </w:tc>
        <w:tc>
          <w:tcPr>
            <w:tcW w:w="2108" w:type="dxa"/>
            <w:vAlign w:val="center"/>
          </w:tcPr>
          <w:p w14:paraId="2BAA482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F64A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1" w:type="dxa"/>
            <w:vAlign w:val="center"/>
          </w:tcPr>
          <w:p w14:paraId="71CF09F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86" w:type="dxa"/>
            <w:vAlign w:val="center"/>
          </w:tcPr>
          <w:p w14:paraId="50ABB94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鉴定报告</w:t>
            </w:r>
          </w:p>
        </w:tc>
        <w:tc>
          <w:tcPr>
            <w:tcW w:w="1619" w:type="dxa"/>
            <w:vAlign w:val="center"/>
          </w:tcPr>
          <w:p w14:paraId="3F049F5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纸质版两</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电子档一份</w:t>
            </w:r>
          </w:p>
        </w:tc>
        <w:tc>
          <w:tcPr>
            <w:tcW w:w="2692" w:type="dxa"/>
            <w:vAlign w:val="center"/>
          </w:tcPr>
          <w:p w14:paraId="364D97D4">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p>
        </w:tc>
        <w:tc>
          <w:tcPr>
            <w:tcW w:w="2108" w:type="dxa"/>
            <w:vAlign w:val="center"/>
          </w:tcPr>
          <w:p w14:paraId="2F6F75F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纸质版具体份数以满足甲方实际需求为准</w:t>
            </w:r>
          </w:p>
        </w:tc>
      </w:tr>
    </w:tbl>
    <w:p w14:paraId="486824B2">
      <w:pPr>
        <w:keepNext w:val="0"/>
        <w:keepLines w:val="0"/>
        <w:pageBreakBefore w:val="0"/>
        <w:widowControl w:val="0"/>
        <w:numPr>
          <w:ilvl w:val="0"/>
          <w:numId w:val="2"/>
        </w:numPr>
        <w:kinsoku/>
        <w:wordWrap/>
        <w:overflowPunct/>
        <w:topLinePunct w:val="0"/>
        <w:autoSpaceDE/>
        <w:autoSpaceDN/>
        <w:bidi w:val="0"/>
        <w:adjustRightInd w:val="0"/>
        <w:snapToGrid w:val="0"/>
        <w:spacing w:before="96" w:beforeLines="30" w:after="96" w:afterLines="30" w:line="500" w:lineRule="exact"/>
        <w:ind w:left="129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鉴定收费项目、金额与支付方式</w:t>
      </w:r>
    </w:p>
    <w:p w14:paraId="7C632DD2">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.1</w:t>
      </w:r>
      <w:r>
        <w:rPr>
          <w:rFonts w:hint="eastAsia" w:ascii="宋体" w:hAnsi="宋体" w:eastAsia="宋体" w:cs="宋体"/>
          <w:color w:val="auto"/>
          <w:sz w:val="21"/>
          <w:szCs w:val="21"/>
          <w:highlight w:val="none"/>
        </w:rPr>
        <w:t>按包干价收费：</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BCE739B">
      <w:pPr>
        <w:pStyle w:val="2"/>
        <w:keepNext w:val="0"/>
        <w:keepLines w:val="0"/>
        <w:pageBreakBefore w:val="0"/>
        <w:widowControl w:val="0"/>
        <w:kinsoku/>
        <w:wordWrap/>
        <w:overflowPunct/>
        <w:topLinePunct w:val="0"/>
        <w:autoSpaceDE/>
        <w:autoSpaceDN/>
        <w:bidi w:val="0"/>
        <w:spacing w:after="0" w:line="500" w:lineRule="exact"/>
        <w:ind w:left="420" w:leftChars="200" w:firstLine="0" w:firstLineChars="0"/>
        <w:textAlignment w:val="auto"/>
        <w:rPr>
          <w:rFonts w:hint="default" w:ascii="宋体" w:hAnsi="宋体" w:eastAsia="宋体" w:cs="宋体"/>
          <w:b/>
          <w:bCs/>
          <w:color w:val="auto"/>
          <w:sz w:val="21"/>
          <w:szCs w:val="21"/>
          <w:highlight w:val="none"/>
          <w:lang w:val="en-US"/>
        </w:rPr>
      </w:pPr>
      <w:r>
        <w:rPr>
          <w:rFonts w:hint="eastAsia" w:ascii="宋体" w:hAnsi="宋体" w:cs="宋体"/>
          <w:b/>
          <w:bCs/>
          <w:color w:val="auto"/>
          <w:sz w:val="21"/>
          <w:szCs w:val="21"/>
          <w:highlight w:val="none"/>
          <w:lang w:val="en-US" w:eastAsia="zh-CN"/>
        </w:rPr>
        <w:t>注：合同价</w:t>
      </w:r>
      <w:r>
        <w:rPr>
          <w:rFonts w:hint="eastAsia" w:ascii="宋体" w:hAnsi="宋体" w:eastAsia="宋体" w:cs="宋体"/>
          <w:b/>
          <w:bCs/>
          <w:color w:val="auto"/>
          <w:sz w:val="21"/>
          <w:szCs w:val="21"/>
          <w:highlight w:val="none"/>
        </w:rPr>
        <w:t>包含增值税。</w:t>
      </w:r>
      <w:r>
        <w:rPr>
          <w:rFonts w:hint="eastAsia" w:ascii="宋体" w:hAnsi="宋体" w:eastAsia="宋体" w:cs="宋体"/>
          <w:b/>
          <w:bCs/>
          <w:color w:val="auto"/>
          <w:sz w:val="21"/>
          <w:szCs w:val="21"/>
          <w:highlight w:val="none"/>
          <w:lang w:val="en-US" w:eastAsia="zh-CN"/>
        </w:rPr>
        <w:t>在鉴定过程中</w:t>
      </w:r>
      <w:r>
        <w:rPr>
          <w:rFonts w:hint="eastAsia" w:ascii="宋体" w:hAnsi="宋体" w:cs="宋体"/>
          <w:b/>
          <w:bCs/>
          <w:color w:val="auto"/>
          <w:sz w:val="21"/>
          <w:szCs w:val="21"/>
          <w:highlight w:val="none"/>
          <w:lang w:val="en-US" w:eastAsia="zh-CN"/>
        </w:rPr>
        <w:t>如</w:t>
      </w:r>
      <w:r>
        <w:rPr>
          <w:rFonts w:hint="eastAsia" w:ascii="宋体" w:hAnsi="宋体" w:eastAsia="宋体" w:cs="宋体"/>
          <w:b/>
          <w:bCs/>
          <w:color w:val="auto"/>
          <w:sz w:val="21"/>
          <w:szCs w:val="21"/>
          <w:highlight w:val="none"/>
          <w:lang w:val="en-US" w:eastAsia="zh-CN"/>
        </w:rPr>
        <w:t>需对墙体进行凿除等发生的所有费用包含在</w:t>
      </w:r>
      <w:r>
        <w:rPr>
          <w:rFonts w:hint="eastAsia" w:ascii="宋体" w:hAnsi="宋体" w:cs="宋体"/>
          <w:b/>
          <w:bCs/>
          <w:color w:val="auto"/>
          <w:sz w:val="21"/>
          <w:szCs w:val="21"/>
          <w:highlight w:val="none"/>
          <w:lang w:val="en-US" w:eastAsia="zh-CN"/>
        </w:rPr>
        <w:t>合同价中。</w:t>
      </w:r>
    </w:p>
    <w:p w14:paraId="11CBB53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.2付款方式：提供所有正式报告文本及相应电子档后一次性付清合同价款。</w:t>
      </w:r>
    </w:p>
    <w:p w14:paraId="288B8BDC">
      <w:pPr>
        <w:keepNext w:val="0"/>
        <w:keepLines w:val="0"/>
        <w:pageBreakBefore w:val="0"/>
        <w:widowControl w:val="0"/>
        <w:numPr>
          <w:ilvl w:val="0"/>
          <w:numId w:val="2"/>
        </w:numPr>
        <w:kinsoku/>
        <w:wordWrap/>
        <w:overflowPunct/>
        <w:topLinePunct w:val="0"/>
        <w:autoSpaceDE/>
        <w:autoSpaceDN/>
        <w:bidi w:val="0"/>
        <w:adjustRightInd w:val="0"/>
        <w:snapToGrid w:val="0"/>
        <w:spacing w:before="96" w:beforeLines="30" w:after="96" w:afterLines="30" w:line="500" w:lineRule="exact"/>
        <w:ind w:left="129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甲方责任</w:t>
      </w:r>
    </w:p>
    <w:p w14:paraId="5DE104FD">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 甲方应当在约定的时间内，向乙方提供与工程有关的工程资料，并对资料的可靠性负责。</w:t>
      </w:r>
    </w:p>
    <w:p w14:paraId="0FD50E2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24"/>
          <w:sz w:val="21"/>
          <w:szCs w:val="21"/>
          <w:highlight w:val="none"/>
        </w:rPr>
      </w:pPr>
      <w:r>
        <w:rPr>
          <w:rFonts w:hint="eastAsia" w:ascii="宋体" w:hAnsi="宋体" w:cs="宋体"/>
          <w:color w:val="auto"/>
          <w:kern w:val="24"/>
          <w:sz w:val="21"/>
          <w:szCs w:val="21"/>
          <w:highlight w:val="none"/>
          <w:lang w:val="en-US" w:eastAsia="zh-CN"/>
        </w:rPr>
        <w:t>5</w:t>
      </w:r>
      <w:r>
        <w:rPr>
          <w:rFonts w:hint="eastAsia" w:ascii="宋体" w:hAnsi="宋体" w:eastAsia="宋体" w:cs="宋体"/>
          <w:color w:val="auto"/>
          <w:kern w:val="24"/>
          <w:sz w:val="21"/>
          <w:szCs w:val="21"/>
          <w:highlight w:val="none"/>
        </w:rPr>
        <w:t>.2甲方应提供以下与检测有关的配合工作：</w:t>
      </w:r>
    </w:p>
    <w:p w14:paraId="6CB90A4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24"/>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kern w:val="24"/>
          <w:sz w:val="21"/>
          <w:szCs w:val="21"/>
          <w:highlight w:val="none"/>
        </w:rPr>
        <w:t>现场委派熟悉本工程状况的代表，向乙方提供本工程相关资料和信息；</w:t>
      </w:r>
    </w:p>
    <w:p w14:paraId="7077D6B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24"/>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kern w:val="24"/>
          <w:sz w:val="21"/>
          <w:szCs w:val="21"/>
          <w:highlight w:val="none"/>
        </w:rPr>
        <w:t>甲方和其他相关单位应积极配合，为乙方创造良好的检测条件；</w:t>
      </w:r>
    </w:p>
    <w:p w14:paraId="06A5739D">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.3按本合同约定的方法向乙方支付检测鉴定费用。</w:t>
      </w:r>
    </w:p>
    <w:p w14:paraId="1C5D2136">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.4甲方不得要求乙方违反国家有关标准进行检测鉴定，不得要求乙方出具有利于甲方的检测鉴定报告，不得明示或者暗示乙方出具虚假检测鉴定报告。</w:t>
      </w:r>
    </w:p>
    <w:p w14:paraId="6AE516CB">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.5甲方收到鉴定报告后如有疑义或异议，应自收到报告起</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日内书面提出，逾期不再受理，并视为对检测鉴定报告无疑义或异议。</w:t>
      </w:r>
    </w:p>
    <w:p w14:paraId="085C3C18">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.6保护乙方知识产权，除行政主管部门和直接关系人外，未经乙方许可，甲方不得将报告（包括电子版）提供给其他第三方，也不得作为非本工程的范围使用。</w:t>
      </w:r>
    </w:p>
    <w:p w14:paraId="1A284A53">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.7非乙方原因推迟支付结算检测鉴定费的，每延迟一天，甲方按</w:t>
      </w:r>
      <w:r>
        <w:rPr>
          <w:rFonts w:hint="eastAsia" w:ascii="宋体" w:hAnsi="宋体" w:eastAsia="宋体" w:cs="宋体"/>
          <w:color w:val="auto"/>
          <w:sz w:val="21"/>
          <w:szCs w:val="21"/>
          <w:highlight w:val="none"/>
          <w:u w:val="single"/>
        </w:rPr>
        <w:t>银行同期利率</w:t>
      </w:r>
      <w:r>
        <w:rPr>
          <w:rFonts w:hint="eastAsia" w:ascii="宋体" w:hAnsi="宋体" w:eastAsia="宋体" w:cs="宋体"/>
          <w:color w:val="auto"/>
          <w:sz w:val="21"/>
          <w:szCs w:val="21"/>
          <w:highlight w:val="none"/>
        </w:rPr>
        <w:t>支付给乙方利息。</w:t>
      </w:r>
    </w:p>
    <w:p w14:paraId="5E7F168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.8由于甲方的原因使检测鉴定工作受到阻碍或延误，以致增加了工作量或延长了持续时间，由此增加的工作量应得到额外的报酬，完成检测鉴定工作的时间应当相应延长。</w:t>
      </w:r>
    </w:p>
    <w:p w14:paraId="0776C3A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10除另有约定外，甲方应对检测现场进行必要的安全防护，无有毒有害气体，无倒塌、坠落或水淹等安全隐患；提供的辅助设施和设备应处于正常和安全使用状态，提供的辅助人员应进行必要的安全培训和教育，提供的特种操作人员（如电工）应具备相关的上岗证书。</w:t>
      </w:r>
    </w:p>
    <w:p w14:paraId="62790E38">
      <w:pPr>
        <w:keepNext w:val="0"/>
        <w:keepLines w:val="0"/>
        <w:pageBreakBefore w:val="0"/>
        <w:widowControl w:val="0"/>
        <w:numPr>
          <w:ilvl w:val="0"/>
          <w:numId w:val="2"/>
        </w:numPr>
        <w:kinsoku/>
        <w:wordWrap/>
        <w:overflowPunct/>
        <w:topLinePunct w:val="0"/>
        <w:autoSpaceDE/>
        <w:autoSpaceDN/>
        <w:bidi w:val="0"/>
        <w:adjustRightInd w:val="0"/>
        <w:snapToGrid w:val="0"/>
        <w:spacing w:before="96" w:beforeLines="30" w:after="96" w:afterLines="30" w:line="500" w:lineRule="exact"/>
        <w:ind w:left="129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乙方责任</w:t>
      </w:r>
    </w:p>
    <w:p w14:paraId="6592E06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1应具备相应的检测鉴定资质和检测鉴定能力，向甲方提供与建设工程检测鉴定业务有关的合法有效的资料，包括但不限于营业执照、资质证书、计量认证证书、可靠性鉴定授权文件等，并按合同约定的内容和范围开展检测鉴定工作。</w:t>
      </w:r>
    </w:p>
    <w:p w14:paraId="762BAEEE">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.2应按国家有关标准和本合同的要求进行检测鉴定工作，按本合同规定的时间和数量提交检测鉴定报告。</w:t>
      </w:r>
    </w:p>
    <w:p w14:paraId="445FD58C">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.3必要时，参加分部工程和单位工程质量验收，并对鉴定内容、数量和不合格项等情况作出说明。</w:t>
      </w:r>
    </w:p>
    <w:p w14:paraId="7474F2F0">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.4负责鉴定报告质量。因弄虚作假、计算错误等乙方原因导致检测鉴定报告结论与建筑物实际情况不符或与相关标准规范不符，应重新进行检测鉴定，由此造成损失的，乙方应赔偿相应损失。</w:t>
      </w:r>
    </w:p>
    <w:p w14:paraId="295FBB3F">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.5遵守保密制度，除建设行政主管部门或其他法律、法规要求的情形外，未经甲方许可，乙方不得将检测数据及报告（包括电子版本）泄露给第三方，若因此造成甲方损失，应赔偿相应损失。</w:t>
      </w:r>
    </w:p>
    <w:p w14:paraId="5D5E0FD0">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.6在合同履行期间，乙方要求终止或解除合同，</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按本合同约定费用的</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向甲方支付违约金，并按所承担的责任比例赔偿由此造成的其它直接经济损失。</w:t>
      </w:r>
    </w:p>
    <w:p w14:paraId="52D05376">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.7非甲方原因，未按照合同工期提交检测鉴定报告时，每延误一天，乙方应向甲方支付</w:t>
      </w:r>
      <w:r>
        <w:rPr>
          <w:rFonts w:hint="eastAsia" w:ascii="宋体" w:hAnsi="宋体" w:eastAsia="宋体" w:cs="宋体"/>
          <w:color w:val="auto"/>
          <w:sz w:val="21"/>
          <w:szCs w:val="21"/>
          <w:highlight w:val="none"/>
          <w:u w:val="single"/>
          <w:lang w:val="en-US" w:eastAsia="zh-CN"/>
        </w:rPr>
        <w:t>500</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违约金，若违约金不足以弥补甲方因此产生的损失，应以实际损失为标准适当提高违约金。</w:t>
      </w:r>
    </w:p>
    <w:p w14:paraId="3C32E48F">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.8现场检测鉴定工作期间，应遵守安全生产方面的法律法规和甲方有关规定，对己方项目组人员进行安全生产交底，并对现场进行安全检查，识别重大安全风险，并承担己方原因造成的安全事故责任和损失。</w:t>
      </w:r>
    </w:p>
    <w:p w14:paraId="1CF5B9A8">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.9现场检测鉴定工作期间，负责铲墙、拆除等处理工作。</w:t>
      </w:r>
    </w:p>
    <w:p w14:paraId="428BF840">
      <w:pPr>
        <w:keepNext w:val="0"/>
        <w:keepLines w:val="0"/>
        <w:pageBreakBefore w:val="0"/>
        <w:widowControl w:val="0"/>
        <w:numPr>
          <w:ilvl w:val="0"/>
          <w:numId w:val="2"/>
        </w:numPr>
        <w:kinsoku/>
        <w:wordWrap/>
        <w:overflowPunct/>
        <w:topLinePunct w:val="0"/>
        <w:autoSpaceDE/>
        <w:autoSpaceDN/>
        <w:bidi w:val="0"/>
        <w:adjustRightInd w:val="0"/>
        <w:snapToGrid w:val="0"/>
        <w:spacing w:before="96" w:beforeLines="30" w:after="96" w:afterLines="30" w:line="500" w:lineRule="exact"/>
        <w:ind w:left="129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w:t>
      </w:r>
    </w:p>
    <w:p w14:paraId="7986DCC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.1乙方及检测人员不得接受合同约定以外的任何报酬或者经济利益。</w:t>
      </w:r>
    </w:p>
    <w:p w14:paraId="208892A8">
      <w:pPr>
        <w:keepNext w:val="0"/>
        <w:keepLines w:val="0"/>
        <w:pageBreakBefore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.2乙方不得参与可能影响检测鉴定公正性和独立性的任何活动。</w:t>
      </w:r>
    </w:p>
    <w:p w14:paraId="1321639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.3未经双方的书面同意，双方均不得转让合同约定的权利和义务。</w:t>
      </w:r>
    </w:p>
    <w:p w14:paraId="312158F7">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.4乙方需将本合同中的部分检测鉴定项目分包时，应征得甲方的书面同意。</w:t>
      </w:r>
    </w:p>
    <w:p w14:paraId="2658E97D">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.5现场取得的或甲方提供的检测样品，检毕后乙方应归还甲方；甲方提供的资料类原件，乙方负有保管责任，应及时交还甲方。</w:t>
      </w:r>
    </w:p>
    <w:p w14:paraId="0E4B961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.6 本合同未尽事宜，可签订补充协议作为附件，补充协议与本合同具有同等效力。</w:t>
      </w:r>
    </w:p>
    <w:p w14:paraId="1845FA13">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.7 执行本合同发生争议，由当事人双方协商和解，也可以请求调解。双方当事人和解或调解不成，按下列第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种方式解决：</w:t>
      </w:r>
    </w:p>
    <w:p w14:paraId="7AF93DEE">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（1）向仲裁委员会申请仲裁；</w:t>
      </w:r>
    </w:p>
    <w:p w14:paraId="25DB80ED">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lang w:val="en-US" w:eastAsia="zh-CN"/>
        </w:rPr>
        <w:t>滁州市南谯区</w:t>
      </w:r>
      <w:r>
        <w:rPr>
          <w:rFonts w:hint="eastAsia" w:ascii="宋体" w:hAnsi="宋体" w:eastAsia="宋体" w:cs="宋体"/>
          <w:color w:val="auto"/>
          <w:sz w:val="21"/>
          <w:szCs w:val="21"/>
          <w:highlight w:val="none"/>
        </w:rPr>
        <w:t>人民法院起诉。</w:t>
      </w:r>
    </w:p>
    <w:p w14:paraId="03106E00">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.8本合同自双方盖章之日起生效，双方完成合同约定的义务后自行终止。</w:t>
      </w:r>
    </w:p>
    <w:p w14:paraId="109B4872">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.9本合同一式</w:t>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份，具有同等法律效力，双方各执</w:t>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份。</w:t>
      </w:r>
    </w:p>
    <w:p w14:paraId="219D465D">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.10 合同订立地点：</w:t>
      </w:r>
    </w:p>
    <w:p w14:paraId="270E594F">
      <w:pPr>
        <w:pStyle w:val="2"/>
        <w:keepNext w:val="0"/>
        <w:keepLines w:val="0"/>
        <w:pageBreakBefore w:val="0"/>
        <w:widowControl w:val="0"/>
        <w:kinsoku/>
        <w:wordWrap/>
        <w:overflowPunct/>
        <w:topLinePunct w:val="0"/>
        <w:autoSpaceDE/>
        <w:autoSpaceDN/>
        <w:bidi w:val="0"/>
        <w:spacing w:after="0" w:line="500" w:lineRule="exact"/>
        <w:ind w:firstLine="420"/>
        <w:textAlignment w:val="auto"/>
        <w:rPr>
          <w:rFonts w:hint="eastAsia" w:ascii="宋体" w:hAnsi="宋体" w:eastAsia="宋体" w:cs="宋体"/>
          <w:color w:val="auto"/>
          <w:sz w:val="21"/>
          <w:szCs w:val="21"/>
          <w:highlight w:val="none"/>
        </w:rPr>
      </w:pPr>
    </w:p>
    <w:p w14:paraId="77F4DD9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6C0CFAD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乙方：（盖章）</w:t>
      </w:r>
    </w:p>
    <w:p w14:paraId="077A3C33">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6AE1E30E">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p>
    <w:p w14:paraId="5D67A1C8">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                        项目负责人：</w:t>
      </w:r>
    </w:p>
    <w:p w14:paraId="44EBE02D">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税号：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税号：</w:t>
      </w:r>
    </w:p>
    <w:p w14:paraId="0642B422">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p>
    <w:p w14:paraId="7E490D4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p>
    <w:p w14:paraId="16918F0E">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p>
    <w:p w14:paraId="48FBA7F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账号：</w:t>
      </w:r>
    </w:p>
    <w:p w14:paraId="4D181458">
      <w:pPr>
        <w:pStyle w:val="63"/>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签发日期：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签发日期：</w:t>
      </w:r>
      <w:bookmarkEnd w:id="79"/>
    </w:p>
    <w:p w14:paraId="4D2278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BCD3E8E">
      <w:pPr>
        <w:pStyle w:val="63"/>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44"/>
          <w:sz w:val="32"/>
          <w:szCs w:val="48"/>
          <w:highlight w:val="none"/>
          <w:lang w:val="en-US" w:eastAsia="zh-CN" w:bidi="ar-SA"/>
        </w:rPr>
        <w:t>第四章 投标文件格式</w:t>
      </w:r>
      <w:bookmarkEnd w:id="80"/>
    </w:p>
    <w:p w14:paraId="2AC451A3">
      <w:pPr>
        <w:jc w:val="center"/>
        <w:rPr>
          <w:rFonts w:hint="eastAsia" w:ascii="宋体" w:hAnsi="宋体" w:eastAsia="宋体" w:cs="宋体"/>
          <w:color w:val="auto"/>
          <w:sz w:val="28"/>
          <w:szCs w:val="28"/>
          <w:highlight w:val="none"/>
          <w:u w:val="single"/>
        </w:rPr>
      </w:pPr>
    </w:p>
    <w:p w14:paraId="2BF899C5">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2F90C2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1E5AE4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6B8153D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3）企业资质；</w:t>
      </w:r>
    </w:p>
    <w:p w14:paraId="0E98A5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w:t>
      </w:r>
      <w:r>
        <w:rPr>
          <w:rFonts w:hint="eastAsia" w:ascii="宋体" w:hAnsi="宋体" w:cs="宋体"/>
          <w:color w:val="auto"/>
          <w:sz w:val="21"/>
          <w:szCs w:val="21"/>
          <w:highlight w:val="none"/>
          <w:lang w:val="en-US" w:eastAsia="zh-CN"/>
        </w:rPr>
        <w:t>有效身份证及职称证书</w:t>
      </w:r>
      <w:r>
        <w:rPr>
          <w:rFonts w:hint="eastAsia" w:ascii="宋体" w:hAnsi="宋体" w:eastAsia="宋体" w:cs="宋体"/>
          <w:color w:val="auto"/>
          <w:sz w:val="21"/>
          <w:szCs w:val="21"/>
          <w:highlight w:val="none"/>
          <w:lang w:val="en-US" w:eastAsia="zh-CN"/>
        </w:rPr>
        <w:t xml:space="preserve">； </w:t>
      </w:r>
    </w:p>
    <w:p w14:paraId="60F9C3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和</w:t>
      </w:r>
      <w:r>
        <w:rPr>
          <w:rFonts w:hint="eastAsia" w:ascii="宋体" w:hAnsi="宋体" w:eastAsia="宋体" w:cs="宋体"/>
          <w:color w:val="auto"/>
          <w:sz w:val="21"/>
          <w:szCs w:val="21"/>
          <w:highlight w:val="none"/>
        </w:rPr>
        <w:t>项目负责人</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p>
    <w:p w14:paraId="3C271C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承诺书：投标人对所提供的上述材料作出承诺，若投标人存在弄虚作假，提供虚假资料的，若中标，则取消中标资格。（承诺书格式自拟并注明开标日期，加盖投标单位公章）</w:t>
      </w:r>
    </w:p>
    <w:p w14:paraId="5A7B3D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0D8F09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）投标人认为需要提供的其他材料。</w:t>
      </w:r>
    </w:p>
    <w:p w14:paraId="49C6216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81"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81"/>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2908FF31">
      <w:pPr>
        <w:jc w:val="both"/>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73B4654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2.我方愿意按照招标文件规定的各项要求，</w:t>
      </w:r>
      <w:r>
        <w:rPr>
          <w:rFonts w:hint="eastAsia" w:ascii="宋体"/>
          <w:color w:val="auto"/>
          <w:szCs w:val="21"/>
          <w:highlight w:val="none"/>
        </w:rPr>
        <w:t>向</w:t>
      </w:r>
      <w:r>
        <w:rPr>
          <w:rFonts w:hint="eastAsia" w:ascii="宋体"/>
          <w:color w:val="auto"/>
          <w:szCs w:val="21"/>
          <w:highlight w:val="none"/>
          <w:lang w:val="en-US" w:eastAsia="zh-CN"/>
        </w:rPr>
        <w:t>招标</w:t>
      </w:r>
      <w:r>
        <w:rPr>
          <w:rFonts w:hint="eastAsia" w:ascii="宋体"/>
          <w:color w:val="auto"/>
          <w:szCs w:val="21"/>
          <w:highlight w:val="none"/>
        </w:rPr>
        <w:t>人提供</w:t>
      </w:r>
      <w:r>
        <w:rPr>
          <w:rFonts w:hint="eastAsia" w:ascii="宋体"/>
          <w:color w:val="auto"/>
          <w:szCs w:val="21"/>
          <w:highlight w:val="none"/>
          <w:lang w:val="en-US" w:eastAsia="zh-CN"/>
        </w:rPr>
        <w:t>本</w:t>
      </w:r>
      <w:r>
        <w:rPr>
          <w:rFonts w:hint="eastAsia" w:ascii="宋体"/>
          <w:color w:val="auto"/>
          <w:szCs w:val="21"/>
          <w:highlight w:val="none"/>
        </w:rPr>
        <w:t>项目的服务，我方报价为</w:t>
      </w:r>
      <w:r>
        <w:rPr>
          <w:rFonts w:hint="eastAsia" w:ascii="宋体"/>
          <w:b/>
          <w:bCs/>
          <w:color w:val="auto"/>
          <w:szCs w:val="21"/>
          <w:highlight w:val="none"/>
          <w:u w:val="single"/>
          <w:lang w:eastAsia="zh-CN"/>
        </w:rPr>
        <w:t>（</w:t>
      </w:r>
      <w:r>
        <w:rPr>
          <w:rFonts w:hint="eastAsia" w:ascii="宋体"/>
          <w:b/>
          <w:bCs/>
          <w:color w:val="auto"/>
          <w:szCs w:val="21"/>
          <w:highlight w:val="none"/>
          <w:u w:val="single"/>
          <w:lang w:val="en-US" w:eastAsia="zh-CN"/>
        </w:rPr>
        <w:t xml:space="preserve">大写）             （小写）         </w:t>
      </w:r>
      <w:r>
        <w:rPr>
          <w:rFonts w:hint="eastAsia" w:ascii="宋体"/>
          <w:b/>
          <w:bCs/>
          <w:color w:val="auto"/>
          <w:szCs w:val="21"/>
          <w:highlight w:val="none"/>
        </w:rPr>
        <w:t>。</w:t>
      </w:r>
      <w:r>
        <w:rPr>
          <w:rFonts w:hint="eastAsia" w:ascii="宋体"/>
          <w:color w:val="auto"/>
          <w:szCs w:val="21"/>
          <w:highlight w:val="none"/>
        </w:rPr>
        <w:t>项目负责人为</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u w:val="single"/>
          <w:lang w:eastAsia="zh-CN"/>
        </w:rPr>
        <w:t>。</w:t>
      </w:r>
    </w:p>
    <w:p w14:paraId="03D443C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560" w:lineRule="exact"/>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560" w:lineRule="exact"/>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签字或盖章</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560" w:lineRule="exact"/>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560" w:lineRule="exact"/>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560" w:lineRule="exact"/>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4CE9E6A">
      <w:pPr>
        <w:spacing w:line="360" w:lineRule="auto"/>
        <w:rPr>
          <w:rFonts w:hint="eastAsia" w:ascii="宋体" w:hAnsi="宋体" w:cs="宋体"/>
          <w:b/>
          <w:color w:val="auto"/>
          <w:sz w:val="28"/>
          <w:szCs w:val="28"/>
          <w:highlight w:val="none"/>
          <w:lang w:val="en-US" w:eastAsia="zh-CN"/>
        </w:rPr>
      </w:pPr>
    </w:p>
    <w:p w14:paraId="265D13AF">
      <w:pPr>
        <w:spacing w:line="360" w:lineRule="auto"/>
        <w:jc w:val="both"/>
        <w:rPr>
          <w:rFonts w:hint="eastAsia" w:ascii="宋体" w:hAnsi="宋体" w:eastAsia="宋体" w:cs="宋体"/>
          <w:b/>
          <w:bCs/>
          <w:color w:val="auto"/>
          <w:kern w:val="0"/>
          <w:sz w:val="30"/>
          <w:szCs w:val="30"/>
          <w:highlight w:val="none"/>
        </w:rPr>
      </w:pPr>
    </w:p>
    <w:p w14:paraId="3718D3FE">
      <w:pPr>
        <w:pStyle w:val="6"/>
        <w:keepNext/>
        <w:keepLines/>
        <w:pageBreakBefore/>
        <w:widowControl w:val="0"/>
        <w:kinsoku/>
        <w:wordWrap/>
        <w:overflowPunct/>
        <w:topLinePunct w:val="0"/>
        <w:autoSpaceDE/>
        <w:autoSpaceDN/>
        <w:bidi w:val="0"/>
        <w:adjustRightInd/>
        <w:snapToGrid/>
        <w:spacing w:before="160" w:beforeLines="50" w:after="160" w:afterLines="50" w:line="520" w:lineRule="exact"/>
        <w:textAlignment w:val="auto"/>
        <w:rPr>
          <w:rFonts w:hint="eastAsia" w:ascii="宋体" w:hAnsi="宋体" w:eastAsia="宋体" w:cs="宋体"/>
          <w:color w:val="auto"/>
          <w:sz w:val="32"/>
          <w:szCs w:val="48"/>
          <w:highlight w:val="none"/>
          <w:lang w:val="en-US" w:eastAsia="zh-CN"/>
        </w:rPr>
      </w:pPr>
      <w:bookmarkStart w:id="82" w:name="_Toc31498"/>
      <w:r>
        <w:rPr>
          <w:rFonts w:hint="eastAsia" w:ascii="宋体" w:hAnsi="宋体" w:eastAsia="宋体" w:cs="宋体"/>
          <w:color w:val="auto"/>
          <w:sz w:val="32"/>
          <w:szCs w:val="48"/>
          <w:highlight w:val="none"/>
          <w:lang w:val="en-US" w:eastAsia="zh-CN"/>
        </w:rPr>
        <w:t>第五章 招标单位、招标代理机构对本招标文件的确认</w:t>
      </w:r>
      <w:bookmarkEnd w:id="82"/>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滁州市北大街示范区B区工程结构安全性检测服务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滁州市重点工程建设管理处</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张学茜</w:t>
            </w:r>
            <w:r>
              <w:rPr>
                <w:rFonts w:hint="eastAsia" w:ascii="宋体" w:hAnsi="宋体" w:eastAsia="宋体" w:cs="宋体"/>
                <w:color w:val="auto"/>
                <w:sz w:val="28"/>
                <w:szCs w:val="28"/>
                <w:highlight w:val="none"/>
                <w:lang w:val="en-US" w:eastAsia="zh-CN"/>
              </w:rPr>
              <w:t xml:space="preserve"> </w:t>
            </w:r>
          </w:p>
          <w:p w14:paraId="0C9165C7">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val="en-US" w:eastAsia="zh-CN"/>
              </w:rPr>
              <w:t>0550-</w:t>
            </w:r>
            <w:r>
              <w:rPr>
                <w:rFonts w:hint="eastAsia" w:ascii="宋体" w:hAnsi="宋体" w:cs="宋体"/>
                <w:color w:val="auto"/>
                <w:sz w:val="28"/>
                <w:szCs w:val="28"/>
                <w:highlight w:val="none"/>
                <w:lang w:val="en-US" w:eastAsia="zh-CN"/>
              </w:rPr>
              <w:t>2599820</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杨韦</w:t>
            </w:r>
          </w:p>
          <w:p w14:paraId="3E3D785F">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eastAsia="zh-CN"/>
              </w:rPr>
              <w:t>0550-35195</w:t>
            </w:r>
            <w:r>
              <w:rPr>
                <w:rFonts w:hint="eastAsia" w:ascii="宋体" w:hAnsi="宋体" w:eastAsia="宋体" w:cs="宋体"/>
                <w:color w:val="auto"/>
                <w:sz w:val="28"/>
                <w:szCs w:val="28"/>
                <w:highlight w:val="none"/>
                <w:lang w:val="en-US" w:eastAsia="zh-CN"/>
              </w:rPr>
              <w:t>90</w:t>
            </w:r>
            <w:r>
              <w:rPr>
                <w:rFonts w:hint="eastAsia" w:ascii="宋体" w:hAnsi="宋体" w:cs="宋体"/>
                <w:color w:val="auto"/>
                <w:sz w:val="28"/>
                <w:szCs w:val="28"/>
                <w:highlight w:val="none"/>
                <w:lang w:val="en-US" w:eastAsia="zh-CN"/>
              </w:rPr>
              <w:t>/18005501210</w:t>
            </w:r>
          </w:p>
          <w:p w14:paraId="497AA04E">
            <w:pPr>
              <w:rPr>
                <w:rFonts w:hint="eastAsia" w:ascii="宋体" w:hAnsi="宋体" w:eastAsia="宋体" w:cs="宋体"/>
                <w:color w:val="auto"/>
                <w:sz w:val="28"/>
                <w:szCs w:val="28"/>
                <w:highlight w:val="none"/>
              </w:rPr>
            </w:pPr>
          </w:p>
          <w:p w14:paraId="60AF574C">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5AE54977">
            <w:pPr>
              <w:ind w:firstLine="4900" w:firstLineChars="17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2D9AB935">
      <w:pPr>
        <w:pStyle w:val="20"/>
        <w:jc w:val="left"/>
        <w:rPr>
          <w:rFonts w:hint="eastAsia" w:ascii="宋体" w:hAnsi="宋体" w:eastAsia="宋体" w:cs="宋体"/>
          <w:color w:val="auto"/>
          <w:kern w:val="0"/>
          <w:sz w:val="24"/>
          <w:szCs w:val="24"/>
          <w:highlight w:val="none"/>
        </w:rPr>
      </w:pPr>
    </w:p>
    <w:p w14:paraId="21A15060">
      <w:pPr>
        <w:pStyle w:val="20"/>
        <w:jc w:val="left"/>
        <w:rPr>
          <w:rFonts w:hint="eastAsia" w:ascii="宋体" w:hAnsi="宋体" w:eastAsia="宋体" w:cs="宋体"/>
          <w:color w:val="auto"/>
          <w:kern w:val="0"/>
          <w:sz w:val="24"/>
          <w:szCs w:val="24"/>
          <w:highlight w:val="none"/>
        </w:rPr>
      </w:pPr>
    </w:p>
    <w:p w14:paraId="32517B5B">
      <w:pPr>
        <w:pStyle w:val="20"/>
        <w:jc w:val="left"/>
        <w:rPr>
          <w:rFonts w:hint="eastAsia" w:ascii="宋体" w:hAnsi="宋体" w:eastAsia="宋体" w:cs="宋体"/>
          <w:color w:val="auto"/>
          <w:kern w:val="0"/>
          <w:sz w:val="24"/>
          <w:szCs w:val="24"/>
          <w:highlight w:val="none"/>
        </w:rPr>
      </w:pPr>
    </w:p>
    <w:sectPr>
      <w:footerReference r:id="rId7" w:type="default"/>
      <w:pgSz w:w="11906" w:h="16838"/>
      <w:pgMar w:top="935" w:right="1106" w:bottom="936" w:left="1259" w:header="680" w:footer="680"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ModIcon">
    <w:altName w:val="ksdb"/>
    <w:panose1 w:val="00000000000000000000"/>
    <w:charset w:val="00"/>
    <w:family w:val="auto"/>
    <w:pitch w:val="default"/>
    <w:sig w:usb0="00000000" w:usb1="00000000" w:usb2="00000000" w:usb3="00000000" w:csb0="00000000" w:csb1="00000000"/>
  </w:font>
  <w:font w:name="ActionIcon">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4136F">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C4136F">
                    <w:pPr>
                      <w:pStyle w:val="30"/>
                    </w:pPr>
                    <w:r>
                      <w:fldChar w:fldCharType="begin"/>
                    </w:r>
                    <w:r>
                      <w:instrText xml:space="preserve"> PAGE  \* MERGEFORMAT </w:instrText>
                    </w:r>
                    <w:r>
                      <w:fldChar w:fldCharType="separate"/>
                    </w:r>
                    <w:r>
                      <w:t>3</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CEA1">
    <w:pPr>
      <w:pStyle w:val="30"/>
      <w:rPr>
        <w:rStyle w:val="49"/>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D377C">
                          <w:pPr>
                            <w:pStyle w:val="3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CD377C">
                    <w:pPr>
                      <w:pStyle w:val="30"/>
                    </w:pPr>
                    <w:r>
                      <w:fldChar w:fldCharType="begin"/>
                    </w:r>
                    <w:r>
                      <w:instrText xml:space="preserve"> PAGE  \* MERGEFORMAT </w:instrText>
                    </w:r>
                    <w:r>
                      <w:fldChar w:fldCharType="separate"/>
                    </w:r>
                    <w:r>
                      <w:t>26</w:t>
                    </w:r>
                    <w:r>
                      <w:fldChar w:fldCharType="end"/>
                    </w:r>
                  </w:p>
                </w:txbxContent>
              </v:textbox>
            </v:shape>
          </w:pict>
        </mc:Fallback>
      </mc:AlternateContent>
    </w:r>
  </w:p>
  <w:p w14:paraId="34D7E770">
    <w:pPr>
      <w:pStyle w:val="30"/>
      <w:ind w:right="360"/>
      <w:rPr>
        <w:kern w:val="0"/>
      </w:rPr>
    </w:pPr>
    <w:r>
      <mc:AlternateContent>
        <mc:Choice Requires="wps">
          <w:drawing>
            <wp:anchor distT="0" distB="0" distL="114300" distR="114300" simplePos="0" relativeHeight="251662336"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25A84D90"/>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2336;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14:paraId="25A84D90"/>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8CB6E"/>
    <w:multiLevelType w:val="singleLevel"/>
    <w:tmpl w:val="1EF8CB6E"/>
    <w:lvl w:ilvl="0" w:tentative="0">
      <w:start w:val="1"/>
      <w:numFmt w:val="upperLetter"/>
      <w:suff w:val="nothing"/>
      <w:lvlText w:val="%1、"/>
      <w:lvlJc w:val="left"/>
    </w:lvl>
  </w:abstractNum>
  <w:abstractNum w:abstractNumId="1">
    <w:nsid w:val="7F594A51"/>
    <w:multiLevelType w:val="multilevel"/>
    <w:tmpl w:val="7F594A51"/>
    <w:lvl w:ilvl="0" w:tentative="0">
      <w:start w:val="1"/>
      <w:numFmt w:val="japaneseCounting"/>
      <w:lvlText w:val="第%1条"/>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23C4E17"/>
    <w:rsid w:val="02860CE1"/>
    <w:rsid w:val="028D0613"/>
    <w:rsid w:val="02A06DF6"/>
    <w:rsid w:val="02AD40CA"/>
    <w:rsid w:val="03101E00"/>
    <w:rsid w:val="03311B51"/>
    <w:rsid w:val="035607B0"/>
    <w:rsid w:val="035A0B08"/>
    <w:rsid w:val="03A27AFA"/>
    <w:rsid w:val="03BE185C"/>
    <w:rsid w:val="03DD3435"/>
    <w:rsid w:val="043833BC"/>
    <w:rsid w:val="04880F3B"/>
    <w:rsid w:val="04BB1052"/>
    <w:rsid w:val="058F191A"/>
    <w:rsid w:val="064047AA"/>
    <w:rsid w:val="06B17456"/>
    <w:rsid w:val="07023E8A"/>
    <w:rsid w:val="073060B3"/>
    <w:rsid w:val="073F34F8"/>
    <w:rsid w:val="07855569"/>
    <w:rsid w:val="07DD03A2"/>
    <w:rsid w:val="08891FDF"/>
    <w:rsid w:val="08EE1782"/>
    <w:rsid w:val="090B57DF"/>
    <w:rsid w:val="09436A8B"/>
    <w:rsid w:val="094625ED"/>
    <w:rsid w:val="098C0FAE"/>
    <w:rsid w:val="0A1370D9"/>
    <w:rsid w:val="0A426CE3"/>
    <w:rsid w:val="0A783487"/>
    <w:rsid w:val="0A920A74"/>
    <w:rsid w:val="0B1A05CF"/>
    <w:rsid w:val="0B3B4932"/>
    <w:rsid w:val="0B786794"/>
    <w:rsid w:val="0B8A5AE2"/>
    <w:rsid w:val="0BFC1173"/>
    <w:rsid w:val="0C30371E"/>
    <w:rsid w:val="0C47209B"/>
    <w:rsid w:val="0CDE4AF1"/>
    <w:rsid w:val="0CEC2F96"/>
    <w:rsid w:val="0D2F7233"/>
    <w:rsid w:val="0DB0649C"/>
    <w:rsid w:val="0E2234E7"/>
    <w:rsid w:val="0E832759"/>
    <w:rsid w:val="0ECF7747"/>
    <w:rsid w:val="0F9D46EF"/>
    <w:rsid w:val="11D57582"/>
    <w:rsid w:val="124026B6"/>
    <w:rsid w:val="126874AE"/>
    <w:rsid w:val="12C329EB"/>
    <w:rsid w:val="13114D0E"/>
    <w:rsid w:val="137A735A"/>
    <w:rsid w:val="13B24508"/>
    <w:rsid w:val="13E54BBD"/>
    <w:rsid w:val="146D5339"/>
    <w:rsid w:val="152F63E2"/>
    <w:rsid w:val="158272E5"/>
    <w:rsid w:val="15C90318"/>
    <w:rsid w:val="15D60886"/>
    <w:rsid w:val="16A220B2"/>
    <w:rsid w:val="16AB249D"/>
    <w:rsid w:val="16E538DC"/>
    <w:rsid w:val="17153410"/>
    <w:rsid w:val="19475149"/>
    <w:rsid w:val="1A1E40F3"/>
    <w:rsid w:val="1AF847D0"/>
    <w:rsid w:val="1B0B13D3"/>
    <w:rsid w:val="1C136BB6"/>
    <w:rsid w:val="1C4B5EA8"/>
    <w:rsid w:val="1D3A7D4E"/>
    <w:rsid w:val="1D820C9A"/>
    <w:rsid w:val="1E1554ED"/>
    <w:rsid w:val="1E66223E"/>
    <w:rsid w:val="1FA4448B"/>
    <w:rsid w:val="2022793B"/>
    <w:rsid w:val="207B6E01"/>
    <w:rsid w:val="211B1C44"/>
    <w:rsid w:val="21F200C1"/>
    <w:rsid w:val="224A075F"/>
    <w:rsid w:val="22651D11"/>
    <w:rsid w:val="22E66E8E"/>
    <w:rsid w:val="22F4099F"/>
    <w:rsid w:val="237322B7"/>
    <w:rsid w:val="23816BA4"/>
    <w:rsid w:val="23B802A0"/>
    <w:rsid w:val="25184226"/>
    <w:rsid w:val="25E4098B"/>
    <w:rsid w:val="26252182"/>
    <w:rsid w:val="265122FF"/>
    <w:rsid w:val="265E174C"/>
    <w:rsid w:val="2686038F"/>
    <w:rsid w:val="26EF5515"/>
    <w:rsid w:val="274F505D"/>
    <w:rsid w:val="27E8435E"/>
    <w:rsid w:val="28C72B2B"/>
    <w:rsid w:val="29E75E0C"/>
    <w:rsid w:val="29F23E8A"/>
    <w:rsid w:val="2A241E9E"/>
    <w:rsid w:val="2A566AD6"/>
    <w:rsid w:val="2B367DA6"/>
    <w:rsid w:val="2B52413C"/>
    <w:rsid w:val="2BEE242F"/>
    <w:rsid w:val="2C7D3C0D"/>
    <w:rsid w:val="2C874AAF"/>
    <w:rsid w:val="2C8E66A6"/>
    <w:rsid w:val="2CAF5168"/>
    <w:rsid w:val="2CBB47F9"/>
    <w:rsid w:val="2D4A1910"/>
    <w:rsid w:val="2DFF7667"/>
    <w:rsid w:val="2E267150"/>
    <w:rsid w:val="2EFD1D1D"/>
    <w:rsid w:val="2F3A186E"/>
    <w:rsid w:val="2FDE0A0C"/>
    <w:rsid w:val="2FE563D7"/>
    <w:rsid w:val="31FB42D0"/>
    <w:rsid w:val="32852601"/>
    <w:rsid w:val="32D3700E"/>
    <w:rsid w:val="32F07192"/>
    <w:rsid w:val="332433C5"/>
    <w:rsid w:val="3376156C"/>
    <w:rsid w:val="33DB598F"/>
    <w:rsid w:val="348E387D"/>
    <w:rsid w:val="34C90786"/>
    <w:rsid w:val="34E70363"/>
    <w:rsid w:val="35A46FAE"/>
    <w:rsid w:val="37026723"/>
    <w:rsid w:val="370E1BD7"/>
    <w:rsid w:val="37526B7E"/>
    <w:rsid w:val="385F78F9"/>
    <w:rsid w:val="398960D8"/>
    <w:rsid w:val="39E8421F"/>
    <w:rsid w:val="3A066436"/>
    <w:rsid w:val="3A2516BB"/>
    <w:rsid w:val="3A40676C"/>
    <w:rsid w:val="3B3C635C"/>
    <w:rsid w:val="3CCB04A6"/>
    <w:rsid w:val="3CD37326"/>
    <w:rsid w:val="3DA16242"/>
    <w:rsid w:val="3E7850FA"/>
    <w:rsid w:val="3EED354E"/>
    <w:rsid w:val="3F1410DB"/>
    <w:rsid w:val="3F173AB4"/>
    <w:rsid w:val="3F370F3A"/>
    <w:rsid w:val="3F7A539C"/>
    <w:rsid w:val="3FB5783A"/>
    <w:rsid w:val="406B5C76"/>
    <w:rsid w:val="408338D7"/>
    <w:rsid w:val="41120516"/>
    <w:rsid w:val="41510996"/>
    <w:rsid w:val="42147451"/>
    <w:rsid w:val="43727992"/>
    <w:rsid w:val="43881670"/>
    <w:rsid w:val="43E82525"/>
    <w:rsid w:val="44592EA6"/>
    <w:rsid w:val="44A8055A"/>
    <w:rsid w:val="44F7334E"/>
    <w:rsid w:val="45AF30FD"/>
    <w:rsid w:val="46420BB9"/>
    <w:rsid w:val="465B3014"/>
    <w:rsid w:val="472F5293"/>
    <w:rsid w:val="473A07C7"/>
    <w:rsid w:val="47AE55ED"/>
    <w:rsid w:val="47DB0FE0"/>
    <w:rsid w:val="47EB386F"/>
    <w:rsid w:val="485A4022"/>
    <w:rsid w:val="48986B3F"/>
    <w:rsid w:val="494476DB"/>
    <w:rsid w:val="49B66251"/>
    <w:rsid w:val="4A026685"/>
    <w:rsid w:val="4A125037"/>
    <w:rsid w:val="4A49578E"/>
    <w:rsid w:val="4AB455FC"/>
    <w:rsid w:val="4B4C6831"/>
    <w:rsid w:val="4BB93099"/>
    <w:rsid w:val="4CA21C4A"/>
    <w:rsid w:val="4E87606B"/>
    <w:rsid w:val="4EC2357B"/>
    <w:rsid w:val="4ED1777D"/>
    <w:rsid w:val="4F443F90"/>
    <w:rsid w:val="4F627A2B"/>
    <w:rsid w:val="4F8A1859"/>
    <w:rsid w:val="4FCD4721"/>
    <w:rsid w:val="502D24E4"/>
    <w:rsid w:val="504773D5"/>
    <w:rsid w:val="50EC70D4"/>
    <w:rsid w:val="511E5BAD"/>
    <w:rsid w:val="51267930"/>
    <w:rsid w:val="513918A9"/>
    <w:rsid w:val="517F3DD4"/>
    <w:rsid w:val="51BC2AE8"/>
    <w:rsid w:val="52244348"/>
    <w:rsid w:val="52CE5689"/>
    <w:rsid w:val="5317027A"/>
    <w:rsid w:val="538B0615"/>
    <w:rsid w:val="555D7576"/>
    <w:rsid w:val="558A3D0F"/>
    <w:rsid w:val="559A68B9"/>
    <w:rsid w:val="569E5C28"/>
    <w:rsid w:val="56B17EF3"/>
    <w:rsid w:val="57313D11"/>
    <w:rsid w:val="578D69F6"/>
    <w:rsid w:val="58311B26"/>
    <w:rsid w:val="59254E33"/>
    <w:rsid w:val="597E4543"/>
    <w:rsid w:val="599A4762"/>
    <w:rsid w:val="59B94A33"/>
    <w:rsid w:val="59C42C57"/>
    <w:rsid w:val="5AFB2C32"/>
    <w:rsid w:val="5B2F036B"/>
    <w:rsid w:val="5B5877E2"/>
    <w:rsid w:val="5BA9771F"/>
    <w:rsid w:val="5BAC7A1D"/>
    <w:rsid w:val="5BAE0EF6"/>
    <w:rsid w:val="5BE3458F"/>
    <w:rsid w:val="5D9C143B"/>
    <w:rsid w:val="5DD0286D"/>
    <w:rsid w:val="5EEA0F2A"/>
    <w:rsid w:val="5F9D1CA2"/>
    <w:rsid w:val="5FD300DB"/>
    <w:rsid w:val="5FD42393"/>
    <w:rsid w:val="5FE25B93"/>
    <w:rsid w:val="603F3AE9"/>
    <w:rsid w:val="608C59E7"/>
    <w:rsid w:val="61051B53"/>
    <w:rsid w:val="61095D5D"/>
    <w:rsid w:val="61284751"/>
    <w:rsid w:val="629F458E"/>
    <w:rsid w:val="63637DFA"/>
    <w:rsid w:val="63A72C64"/>
    <w:rsid w:val="64F222D0"/>
    <w:rsid w:val="655541D3"/>
    <w:rsid w:val="65594766"/>
    <w:rsid w:val="65AE22F3"/>
    <w:rsid w:val="65C12033"/>
    <w:rsid w:val="66465782"/>
    <w:rsid w:val="66AF6E4C"/>
    <w:rsid w:val="670A4733"/>
    <w:rsid w:val="67DE5EA5"/>
    <w:rsid w:val="68E615DD"/>
    <w:rsid w:val="6907286A"/>
    <w:rsid w:val="6908397B"/>
    <w:rsid w:val="6980658C"/>
    <w:rsid w:val="6A16299D"/>
    <w:rsid w:val="6B354DBB"/>
    <w:rsid w:val="6CC00CAD"/>
    <w:rsid w:val="6D0B604A"/>
    <w:rsid w:val="6DAC05BE"/>
    <w:rsid w:val="6E2337BB"/>
    <w:rsid w:val="6E802F39"/>
    <w:rsid w:val="6F5F3A74"/>
    <w:rsid w:val="6F8373FF"/>
    <w:rsid w:val="6FDE7145"/>
    <w:rsid w:val="701268B7"/>
    <w:rsid w:val="7025059A"/>
    <w:rsid w:val="708446DD"/>
    <w:rsid w:val="713E6246"/>
    <w:rsid w:val="725809D6"/>
    <w:rsid w:val="72EE22E1"/>
    <w:rsid w:val="73840989"/>
    <w:rsid w:val="73875405"/>
    <w:rsid w:val="73B74532"/>
    <w:rsid w:val="74425F26"/>
    <w:rsid w:val="74CC7CBB"/>
    <w:rsid w:val="75516D96"/>
    <w:rsid w:val="75847F67"/>
    <w:rsid w:val="7682140E"/>
    <w:rsid w:val="76D62696"/>
    <w:rsid w:val="774E2667"/>
    <w:rsid w:val="775F2477"/>
    <w:rsid w:val="77910BE3"/>
    <w:rsid w:val="78270463"/>
    <w:rsid w:val="78EA3B59"/>
    <w:rsid w:val="7AD53A89"/>
    <w:rsid w:val="7B2726C7"/>
    <w:rsid w:val="7B360113"/>
    <w:rsid w:val="7C016BE2"/>
    <w:rsid w:val="7C8660BD"/>
    <w:rsid w:val="7C934347"/>
    <w:rsid w:val="7CA05978"/>
    <w:rsid w:val="7F09259F"/>
    <w:rsid w:val="7F2050E8"/>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status"/>
    <w:basedOn w:val="47"/>
    <w:qFormat/>
    <w:uiPriority w:val="0"/>
    <w:rPr>
      <w:color w:val="0776DD"/>
    </w:rPr>
  </w:style>
  <w:style w:type="character" w:customStyle="1" w:styleId="159">
    <w:name w:val="time"/>
    <w:basedOn w:val="47"/>
    <w:qFormat/>
    <w:uiPriority w:val="0"/>
  </w:style>
  <w:style w:type="character" w:customStyle="1" w:styleId="160">
    <w:name w:val="timeaxis"/>
    <w:basedOn w:val="47"/>
    <w:uiPriority w:val="0"/>
  </w:style>
  <w:style w:type="character" w:customStyle="1" w:styleId="161">
    <w:name w:val="layui-layer-tabnow"/>
    <w:basedOn w:val="47"/>
    <w:uiPriority w:val="0"/>
    <w:rPr>
      <w:bdr w:val="single" w:color="CCCCCC" w:sz="6" w:space="0"/>
      <w:shd w:val="clear" w:fill="FFFFFF"/>
    </w:rPr>
  </w:style>
  <w:style w:type="character" w:customStyle="1" w:styleId="162">
    <w:name w:val="first-child"/>
    <w:basedOn w:val="47"/>
    <w:uiPriority w:val="0"/>
    <w:rPr>
      <w:bdr w:val="none" w:color="auto" w:sz="0" w:space="0"/>
    </w:rPr>
  </w:style>
  <w:style w:type="character" w:customStyle="1" w:styleId="163">
    <w:name w:val="room"/>
    <w:basedOn w:val="4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34</Pages>
  <Words>3558</Words>
  <Characters>4427</Characters>
  <Lines>0</Lines>
  <Paragraphs>0</Paragraphs>
  <TotalTime>46</TotalTime>
  <ScaleCrop>false</ScaleCrop>
  <LinksUpToDate>false</LinksUpToDate>
  <CharactersWithSpaces>4522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韦韦</cp:lastModifiedBy>
  <cp:lastPrinted>2025-06-27T09:03:00Z</cp:lastPrinted>
  <dcterms:modified xsi:type="dcterms:W3CDTF">2025-08-14T02:36:19Z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9CFEE953F2184222AB867545202810F6_13</vt:lpwstr>
  </property>
  <property fmtid="{D5CDD505-2E9C-101B-9397-08002B2CF9AE}" pid="4" name="KSOTemplateDocerSaveRecord">
    <vt:lpwstr>eyJoZGlkIjoiZmQ5MGI3YTdkMjVkZTZjM2ZjZTQ5YjMxYTJjZjRlOWEiLCJ1c2VySWQiOiIzNjE4MjQ5In0=</vt:lpwstr>
  </property>
</Properties>
</file>